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Registration No. 333-227358</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September 9, 2019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6760" w:type="dxa"/>
            <w:vAlign w:val="bottom"/>
          </w:tcPr>
          <w:p>
            <w:pPr>
              <w:jc w:val="center"/>
              <w:ind w:right="463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238"/>
        </w:trPr>
        <w:tc>
          <w:tcPr>
            <w:tcW w:w="1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$1,000,000,000 3.550% Senior Notes due 2029</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Issuers:</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Plains All American Pipeline, L.P. and PAA Finance Corp.</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Ratings (Moody’s / S&amp;P / Fitch)*:</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Ba1 / BBB- / BBB-</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Security Type:</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Senior unsecured</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Legal Format:</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SEC-registered</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Pricing Date:</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September 9, 2019</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(T+5):</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September 16, 2019</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15, 2029</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$1,000,000,000</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UST 1.625% due August 15, 2029</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Yield:</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1.622%</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+195 bps</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3.572%</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3.550%</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99.801%</w:t>
            </w: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(after deducting the underwriting discount and</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$989.1 million</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estimated offering expenses):</w:t>
            </w:r>
          </w:p>
        </w:tc>
        <w:tc>
          <w:tcPr>
            <w:tcW w:w="6760" w:type="dxa"/>
            <w:vAlign w:val="bottom"/>
          </w:tcPr>
          <w:p>
            <w:pPr>
              <w:spacing w:after="0"/>
              <w:rPr>
                <w:sz w:val="20"/>
                <w:szCs w:val="20"/>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T+ 30 bps</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Call at Par:</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 or after September 15, 2029</w:t>
            </w: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15 and December 15, beginning on June 15, 2020 (long first coupon)</w:t>
            </w:r>
          </w:p>
        </w:tc>
      </w:tr>
      <w:tr>
        <w:trPr>
          <w:trHeight w:val="446"/>
        </w:trPr>
        <w:tc>
          <w:tcPr>
            <w:tcW w:w="4700" w:type="dxa"/>
            <w:vAlign w:val="bottom"/>
          </w:tcPr>
          <w:p>
            <w:pPr>
              <w:spacing w:after="0"/>
              <w:rPr>
                <w:sz w:val="24"/>
                <w:szCs w:val="24"/>
                <w:color w:val="auto"/>
              </w:rPr>
            </w:pPr>
          </w:p>
        </w:tc>
        <w:tc>
          <w:tcPr>
            <w:tcW w:w="6760" w:type="dxa"/>
            <w:vAlign w:val="bottom"/>
          </w:tcPr>
          <w:p>
            <w:pPr>
              <w:jc w:val="center"/>
              <w:ind w:right="4650"/>
              <w:spacing w:after="0"/>
              <w:rPr>
                <w:sz w:val="20"/>
                <w:szCs w:val="20"/>
                <w:color w:val="auto"/>
              </w:rPr>
            </w:pPr>
            <w:r>
              <w:rPr>
                <w:rFonts w:ascii="Times New Roman" w:cs="Times New Roman" w:eastAsia="Times New Roman" w:hAnsi="Times New Roman"/>
                <w:sz w:val="18"/>
                <w:szCs w:val="18"/>
                <w:color w:val="auto"/>
              </w:rPr>
              <w:t>1</w:t>
            </w:r>
          </w:p>
        </w:tc>
      </w:tr>
      <w:tr>
        <w:trPr>
          <w:trHeight w:val="132"/>
        </w:trPr>
        <w:tc>
          <w:tcPr>
            <w:tcW w:w="4700" w:type="dxa"/>
            <w:vAlign w:val="bottom"/>
            <w:tcBorders>
              <w:bottom w:val="single" w:sz="8" w:color="808080"/>
            </w:tcBorders>
          </w:tcPr>
          <w:p>
            <w:pPr>
              <w:spacing w:after="0"/>
              <w:rPr>
                <w:sz w:val="11"/>
                <w:szCs w:val="11"/>
                <w:color w:val="auto"/>
              </w:rPr>
            </w:pPr>
          </w:p>
        </w:tc>
        <w:tc>
          <w:tcPr>
            <w:tcW w:w="676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Times New Roman" w:cs="Times New Roman" w:eastAsia="Times New Roman" w:hAnsi="Times New Roman"/>
          <w:sz w:val="17"/>
          <w:szCs w:val="17"/>
          <w:color w:val="auto"/>
        </w:rPr>
        <w:t>72650R BM3 / US72650RBM34</w:t>
      </w:r>
    </w:p>
    <w:p>
      <w:pPr>
        <w:spacing w:after="0" w:line="211" w:lineRule="exact"/>
        <w:rPr>
          <w:sz w:val="20"/>
          <w:szCs w:val="20"/>
          <w:color w:val="auto"/>
        </w:rPr>
      </w:pPr>
    </w:p>
    <w:p>
      <w:pPr>
        <w:sectPr>
          <w:pgSz w:w="11900" w:h="16838" w:orient="portrait"/>
          <w:cols w:equalWidth="0" w:num="2">
            <w:col w:w="4440" w:space="720"/>
            <w:col w:w="6260"/>
          </w:cols>
          <w:pgMar w:left="240" w:top="351" w:right="2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4440" w:space="720"/>
            <w:col w:w="6260"/>
          </w:cols>
          <w:pgMar w:left="240" w:top="35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772160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CIBC World Markets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ING Financial Markets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0" w:lineRule="exact"/>
        <w:rPr>
          <w:sz w:val="20"/>
          <w:szCs w:val="20"/>
          <w:color w:val="auto"/>
        </w:rPr>
      </w:pPr>
    </w:p>
    <w:p>
      <w:pPr>
        <w:sectPr>
          <w:pgSz w:w="11900" w:h="16838" w:orient="portrait"/>
          <w:cols w:equalWidth="0" w:num="2">
            <w:col w:w="4440" w:space="720"/>
            <w:col w:w="6260"/>
          </w:cols>
          <w:pgMar w:left="240" w:top="351" w:right="239" w:bottom="1440" w:gutter="0" w:footer="0" w:header="0"/>
          <w:type w:val="continuous"/>
        </w:sectPr>
      </w:pPr>
    </w:p>
    <w:p>
      <w:pPr>
        <w:spacing w:after="0" w:line="236"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Delivery of the notes is expected to be made against payment therefor on or about September 16, 2019, which is the fifth business day following the date of pricing of the notes (such settlement being referred to as “T+5”). Under Rule 15c6-1 of the Securities Exchange Act of 1934, as amended,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T+5, to specify an alternate settlement cycle at the time of any such trade to prevent failed settlement and should consult their own advisors.</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toll-free at (800) 831-9146, Mizuho Securities USA LLC toll-free at (866) 271-7403, MUFG Securities Americas Inc. toll-free at (877) 649-6848 or Scotia Capital (USA) Inc. collect at (212) 225-5501.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5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2020-01-07T22:49:05Z</dcterms:created>
  <dcterms:modified xsi:type="dcterms:W3CDTF">2020-01-07T22:49:05Z</dcterms:modified>
</cp:coreProperties>
</file>