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265168d8k.htm"/>
      <w:bookmarkStart w:id="1" w:name="ksd265168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December 1, 2011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1"/>
        <w:gridCol w:w="3267"/>
        <w:gridCol w:w="100"/>
        <w:gridCol w:w="3268"/>
      </w:tblGrid>
      <w:tr>
        <w:trPr/>
        <w:tc>
          <w:tcPr>
            <w:tcW w:w="346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8"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1-14569</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76-0582150</w:t>
            </w:r>
          </w:p>
        </w:tc>
      </w:tr>
      <w:tr>
        <w:trPr/>
        <w:tc>
          <w:tcPr>
            <w:tcW w:w="3469"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(State or other jurisdiction of</w:t>
              <w:br/>
              <w:t>incorporation)</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(Commission File Number)</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(IRS Employer Identification No.)</w:t>
            </w:r>
          </w:p>
        </w:tc>
      </w:tr>
    </w:tbl>
    <w:p>
      <w:pPr>
        <w:pStyle w:val="TextBody"/>
        <w:spacing w:before="180" w:after="0"/>
        <w:jc w:val="center"/>
        <w:rPr>
          <w:rFonts w:ascii="Times New Roman" w:hAnsi="Times New Roman"/>
          <w:b/>
          <w:sz w:val="20"/>
        </w:rPr>
      </w:pPr>
      <w:r>
        <w:rPr>
          <w:rFonts w:ascii="Times New Roman" w:hAnsi="Times New Roman"/>
          <w:b/>
          <w:sz w:val="20"/>
        </w:rPr>
        <w:t xml:space="preserve">333 Clay Street, Suite 1600, Houston, Texas 77002 </w:t>
      </w:r>
    </w:p>
    <w:p>
      <w:pPr>
        <w:pStyle w:val="TextBody"/>
        <w:spacing w:before="0" w:after="0"/>
        <w:jc w:val="center"/>
        <w:rPr>
          <w:rFonts w:ascii="Times New Roman" w:hAnsi="Times New Roman"/>
          <w:b/>
          <w:sz w:val="14"/>
        </w:rPr>
      </w:pPr>
      <w:r>
        <w:rPr>
          <w:rFonts w:ascii="Times New Roman" w:hAnsi="Times New Roman"/>
          <w:b/>
          <w:sz w:val="14"/>
        </w:rPr>
        <w:t xml:space="preserve">(Address of principal executive offices) (Zip Code) </w:t>
      </w:r>
    </w:p>
    <w:p>
      <w:pPr>
        <w:pStyle w:val="TextBody"/>
        <w:spacing w:before="180" w:after="0"/>
        <w:jc w:val="center"/>
        <w:rPr>
          <w:rFonts w:ascii="Times New Roman" w:hAnsi="Times New Roman"/>
          <w:b/>
          <w:sz w:val="20"/>
        </w:rPr>
      </w:pPr>
      <w:r>
        <w:rPr>
          <w:rFonts w:ascii="Times New Roman" w:hAnsi="Times New Roman"/>
          <w:b/>
          <w:sz w:val="20"/>
        </w:rPr>
        <w:t xml:space="preserve">Registrants telephone number, including area code 713-646-4100 </w:t>
      </w:r>
    </w:p>
    <w:p>
      <w:pPr>
        <w:pStyle w:val="TextBody"/>
        <w:spacing w:before="270" w:after="0"/>
        <w:jc w:val="center"/>
        <w:rPr>
          <w:rFonts w:ascii="Times New Roman" w:hAnsi="Times New Roman"/>
          <w:b/>
          <w:sz w:val="14"/>
        </w:rPr>
      </w:pPr>
      <w:r>
        <w:rPr>
          <w:rFonts w:ascii="Times New Roman" w:hAnsi="Times New Roman"/>
          <w:b/>
          <w:sz w:val="14"/>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r>
        <w:rPr>
          <w:rFonts w:ascii="Times New Roman" w:hAnsi="Times New Roman"/>
          <w:b/>
          <w:sz w:val="20"/>
        </w:rPr>
        <w:t xml:space="preserve">Item 1.01 Entry into a Material Definitive Agreement </w:t>
      </w:r>
    </w:p>
    <w:p>
      <w:pPr>
        <w:pStyle w:val="TextBody"/>
        <w:spacing w:before="90" w:after="0"/>
        <w:rPr>
          <w:rFonts w:ascii="Times New Roman" w:hAnsi="Times New Roman"/>
          <w:sz w:val="20"/>
        </w:rPr>
      </w:pPr>
      <w:r>
        <w:rPr>
          <w:rFonts w:ascii="Times New Roman" w:hAnsi="Times New Roman"/>
          <w:sz w:val="20"/>
        </w:rPr>
        <w:t xml:space="preserve">On December 1, 2011, Plains Midstream Canada ULC (Purchaser), a wholly owned subsidiary of Plains All American Pipeline, L.P. (the Partnership or PAA), entered into a definitive share purchase agreement (the Agreement) with Amoco Canada International Holdings B.V. (Seller), an indirect wholly owned subsidiary of BP Corporation North America Inc. (BP North America), pursuant to which Purchaser will acquire all of the outstanding shares of BP Canada Energy Company (the Company), a wholly owned subsidiary of Seller (the Acquisition). Total consideration for the Acquisition, which will be based on an October 1, 2011 effective date, is approximately $1.67 billion, subject to adjustment based on working capital amounts as of September 30, 2011, and other adjustments as provided in the Agreement. A cash deposit of $50 million was paid upon signing, and the balance, plus 2% interest from October 1, 2011, is payable in cash upon closing. Subject to Canadian and U.S. regulatory approvals and customary closing conditions, the Acquisition is expected to close in the first quarter or early in the second quarter of 2012. The Agreement includes representations, warranties, covenants, indemnities, remedies, termination and other customary provisions for a transaction of this nature. PAA has agreed to guarantee the payment obligations of Purchaser under the Agreement. </w:t>
      </w:r>
    </w:p>
    <w:p>
      <w:pPr>
        <w:pStyle w:val="TextBody"/>
        <w:spacing w:before="180" w:after="0"/>
        <w:rPr>
          <w:rFonts w:ascii="Times New Roman" w:hAnsi="Times New Roman"/>
          <w:sz w:val="20"/>
        </w:rPr>
      </w:pPr>
      <w:r>
        <w:rPr>
          <w:rFonts w:ascii="Times New Roman" w:hAnsi="Times New Roman"/>
          <w:sz w:val="20"/>
        </w:rPr>
        <w:t xml:space="preserve">Through the Acquisition, the Purchaser will become the indirect owner of all of BP North Americas Canadian-based natural gas liquids (NGL) and liquefied petroleum gas (LPG) business and certain of BP North Americas NGL and LPG assets located in the Midwest United States. The assets to be acquired include ownership interests of varying levels, and contractual rights relating to approximately 2,600 miles of NGL pipelines, approximately 20 million barrels of LPG storage capacity, seven fractionation plants with an aggregate capacity of approximately 232,000 barrels per day, multiple straddle plants, two field gas processing plants with an aggregate net capacity of approximately 8 Bcf per day, and long-term and seasonal NGL inventories of approximately 10 million barrels (as of October 1, 2011). The acquired business also includes various supply contracts at other field gas processing plants, shipping arrangements on third party NGL pipelines and long-term leases on 720 rail cars used to move product among various locations. Collectively, these assets and activities provide access to approximately 140,000 to 150,000 barrels per day of NGL supply that are transported through a fully integrated network to fractionation facilities and markets in Western and Eastern Canada and in the U.S. </w:t>
      </w:r>
    </w:p>
    <w:p>
      <w:pPr>
        <w:pStyle w:val="TextBody"/>
        <w:spacing w:before="180" w:after="0"/>
        <w:rPr>
          <w:rFonts w:ascii="Times New Roman" w:hAnsi="Times New Roman"/>
          <w:sz w:val="20"/>
        </w:rPr>
      </w:pPr>
      <w:r>
        <w:rPr>
          <w:rFonts w:ascii="Times New Roman" w:hAnsi="Times New Roman"/>
          <w:sz w:val="20"/>
        </w:rPr>
        <w:t xml:space="preserve">The Purchaser and an affiliate of BP North America have also entered into an Integrated Supply and Trading Agreement, pursuant to which an affiliate of BP North America will, for a period of two years following the closing of the Acquisition, continue to provide sourcing services for gas supply to feed certain of the straddle plants to be acquired as a result of the Acquisition. </w:t>
      </w:r>
    </w:p>
    <w:p>
      <w:pPr>
        <w:pStyle w:val="TextBody"/>
        <w:spacing w:before="270" w:after="0"/>
        <w:rPr>
          <w:rFonts w:ascii="Times New Roman" w:hAnsi="Times New Roman"/>
          <w:b/>
          <w:sz w:val="20"/>
        </w:rPr>
      </w:pPr>
      <w:r>
        <w:rPr>
          <w:rFonts w:ascii="Times New Roman" w:hAnsi="Times New Roman"/>
          <w:b/>
          <w:sz w:val="20"/>
        </w:rPr>
        <w:t xml:space="preserve">Item 7.01 Regulation FD Disclosure. </w:t>
      </w:r>
    </w:p>
    <w:p>
      <w:pPr>
        <w:pStyle w:val="TextBody"/>
        <w:spacing w:before="90" w:after="0"/>
        <w:rPr>
          <w:rFonts w:ascii="Times New Roman" w:hAnsi="Times New Roman"/>
          <w:sz w:val="20"/>
        </w:rPr>
      </w:pPr>
      <w:r>
        <w:rPr>
          <w:rFonts w:ascii="Times New Roman" w:hAnsi="Times New Roman"/>
          <w:sz w:val="20"/>
        </w:rPr>
        <w:t xml:space="preserve">In accordance with General Instruction B.2 of Form 8-K, the information presented under this Item 7.01 shall not be deemed filed for the purpose of Section 18 of the Securities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Exchange Act of 1934, as amended, or otherwise subject to the liabilities of that section, nor shall such information be deemed incorporated by reference into any filing under the Securities Act of 1933 or the Securities Exchange Act of 1934, each as amended. </w:t>
      </w:r>
    </w:p>
    <w:p>
      <w:pPr>
        <w:pStyle w:val="TextBody"/>
        <w:spacing w:before="180" w:after="0"/>
        <w:rPr>
          <w:rFonts w:ascii="Times New Roman" w:hAnsi="Times New Roman"/>
          <w:sz w:val="20"/>
        </w:rPr>
      </w:pPr>
      <w:r>
        <w:rPr>
          <w:rFonts w:ascii="Times New Roman" w:hAnsi="Times New Roman"/>
          <w:sz w:val="20"/>
        </w:rPr>
        <w:t xml:space="preserve">On December 1, 2011, the Registrant issued a press release announcing the Acquisition. A copy of the press release is furnished as Exhibit 99.1 hereto. </w:t>
      </w:r>
    </w:p>
    <w:p>
      <w:pPr>
        <w:pStyle w:val="TextBody"/>
        <w:spacing w:before="270" w:after="0"/>
        <w:rPr>
          <w:rFonts w:ascii="Times New Roman" w:hAnsi="Times New Roman"/>
          <w:b/>
          <w:sz w:val="20"/>
        </w:rPr>
      </w:pPr>
      <w:r>
        <w:rPr>
          <w:rFonts w:ascii="Times New Roman" w:hAnsi="Times New Roman"/>
          <w:b/>
          <w:sz w:val="20"/>
        </w:rPr>
        <w:t xml:space="preserve">Item 9.01. Financial Statements and Exhibits.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(d)</w:t>
            </w:r>
          </w:p>
        </w:tc>
        <w:tc>
          <w:tcPr>
            <w:tcW w:w="938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Exhibits </w:t>
            </w:r>
          </w:p>
        </w:tc>
      </w:tr>
    </w:tbl>
    <w:p>
      <w:pPr>
        <w:pStyle w:val="TextBody"/>
        <w:spacing w:before="180" w:after="0"/>
        <w:rPr>
          <w:rFonts w:ascii="Times New Roman" w:hAnsi="Times New Roman"/>
          <w:sz w:val="20"/>
        </w:rPr>
      </w:pPr>
      <w:r>
        <w:rPr>
          <w:rFonts w:ascii="Times New Roman" w:hAnsi="Times New Roman"/>
          <w:sz w:val="20"/>
        </w:rPr>
        <w:t xml:space="preserve">Exhibit 99.1  Press Release dated December 1, 2011.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606"/>
        <w:gridCol w:w="113"/>
        <w:gridCol w:w="395"/>
        <w:gridCol w:w="113"/>
        <w:gridCol w:w="262"/>
        <w:gridCol w:w="113"/>
        <w:gridCol w:w="4603"/>
      </w:tblGrid>
      <w:tr>
        <w:trPr/>
        <w:tc>
          <w:tcPr>
            <w:tcW w:w="460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4603" w:type="dxa"/>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97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240" w:hRule="atLeast"/>
        </w:trPr>
        <w:tc>
          <w:tcPr>
            <w:tcW w:w="4606"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375" w:type="dxa"/>
            <w:gridSpan w:val="2"/>
            <w:tcBorders/>
            <w:shd w:fill="auto" w:val="clear"/>
            <w:vAlign w:val="center"/>
          </w:tcPr>
          <w:p>
            <w:pPr>
              <w:pStyle w:val="TableContents"/>
              <w:spacing w:before="0" w:after="283"/>
              <w:rPr>
                <w:sz w:val="4"/>
                <w:szCs w:val="4"/>
              </w:rPr>
            </w:pPr>
            <w:r>
              <w:rPr>
                <w:sz w:val="4"/>
                <w:szCs w:val="4"/>
              </w:rPr>
            </w:r>
          </w:p>
        </w:tc>
        <w:tc>
          <w:tcPr>
            <w:tcW w:w="4716" w:type="dxa"/>
            <w:gridSpan w:val="2"/>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rFonts w:ascii="Times New Roman" w:hAnsi="Times New Roman"/>
                <w:sz w:val="20"/>
              </w:rPr>
            </w:pPr>
            <w:r>
              <w:rPr>
                <w:rFonts w:ascii="Times New Roman" w:hAnsi="Times New Roman"/>
                <w:sz w:val="20"/>
              </w:rPr>
              <w:t>Date: December 7, 2011</w:t>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shd w:fill="auto" w:val="clear"/>
            <w:vAlign w:val="bottom"/>
          </w:tcPr>
          <w:p>
            <w:pPr>
              <w:pStyle w:val="TableContents"/>
              <w:spacing w:before="0" w:after="283"/>
              <w:rPr/>
            </w:pPr>
            <w:r>
              <w:rPr/>
              <w:t> </w:t>
            </w:r>
          </w:p>
        </w:tc>
        <w:tc>
          <w:tcPr>
            <w:tcW w:w="46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shd w:fill="auto" w:val="clear"/>
            <w:vAlign w:val="bottom"/>
          </w:tcPr>
          <w:p>
            <w:pPr>
              <w:pStyle w:val="TableContents"/>
              <w:spacing w:before="0" w:after="283"/>
              <w:rPr/>
            </w:pPr>
            <w:r>
              <w:rPr/>
              <w:t> </w:t>
            </w:r>
          </w:p>
        </w:tc>
        <w:tc>
          <w:tcPr>
            <w:tcW w:w="4603"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Plains All American GP LLC, its</w:t>
            </w:r>
          </w:p>
          <w:p>
            <w:pPr>
              <w:pStyle w:val="TableContents"/>
              <w:spacing w:before="0" w:after="15"/>
              <w:rPr>
                <w:rFonts w:ascii="Times New Roman" w:hAnsi="Times New Roman"/>
                <w:sz w:val="20"/>
              </w:rPr>
            </w:pPr>
            <w:r>
              <w:rPr>
                <w:rFonts w:ascii="Times New Roman" w:hAnsi="Times New Roman"/>
                <w:sz w:val="20"/>
              </w:rPr>
              <w:t>general partner</w:t>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978" w:type="dxa"/>
            <w:gridSpan w:val="3"/>
            <w:tcBorders/>
            <w:shd w:fill="auto" w:val="clea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bottom w:val="single" w:sz="2" w:space="0" w:color="000000"/>
            </w:tcBorders>
            <w:shd w:fill="auto" w:val="clear"/>
            <w:tcMar>
              <w:bottom w:w="28" w:type="dxa"/>
            </w:tcMar>
            <w:vAlign w:val="bottom"/>
          </w:tcPr>
          <w:p>
            <w:pPr>
              <w:pStyle w:val="TableContents"/>
              <w:spacing w:before="0" w:after="283"/>
              <w:rPr/>
            </w:pPr>
            <w:r>
              <w:rPr/>
              <w:t> </w:t>
            </w:r>
          </w:p>
        </w:tc>
        <w:tc>
          <w:tcPr>
            <w:tcW w:w="4603"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/s/ Richard K. McGee</w:t>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rFonts w:ascii="Times New Roman" w:hAnsi="Times New Roman"/>
                <w:sz w:val="20"/>
              </w:rPr>
            </w:pPr>
            <w:r>
              <w:rPr>
                <w:rFonts w:ascii="Times New Roman" w:hAnsi="Times New Roman"/>
                <w:sz w:val="20"/>
              </w:rPr>
              <w:t>Name: Richard K. McGee</w:t>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rFonts w:ascii="Times New Roman" w:hAnsi="Times New Roman"/>
                <w:sz w:val="20"/>
              </w:rPr>
            </w:pPr>
            <w:r>
              <w:rPr>
                <w:rFonts w:ascii="Times New Roman" w:hAnsi="Times New Roman"/>
                <w:sz w:val="20"/>
              </w:rPr>
              <w:t>Title: Vice President</w:t>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INDEX TO EXHIBITS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70"/>
        <w:gridCol w:w="528"/>
        <w:gridCol w:w="9207"/>
      </w:tblGrid>
      <w:tr>
        <w:trPr/>
        <w:tc>
          <w:tcPr>
            <w:tcW w:w="470"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bottom"/>
          </w:tcPr>
          <w:p>
            <w:pPr>
              <w:pStyle w:val="TableContents"/>
              <w:spacing w:before="0" w:after="283"/>
              <w:rPr>
                <w:sz w:val="4"/>
                <w:szCs w:val="4"/>
              </w:rPr>
            </w:pPr>
            <w:r>
              <w:rPr>
                <w:sz w:val="4"/>
                <w:szCs w:val="4"/>
              </w:rPr>
            </w:r>
          </w:p>
        </w:tc>
        <w:tc>
          <w:tcPr>
            <w:tcW w:w="9207" w:type="dxa"/>
            <w:tcBorders/>
            <w:shd w:fill="auto" w:val="clear"/>
            <w:vAlign w:val="center"/>
          </w:tcPr>
          <w:p>
            <w:pPr>
              <w:pStyle w:val="TableContents"/>
              <w:spacing w:before="0" w:after="283"/>
              <w:rPr>
                <w:sz w:val="4"/>
                <w:szCs w:val="4"/>
              </w:rPr>
            </w:pPr>
            <w:r>
              <w:rPr>
                <w:sz w:val="4"/>
                <w:szCs w:val="4"/>
              </w:rPr>
            </w:r>
          </w:p>
        </w:tc>
      </w:tr>
      <w:tr>
        <w:trPr/>
        <w:tc>
          <w:tcPr>
            <w:tcW w:w="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Exhibit</w:t>
              <w:br/>
              <w:t>No.</w:t>
            </w:r>
          </w:p>
        </w:tc>
        <w:tc>
          <w:tcPr>
            <w:tcW w:w="528" w:type="dxa"/>
            <w:tcBorders/>
            <w:shd w:fill="auto" w:val="clear"/>
            <w:vAlign w:val="bottom"/>
          </w:tcPr>
          <w:p>
            <w:pPr>
              <w:pStyle w:val="TableContents"/>
              <w:spacing w:before="0" w:after="283"/>
              <w:rPr/>
            </w:pPr>
            <w:r>
              <w:rPr/>
              <w:t>  </w:t>
            </w:r>
          </w:p>
        </w:tc>
        <w:tc>
          <w:tcPr>
            <w:tcW w:w="9207"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Description</w:t>
            </w:r>
          </w:p>
        </w:tc>
      </w:tr>
      <w:tr>
        <w:trPr>
          <w:trHeight w:val="120" w:hRule="atLeast"/>
        </w:trPr>
        <w:tc>
          <w:tcPr>
            <w:tcW w:w="470" w:type="dxa"/>
            <w:tcBorders/>
            <w:shd w:fill="auto" w:val="clear"/>
            <w:vAlign w:val="center"/>
          </w:tcPr>
          <w:p>
            <w:pPr>
              <w:pStyle w:val="TableContents"/>
              <w:spacing w:before="0" w:after="283"/>
              <w:rPr>
                <w:sz w:val="4"/>
                <w:szCs w:val="4"/>
              </w:rPr>
            </w:pPr>
            <w:r>
              <w:rPr>
                <w:sz w:val="4"/>
                <w:szCs w:val="4"/>
              </w:rPr>
            </w:r>
          </w:p>
        </w:tc>
        <w:tc>
          <w:tcPr>
            <w:tcW w:w="9735" w:type="dxa"/>
            <w:gridSpan w:val="2"/>
            <w:tcBorders/>
            <w:shd w:fill="auto" w:val="clear"/>
            <w:vAlign w:val="center"/>
          </w:tcPr>
          <w:p>
            <w:pPr>
              <w:pStyle w:val="TableContents"/>
              <w:spacing w:before="0" w:after="283"/>
              <w:rPr>
                <w:sz w:val="4"/>
                <w:szCs w:val="4"/>
              </w:rPr>
            </w:pPr>
            <w:r>
              <w:rPr>
                <w:sz w:val="4"/>
                <w:szCs w:val="4"/>
              </w:rPr>
            </w:r>
          </w:p>
        </w:tc>
      </w:tr>
      <w:tr>
        <w:trPr/>
        <w:tc>
          <w:tcPr>
            <w:tcW w:w="470" w:type="dxa"/>
            <w:tcBorders/>
            <w:shd w:fill="auto" w:val="clear"/>
          </w:tcPr>
          <w:p>
            <w:pPr>
              <w:pStyle w:val="TableContents"/>
              <w:spacing w:before="0" w:after="283"/>
              <w:rPr>
                <w:rFonts w:ascii="Times New Roman" w:hAnsi="Times New Roman"/>
                <w:sz w:val="20"/>
              </w:rPr>
            </w:pPr>
            <w:r>
              <w:rPr>
                <w:rFonts w:ascii="Times New Roman" w:hAnsi="Times New Roman"/>
                <w:sz w:val="20"/>
              </w:rPr>
              <w:t>99.1</w:t>
            </w:r>
          </w:p>
        </w:tc>
        <w:tc>
          <w:tcPr>
            <w:tcW w:w="528" w:type="dxa"/>
            <w:tcBorders/>
            <w:shd w:fill="auto" w:val="clear"/>
            <w:vAlign w:val="bottom"/>
          </w:tcPr>
          <w:p>
            <w:pPr>
              <w:pStyle w:val="TableContents"/>
              <w:spacing w:before="0" w:after="283"/>
              <w:rPr/>
            </w:pPr>
            <w:r>
              <w:rPr/>
              <w:t>  </w:t>
            </w:r>
          </w:p>
        </w:tc>
        <w:tc>
          <w:tcPr>
            <w:tcW w:w="9207" w:type="dxa"/>
            <w:tcBorders/>
            <w:shd w:fill="auto" w:val="clear"/>
          </w:tcPr>
          <w:p>
            <w:pPr>
              <w:pStyle w:val="TableContents"/>
              <w:spacing w:before="0" w:after="283"/>
              <w:rPr>
                <w:rFonts w:ascii="Times New Roman" w:hAnsi="Times New Roman"/>
                <w:sz w:val="20"/>
              </w:rPr>
            </w:pPr>
            <w:r>
              <w:rPr>
                <w:rFonts w:ascii="Times New Roman" w:hAnsi="Times New Roman"/>
                <w:sz w:val="20"/>
              </w:rPr>
              <w:t>Press Release dated December 1, 2011.</w:t>
            </w:r>
          </w:p>
        </w:tc>
      </w:tr>
    </w:tbl>
    <w:p>
      <w:pPr>
        <w:pStyle w:val="TextBody"/>
        <w:spacing w:before="0" w:after="0"/>
        <w:jc w:val="right"/>
        <w:rPr>
          <w:rFonts w:ascii="Times New Roman" w:hAnsi="Times New Roman"/>
          <w:b/>
          <w:sz w:val="20"/>
        </w:rPr>
      </w:pPr>
      <w:r>
        <w:br w:type="page"/>
      </w:r>
      <w:bookmarkStart w:id="2" w:name="d265168dex991.htm"/>
      <w:bookmarkStart w:id="3" w:name="ksd265168dex991"/>
      <w:bookmarkEnd w:id="2"/>
      <w:bookmarkEnd w:id="3"/>
      <w:r>
        <w:rPr>
          <w:rFonts w:ascii="Times New Roman" w:hAnsi="Times New Roman"/>
          <w:b/>
          <w:sz w:val="20"/>
        </w:rPr>
        <w:t xml:space="preserve">EXHIBIT 99.1 </w:t>
      </w:r>
    </w:p>
    <w:p>
      <w:pPr>
        <w:pStyle w:val="TextBody"/>
        <w:spacing w:before="180" w:after="0"/>
        <w:jc w:val="center"/>
        <w:rPr/>
      </w:pPr>
      <w:r>
        <w:rPr/>
        <w:drawing>
          <wp:inline distT="0" distB="0" distL="0" distR="0">
            <wp:extent cx="4312920" cy="5791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312920" cy="579120"/>
                    </a:xfrm>
                    <a:prstGeom prst="rect">
                      <a:avLst/>
                    </a:prstGeom>
                  </pic:spPr>
                </pic:pic>
              </a:graphicData>
            </a:graphic>
          </wp:inline>
        </w:drawing>
      </w:r>
      <w:r>
        <w:rPr/>
        <w:t xml:space="preserve"> </w:t>
      </w:r>
    </w:p>
    <w:p>
      <w:pPr>
        <w:pStyle w:val="TextBody"/>
        <w:spacing w:before="0" w:after="0"/>
        <w:rPr/>
      </w:pPr>
      <w:r>
        <w:rPr/>
        <w:t> </w:t>
      </w:r>
    </w:p>
    <w:p>
      <w:pPr>
        <w:pStyle w:val="TextBody"/>
        <w:pBdr>
          <w:bottom w:val="single" w:sz="8" w:space="1" w:color="000000"/>
        </w:pBdr>
        <w:spacing w:lineRule="atLeast" w:line="141" w:before="0" w:after="30"/>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19"/>
        <w:gridCol w:w="210"/>
        <w:gridCol w:w="2636"/>
        <w:gridCol w:w="512"/>
        <w:gridCol w:w="6028"/>
      </w:tblGrid>
      <w:tr>
        <w:trPr/>
        <w:tc>
          <w:tcPr>
            <w:tcW w:w="81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2636"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bottom"/>
          </w:tcPr>
          <w:p>
            <w:pPr>
              <w:pStyle w:val="TableContents"/>
              <w:spacing w:before="0" w:after="283"/>
              <w:rPr>
                <w:sz w:val="4"/>
                <w:szCs w:val="4"/>
              </w:rPr>
            </w:pPr>
            <w:r>
              <w:rPr>
                <w:sz w:val="4"/>
                <w:szCs w:val="4"/>
              </w:rPr>
            </w:r>
          </w:p>
        </w:tc>
        <w:tc>
          <w:tcPr>
            <w:tcW w:w="6028" w:type="dxa"/>
            <w:tcBorders/>
            <w:shd w:fill="auto" w:val="clear"/>
            <w:vAlign w:val="center"/>
          </w:tcPr>
          <w:p>
            <w:pPr>
              <w:pStyle w:val="TableContents"/>
              <w:spacing w:before="0" w:after="283"/>
              <w:rPr>
                <w:sz w:val="4"/>
                <w:szCs w:val="4"/>
              </w:rPr>
            </w:pPr>
            <w:r>
              <w:rPr>
                <w:sz w:val="4"/>
                <w:szCs w:val="4"/>
              </w:rPr>
            </w:r>
          </w:p>
        </w:tc>
      </w:tr>
      <w:tr>
        <w:trPr/>
        <w:tc>
          <w:tcPr>
            <w:tcW w:w="819" w:type="dxa"/>
            <w:tcBorders/>
            <w:shd w:fill="auto" w:val="clear"/>
          </w:tcPr>
          <w:p>
            <w:pPr>
              <w:pStyle w:val="TableContents"/>
              <w:spacing w:before="0" w:after="283"/>
              <w:jc w:val="center"/>
              <w:rPr>
                <w:rFonts w:ascii="Times New Roman" w:hAnsi="Times New Roman"/>
                <w:b/>
                <w:sz w:val="20"/>
                <w:u w:val="single"/>
              </w:rPr>
            </w:pPr>
            <w:r>
              <w:rPr>
                <w:rFonts w:ascii="Times New Roman" w:hAnsi="Times New Roman"/>
                <w:b/>
                <w:sz w:val="20"/>
                <w:u w:val="single"/>
              </w:rPr>
              <w:t>Contacts:</w:t>
            </w:r>
          </w:p>
        </w:tc>
        <w:tc>
          <w:tcPr>
            <w:tcW w:w="210" w:type="dxa"/>
            <w:tcBorders/>
            <w:shd w:fill="auto" w:val="clear"/>
            <w:vAlign w:val="bottom"/>
          </w:tcPr>
          <w:p>
            <w:pPr>
              <w:pStyle w:val="TableContents"/>
              <w:spacing w:before="0" w:after="283"/>
              <w:rPr/>
            </w:pPr>
            <w:r>
              <w:rPr/>
              <w:t>  </w:t>
            </w:r>
          </w:p>
        </w:tc>
        <w:tc>
          <w:tcPr>
            <w:tcW w:w="2636" w:type="dxa"/>
            <w:tcBorders/>
            <w:shd w:fill="auto" w:val="clear"/>
          </w:tcPr>
          <w:p>
            <w:pPr>
              <w:pStyle w:val="TableContents"/>
              <w:spacing w:before="0" w:after="283"/>
              <w:rPr>
                <w:rFonts w:ascii="Times New Roman" w:hAnsi="Times New Roman"/>
                <w:b/>
                <w:sz w:val="20"/>
              </w:rPr>
            </w:pPr>
            <w:r>
              <w:rPr>
                <w:rFonts w:ascii="Times New Roman" w:hAnsi="Times New Roman"/>
                <w:b/>
                <w:sz w:val="20"/>
              </w:rPr>
              <w:t>Roy I. Lamoreaux</w:t>
            </w:r>
          </w:p>
        </w:tc>
        <w:tc>
          <w:tcPr>
            <w:tcW w:w="512" w:type="dxa"/>
            <w:tcBorders/>
            <w:shd w:fill="auto" w:val="clear"/>
            <w:vAlign w:val="bottom"/>
          </w:tcPr>
          <w:p>
            <w:pPr>
              <w:pStyle w:val="TableContents"/>
              <w:spacing w:before="0" w:after="283"/>
              <w:rPr/>
            </w:pPr>
            <w:r>
              <w:rPr/>
              <w:t>    </w:t>
            </w:r>
          </w:p>
        </w:tc>
        <w:tc>
          <w:tcPr>
            <w:tcW w:w="6028" w:type="dxa"/>
            <w:tcBorders/>
            <w:shd w:fill="auto" w:val="clear"/>
          </w:tcPr>
          <w:p>
            <w:pPr>
              <w:pStyle w:val="TableContents"/>
              <w:spacing w:before="0" w:after="283"/>
              <w:rPr>
                <w:rFonts w:ascii="Times New Roman" w:hAnsi="Times New Roman"/>
                <w:b/>
                <w:sz w:val="20"/>
              </w:rPr>
            </w:pPr>
            <w:r>
              <w:rPr>
                <w:rFonts w:ascii="Times New Roman" w:hAnsi="Times New Roman"/>
                <w:b/>
                <w:sz w:val="20"/>
              </w:rPr>
              <w:t>Al Swanson</w:t>
            </w:r>
          </w:p>
        </w:tc>
      </w:tr>
      <w:tr>
        <w:trPr/>
        <w:tc>
          <w:tcPr>
            <w:tcW w:w="819" w:type="dxa"/>
            <w:tcBorders/>
            <w:shd w:fill="auto" w:val="clea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2636" w:type="dxa"/>
            <w:tcBorders/>
            <w:shd w:fill="auto" w:val="clear"/>
          </w:tcPr>
          <w:p>
            <w:pPr>
              <w:pStyle w:val="TableContents"/>
              <w:spacing w:before="0" w:after="283"/>
              <w:rPr>
                <w:rFonts w:ascii="Times New Roman" w:hAnsi="Times New Roman"/>
                <w:b/>
                <w:sz w:val="20"/>
              </w:rPr>
            </w:pPr>
            <w:r>
              <w:rPr>
                <w:rFonts w:ascii="Times New Roman" w:hAnsi="Times New Roman"/>
                <w:b/>
                <w:sz w:val="20"/>
              </w:rPr>
              <w:t>Director, Investor Relations</w:t>
            </w:r>
          </w:p>
        </w:tc>
        <w:tc>
          <w:tcPr>
            <w:tcW w:w="512" w:type="dxa"/>
            <w:tcBorders/>
            <w:shd w:fill="auto" w:val="clear"/>
            <w:vAlign w:val="bottom"/>
          </w:tcPr>
          <w:p>
            <w:pPr>
              <w:pStyle w:val="TableContents"/>
              <w:spacing w:before="0" w:after="283"/>
              <w:rPr/>
            </w:pPr>
            <w:r>
              <w:rPr/>
              <w:t>    </w:t>
            </w:r>
          </w:p>
        </w:tc>
        <w:tc>
          <w:tcPr>
            <w:tcW w:w="6028" w:type="dxa"/>
            <w:tcBorders/>
            <w:shd w:fill="auto" w:val="clear"/>
          </w:tcPr>
          <w:p>
            <w:pPr>
              <w:pStyle w:val="TableContents"/>
              <w:spacing w:before="0" w:after="283"/>
              <w:rPr>
                <w:rFonts w:ascii="Times New Roman" w:hAnsi="Times New Roman"/>
                <w:b/>
                <w:sz w:val="20"/>
              </w:rPr>
            </w:pPr>
            <w:r>
              <w:rPr>
                <w:rFonts w:ascii="Times New Roman" w:hAnsi="Times New Roman"/>
                <w:b/>
                <w:sz w:val="20"/>
              </w:rPr>
              <w:t>Executive Vice President, CFO</w:t>
            </w:r>
          </w:p>
        </w:tc>
      </w:tr>
      <w:tr>
        <w:trPr/>
        <w:tc>
          <w:tcPr>
            <w:tcW w:w="819" w:type="dxa"/>
            <w:tcBorders/>
            <w:shd w:fill="auto" w:val="clea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2636" w:type="dxa"/>
            <w:tcBorders/>
            <w:shd w:fill="auto" w:val="clear"/>
          </w:tcPr>
          <w:p>
            <w:pPr>
              <w:pStyle w:val="TableContents"/>
              <w:spacing w:before="0" w:after="283"/>
              <w:rPr>
                <w:rFonts w:ascii="Times New Roman" w:hAnsi="Times New Roman"/>
                <w:b/>
                <w:sz w:val="20"/>
              </w:rPr>
            </w:pPr>
            <w:r>
              <w:rPr>
                <w:rFonts w:ascii="Times New Roman" w:hAnsi="Times New Roman"/>
                <w:b/>
                <w:sz w:val="20"/>
              </w:rPr>
              <w:t>713/646-4222  800/564-3036</w:t>
            </w:r>
          </w:p>
        </w:tc>
        <w:tc>
          <w:tcPr>
            <w:tcW w:w="512" w:type="dxa"/>
            <w:tcBorders/>
            <w:shd w:fill="auto" w:val="clear"/>
            <w:vAlign w:val="bottom"/>
          </w:tcPr>
          <w:p>
            <w:pPr>
              <w:pStyle w:val="TableContents"/>
              <w:spacing w:before="0" w:after="283"/>
              <w:rPr/>
            </w:pPr>
            <w:r>
              <w:rPr/>
              <w:t>    </w:t>
            </w:r>
          </w:p>
        </w:tc>
        <w:tc>
          <w:tcPr>
            <w:tcW w:w="6028" w:type="dxa"/>
            <w:tcBorders/>
            <w:shd w:fill="auto" w:val="clear"/>
          </w:tcPr>
          <w:p>
            <w:pPr>
              <w:pStyle w:val="TableContents"/>
              <w:spacing w:before="0" w:after="283"/>
              <w:rPr>
                <w:rFonts w:ascii="Times New Roman" w:hAnsi="Times New Roman"/>
                <w:b/>
                <w:sz w:val="20"/>
              </w:rPr>
            </w:pPr>
            <w:r>
              <w:rPr>
                <w:rFonts w:ascii="Times New Roman" w:hAnsi="Times New Roman"/>
                <w:b/>
                <w:sz w:val="20"/>
              </w:rPr>
              <w:t>800/564-3036</w:t>
            </w:r>
          </w:p>
        </w:tc>
      </w:tr>
    </w:tbl>
    <w:p>
      <w:pPr>
        <w:pStyle w:val="TextBody"/>
        <w:spacing w:before="270" w:after="0"/>
        <w:rPr>
          <w:rFonts w:ascii="Times New Roman" w:hAnsi="Times New Roman"/>
          <w:b/>
          <w:sz w:val="20"/>
          <w:u w:val="single"/>
        </w:rPr>
      </w:pPr>
      <w:r>
        <w:rPr>
          <w:rFonts w:ascii="Times New Roman" w:hAnsi="Times New Roman"/>
          <w:b/>
          <w:sz w:val="20"/>
          <w:u w:val="single"/>
        </w:rPr>
        <w:t xml:space="preserve">FOR IMMEDIATE RELEASE </w:t>
      </w:r>
    </w:p>
    <w:p>
      <w:pPr>
        <w:pStyle w:val="TextBody"/>
        <w:spacing w:before="270" w:after="0"/>
        <w:jc w:val="center"/>
        <w:rPr>
          <w:rFonts w:ascii="Times New Roman" w:hAnsi="Times New Roman"/>
          <w:b/>
          <w:sz w:val="28"/>
        </w:rPr>
      </w:pPr>
      <w:r>
        <w:rPr>
          <w:rFonts w:ascii="Times New Roman" w:hAnsi="Times New Roman"/>
          <w:b/>
          <w:sz w:val="28"/>
        </w:rPr>
        <w:t xml:space="preserve">Plains All American Pipeline Signs Definitive Agreement to Acquire </w:t>
      </w:r>
    </w:p>
    <w:p>
      <w:pPr>
        <w:pStyle w:val="TextBody"/>
        <w:spacing w:before="0" w:after="0"/>
        <w:jc w:val="center"/>
        <w:rPr>
          <w:rFonts w:ascii="Times New Roman" w:hAnsi="Times New Roman"/>
          <w:b/>
          <w:sz w:val="28"/>
        </w:rPr>
      </w:pPr>
      <w:r>
        <w:rPr>
          <w:rFonts w:ascii="Times New Roman" w:hAnsi="Times New Roman"/>
          <w:b/>
          <w:sz w:val="28"/>
        </w:rPr>
        <w:t xml:space="preserve">BPs Canadian NGL &amp; LPG Business for $1.67 Billion </w:t>
      </w:r>
    </w:p>
    <w:p>
      <w:pPr>
        <w:pStyle w:val="TextBody"/>
        <w:spacing w:before="180" w:after="0"/>
        <w:jc w:val="center"/>
        <w:rPr>
          <w:rFonts w:ascii="Times New Roman" w:hAnsi="Times New Roman"/>
          <w:b/>
          <w:i/>
          <w:sz w:val="24"/>
        </w:rPr>
      </w:pPr>
      <w:r>
        <w:rPr>
          <w:rFonts w:ascii="Times New Roman" w:hAnsi="Times New Roman"/>
          <w:b/>
          <w:i/>
          <w:sz w:val="24"/>
        </w:rPr>
        <w:t xml:space="preserve">2012 Distribution Growth Target Increased to 8% - 9% </w:t>
      </w:r>
    </w:p>
    <w:p>
      <w:pPr>
        <w:pStyle w:val="TextBody"/>
        <w:spacing w:before="0" w:after="0"/>
        <w:jc w:val="center"/>
        <w:rPr>
          <w:rFonts w:ascii="Times New Roman" w:hAnsi="Times New Roman"/>
          <w:b/>
          <w:i/>
          <w:sz w:val="24"/>
        </w:rPr>
      </w:pPr>
      <w:r>
        <w:rPr>
          <w:rFonts w:ascii="Times New Roman" w:hAnsi="Times New Roman"/>
          <w:b/>
          <w:i/>
          <w:sz w:val="24"/>
        </w:rPr>
        <w:t xml:space="preserve">Acquisition Conference Call to be Held Today </w:t>
      </w:r>
    </w:p>
    <w:p>
      <w:pPr>
        <w:pStyle w:val="TextBody"/>
        <w:spacing w:before="180" w:after="0"/>
        <w:rPr>
          <w:rFonts w:ascii="Times New Roman" w:hAnsi="Times New Roman"/>
          <w:sz w:val="20"/>
        </w:rPr>
      </w:pPr>
      <w:r>
        <w:rPr>
          <w:rFonts w:ascii="Times New Roman" w:hAnsi="Times New Roman"/>
          <w:sz w:val="20"/>
        </w:rPr>
        <w:t xml:space="preserve">(Houston  December 1, 2011) Plains All American Pipeline, L.P. (NYSE: PAA), announced today that its wholly owned subsidiary Plains Midstream Canada ULC has entered into a definitive agreement with BP to acquire its Canadian natural gas liquids (NGL) and liquefied petroleum gas (LPG) business for total consideration of approximately $1.67 billion. The acquisition is subject to regulatory approval and customary closing conditions and is anticipated to close late in the first quarter or early in the second quarter of 2012. The Partnership will be holding a conference call to provide additional information on this acquisition and to provide an update on its other acquisition activities today at 10:00 a.m. Eastern  details below. </w:t>
      </w:r>
    </w:p>
    <w:p>
      <w:pPr>
        <w:pStyle w:val="TextBody"/>
        <w:spacing w:before="180" w:after="0"/>
        <w:rPr>
          <w:rFonts w:ascii="Times New Roman" w:hAnsi="Times New Roman"/>
          <w:sz w:val="20"/>
        </w:rPr>
      </w:pPr>
      <w:r>
        <w:rPr>
          <w:rFonts w:ascii="Times New Roman" w:hAnsi="Times New Roman"/>
          <w:sz w:val="20"/>
        </w:rPr>
        <w:t xml:space="preserve">BPs Canadian NGL business is an asset-rich platform that significantly expands our LPG asset footprint, providing a supply-based complement to our existing demand-focused business and making PAA one of the largest LPG service providers in North America, said Greg L. Armstrong, Chairman and CEO of PAA. We expect to be able to generate meaningful operating and commercial synergies by more fully connecting, integrating and utilizing these assets together with our existing North American LPG assets and our Canadian crude oil assets and activities. </w:t>
      </w:r>
    </w:p>
    <w:p>
      <w:pPr>
        <w:pStyle w:val="TextBody"/>
        <w:spacing w:before="180" w:after="0"/>
        <w:rPr>
          <w:rFonts w:ascii="Times New Roman" w:hAnsi="Times New Roman"/>
          <w:sz w:val="20"/>
        </w:rPr>
      </w:pPr>
      <w:r>
        <w:rPr>
          <w:rFonts w:ascii="Times New Roman" w:hAnsi="Times New Roman"/>
          <w:sz w:val="20"/>
        </w:rPr>
        <w:t xml:space="preserve">Armstrong continued, Based on the accretive nature of this transaction and the four other acquisitions announced today, we are increasing our 2012 distribution growth target to 8% - 9% over our current annualized distribution of $3.98 per common unit. Armstrong noted that as a result of PAAs existing credit lines, and receipt of bank commitments for a new $1.0 - $1.2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billion, 364-day liquidity facility, the Partnership is well positioned to complete the transactions while maintaining a strong balance sheet and liquidity position. The Partnership completed a $385 million equity offering in early November and is forecasting to retain approximately $300 million of cash flow in excess of distributions during 2011. </w:t>
      </w:r>
    </w:p>
    <w:p>
      <w:pPr>
        <w:pStyle w:val="TextBody"/>
        <w:spacing w:before="180" w:after="0"/>
        <w:rPr>
          <w:rFonts w:ascii="Times New Roman" w:hAnsi="Times New Roman"/>
          <w:sz w:val="20"/>
        </w:rPr>
      </w:pPr>
      <w:r>
        <w:rPr>
          <w:rFonts w:ascii="Times New Roman" w:hAnsi="Times New Roman"/>
          <w:sz w:val="20"/>
        </w:rPr>
        <w:t xml:space="preserve">In connection with the transaction, the Partnerships general partner owners have agreed to reduce their incentive distribution rights by $15 million per year for each of the first two years following the acquisition and $10 million per year thereafter. Armstrong noted that this is the fourth time PAAs general partner owners have agreed to unilaterally modify their incentive distribution rights, and the first time such action has included a permanent IDR reduction. </w:t>
      </w:r>
    </w:p>
    <w:p>
      <w:pPr>
        <w:pStyle w:val="TextBody"/>
        <w:spacing w:before="180" w:after="0"/>
        <w:rPr>
          <w:rFonts w:ascii="Times New Roman" w:hAnsi="Times New Roman"/>
          <w:sz w:val="20"/>
        </w:rPr>
      </w:pPr>
      <w:r>
        <w:rPr>
          <w:rFonts w:ascii="Times New Roman" w:hAnsi="Times New Roman"/>
          <w:sz w:val="20"/>
        </w:rPr>
        <w:t xml:space="preserve">The assets to be acquired include ownership interests of varying levels in and contractual rights relating to approximately 2,600 miles of pipelines, approximately 20 million barrels of LPG storage capacity, seven fractionation plants with approximately 232,000 barrels per day of capacity, multiple straddle plants and two field gas processing plants with an aggregate capacity of approximately 8 billion cubic feet per day, as well as approximately 10 million barrels of long-term and seasonal NGL inventory as of October 1, 2011. The business also includes various supply contracts at other field gas processing plants, shipping arrangements on third-party NGL pipelines and long-term leases on 720 rail cars used to move product among various locations. Collectively, the BP assets and activities provide access to approximately 140,000 to 150,000 barrels per day of NGL supply that are transported through a fully integrated network to fractionation facilities and markets in Western and Eastern Canada and the Great Lakes region of the United States. </w:t>
      </w:r>
    </w:p>
    <w:p>
      <w:pPr>
        <w:pStyle w:val="TextBody"/>
        <w:spacing w:before="180" w:after="0"/>
        <w:rPr>
          <w:rFonts w:ascii="Times New Roman" w:hAnsi="Times New Roman"/>
          <w:sz w:val="20"/>
        </w:rPr>
      </w:pPr>
      <w:r>
        <w:rPr>
          <w:rFonts w:ascii="Times New Roman" w:hAnsi="Times New Roman"/>
          <w:sz w:val="20"/>
        </w:rPr>
        <w:t xml:space="preserve">Barclays Capital served as financial advisor and Bennett Jones LLP served as legal counsel to PAA in connection with the transaction. </w:t>
      </w:r>
    </w:p>
    <w:p>
      <w:pPr>
        <w:pStyle w:val="TextBody"/>
        <w:spacing w:before="270" w:after="0"/>
        <w:rPr>
          <w:rFonts w:ascii="Times New Roman" w:hAnsi="Times New Roman"/>
          <w:b/>
          <w:i/>
          <w:sz w:val="20"/>
        </w:rPr>
      </w:pPr>
      <w:r>
        <w:rPr>
          <w:rFonts w:ascii="Times New Roman" w:hAnsi="Times New Roman"/>
          <w:b/>
          <w:i/>
          <w:sz w:val="20"/>
        </w:rPr>
        <w:t xml:space="preserve">Conference Call Details </w:t>
      </w:r>
    </w:p>
    <w:p>
      <w:pPr>
        <w:pStyle w:val="TextBody"/>
        <w:spacing w:before="90" w:after="0"/>
        <w:rPr>
          <w:rFonts w:ascii="Times New Roman" w:hAnsi="Times New Roman"/>
          <w:sz w:val="20"/>
        </w:rPr>
      </w:pPr>
      <w:r>
        <w:rPr>
          <w:rFonts w:ascii="Times New Roman" w:hAnsi="Times New Roman"/>
          <w:sz w:val="20"/>
        </w:rPr>
        <w:t xml:space="preserve">Plains All American Pipeline will be hosting a conference call today, December 1, 2011 at 10:00 a.m. Eastern to provide additional details regarding the transaction, PAAs other acquisition activities and the Partnerships outlook for the future. To participate in the call, please dial 1-800-288-8974. International callers may dial 612-332-0335; no password or reservation number is required. The call and accompanying slides will be webcast live. The webcast may be accessed at the following link: http://www.videonewswire.com/event.asp?id=84011. A copy of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slide presentation to be used in conjunction with the call will be posted prior to the call under the Conference Call Summaries title in the Conference Calls tab of the Investor Relations page of the Partnerships website: </w:t>
      </w:r>
      <w:r>
        <w:rPr>
          <w:rFonts w:ascii="Times New Roman" w:hAnsi="Times New Roman"/>
          <w:sz w:val="20"/>
          <w:u w:val="single"/>
        </w:rPr>
        <w:t>www.paalp.com</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telephonic replay will be available beginning December 1, 2011, at approximately 12:00 p.m. Eastern and will continue until January 1, 2012, at 11:59 p.m. Eastern. To access the replay, dial toll free 800-475-6701. International callers should dial 320-365-3844. The replay access code is 227034. An audio replay in MP3 format will also be available after the call under the Conference Calls tab of the Investor Relations section of the Partnerships website. </w:t>
      </w:r>
    </w:p>
    <w:p>
      <w:pPr>
        <w:pStyle w:val="TextBody"/>
        <w:spacing w:before="180" w:after="0"/>
        <w:rPr>
          <w:rFonts w:ascii="Times New Roman" w:hAnsi="Times New Roman"/>
          <w:sz w:val="20"/>
        </w:rPr>
      </w:pPr>
      <w:r>
        <w:rPr>
          <w:rFonts w:ascii="Times New Roman" w:hAnsi="Times New Roman"/>
          <w:sz w:val="20"/>
        </w:rPr>
        <w:t xml:space="preserve">PAA owns a network of approximately 16,000 miles of liquids pipelines, approximately 90 million barrels of liquids storage capacity and handles more than 3 million barrels of physical product on a daily basis. </w:t>
      </w:r>
    </w:p>
    <w:p>
      <w:pPr>
        <w:pStyle w:val="TextBody"/>
        <w:spacing w:before="180" w:after="0"/>
        <w:rPr>
          <w:rFonts w:ascii="Times New Roman" w:hAnsi="Times New Roman"/>
          <w:sz w:val="20"/>
        </w:rPr>
      </w:pPr>
      <w:r>
        <w:rPr>
          <w:rFonts w:ascii="Times New Roman" w:hAnsi="Times New Roman"/>
          <w:sz w:val="20"/>
        </w:rPr>
        <w:t xml:space="preserve">Plains All American Pipeline, L.P. is a publicly traded master limited partnership engaged in the transportation, storage, terminalling and marketing of crude oil, refined products and liquefied petroleum gas and other natural gas related petroleum products. Through its general partner interest and majority equity ownership position in PAA Natural Gas Storage, L.P. (NYSE: PNG), PAA is also engaged in the development and operation of natural gas storage facilities. PAA is headquartered in Houston, Texas. </w:t>
      </w:r>
    </w:p>
    <w:p>
      <w:pPr>
        <w:pStyle w:val="TextBody"/>
        <w:spacing w:before="270" w:after="0"/>
        <w:rPr>
          <w:rFonts w:ascii="Times New Roman" w:hAnsi="Times New Roman"/>
          <w:b/>
          <w:i/>
          <w:sz w:val="20"/>
        </w:rPr>
      </w:pPr>
      <w:r>
        <w:rPr>
          <w:rFonts w:ascii="Times New Roman" w:hAnsi="Times New Roman"/>
          <w:b/>
          <w:i/>
          <w:sz w:val="20"/>
        </w:rPr>
        <w:t xml:space="preserve">Forward Looking Statements </w:t>
      </w:r>
    </w:p>
    <w:p>
      <w:pPr>
        <w:pStyle w:val="TextBody"/>
        <w:spacing w:before="90" w:after="0"/>
        <w:rPr>
          <w:rFonts w:ascii="Times New Roman" w:hAnsi="Times New Roman"/>
          <w:sz w:val="20"/>
        </w:rPr>
      </w:pPr>
      <w:r>
        <w:rPr>
          <w:rFonts w:ascii="Times New Roman" w:hAnsi="Times New Roman"/>
          <w:sz w:val="20"/>
        </w:rPr>
        <w:t xml:space="preserve">Except for the historical information contained herein, the matters discussed in this release are forward-looking statements that involve certain risks and uncertainties that could cause actual results to differ materially from results anticipated in the forward-looking statements. These risks and uncertainties include, among other things, our ability to consummate the transaction; the successful integration and future performance of acquired assets or businesses and the risks associated with operating in lines of business that are distinct and separate from our historical operations; failure to implement or capitalize on planned internal growth projects; maintenance of our credit rating and ability to receive open credit from our suppliers and trade counterparties; continued creditworthiness of, and performance by, our counterparties, including financial institutions and trading companies with which we do business; the effectiveness of our risk management activities; unanticipated changes in crude oil market structure, grade differentials and volatility (or lack thereof); environmental liabilities or events that are not covered by an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indemnity, insurance or existing reserves; abrupt or severe declines or interruptions in outer continental shelf production located offshore California and transported on our pipeline systems; shortages or cost increases of supplies, materials or labor; 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fluctuations in refinery capacity in areas supplied by our mainlines and other factors affecting demand for various grades of crude oil, refined products and natural gas and resulting changes in pricing conditions or transportation throughput requirements; the availability of, and our ability to consummate, acquisition or combination opportunities; our ability to obtain debt or equity financing on satisfactory terms to fund additional acquisitions, expansion projects, working capital requirements and the repayment of indebtedness; the impact of current and future laws, rulings, governmental regulations, accounting standards and statements and related interpretations; the effects of competition; interruptions in service on third-party pipelines; increased costs or lack of availability of insurance; fluctuations in the debt and equity markets, including the price of our units at the time of vesting under our long-term incentive plans; the currency exchange rate of the Canadian dollar; weather interference with business operations or project construction; risks related to the development and operation of natural gas storage facilities; factors affecting demand for natural gas and natural gas storage services and rates; future developments and circumstances at the time distributions are declared;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refined products and liquefied petroleum gas and other natural gas related petroleum products discussed in the Partnerships filings with the Securities and Exchange Commission. </w:t>
      </w:r>
    </w:p>
    <w:p>
      <w:pPr>
        <w:pStyle w:val="TextBody"/>
        <w:spacing w:before="180" w:after="0"/>
        <w:jc w:val="center"/>
        <w:rPr>
          <w:rFonts w:ascii="Times New Roman" w:hAnsi="Times New Roman"/>
          <w:sz w:val="20"/>
        </w:rPr>
      </w:pPr>
      <w:r>
        <w:rPr>
          <w:rFonts w:ascii="Times New Roman" w:hAnsi="Times New Roman"/>
          <w:sz w:val="20"/>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2356</Words>
  <CharactersWithSpaces>15382</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Press Release</dc:title>
</cp:coreProperties>
</file>