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278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27863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Goebel Jeremy L.</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28"/>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40" w:type="dxa"/>
            <w:vAlign w:val="bottom"/>
            <w:vMerge w:val="restart"/>
          </w:tcPr>
          <w:p>
            <w:pPr>
              <w:ind w:left="100"/>
              <w:spacing w:after="0" w:line="141"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1640" w:type="dxa"/>
            <w:vAlign w:val="bottom"/>
          </w:tcPr>
          <w:p>
            <w:pPr>
              <w:ind w:left="740"/>
              <w:spacing w:after="0" w:line="182" w:lineRule="exact"/>
              <w:rPr>
                <w:sz w:val="20"/>
                <w:szCs w:val="20"/>
                <w:color w:val="auto"/>
              </w:rPr>
            </w:pPr>
            <w:r>
              <w:rPr>
                <w:rFonts w:ascii="Arial" w:cs="Arial" w:eastAsia="Arial" w:hAnsi="Arial"/>
                <w:sz w:val="17"/>
                <w:szCs w:val="17"/>
                <w:color w:val="0000FF"/>
                <w:w w:val="94"/>
              </w:rPr>
              <w:t>EVP &amp; CCO</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08/19/2021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08/19/2021</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120,200</w:t>
            </w:r>
          </w:p>
        </w:tc>
        <w:tc>
          <w:tcPr>
            <w:tcW w:w="2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700" w:type="dxa"/>
            <w:vAlign w:val="bottom"/>
            <w:vMerge w:val="restart"/>
          </w:tcPr>
          <w:p>
            <w:pPr>
              <w:jc w:val="right"/>
              <w:ind w:right="164"/>
              <w:spacing w:after="0"/>
              <w:rPr>
                <w:sz w:val="20"/>
                <w:szCs w:val="20"/>
                <w:color w:val="auto"/>
              </w:rPr>
            </w:pPr>
            <w:r>
              <w:rPr>
                <w:rFonts w:ascii="Arial" w:cs="Arial" w:eastAsia="Arial" w:hAnsi="Arial"/>
                <w:sz w:val="11"/>
                <w:szCs w:val="11"/>
                <w:color w:val="008000"/>
              </w:rPr>
              <w:t>(3)(4)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120,200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120,200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180"/>
        <w:spacing w:after="0" w:line="22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60,100 phantom units, will vest on the August 2024 distribution date assuming continued service through such date; (b) Tranche 2, consisting of 30,050 phantom units (assuming 100% payout at target), will potentially vest on the August 2024 distribution date at a scaled payout range of between 0% to 200% (0 units to 60,100 units) based on PAA's total shareholder return (TSR) over the three-year period ending June 30, 2024 compared to the TSR of a selected peer group; and (c) Tranche 3, consisting of 30,050 phantom units (assuming 100% payout at target), will potentially vest on the August 2024 distribution date at a scaled payout range of between 0% to 200% (0 units to 60,100 units)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32" w:lineRule="exact"/>
        <w:rPr>
          <w:rFonts w:ascii="Arial" w:cs="Arial" w:eastAsia="Arial" w:hAnsi="Arial"/>
          <w:sz w:val="13"/>
          <w:szCs w:val="13"/>
          <w:color w:val="008000"/>
        </w:rPr>
      </w:pPr>
    </w:p>
    <w:p>
      <w:pPr>
        <w:ind w:left="40" w:right="16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2022 distribution date; beginning in November 2022, DERs associated with Tranche 1 will be paid quarterly until the phantom units vest. DERs associated with Tranches 2 and 3 will accrue during the three-year vesting period and be paid in cash in a lump sum on the August 2024 distribution date with respect to each phantom unit that vests on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Jeremy L. Goebel</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08/23/2021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33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2021-08-23T16:13:53Z</dcterms:created>
  <dcterms:modified xsi:type="dcterms:W3CDTF">2021-08-23T16:13:53Z</dcterms:modified>
</cp:coreProperties>
</file>