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Pursuant to Section 13 or 15(d)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4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7"/>
          <w:szCs w:val="17"/>
          <w:color w:val="auto"/>
        </w:rPr>
        <w:t>On December 27, 2016, Plains GP Holdings, L.P. (the “</w:t>
      </w:r>
      <w:r>
        <w:rPr>
          <w:rFonts w:ascii="Arial" w:cs="Arial" w:eastAsia="Arial" w:hAnsi="Arial"/>
          <w:sz w:val="17"/>
          <w:szCs w:val="17"/>
          <w:b w:val="1"/>
          <w:bCs w:val="1"/>
          <w:color w:val="auto"/>
        </w:rPr>
        <w:t>Partnership</w:t>
      </w:r>
      <w:r>
        <w:rPr>
          <w:rFonts w:ascii="Arial" w:cs="Arial" w:eastAsia="Arial" w:hAnsi="Arial"/>
          <w:sz w:val="17"/>
          <w:szCs w:val="17"/>
          <w:color w:val="auto"/>
        </w:rPr>
        <w:t>”) entered into an Equity Distribution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with Wells</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color w:val="auto"/>
        </w:rPr>
        <w:t>Fargo Securities, LLC, Barclays Capital Inc., BB&amp;T Capital Markets, a division of BB&amp;T Securities, LLC, BMO Capital Markets Corp., BNP Paribas</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Securities Corp., Citigroup Global Markets Inc., Deutsche Bank Securities Inc., DNB Markets, Inc., Fifth Third Securities, Inc., J.P. Morgan Securities LLC,</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Jefferies LLC, Merrill Lynch, Pierce, Fenner &amp; Smith Incorporated, MUFG Securities Americas Inc., Mizuho Securities USA Inc., Morgan Stanley &amp; Co.</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LLC, Raymond James &amp; Associates, Inc., Scotia Capital (USA) Inc., SMBC Nikko Securities America, Inc., SunTrust Robinson Humphrey, Inc. and UBS</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Securities LLC (each a “</w:t>
      </w:r>
      <w:r>
        <w:rPr>
          <w:rFonts w:ascii="Arial" w:cs="Arial" w:eastAsia="Arial" w:hAnsi="Arial"/>
          <w:sz w:val="17"/>
          <w:szCs w:val="17"/>
          <w:b w:val="1"/>
          <w:bCs w:val="1"/>
          <w:color w:val="auto"/>
        </w:rPr>
        <w:t>Manager</w:t>
      </w:r>
      <w:r>
        <w:rPr>
          <w:rFonts w:ascii="Arial" w:cs="Arial" w:eastAsia="Arial" w:hAnsi="Arial"/>
          <w:sz w:val="17"/>
          <w:szCs w:val="17"/>
          <w:color w:val="auto"/>
        </w:rPr>
        <w:t>” and collectively the “</w:t>
      </w:r>
      <w:r>
        <w:rPr>
          <w:rFonts w:ascii="Arial" w:cs="Arial" w:eastAsia="Arial" w:hAnsi="Arial"/>
          <w:sz w:val="17"/>
          <w:szCs w:val="17"/>
          <w:b w:val="1"/>
          <w:bCs w:val="1"/>
          <w:color w:val="auto"/>
        </w:rPr>
        <w:t>Managers</w:t>
      </w:r>
      <w:r>
        <w:rPr>
          <w:rFonts w:ascii="Arial" w:cs="Arial" w:eastAsia="Arial" w:hAnsi="Arial"/>
          <w:sz w:val="17"/>
          <w:szCs w:val="17"/>
          <w:color w:val="auto"/>
        </w:rPr>
        <w:t>”). Pursuant to the terms of the Agreement, the Partnership may sell from time to time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through the Managers, as the Partnership’s sales agents, Class A shares representing limited partner interests having an aggregate offering price of up to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$500,000,000 (the “</w:t>
      </w:r>
      <w:r>
        <w:rPr>
          <w:rFonts w:ascii="Arial" w:cs="Arial" w:eastAsia="Arial" w:hAnsi="Arial"/>
          <w:sz w:val="16"/>
          <w:szCs w:val="16"/>
          <w:b w:val="1"/>
          <w:bCs w:val="1"/>
          <w:color w:val="auto"/>
        </w:rPr>
        <w:t>Shares</w:t>
      </w:r>
      <w:r>
        <w:rPr>
          <w:rFonts w:ascii="Arial" w:cs="Arial" w:eastAsia="Arial" w:hAnsi="Arial"/>
          <w:sz w:val="16"/>
          <w:szCs w:val="16"/>
          <w:color w:val="auto"/>
        </w:rPr>
        <w:t>”). Sales of the Shares, if any, will be made by means of ordinary brokers’ transactions on the New York Stock Exchange at market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prices, in block transactions or as otherwise agreed by the Partnership and the Managers.</w:t>
      </w:r>
    </w:p>
    <w:p>
      <w:pPr>
        <w:spacing w:after="0" w:line="207" w:lineRule="exact"/>
        <w:rPr>
          <w:sz w:val="24"/>
          <w:szCs w:val="24"/>
          <w:color w:val="auto"/>
        </w:rPr>
      </w:pPr>
    </w:p>
    <w:p>
      <w:pPr>
        <w:ind w:right="100" w:firstLine="324"/>
        <w:spacing w:after="0" w:line="303" w:lineRule="auto"/>
        <w:rPr>
          <w:sz w:val="20"/>
          <w:szCs w:val="20"/>
          <w:color w:val="auto"/>
        </w:rPr>
      </w:pPr>
      <w:r>
        <w:rPr>
          <w:rFonts w:ascii="Arial" w:cs="Arial" w:eastAsia="Arial" w:hAnsi="Arial"/>
          <w:sz w:val="16"/>
          <w:szCs w:val="16"/>
          <w:color w:val="auto"/>
        </w:rPr>
        <w:t>Pursuant to that certain Omnibus Agreement dated as of November 15, 2016 (the “</w:t>
      </w:r>
      <w:r>
        <w:rPr>
          <w:rFonts w:ascii="Arial" w:cs="Arial" w:eastAsia="Arial" w:hAnsi="Arial"/>
          <w:sz w:val="16"/>
          <w:szCs w:val="16"/>
          <w:b w:val="1"/>
          <w:bCs w:val="1"/>
          <w:color w:val="auto"/>
        </w:rPr>
        <w:t>Omnibus Agreement</w:t>
      </w:r>
      <w:r>
        <w:rPr>
          <w:rFonts w:ascii="Arial" w:cs="Arial" w:eastAsia="Arial" w:hAnsi="Arial"/>
          <w:sz w:val="16"/>
          <w:szCs w:val="16"/>
          <w:color w:val="auto"/>
        </w:rPr>
        <w:t>”), by and among the Partnership, PAA GP Holdings LLC, Plains AAP, L.P. (“</w:t>
      </w:r>
      <w:r>
        <w:rPr>
          <w:rFonts w:ascii="Arial" w:cs="Arial" w:eastAsia="Arial" w:hAnsi="Arial"/>
          <w:sz w:val="16"/>
          <w:szCs w:val="16"/>
          <w:b w:val="1"/>
          <w:bCs w:val="1"/>
          <w:color w:val="auto"/>
        </w:rPr>
        <w:t>AAP</w:t>
      </w:r>
      <w:r>
        <w:rPr>
          <w:rFonts w:ascii="Arial" w:cs="Arial" w:eastAsia="Arial" w:hAnsi="Arial"/>
          <w:sz w:val="16"/>
          <w:szCs w:val="16"/>
          <w:color w:val="auto"/>
        </w:rPr>
        <w:t>”), PAA GP LLC and Plains All American Pipeline, L.P. (“</w:t>
      </w:r>
      <w:r>
        <w:rPr>
          <w:rFonts w:ascii="Arial" w:cs="Arial" w:eastAsia="Arial" w:hAnsi="Arial"/>
          <w:sz w:val="16"/>
          <w:szCs w:val="16"/>
          <w:b w:val="1"/>
          <w:bCs w:val="1"/>
          <w:color w:val="auto"/>
        </w:rPr>
        <w:t>PAA</w:t>
      </w:r>
      <w:r>
        <w:rPr>
          <w:rFonts w:ascii="Arial" w:cs="Arial" w:eastAsia="Arial" w:hAnsi="Arial"/>
          <w:sz w:val="16"/>
          <w:szCs w:val="16"/>
          <w:color w:val="auto"/>
        </w:rPr>
        <w:t>”), the Partnership has agreed to use the net proceeds from any public or private offering and sale of Class A shares, including the net proceeds of this offering, after deducting the sales agents’ commissions and offering expenses, to purchase from AAP a number of AAP Class A units equal to the number of Class A shares sold in such offering at a price equal to the</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120"/>
        <w:spacing w:after="0" w:line="308" w:lineRule="auto"/>
        <w:rPr>
          <w:sz w:val="20"/>
          <w:szCs w:val="20"/>
          <w:color w:val="auto"/>
        </w:rPr>
      </w:pPr>
      <w:r>
        <w:rPr>
          <w:rFonts w:ascii="Arial" w:cs="Arial" w:eastAsia="Arial" w:hAnsi="Arial"/>
          <w:sz w:val="17"/>
          <w:szCs w:val="17"/>
          <w:color w:val="auto"/>
        </w:rPr>
        <w:t>net proceeds from such offering. The Omnibus Agreement also provides that immediately following such purchase and sale, AAP will use the net proceeds it receives from such sale of AAP Class A units to the Partnership to purchase from PAA an equivalent number of common units of PAA.</w:t>
      </w:r>
    </w:p>
    <w:p>
      <w:pPr>
        <w:spacing w:after="0" w:line="14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PAA intends to use the net proceeds it receives from the sale of such common units to AAP for general partnership purposes, which may include, among other things, repayment of indebtedness, acquisitions, capital expenditures and additions to working capital. Amounts repaid under PAA’s credit facilities or commercial paper program may be reborrowed to fund its ongoing expansion capital program, future acquisitions and investments or for general partnership purposes</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Under the terms of the Agreement, the Partnership may also sell Shares from time to time to any Manager as principal for its own account at a price to be agreed upon at the time of sale. Any sale of Shares to a Manager as principal would be pursuant to the terms of a separate terms agreement between the Partnership and such Manager.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Shares will be issued pursuant to the Partnership’s existing effective shelf registration statement on Form S-3 (Registration No. 333-214964).</w:t>
      </w:r>
    </w:p>
    <w:p>
      <w:pPr>
        <w:spacing w:after="0" w:line="23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is filed herewith as Exhibit 1.1 and is incorporated by reference herein. Legal opinions relating to the Shares are filed herewith as Exhibits 5.1 and 8.1.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700" w:type="dxa"/>
            <w:vAlign w:val="bottom"/>
            <w:vMerge w:val="restart"/>
          </w:tcPr>
          <w:p>
            <w:pPr>
              <w:jc w:val="right"/>
              <w:ind w:right="44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Equity Distribution Agreement, dated December 27, 2016, by and among the Partnership and Wells Fargo Securities, LLC, Barclays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7"/>
              </w:rPr>
              <w:t>Capital Inc., BB&amp;T Capital Markets, a division of BB&amp;T Securities, LLC, BMO Capital Markets Corp., BNP Paribas Securities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Corp., Citigroup Global Markets Inc., Deutsche Bank Securities Inc., DNB Markets, Inc., Fifth Third Securities, Inc., J.P. Morgan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8"/>
              </w:rPr>
              <w:t>Securities LLC, Jefferies LLC, Merrill Lynch, Pierce, Fenner &amp; Smith Incorporated, MUFG Securities Americas, Inc., Mizuho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7"/>
              </w:rPr>
              <w:t>Securities USA Inc., Morgan Stanley &amp; Co. LLC, Raymond James &amp; Associates, Inc., Scotia Capital (USA) Inc., SMBC Nikko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Securities America, Inc., SunTrust Robinson Humphrey, Inc. and UBS Securities LLC.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4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80" w:type="dxa"/>
            <w:vAlign w:val="bottom"/>
            <w:tcBorders>
              <w:bottom w:val="single" w:sz="8" w:color="808080"/>
            </w:tcBorders>
            <w:gridSpan w:val="2"/>
          </w:tcPr>
          <w:p>
            <w:pPr>
              <w:spacing w:after="0"/>
              <w:rPr>
                <w:sz w:val="11"/>
                <w:szCs w:val="11"/>
                <w:color w:val="auto"/>
              </w:rPr>
            </w:pPr>
          </w:p>
        </w:tc>
        <w:tc>
          <w:tcPr>
            <w:tcW w:w="100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380" w:type="dxa"/>
            <w:vAlign w:val="bottom"/>
            <w:gridSpan w:val="2"/>
          </w:tcPr>
          <w:p>
            <w:pPr>
              <w:jc w:val="right"/>
              <w:ind w:right="490"/>
              <w:spacing w:after="0"/>
              <w:rPr>
                <w:sz w:val="20"/>
                <w:szCs w:val="20"/>
                <w:color w:val="auto"/>
              </w:rPr>
            </w:pPr>
            <w:r>
              <w:rPr>
                <w:rFonts w:ascii="Arial" w:cs="Arial" w:eastAsia="Arial" w:hAnsi="Arial"/>
                <w:sz w:val="18"/>
                <w:szCs w:val="18"/>
                <w:color w:val="auto"/>
              </w:rPr>
              <w:t>5.1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legality of the Shares.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80" w:type="dxa"/>
            <w:vAlign w:val="bottom"/>
            <w:gridSpan w:val="2"/>
          </w:tcPr>
          <w:p>
            <w:pPr>
              <w:jc w:val="right"/>
              <w:ind w:right="490"/>
              <w:spacing w:after="0"/>
              <w:rPr>
                <w:sz w:val="20"/>
                <w:szCs w:val="20"/>
                <w:color w:val="auto"/>
              </w:rPr>
            </w:pPr>
            <w:r>
              <w:rPr>
                <w:rFonts w:ascii="Arial" w:cs="Arial" w:eastAsia="Arial" w:hAnsi="Arial"/>
                <w:sz w:val="18"/>
                <w:szCs w:val="18"/>
                <w:color w:val="auto"/>
              </w:rPr>
              <w:t>8.1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tax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4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-1169670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-1169670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gridSpan w:val="3"/>
          </w:tcPr>
          <w:p>
            <w:pPr>
              <w:ind w:left="400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Pr>
          <w:p>
            <w:pPr>
              <w:ind w:left="400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Pr>
          <w:p>
            <w:pPr>
              <w:ind w:left="400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80" w:type="dxa"/>
            <w:vAlign w:val="bottom"/>
          </w:tcPr>
          <w:p>
            <w:pPr>
              <w:ind w:left="4000"/>
              <w:spacing w:after="0" w:line="195" w:lineRule="exact"/>
              <w:rPr>
                <w:sz w:val="20"/>
                <w:szCs w:val="20"/>
                <w:color w:val="auto"/>
              </w:rPr>
            </w:pPr>
            <w:r>
              <w:rPr>
                <w:rFonts w:ascii="Arial" w:cs="Arial" w:eastAsia="Arial" w:hAnsi="Arial"/>
                <w:sz w:val="18"/>
                <w:szCs w:val="18"/>
                <w:color w:val="auto"/>
                <w:w w:val="86"/>
              </w:rPr>
              <w:t>Name:</w:t>
            </w:r>
          </w:p>
        </w:tc>
        <w:tc>
          <w:tcPr>
            <w:tcW w:w="30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80" w:type="dxa"/>
            <w:vAlign w:val="bottom"/>
          </w:tcPr>
          <w:p>
            <w:pPr>
              <w:ind w:left="4000"/>
              <w:spacing w:after="0"/>
              <w:rPr>
                <w:sz w:val="20"/>
                <w:szCs w:val="20"/>
                <w:color w:val="auto"/>
              </w:rPr>
            </w:pPr>
            <w:r>
              <w:rPr>
                <w:rFonts w:ascii="Arial" w:cs="Arial" w:eastAsia="Arial" w:hAnsi="Arial"/>
                <w:sz w:val="18"/>
                <w:szCs w:val="18"/>
                <w:color w:val="auto"/>
              </w:rPr>
              <w:t>Title:</w:t>
            </w:r>
          </w:p>
        </w:tc>
        <w:tc>
          <w:tcPr>
            <w:tcW w:w="3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gridSpan w:val="4"/>
          </w:tcPr>
          <w:p>
            <w:pPr>
              <w:spacing w:after="0"/>
              <w:rPr>
                <w:sz w:val="20"/>
                <w:szCs w:val="20"/>
                <w:color w:val="auto"/>
              </w:rPr>
            </w:pPr>
            <w:r>
              <w:rPr>
                <w:rFonts w:ascii="Arial" w:cs="Arial" w:eastAsia="Arial" w:hAnsi="Arial"/>
                <w:sz w:val="18"/>
                <w:szCs w:val="18"/>
                <w:color w:val="auto"/>
              </w:rPr>
              <w:t>Date:  December 27, 2016</w:t>
            </w:r>
          </w:p>
        </w:tc>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20" w:type="dxa"/>
            <w:vAlign w:val="bottom"/>
            <w:gridSpan w:val="2"/>
          </w:tcPr>
          <w:p>
            <w:pPr>
              <w:jc w:val="right"/>
              <w:ind w:right="35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0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00" w:type="dxa"/>
            <w:vAlign w:val="bottom"/>
            <w:gridSpan w:val="3"/>
          </w:tcPr>
          <w:p>
            <w:pPr>
              <w:jc w:val="center"/>
              <w:ind w:right="161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7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2"/>
              </w:rPr>
              <w:t>Equity Distribution Agreement, dated December 27, 2016, by and among the Partnership and Wells Fargo Securities, LLC, Barclays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4"/>
          </w:tcPr>
          <w:p>
            <w:pPr>
              <w:ind w:left="340"/>
              <w:spacing w:after="0"/>
              <w:rPr>
                <w:sz w:val="20"/>
                <w:szCs w:val="20"/>
                <w:color w:val="auto"/>
              </w:rPr>
            </w:pPr>
            <w:r>
              <w:rPr>
                <w:rFonts w:ascii="Arial" w:cs="Arial" w:eastAsia="Arial" w:hAnsi="Arial"/>
                <w:sz w:val="18"/>
                <w:szCs w:val="18"/>
                <w:color w:val="auto"/>
                <w:w w:val="97"/>
              </w:rPr>
              <w:t>Capital Inc., BB&amp;T Capital Markets, a division of BB&amp;T Securities, LLC, BMO Capital Markets Corp., BNP Paribas Securities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4"/>
          </w:tcPr>
          <w:p>
            <w:pPr>
              <w:ind w:left="340"/>
              <w:spacing w:after="0"/>
              <w:rPr>
                <w:sz w:val="20"/>
                <w:szCs w:val="20"/>
                <w:color w:val="auto"/>
              </w:rPr>
            </w:pPr>
            <w:r>
              <w:rPr>
                <w:rFonts w:ascii="Arial" w:cs="Arial" w:eastAsia="Arial" w:hAnsi="Arial"/>
                <w:sz w:val="18"/>
                <w:szCs w:val="18"/>
                <w:color w:val="auto"/>
                <w:w w:val="95"/>
              </w:rPr>
              <w:t>Corp., Citigroup Global Markets Inc., Deutsche Bank Securities Inc., DNB Markets, Inc., Fifth Third Securities, Inc., J.P. Morgan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4"/>
          </w:tcPr>
          <w:p>
            <w:pPr>
              <w:ind w:left="340"/>
              <w:spacing w:after="0"/>
              <w:rPr>
                <w:sz w:val="20"/>
                <w:szCs w:val="20"/>
                <w:color w:val="auto"/>
              </w:rPr>
            </w:pPr>
            <w:r>
              <w:rPr>
                <w:rFonts w:ascii="Arial" w:cs="Arial" w:eastAsia="Arial" w:hAnsi="Arial"/>
                <w:sz w:val="18"/>
                <w:szCs w:val="18"/>
                <w:color w:val="auto"/>
                <w:w w:val="98"/>
              </w:rPr>
              <w:t>Securities LLC, Jefferies LLC, Merrill Lynch, Pierce, Fenner &amp; Smith Incorporated, MUFG Securities Americas, Inc., Mizuho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4"/>
          </w:tcPr>
          <w:p>
            <w:pPr>
              <w:ind w:left="340"/>
              <w:spacing w:after="0"/>
              <w:rPr>
                <w:sz w:val="20"/>
                <w:szCs w:val="20"/>
                <w:color w:val="auto"/>
              </w:rPr>
            </w:pPr>
            <w:r>
              <w:rPr>
                <w:rFonts w:ascii="Arial" w:cs="Arial" w:eastAsia="Arial" w:hAnsi="Arial"/>
                <w:sz w:val="18"/>
                <w:szCs w:val="18"/>
                <w:color w:val="auto"/>
                <w:w w:val="97"/>
              </w:rPr>
              <w:t>Securities USA Inc., Morgan Stanley &amp; Co. LLC, Raymond James &amp; Associates, Inc., Scotia Capital (USA) Inc., SMBC Nikko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4"/>
          </w:tcPr>
          <w:p>
            <w:pPr>
              <w:ind w:left="340"/>
              <w:spacing w:after="0"/>
              <w:rPr>
                <w:sz w:val="20"/>
                <w:szCs w:val="20"/>
                <w:color w:val="auto"/>
              </w:rPr>
            </w:pPr>
            <w:r>
              <w:rPr>
                <w:rFonts w:ascii="Arial" w:cs="Arial" w:eastAsia="Arial" w:hAnsi="Arial"/>
                <w:sz w:val="18"/>
                <w:szCs w:val="18"/>
                <w:color w:val="auto"/>
              </w:rPr>
              <w:t>Securities America, Inc., SunTrust Robinson Humphrey, Inc. and UBS Securities LLC.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80" w:type="dxa"/>
            <w:vAlign w:val="bottom"/>
            <w:gridSpan w:val="2"/>
          </w:tcPr>
          <w:p>
            <w:pPr>
              <w:jc w:val="right"/>
              <w:ind w:right="490"/>
              <w:spacing w:after="0"/>
              <w:rPr>
                <w:sz w:val="20"/>
                <w:szCs w:val="20"/>
                <w:color w:val="auto"/>
              </w:rPr>
            </w:pPr>
            <w:r>
              <w:rPr>
                <w:rFonts w:ascii="Arial" w:cs="Arial" w:eastAsia="Arial" w:hAnsi="Arial"/>
                <w:sz w:val="18"/>
                <w:szCs w:val="18"/>
                <w:color w:val="auto"/>
              </w:rPr>
              <w:t>5.1</w:t>
            </w:r>
          </w:p>
        </w:tc>
        <w:tc>
          <w:tcPr>
            <w:tcW w:w="10040" w:type="dxa"/>
            <w:vAlign w:val="bottom"/>
            <w:gridSpan w:val="4"/>
          </w:tcPr>
          <w:p>
            <w:pPr>
              <w:ind w:left="340"/>
              <w:spacing w:after="0"/>
              <w:rPr>
                <w:sz w:val="20"/>
                <w:szCs w:val="20"/>
                <w:color w:val="auto"/>
              </w:rPr>
            </w:pPr>
            <w:r>
              <w:rPr>
                <w:rFonts w:ascii="Arial" w:cs="Arial" w:eastAsia="Arial" w:hAnsi="Arial"/>
                <w:sz w:val="18"/>
                <w:szCs w:val="18"/>
                <w:color w:val="auto"/>
              </w:rPr>
              <w:t>Opinion of Vinson &amp; Elkins L.L.P. regarding legality of the Shares.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-1956435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-1956435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Vinson &amp; Elkins L.L.P. regarding tax matters.</w:t>
      </w:r>
    </w:p>
    <w:p>
      <w:pPr>
        <w:sectPr>
          <w:pgSz w:w="11900" w:h="16838" w:orient="portrait"/>
          <w:cols w:equalWidth="0" w:num="1">
            <w:col w:w="9639"/>
          </w:cols>
          <w:pgMar w:left="820" w:top="125" w:right="1440" w:bottom="1440" w:gutter="0" w:footer="0" w:header="0"/>
        </w:sectPr>
      </w:pP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BB&amp;T Capital Markets, a division of BB&amp;T Securities, LLC</w:t>
      </w:r>
    </w:p>
    <w:p>
      <w:pPr>
        <w:spacing w:after="0" w:line="1"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901 East Byrd Street, Ste. 300 Richmond, Virginia 23219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Deutsche Bank Securities Inc. 60 Wall Street, 2nd Floor New York New York 10005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Fountain Square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 10903B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45263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1221 Avenue of the Americas, 6th Floor New York, NY 10020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right="840"/>
        <w:spacing w:after="0" w:line="312" w:lineRule="auto"/>
        <w:rPr>
          <w:sz w:val="20"/>
          <w:szCs w:val="20"/>
          <w:color w:val="auto"/>
        </w:rPr>
      </w:pPr>
      <w:r>
        <w:rPr>
          <w:rFonts w:ascii="Arial" w:cs="Arial" w:eastAsia="Arial" w:hAnsi="Arial"/>
          <w:sz w:val="16"/>
          <w:szCs w:val="16"/>
          <w:color w:val="auto"/>
        </w:rPr>
        <w:t>Scotia Capital (USA) Inc. 250 Vesey Street, 24th Floor New York, New York 10281</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SunTrust Robinson Humphrey, Inc. 3333 Peachtree Road, NE, 11th Floor Atlanta, Georgia 30326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ind w:right="3600"/>
        <w:spacing w:after="0"/>
        <w:rPr>
          <w:sz w:val="20"/>
          <w:szCs w:val="20"/>
          <w:color w:val="auto"/>
        </w:rPr>
      </w:pPr>
      <w:r>
        <w:rPr>
          <w:rFonts w:ascii="Arial" w:cs="Arial" w:eastAsia="Arial" w:hAnsi="Arial"/>
          <w:sz w:val="16"/>
          <w:szCs w:val="16"/>
          <w:b w:val="1"/>
          <w:bCs w:val="1"/>
          <w:color w:val="auto"/>
        </w:rPr>
        <w:t>Class A Shares Representing Limited Partner Interests</w:t>
      </w:r>
    </w:p>
    <w:p>
      <w:pPr>
        <w:spacing w:after="0" w:line="50"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Having an Aggregate Offering Price of up to</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$500,000,000</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EQUITY DISTRIBUTION AGREEMENT</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December 27, 2016</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10012</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DNB Markets,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200 Park Avenue, 31st Floor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10166</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10179</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Mizuho Securities USA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320 Park Avenue, 12th Floor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 Petersburg, Florida 33716</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SMBC Nikko Securities America,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277 Park Avenue, 5th Floor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10172</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New York 10019</w:t>
      </w:r>
    </w:p>
    <w:p>
      <w:pPr>
        <w:spacing w:after="0" w:line="617" w:lineRule="exact"/>
        <w:rPr>
          <w:sz w:val="20"/>
          <w:szCs w:val="20"/>
          <w:color w:val="auto"/>
        </w:rPr>
      </w:pPr>
    </w:p>
    <w:p>
      <w:pPr>
        <w:sectPr>
          <w:pgSz w:w="11900" w:h="16838" w:orient="portrait"/>
          <w:cols w:equalWidth="0" w:num="2">
            <w:col w:w="2900" w:space="700"/>
            <w:col w:w="7820"/>
          </w:cols>
          <w:pgMar w:left="240" w:top="121" w:right="239" w:bottom="0" w:gutter="0" w:footer="0" w:header="0"/>
        </w:sectPr>
      </w:pPr>
    </w:p>
    <w:p>
      <w:pPr>
        <w:spacing w:after="0" w:line="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Plains GP Holdings, L.P., a Delaware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Securities USA Inc., Morgan Stanley &amp; Co. LLC, Raymond James &amp; Associates, Inc., Scotia Capital (USA) Inc., SMBC Nikko Securities America, Inc., SunTrust Robinson Humphrey, Inc. and UBS Securities LLC (the “</w:t>
      </w:r>
      <w:r>
        <w:rPr>
          <w:rFonts w:ascii="Arial" w:cs="Arial" w:eastAsia="Arial" w:hAnsi="Arial"/>
          <w:sz w:val="18"/>
          <w:szCs w:val="18"/>
          <w:u w:val="single" w:color="auto"/>
          <w:color w:val="auto"/>
        </w:rPr>
        <w:t>Managers</w:t>
      </w:r>
      <w:r>
        <w:rPr>
          <w:rFonts w:ascii="Arial" w:cs="Arial" w:eastAsia="Arial" w:hAnsi="Arial"/>
          <w:sz w:val="18"/>
          <w:szCs w:val="18"/>
          <w:color w:val="auto"/>
        </w:rPr>
        <w:t>”) as follows:</w:t>
      </w:r>
    </w:p>
    <w:p>
      <w:pPr>
        <w:spacing w:after="0" w:line="170" w:lineRule="exact"/>
        <w:rPr>
          <w:sz w:val="20"/>
          <w:szCs w:val="20"/>
          <w:color w:val="auto"/>
        </w:rPr>
      </w:pPr>
    </w:p>
    <w:p>
      <w:pPr>
        <w:ind w:right="40" w:firstLine="656"/>
        <w:spacing w:after="0" w:line="291" w:lineRule="auto"/>
        <w:tabs>
          <w:tab w:leader="none" w:pos="1296"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Description of Shares</w:t>
      </w:r>
      <w:r>
        <w:rPr>
          <w:rFonts w:ascii="Arial" w:cs="Arial" w:eastAsia="Arial" w:hAnsi="Arial"/>
          <w:sz w:val="16"/>
          <w:szCs w:val="16"/>
          <w:color w:val="auto"/>
        </w:rPr>
        <w:t>. The Partnership proposes to issue and sell through or to the Managers, as sales agents and/or principals, Class A shares representing limited partner interests in the Partnership (“</w:t>
      </w:r>
      <w:r>
        <w:rPr>
          <w:rFonts w:ascii="Arial" w:cs="Arial" w:eastAsia="Arial" w:hAnsi="Arial"/>
          <w:sz w:val="16"/>
          <w:szCs w:val="16"/>
          <w:u w:val="single" w:color="auto"/>
          <w:color w:val="auto"/>
        </w:rPr>
        <w:t>Class A Shares</w:t>
      </w:r>
      <w:r>
        <w:rPr>
          <w:rFonts w:ascii="Arial" w:cs="Arial" w:eastAsia="Arial" w:hAnsi="Arial"/>
          <w:sz w:val="16"/>
          <w:szCs w:val="16"/>
          <w:color w:val="auto"/>
        </w:rPr>
        <w:t>”), having an aggregate gross sales price of up to $500,000,000 (the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from time to time during the term of this Agreement and on the terms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For the avoidance of doubt, the term Shares as used in this Agreement refers only to the Class A Shares to be sold pursuant to this Agreement. The Shares are further described in the Prospectus referred to herein. For purposes of selling the Shares through the Managers, the Partnership hereby appoints the Managers as the exclusive agents of the Partnership for the purpose of soliciting purchases of the Shares from the Partnership pursuant to this Agreement and each Manager agrees to use its reasonable efforts to solicit purchases of the Shares on the terms and subject to the conditions stated herein. The Partnership agrees that whenever it determines to sell Shares directly to</w:t>
      </w:r>
    </w:p>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line="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Manager as principal, it will enter into a separate agreement (each, a “</w:t>
      </w:r>
      <w:r>
        <w:rPr>
          <w:rFonts w:ascii="Arial" w:cs="Arial" w:eastAsia="Arial" w:hAnsi="Arial"/>
          <w:sz w:val="18"/>
          <w:szCs w:val="18"/>
          <w:u w:val="single" w:color="auto"/>
          <w:color w:val="auto"/>
        </w:rPr>
        <w:t>Terms Agreement</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relating to such sale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Certain terms used herein are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hereof.</w:t>
      </w:r>
    </w:p>
    <w:p>
      <w:pPr>
        <w:spacing w:after="0" w:line="170" w:lineRule="exact"/>
        <w:rPr>
          <w:sz w:val="20"/>
          <w:szCs w:val="20"/>
          <w:color w:val="auto"/>
        </w:rPr>
      </w:pPr>
    </w:p>
    <w:p>
      <w:pPr>
        <w:ind w:right="200" w:firstLine="656"/>
        <w:spacing w:after="0" w:line="34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Partnership represents and warrants to, and agrees with, each Manager at the Execution Time and on each such time the following representations and warranties are repeated or deemed to be made pursuant to this Agreement, as set forth below.</w:t>
      </w:r>
    </w:p>
    <w:p>
      <w:pPr>
        <w:spacing w:after="0" w:line="123" w:lineRule="exact"/>
        <w:rPr>
          <w:rFonts w:ascii="Arial" w:cs="Arial" w:eastAsia="Arial" w:hAnsi="Arial"/>
          <w:sz w:val="16"/>
          <w:szCs w:val="16"/>
          <w:color w:val="auto"/>
        </w:rPr>
      </w:pPr>
    </w:p>
    <w:p>
      <w:pPr>
        <w:ind w:firstLine="1305"/>
        <w:spacing w:after="0" w:line="284" w:lineRule="auto"/>
        <w:tabs>
          <w:tab w:leader="none" w:pos="1942"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Registration</w:t>
      </w:r>
      <w:r>
        <w:rPr>
          <w:rFonts w:ascii="Arial" w:cs="Arial" w:eastAsia="Arial" w:hAnsi="Arial"/>
          <w:sz w:val="16"/>
          <w:szCs w:val="16"/>
          <w:color w:val="auto"/>
        </w:rPr>
        <w:t>. The Partnership meets the requirements for use of Form S-3 under the Act. The Partnership has prepared and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Commission a registration statement (File Number 333-214964) on Form S-3 (including a related Base Prospectus) for registration of the offering and sale of Class A Shares, including the Shares, under the Act, and such Registration Statement, including any amendments thereto filed prior to the Execution Time or prior to any such time this representation is repeated or deemed to be made, has become effective. The Partnership has filed with the Commission the Prospectus Supplement relating to the Shares in accordance with Rule 424(b). As filed, the Prospectus Supplement contains all information required by the Act and the rules thereunder and, except to the extent the Managers shall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Shares,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Partnership files a successor registration statement with respect to the Shares,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 As used herein, the term “Incorporated Documents” means the documents that at the time are incorporated by reference in the Registration Statement, the Base Prospectus, the Prospectus Supplement or the Prospectus or any amendment or supplement thereto.</w:t>
      </w:r>
    </w:p>
    <w:p>
      <w:pPr>
        <w:spacing w:after="0" w:line="178" w:lineRule="exact"/>
        <w:rPr>
          <w:rFonts w:ascii="Arial" w:cs="Arial" w:eastAsia="Arial" w:hAnsi="Arial"/>
          <w:sz w:val="16"/>
          <w:szCs w:val="16"/>
          <w:color w:val="auto"/>
        </w:rPr>
      </w:pPr>
    </w:p>
    <w:p>
      <w:pPr>
        <w:ind w:right="100" w:firstLine="1305"/>
        <w:spacing w:after="0" w:line="264" w:lineRule="auto"/>
        <w:tabs>
          <w:tab w:leader="none" w:pos="1952"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On each Effective Date, at the Execution Time, at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at each Settlement Date and at all times during which a prospectus is required by the Act to be delivered (whether physically, deemed to be delivered pursuant to Rule 153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or through compliance with Rule 172 or any similar rule) in connection with any offer or sale of Shares, the Registration Statement complied and will comply in all material respects with the applicable requirements of the Act and the Exchange Act and the respective rules thereunder, and did not and will not contain any untrue statement of a material fact or omit to state a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Prospectus (together with any supplement thereto) complied and will comply in all material respects with the applicable requirements of the Act and the Exchange Act and the respective rules thereunder, and did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Partnership makes no representations or warranties as to any statement contained in or omitted from the Registration Statement or the Prospectus (or any supplement thereto) in reliance upon and in conformity with information furnished in writing to the Partnership by any of the Managers specifically for use with respect to the Registration Statement or the Prospectus (or any supplement thereto), which information is specified in </w:t>
      </w:r>
      <w:r>
        <w:rPr>
          <w:rFonts w:ascii="Arial" w:cs="Arial" w:eastAsia="Arial" w:hAnsi="Arial"/>
          <w:sz w:val="17"/>
          <w:szCs w:val="17"/>
          <w:u w:val="single" w:color="auto"/>
          <w:color w:val="auto"/>
        </w:rPr>
        <w:t>Section 19</w:t>
      </w:r>
      <w:r>
        <w:rPr>
          <w:rFonts w:ascii="Arial" w:cs="Arial" w:eastAsia="Arial" w:hAnsi="Arial"/>
          <w:sz w:val="17"/>
          <w:szCs w:val="17"/>
          <w:color w:val="auto"/>
        </w:rPr>
        <w:t>.</w:t>
      </w:r>
    </w:p>
    <w:p>
      <w:pPr>
        <w:spacing w:after="0" w:line="180" w:lineRule="exact"/>
        <w:rPr>
          <w:sz w:val="20"/>
          <w:szCs w:val="20"/>
          <w:color w:val="auto"/>
        </w:rPr>
      </w:pPr>
    </w:p>
    <w:p>
      <w:pPr>
        <w:ind w:right="100" w:firstLine="1305"/>
        <w:spacing w:after="0" w:line="264" w:lineRule="auto"/>
        <w:tabs>
          <w:tab w:leader="none" w:pos="19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Ineligible Issuer</w:t>
      </w:r>
      <w:r>
        <w:rPr>
          <w:rFonts w:ascii="Arial" w:cs="Arial" w:eastAsia="Arial" w:hAnsi="Arial"/>
          <w:sz w:val="18"/>
          <w:szCs w:val="18"/>
          <w:color w:val="auto"/>
        </w:rPr>
        <w:t>. For purposes of each offering of the Shares pursuant to transactions under this Agreement that are not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underwritings, the Partnership will be an “ineligible issuer” (as defined in Rule 405 of the Act) as of each relevant eligibility determination date for purposes of Rules 164 and 433 under the Act.</w:t>
      </w:r>
    </w:p>
    <w:p>
      <w:pPr>
        <w:spacing w:after="0" w:line="181" w:lineRule="exact"/>
        <w:rPr>
          <w:rFonts w:ascii="Arial" w:cs="Arial" w:eastAsia="Arial" w:hAnsi="Arial"/>
          <w:sz w:val="18"/>
          <w:szCs w:val="18"/>
          <w:color w:val="auto"/>
        </w:rPr>
      </w:pPr>
    </w:p>
    <w:p>
      <w:pPr>
        <w:ind w:right="20" w:firstLine="1305"/>
        <w:spacing w:after="0" w:line="272" w:lineRule="auto"/>
        <w:tabs>
          <w:tab w:leader="none" w:pos="195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No Other Prospectus</w:t>
      </w:r>
      <w:r>
        <w:rPr>
          <w:rFonts w:ascii="Arial" w:cs="Arial" w:eastAsia="Arial" w:hAnsi="Arial"/>
          <w:sz w:val="17"/>
          <w:szCs w:val="17"/>
          <w:color w:val="auto"/>
        </w:rPr>
        <w:t>. Prior to the execution of this Agreement, the Partnership has not, directly or indirectly, offered or sold any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by means of any “prospectus” (in each case within the meaning of the Act) or used any “prospectus” (in each case within the meaning of the Act) in connection with the offer or sale of Shares, and from and after the execution of this Agreement, the Partnership will not, directly or indirectly, offer or sell any Shares pursuant to this Agreement by means of any “prospectus” (within the meaning of the Act) or use any “prospectus” (within the meaning of the Act) in connection with any such offer or sale of the Shares, other than the Prospectus, as amended or supplemented from time to time in accordance with the provisions of this Agreement; the Partnership has not, directly or indirectly, prepared, used or referred to any Issuer Free Writing Prospectus, as defined in Rule 433, in connection with offers or sales of Shares pursuant to this Agreement.</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Proceedings under the Act</w:t>
      </w:r>
      <w:r>
        <w:rPr>
          <w:rFonts w:ascii="Arial" w:cs="Arial" w:eastAsia="Arial" w:hAnsi="Arial"/>
          <w:sz w:val="17"/>
          <w:szCs w:val="17"/>
          <w:color w:val="auto"/>
        </w:rPr>
        <w:t>. The Registration Statement is not the subject of a pending proceeding or examination under</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Section 8(d) or 8(e) of the Act, and the Partnership is not the subject of a pending proceeding under Section 8A of the Act in connection with the offering of the Shares.</w:t>
      </w:r>
    </w:p>
    <w:p>
      <w:pPr>
        <w:spacing w:after="0" w:line="184" w:lineRule="exact"/>
        <w:rPr>
          <w:sz w:val="20"/>
          <w:szCs w:val="20"/>
          <w:color w:val="auto"/>
        </w:rPr>
      </w:pPr>
    </w:p>
    <w:p>
      <w:pPr>
        <w:ind w:right="100" w:firstLine="1305"/>
        <w:spacing w:after="0" w:line="277" w:lineRule="auto"/>
        <w:tabs>
          <w:tab w:leader="none" w:pos="194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Regulation M</w:t>
      </w:r>
      <w:r>
        <w:rPr>
          <w:rFonts w:ascii="Arial" w:cs="Arial" w:eastAsia="Arial" w:hAnsi="Arial"/>
          <w:sz w:val="18"/>
          <w:szCs w:val="18"/>
          <w:color w:val="auto"/>
        </w:rPr>
        <w:t>. The Class A Shares are an “actively traded security” exempted from the requirements of Rule 101 of Regulation 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by subsection (c)(1) of such rule.</w:t>
      </w:r>
    </w:p>
    <w:p>
      <w:pPr>
        <w:spacing w:after="0" w:line="170" w:lineRule="exact"/>
        <w:rPr>
          <w:rFonts w:ascii="Arial" w:cs="Arial" w:eastAsia="Arial" w:hAnsi="Arial"/>
          <w:sz w:val="18"/>
          <w:szCs w:val="18"/>
          <w:color w:val="auto"/>
        </w:rPr>
      </w:pPr>
    </w:p>
    <w:p>
      <w:pPr>
        <w:ind w:right="100" w:firstLine="1305"/>
        <w:spacing w:after="0" w:line="264" w:lineRule="auto"/>
        <w:tabs>
          <w:tab w:leader="none" w:pos="196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Market Stabilization</w:t>
      </w:r>
      <w:r>
        <w:rPr>
          <w:rFonts w:ascii="Arial" w:cs="Arial" w:eastAsia="Arial" w:hAnsi="Arial"/>
          <w:sz w:val="18"/>
          <w:szCs w:val="18"/>
          <w:color w:val="auto"/>
        </w:rPr>
        <w:t>. Except as stated in this Agreement, any Terms Agreement and the Prospectus, the Partnership has not taken,</w:t>
      </w:r>
      <w:r>
        <w:rPr>
          <w:rFonts w:ascii="Arial" w:cs="Arial" w:eastAsia="Arial" w:hAnsi="Arial"/>
          <w:sz w:val="18"/>
          <w:szCs w:val="18"/>
          <w:i w:val="1"/>
          <w:iCs w:val="1"/>
          <w:color w:val="auto"/>
        </w:rPr>
        <w:t xml:space="preserve"> </w:t>
      </w:r>
      <w:r>
        <w:rPr>
          <w:rFonts w:ascii="Arial" w:cs="Arial" w:eastAsia="Arial" w:hAnsi="Arial"/>
          <w:sz w:val="18"/>
          <w:szCs w:val="18"/>
          <w:color w:val="auto"/>
        </w:rPr>
        <w:t>nor will it take, directly or indirectly, any action designed to or that might reasonably be expected to cause or result in stabilization or manipulation of the price of the Class A Shares to facilitate the sale or resale of the Shares.</w:t>
      </w:r>
    </w:p>
    <w:p>
      <w:pPr>
        <w:spacing w:after="0" w:line="181" w:lineRule="exact"/>
        <w:rPr>
          <w:rFonts w:ascii="Arial" w:cs="Arial" w:eastAsia="Arial" w:hAnsi="Arial"/>
          <w:sz w:val="18"/>
          <w:szCs w:val="18"/>
          <w:color w:val="auto"/>
        </w:rPr>
      </w:pPr>
    </w:p>
    <w:p>
      <w:pPr>
        <w:ind w:right="260" w:firstLine="1305"/>
        <w:spacing w:after="0" w:line="342" w:lineRule="auto"/>
        <w:tabs>
          <w:tab w:leader="none" w:pos="195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Other Sales Agency Agreements</w:t>
      </w:r>
      <w:r>
        <w:rPr>
          <w:rFonts w:ascii="Arial" w:cs="Arial" w:eastAsia="Arial" w:hAnsi="Arial"/>
          <w:sz w:val="16"/>
          <w:szCs w:val="16"/>
          <w:color w:val="auto"/>
        </w:rPr>
        <w:t>. Except pursuant to this Agreement, the Partnership has not entered into any other sales agency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other similar arrangements with any agent or any other representative in respect of at the market offerings of the Shares in accordance with</w:t>
      </w:r>
    </w:p>
    <w:p>
      <w:pPr>
        <w:sectPr>
          <w:pgSz w:w="11900" w:h="16908" w:orient="portrait"/>
          <w:cols w:equalWidth="0" w:num="1">
            <w:col w:w="11420"/>
          </w:cols>
          <w:pgMar w:left="240" w:top="125" w:right="239" w:bottom="0" w:gutter="0" w:footer="0" w:header="0"/>
        </w:sectPr>
      </w:pPr>
    </w:p>
    <w:bookmarkStart w:id="5" w:name="page6"/>
    <w:bookmarkEnd w:id="5"/>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Rule 415(a)(4) of the Act.</w:t>
      </w:r>
    </w:p>
    <w:p>
      <w:pPr>
        <w:spacing w:after="0" w:line="225" w:lineRule="exact"/>
        <w:rPr>
          <w:sz w:val="20"/>
          <w:szCs w:val="20"/>
          <w:color w:val="auto"/>
        </w:rPr>
      </w:pPr>
    </w:p>
    <w:p>
      <w:pPr>
        <w:ind w:right="60" w:firstLine="1305"/>
        <w:spacing w:after="0" w:line="277" w:lineRule="auto"/>
        <w:tabs>
          <w:tab w:leader="none" w:pos="196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Brokers</w:t>
      </w:r>
      <w:r>
        <w:rPr>
          <w:rFonts w:ascii="Arial" w:cs="Arial" w:eastAsia="Arial" w:hAnsi="Arial"/>
          <w:sz w:val="18"/>
          <w:szCs w:val="18"/>
          <w:color w:val="auto"/>
        </w:rPr>
        <w:t>. Except pursuant to this Agreement, there is no broker, finder or other party that is entitled to receive from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any brokerage or finder’s fee or other fee or commission as a result of any transactions contemplated by this Agreement.</w:t>
      </w:r>
    </w:p>
    <w:p>
      <w:pPr>
        <w:spacing w:after="0" w:line="170" w:lineRule="exact"/>
        <w:rPr>
          <w:rFonts w:ascii="Arial" w:cs="Arial" w:eastAsia="Arial" w:hAnsi="Arial"/>
          <w:sz w:val="18"/>
          <w:szCs w:val="18"/>
          <w:color w:val="auto"/>
        </w:rPr>
      </w:pPr>
    </w:p>
    <w:p>
      <w:pPr>
        <w:ind w:right="20" w:firstLine="1305"/>
        <w:spacing w:after="0" w:line="286" w:lineRule="auto"/>
        <w:tabs>
          <w:tab w:leader="none" w:pos="195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Formation and Qualification of Certain Entities</w:t>
      </w:r>
      <w:r>
        <w:rPr>
          <w:rFonts w:ascii="Arial" w:cs="Arial" w:eastAsia="Arial" w:hAnsi="Arial"/>
          <w:sz w:val="17"/>
          <w:szCs w:val="17"/>
          <w:color w:val="auto"/>
        </w:rPr>
        <w:t>. Each of the Partnership, PAA GP Holdings LLC, a Delaware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general partner of the Partnership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Plains All American Pipeline, L.P., a Delaware limited partnership (“</w:t>
      </w:r>
      <w:r>
        <w:rPr>
          <w:rFonts w:ascii="Arial" w:cs="Arial" w:eastAsia="Arial" w:hAnsi="Arial"/>
          <w:sz w:val="17"/>
          <w:szCs w:val="17"/>
          <w:u w:val="single" w:color="auto"/>
          <w:color w:val="auto"/>
        </w:rPr>
        <w:t>PAA</w:t>
      </w:r>
      <w:r>
        <w:rPr>
          <w:rFonts w:ascii="Arial" w:cs="Arial" w:eastAsia="Arial" w:hAnsi="Arial"/>
          <w:sz w:val="17"/>
          <w:szCs w:val="17"/>
          <w:color w:val="auto"/>
        </w:rPr>
        <w:t>”), PAA GP LLC, a Delaware limited liability company and the general partner of PAA ( “</w:t>
      </w:r>
      <w:r>
        <w:rPr>
          <w:rFonts w:ascii="Arial" w:cs="Arial" w:eastAsia="Arial" w:hAnsi="Arial"/>
          <w:sz w:val="17"/>
          <w:szCs w:val="17"/>
          <w:u w:val="single" w:color="auto"/>
          <w:color w:val="auto"/>
        </w:rPr>
        <w:t>PAA GP</w:t>
      </w:r>
      <w:r>
        <w:rPr>
          <w:rFonts w:ascii="Arial" w:cs="Arial" w:eastAsia="Arial" w:hAnsi="Arial"/>
          <w:sz w:val="17"/>
          <w:szCs w:val="17"/>
          <w:color w:val="auto"/>
        </w:rPr>
        <w:t>”), Plains AAP, L.P., a Delaware limited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partnership and the sole member of PAA GP (“</w:t>
      </w:r>
      <w:r>
        <w:rPr>
          <w:rFonts w:ascii="Arial" w:cs="Arial" w:eastAsia="Arial" w:hAnsi="Arial"/>
          <w:sz w:val="17"/>
          <w:szCs w:val="17"/>
          <w:u w:val="single" w:color="auto"/>
          <w:color w:val="auto"/>
        </w:rPr>
        <w:t>Plains AAP</w:t>
      </w:r>
      <w:r>
        <w:rPr>
          <w:rFonts w:ascii="Arial" w:cs="Arial" w:eastAsia="Arial" w:hAnsi="Arial"/>
          <w:sz w:val="17"/>
          <w:szCs w:val="17"/>
          <w:color w:val="auto"/>
        </w:rPr>
        <w:t>”), Plains All American GP LLC, a Delaware limited liability company and the general partner of Plains AAP (“</w:t>
      </w:r>
      <w:r>
        <w:rPr>
          <w:rFonts w:ascii="Arial" w:cs="Arial" w:eastAsia="Arial" w:hAnsi="Arial"/>
          <w:sz w:val="17"/>
          <w:szCs w:val="17"/>
          <w:u w:val="single" w:color="auto"/>
          <w:color w:val="auto"/>
        </w:rPr>
        <w:t>GP LLC</w:t>
      </w:r>
      <w:r>
        <w:rPr>
          <w:rFonts w:ascii="Arial" w:cs="Arial" w:eastAsia="Arial" w:hAnsi="Arial"/>
          <w:sz w:val="17"/>
          <w:szCs w:val="17"/>
          <w:color w:val="auto"/>
        </w:rPr>
        <w:t>” and, collectively with PAA GP and Plains AAP, the “</w:t>
      </w:r>
      <w:r>
        <w:rPr>
          <w:rFonts w:ascii="Arial" w:cs="Arial" w:eastAsia="Arial" w:hAnsi="Arial"/>
          <w:sz w:val="17"/>
          <w:szCs w:val="17"/>
          <w:u w:val="single" w:color="auto"/>
          <w:color w:val="auto"/>
        </w:rPr>
        <w:t>PAA GP Entities</w:t>
      </w:r>
      <w:r>
        <w:rPr>
          <w:rFonts w:ascii="Arial" w:cs="Arial" w:eastAsia="Arial" w:hAnsi="Arial"/>
          <w:sz w:val="17"/>
          <w:szCs w:val="17"/>
          <w:color w:val="auto"/>
        </w:rPr>
        <w:t xml:space="preserve">”), and the subsidiaries of PAA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(as updated from time to time with any affirmation of this representation, collectively, the “</w:t>
      </w:r>
      <w:r>
        <w:rPr>
          <w:rFonts w:ascii="Arial" w:cs="Arial" w:eastAsia="Arial" w:hAnsi="Arial"/>
          <w:sz w:val="17"/>
          <w:szCs w:val="17"/>
          <w:u w:val="single" w:color="auto"/>
          <w:color w:val="auto"/>
        </w:rPr>
        <w:t>Material Subsidiaries</w:t>
      </w:r>
      <w:r>
        <w:rPr>
          <w:rFonts w:ascii="Arial" w:cs="Arial" w:eastAsia="Arial" w:hAnsi="Arial"/>
          <w:sz w:val="17"/>
          <w:szCs w:val="17"/>
          <w:color w:val="auto"/>
        </w:rPr>
        <w:t>”) has been duly formed or incorporated and is validly existing in good standing as a limited partnership, limited liability company or unlimited liability company under the laws of its respective jurisdiction of formation or incorporation with full partnership, limited liability company or unlimited liability company power and authority, as the case may be, to own or lease its properties and to conduct its business, in each case in all material respects, as disclosed in the Prospectus. Each of the Partnership, the General Partner, the PAA GP Entities, PAA and the Material Subsidiaries is duly registered or qualified as a limited partnership, limited liability company or unlimited liability company, as the case may be, and is in good standing under the laws of each jurisdiction which requires such qualification, except where the failure so to register or qualify would not (i) reasonably be expected to have a material adverse effect upon the condition (financial or other), business, prospects, properties, net worth or results of operations of PAA’s direct or indirect majority owned subsidiaries (each a “</w:t>
      </w:r>
      <w:r>
        <w:rPr>
          <w:rFonts w:ascii="Arial" w:cs="Arial" w:eastAsia="Arial" w:hAnsi="Arial"/>
          <w:sz w:val="17"/>
          <w:szCs w:val="17"/>
          <w:u w:val="single" w:color="auto"/>
          <w:color w:val="auto"/>
        </w:rPr>
        <w:t>PAA</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PAA Subsidiaries</w:t>
      </w:r>
      <w:r>
        <w:rPr>
          <w:rFonts w:ascii="Arial" w:cs="Arial" w:eastAsia="Arial" w:hAnsi="Arial"/>
          <w:sz w:val="17"/>
          <w:szCs w:val="17"/>
          <w:color w:val="auto"/>
        </w:rPr>
        <w:t>”), PAA (collectively with the PAA Subsidiaries, the “</w:t>
      </w:r>
      <w:r>
        <w:rPr>
          <w:rFonts w:ascii="Arial" w:cs="Arial" w:eastAsia="Arial" w:hAnsi="Arial"/>
          <w:sz w:val="17"/>
          <w:szCs w:val="17"/>
          <w:u w:val="single" w:color="auto"/>
          <w:color w:val="auto"/>
        </w:rPr>
        <w:t>PAA Entities</w:t>
      </w:r>
      <w:r>
        <w:rPr>
          <w:rFonts w:ascii="Arial" w:cs="Arial" w:eastAsia="Arial" w:hAnsi="Arial"/>
          <w:sz w:val="17"/>
          <w:szCs w:val="17"/>
          <w:color w:val="auto"/>
        </w:rPr>
        <w:t>”), the General Partner, the Partnership and the PAA GP Entities, (together with the General Partner, the Partnership and the PAA Entities, the “</w:t>
      </w:r>
      <w:r>
        <w:rPr>
          <w:rFonts w:ascii="Arial" w:cs="Arial" w:eastAsia="Arial" w:hAnsi="Arial"/>
          <w:sz w:val="17"/>
          <w:szCs w:val="17"/>
          <w:u w:val="single" w:color="auto"/>
          <w:color w:val="auto"/>
        </w:rPr>
        <w:t>Plains Entities</w:t>
      </w:r>
      <w:r>
        <w:rPr>
          <w:rFonts w:ascii="Arial" w:cs="Arial" w:eastAsia="Arial" w:hAnsi="Arial"/>
          <w:sz w:val="17"/>
          <w:szCs w:val="17"/>
          <w:color w:val="auto"/>
        </w:rPr>
        <w:t>”), taken as a whole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Adverse Effect</w:t>
      </w:r>
      <w:r>
        <w:rPr>
          <w:rFonts w:ascii="Arial" w:cs="Arial" w:eastAsia="Arial" w:hAnsi="Arial"/>
          <w:sz w:val="17"/>
          <w:szCs w:val="17"/>
          <w:color w:val="auto"/>
        </w:rPr>
        <w:t>”), or (ii) subject the limited partners of the Partnership to any material liability or disability.</w:t>
      </w:r>
    </w:p>
    <w:p>
      <w:pPr>
        <w:spacing w:after="0" w:line="188" w:lineRule="exact"/>
        <w:rPr>
          <w:sz w:val="20"/>
          <w:szCs w:val="20"/>
          <w:color w:val="auto"/>
        </w:rPr>
      </w:pPr>
    </w:p>
    <w:p>
      <w:pPr>
        <w:ind w:right="100" w:firstLine="1305"/>
        <w:spacing w:after="0" w:line="264" w:lineRule="auto"/>
        <w:tabs>
          <w:tab w:leader="none" w:pos="195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that serves as a general partner of another Plains Entity has full corporate or limited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power and authority, as the case may be, to serve as general partner of such Plains Entity, in each case in all material respects, as disclosed in the Prospectus.</w:t>
      </w:r>
    </w:p>
    <w:p>
      <w:pPr>
        <w:spacing w:after="0" w:line="181" w:lineRule="exact"/>
        <w:rPr>
          <w:rFonts w:ascii="Arial" w:cs="Arial" w:eastAsia="Arial" w:hAnsi="Arial"/>
          <w:sz w:val="18"/>
          <w:szCs w:val="18"/>
          <w:color w:val="auto"/>
        </w:rPr>
      </w:pPr>
    </w:p>
    <w:p>
      <w:pPr>
        <w:ind w:right="120" w:firstLine="1305"/>
        <w:spacing w:after="0" w:line="287" w:lineRule="auto"/>
        <w:tabs>
          <w:tab w:leader="none" w:pos="196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Ownership of Interests in the Partnership, the PAA GP Entities and PAA</w:t>
      </w:r>
      <w:r>
        <w:rPr>
          <w:rFonts w:ascii="Arial" w:cs="Arial" w:eastAsia="Arial" w:hAnsi="Arial"/>
          <w:sz w:val="16"/>
          <w:szCs w:val="16"/>
          <w:color w:val="auto"/>
        </w:rPr>
        <w:t>. The General Partner, the Partnership and the PAA GP</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hold the general partner, limited partner and membership interests in the Partnership, the PAA GP Entities and PAA, as applicable, as such interests are disclosed in the Prospectus; all of such interests have been duly authorized and validly issued in accordance with their respective limited partnership or limited liability company agreement, as applicable, and such membership interests are fully paid (to the extent required under their respective limited partnership or limited liability company agreement, as applicable) and nonassessable (except as such nonassessability may be affected by Sections 17-303, 17-607 and 17-804 of the Delaware Revised Uniform Limited Partnership Act (the “</w:t>
      </w:r>
      <w:r>
        <w:rPr>
          <w:rFonts w:ascii="Arial" w:cs="Arial" w:eastAsia="Arial" w:hAnsi="Arial"/>
          <w:sz w:val="16"/>
          <w:szCs w:val="16"/>
          <w:u w:val="single" w:color="auto"/>
          <w:color w:val="auto"/>
        </w:rPr>
        <w:t>Delaware LP Act</w:t>
      </w:r>
      <w:r>
        <w:rPr>
          <w:rFonts w:ascii="Arial" w:cs="Arial" w:eastAsia="Arial" w:hAnsi="Arial"/>
          <w:sz w:val="16"/>
          <w:szCs w:val="16"/>
          <w:color w:val="auto"/>
        </w:rPr>
        <w:t>”) or Sections 18-607 and 18-804 of the Delaware Limited Liability Company Act (the “</w:t>
      </w:r>
      <w:r>
        <w:rPr>
          <w:rFonts w:ascii="Arial" w:cs="Arial" w:eastAsia="Arial" w:hAnsi="Arial"/>
          <w:sz w:val="16"/>
          <w:szCs w:val="16"/>
          <w:u w:val="single" w:color="auto"/>
          <w:color w:val="auto"/>
        </w:rPr>
        <w:t>Delaware LLC Act</w:t>
      </w:r>
      <w:r>
        <w:rPr>
          <w:rFonts w:ascii="Arial" w:cs="Arial" w:eastAsia="Arial" w:hAnsi="Arial"/>
          <w:sz w:val="16"/>
          <w:szCs w:val="16"/>
          <w:color w:val="auto"/>
        </w:rPr>
        <w:t>”), as applicable); and such general partner, limited partner and membership interests held by the General Partner, the Partnership and the PAA GP Entities are owned free and clear of all liens, encumbrances, security interests, equities, charges or claims (“</w:t>
      </w:r>
      <w:r>
        <w:rPr>
          <w:rFonts w:ascii="Arial" w:cs="Arial" w:eastAsia="Arial" w:hAnsi="Arial"/>
          <w:sz w:val="16"/>
          <w:szCs w:val="16"/>
          <w:u w:val="single" w:color="auto"/>
          <w:color w:val="auto"/>
        </w:rPr>
        <w:t>Liens</w:t>
      </w:r>
      <w:r>
        <w:rPr>
          <w:rFonts w:ascii="Arial" w:cs="Arial" w:eastAsia="Arial" w:hAnsi="Arial"/>
          <w:sz w:val="16"/>
          <w:szCs w:val="16"/>
          <w:color w:val="auto"/>
        </w:rPr>
        <w:t>”), except (i) as disclosed in the Prospectus or (ii) such as would not reasonably be expected to result in a change of control of the Partnership (in the case of general partner and membership interests held by the General Partner) or reasonably be expected to materially adversely affect the ability of the PAA Entities considered as a whole to conduct their businesses as currently conducted and as contemplated by the Prospectus to be conducted.</w:t>
      </w:r>
    </w:p>
    <w:p>
      <w:pPr>
        <w:spacing w:after="0" w:line="172" w:lineRule="exact"/>
        <w:rPr>
          <w:rFonts w:ascii="Arial" w:cs="Arial" w:eastAsia="Arial" w:hAnsi="Arial"/>
          <w:sz w:val="16"/>
          <w:szCs w:val="16"/>
          <w:color w:val="auto"/>
        </w:rPr>
      </w:pPr>
    </w:p>
    <w:p>
      <w:pPr>
        <w:ind w:right="100" w:firstLine="1305"/>
        <w:spacing w:after="0" w:line="257" w:lineRule="auto"/>
        <w:tabs>
          <w:tab w:leader="none" w:pos="194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Ownership of Interests in the General Partner</w:t>
      </w:r>
      <w:r>
        <w:rPr>
          <w:rFonts w:ascii="Arial" w:cs="Arial" w:eastAsia="Arial" w:hAnsi="Arial"/>
          <w:sz w:val="18"/>
          <w:szCs w:val="18"/>
          <w:color w:val="auto"/>
        </w:rPr>
        <w:t>. All the membership interests in the General Partner have been duly authorized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validly issued in accordance with the Second Amended and Restated Limited Liability Company Agreement of the General Partner (as the same may be amended or restated prior to the date of determination, such agreement being referred to herein as the “</w:t>
      </w:r>
      <w:r>
        <w:rPr>
          <w:rFonts w:ascii="Arial" w:cs="Arial" w:eastAsia="Arial" w:hAnsi="Arial"/>
          <w:sz w:val="18"/>
          <w:szCs w:val="18"/>
          <w:u w:val="single" w:color="auto"/>
          <w:color w:val="auto"/>
        </w:rPr>
        <w:t>General Partner LLC Agreement</w:t>
      </w:r>
      <w:r>
        <w:rPr>
          <w:rFonts w:ascii="Arial" w:cs="Arial" w:eastAsia="Arial" w:hAnsi="Arial"/>
          <w:sz w:val="18"/>
          <w:szCs w:val="18"/>
          <w:color w:val="auto"/>
        </w:rPr>
        <w:t>”), and such membership interests are fully paid (to the extent required under General Partner LLC Agreement) and nonassessable (except as such assessability may be affected by Sections 18-607 and 18-804 of the Delaware LLC Act).</w:t>
      </w:r>
    </w:p>
    <w:p>
      <w:pPr>
        <w:spacing w:after="0" w:line="188" w:lineRule="exact"/>
        <w:rPr>
          <w:rFonts w:ascii="Arial" w:cs="Arial" w:eastAsia="Arial" w:hAnsi="Arial"/>
          <w:sz w:val="18"/>
          <w:szCs w:val="18"/>
          <w:color w:val="auto"/>
        </w:rPr>
      </w:pPr>
    </w:p>
    <w:p>
      <w:pPr>
        <w:ind w:firstLine="1305"/>
        <w:spacing w:after="0" w:line="272" w:lineRule="auto"/>
        <w:tabs>
          <w:tab w:leader="none" w:pos="1952"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Ownership of Interests in the Material Subsidiaries</w:t>
      </w:r>
      <w:r>
        <w:rPr>
          <w:rFonts w:ascii="Arial" w:cs="Arial" w:eastAsia="Arial" w:hAnsi="Arial"/>
          <w:sz w:val="17"/>
          <w:szCs w:val="17"/>
          <w:color w:val="auto"/>
        </w:rPr>
        <w:t>. All of the outstanding shares of capital stock or other equity interests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as applicable, (in each case as in effect as of the Execution Time and as the same may be adopted, entered into, amended or restated prior to the date of determination) (the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nonassessability may be affected by Sections 17-303,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(iii) in the case of an interest in an entity formed under the laws of a foreign jurisdiction, as such nonassessability may be affected by similar provisions of such jurisdiction’s corporate, partnership or limited liability company statute, if any, as applicable or (iv) with respect to the general partner interest of any Material Subsidiary) and (b) are owned, directly or indirectly, by PAA, free and clear of all Liens, except for such Liens as are not, individually or in the aggregate, material to such ownership or as described in the Prospectus. The PAA Subsidiaries other than the Material Subsidiaries did not, individually or in the aggregate, account for (i) more than 10% of the total assets of the PAA Entities, taken as a whole, as of the most recent fiscal year end or (ii) more than 10% of the net income of the PAA Entities, taken as a whole, for the most recent fiscal year end.</w:t>
      </w:r>
    </w:p>
    <w:p>
      <w:pPr>
        <w:spacing w:after="0" w:line="182" w:lineRule="exact"/>
        <w:rPr>
          <w:sz w:val="20"/>
          <w:szCs w:val="20"/>
          <w:color w:val="auto"/>
        </w:rPr>
      </w:pPr>
    </w:p>
    <w:p>
      <w:pPr>
        <w:ind w:right="60" w:firstLine="1305"/>
        <w:spacing w:after="0" w:line="297" w:lineRule="auto"/>
        <w:tabs>
          <w:tab w:leader="none" w:pos="1952"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Capitalization</w:t>
      </w:r>
      <w:r>
        <w:rPr>
          <w:rFonts w:ascii="Arial" w:cs="Arial" w:eastAsia="Arial" w:hAnsi="Arial"/>
          <w:sz w:val="16"/>
          <w:szCs w:val="16"/>
          <w:color w:val="auto"/>
        </w:rPr>
        <w:t>. As of the Execution Time, the issued and outstanding limited partner interests of the Partnership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100,771,924 Class A Shares, 140,526,631 Class B Shares and 731,970,295 Class C shares (as defined in the Partnership Agreement). All outstanding Class A Shares, Class B Shares and Class C shares and the limited partner interests represented thereby have been duly authorized and validly issued in accordance with the Second Amended and Restated Agreement of Limited Partnership of the Partnership, dated as of November 15, 2016 (the “</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and are fully paid (to the extent required under the Partnership Agreement) and nonassessable (except as such nonassessability may be affected by</w:t>
      </w:r>
    </w:p>
    <w:p>
      <w:pPr>
        <w:sectPr>
          <w:pgSz w:w="11900" w:h="16941" w:orient="portrait"/>
          <w:cols w:equalWidth="0" w:num="1">
            <w:col w:w="11420"/>
          </w:cols>
          <w:pgMar w:left="240" w:top="125" w:right="239" w:bottom="0" w:gutter="0" w:footer="0" w:header="0"/>
        </w:sectPr>
      </w:pPr>
    </w:p>
    <w:bookmarkStart w:id="6" w:name="page7"/>
    <w:bookmarkEnd w:id="6"/>
    <w:p>
      <w:pPr>
        <w:ind w:right="340"/>
        <w:spacing w:after="0" w:line="277" w:lineRule="auto"/>
        <w:rPr>
          <w:sz w:val="20"/>
          <w:szCs w:val="20"/>
          <w:color w:val="auto"/>
        </w:rPr>
      </w:pPr>
      <w:r>
        <w:rPr>
          <w:rFonts w:ascii="Arial" w:cs="Arial" w:eastAsia="Arial" w:hAnsi="Arial"/>
          <w:sz w:val="18"/>
          <w:szCs w:val="18"/>
          <w:color w:val="auto"/>
        </w:rPr>
        <w:t>Sections 17-303, 17-607 and 17-804 of the Delaware LP Act). The limited partner interests of the Partnership conform, in all material respects, as to legal matters to the descriptions thereof contained in the Prospectus.</w:t>
      </w:r>
    </w:p>
    <w:p>
      <w:pPr>
        <w:spacing w:after="0" w:line="170" w:lineRule="exact"/>
        <w:rPr>
          <w:sz w:val="20"/>
          <w:szCs w:val="20"/>
          <w:color w:val="auto"/>
        </w:rPr>
      </w:pPr>
    </w:p>
    <w:p>
      <w:pPr>
        <w:ind w:right="40" w:firstLine="1305"/>
        <w:spacing w:after="0" w:line="276" w:lineRule="auto"/>
        <w:tabs>
          <w:tab w:leader="none" w:pos="195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PAA Capitalization</w:t>
      </w:r>
      <w:r>
        <w:rPr>
          <w:rFonts w:ascii="Arial" w:cs="Arial" w:eastAsia="Arial" w:hAnsi="Arial"/>
          <w:sz w:val="17"/>
          <w:szCs w:val="17"/>
          <w:color w:val="auto"/>
        </w:rPr>
        <w:t>. As of the Execution Time, the issued and outstanding limited partner interests of PAA consist of 667,581,442</w:t>
      </w:r>
      <w:r>
        <w:rPr>
          <w:rFonts w:ascii="Arial" w:cs="Arial" w:eastAsia="Arial" w:hAnsi="Arial"/>
          <w:sz w:val="17"/>
          <w:szCs w:val="17"/>
          <w:i w:val="1"/>
          <w:iCs w:val="1"/>
          <w:color w:val="auto"/>
        </w:rPr>
        <w:t xml:space="preserve"> </w:t>
      </w:r>
      <w:r>
        <w:rPr>
          <w:rFonts w:ascii="Arial" w:cs="Arial" w:eastAsia="Arial" w:hAnsi="Arial"/>
          <w:sz w:val="17"/>
          <w:szCs w:val="17"/>
          <w:color w:val="auto"/>
        </w:rPr>
        <w:t>PAA Units (as defined below) and 64,388,853 Series A Preferred Units (as defined in the Organizational Documents of PAA). All outstanding PAA Units and Series A Preferred Units and the limited partner interests represented thereby have been duly authorized and validly issued in accordance with the Organizational Documents of PAA and are fully paid (to the extent required under the Organizational Documents of PAA) and nonassessable (except as such nonassessability may be affected by Sections 17-607 and 17-804 of the Delaware LP Act).</w:t>
      </w:r>
    </w:p>
    <w:p>
      <w:pPr>
        <w:spacing w:after="0" w:line="172" w:lineRule="exact"/>
        <w:rPr>
          <w:rFonts w:ascii="Arial" w:cs="Arial" w:eastAsia="Arial" w:hAnsi="Arial"/>
          <w:sz w:val="17"/>
          <w:szCs w:val="17"/>
          <w:color w:val="auto"/>
        </w:rPr>
      </w:pPr>
    </w:p>
    <w:p>
      <w:pPr>
        <w:ind w:right="40" w:firstLine="1305"/>
        <w:spacing w:after="0" w:line="276" w:lineRule="auto"/>
        <w:tabs>
          <w:tab w:leader="none" w:pos="195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Plains AAP Capitalization</w:t>
      </w:r>
      <w:r>
        <w:rPr>
          <w:rFonts w:ascii="Arial" w:cs="Arial" w:eastAsia="Arial" w:hAnsi="Arial"/>
          <w:sz w:val="17"/>
          <w:szCs w:val="17"/>
          <w:color w:val="auto"/>
        </w:rPr>
        <w:t>. As of the Execution Time, the issued and outstanding limited partner interests of Plains AAP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242,285,529 AAP Units (as defined below) and 3,414,812 Class B Units (as defined the Organizational Documents of Plains AAP). All outstanding AAP Units and Class B Units and the limited partner interests represented thereby have been duly authorized and validly issued in accordance with the Organizational Documents of Plains AAP and are fully paid (to the extent required under the Organizational Documents of Plains AAP) and nonassessable (except as such nonassessability may be affected by Sections 17-607 and 17-804 of the Delaware LP Act).</w:t>
      </w:r>
    </w:p>
    <w:p>
      <w:pPr>
        <w:spacing w:after="0" w:line="172" w:lineRule="exact"/>
        <w:rPr>
          <w:rFonts w:ascii="Arial" w:cs="Arial" w:eastAsia="Arial" w:hAnsi="Arial"/>
          <w:sz w:val="17"/>
          <w:szCs w:val="17"/>
          <w:color w:val="auto"/>
        </w:rPr>
      </w:pPr>
    </w:p>
    <w:p>
      <w:pPr>
        <w:ind w:right="140" w:firstLine="1305"/>
        <w:spacing w:after="0" w:line="302" w:lineRule="auto"/>
        <w:tabs>
          <w:tab w:leader="none" w:pos="196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Shares</w:t>
      </w:r>
      <w:r>
        <w:rPr>
          <w:rFonts w:ascii="Arial" w:cs="Arial" w:eastAsia="Arial" w:hAnsi="Arial"/>
          <w:sz w:val="16"/>
          <w:szCs w:val="16"/>
          <w:color w:val="auto"/>
        </w:rPr>
        <w:t>. At each Applicable Time and at each Settlement Date, the Shares to be sold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and the limited partner interests represented thereby will be duly authorized in accordance with the Partnership Agreement and, when issued and delivered against payment therefor in accordance with the terms hereof, will be validly issued, fully paid (to the extent required under the Partnership Agreement) and nonassessable (except as such nonassessability may be affected by Sections 17-303, 17-607 and 17-804 of the Delaware LP Act).</w:t>
      </w:r>
    </w:p>
    <w:p>
      <w:pPr>
        <w:spacing w:after="0" w:line="154" w:lineRule="exact"/>
        <w:rPr>
          <w:rFonts w:ascii="Arial" w:cs="Arial" w:eastAsia="Arial" w:hAnsi="Arial"/>
          <w:sz w:val="16"/>
          <w:szCs w:val="16"/>
          <w:color w:val="auto"/>
        </w:rPr>
      </w:pPr>
    </w:p>
    <w:p>
      <w:pPr>
        <w:ind w:right="60" w:firstLine="1305"/>
        <w:spacing w:after="0" w:line="293" w:lineRule="auto"/>
        <w:tabs>
          <w:tab w:leader="none" w:pos="1959"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AAP and PAA Units</w:t>
      </w:r>
      <w:r>
        <w:rPr>
          <w:rFonts w:ascii="Arial" w:cs="Arial" w:eastAsia="Arial" w:hAnsi="Arial"/>
          <w:sz w:val="16"/>
          <w:szCs w:val="16"/>
          <w:color w:val="auto"/>
        </w:rPr>
        <w:t>. The Class A units representing limited partner interests in Plains AAP</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AAP Units</w:t>
      </w:r>
      <w:r>
        <w:rPr>
          <w:rFonts w:ascii="Arial" w:cs="Arial" w:eastAsia="Arial" w:hAnsi="Arial"/>
          <w:sz w:val="16"/>
          <w:szCs w:val="16"/>
          <w:color w:val="auto"/>
        </w:rPr>
        <w:t>”) and the common units representing limited partner interests in PAA (the “</w:t>
      </w:r>
      <w:r>
        <w:rPr>
          <w:rFonts w:ascii="Arial" w:cs="Arial" w:eastAsia="Arial" w:hAnsi="Arial"/>
          <w:sz w:val="16"/>
          <w:szCs w:val="16"/>
          <w:u w:val="single" w:color="auto"/>
          <w:color w:val="auto"/>
        </w:rPr>
        <w:t>PAA Units</w:t>
      </w:r>
      <w:r>
        <w:rPr>
          <w:rFonts w:ascii="Arial" w:cs="Arial" w:eastAsia="Arial" w:hAnsi="Arial"/>
          <w:sz w:val="16"/>
          <w:szCs w:val="16"/>
          <w:color w:val="auto"/>
        </w:rPr>
        <w:t>”) to be issued and sold pursuant to the Omnibus Agreement in connection with sales of Shares pursuant to this Agreement and the limited partner interests represented thereby will be duly authorized in accordance with the Organizational Documents of Plains AAP and PAA, respectively, and, when issued and delivered against payment therefor in accordance with the terms thereof, will be validly issued, fully paid (to the extent required under the Organizational Documents of Plains AAP and PAA, as applicable) and nonassessable (except as such nonassessability may be affected by Sections 17-303, 17-607 and 17-804 of the Delaware LP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91" w:lineRule="auto"/>
        <w:tabs>
          <w:tab w:leader="none" w:pos="1953"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Preemptive or Other Rights</w:t>
      </w:r>
      <w:r>
        <w:rPr>
          <w:rFonts w:ascii="Arial" w:cs="Arial" w:eastAsia="Arial" w:hAnsi="Arial"/>
          <w:sz w:val="16"/>
          <w:szCs w:val="16"/>
          <w:color w:val="auto"/>
        </w:rPr>
        <w:t>. Except as described in the Prospectus or as provided in the Organizational Documents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Plains AAP or PAA and the Omnibus Agreement, there are no preemptive rights or other rights to subscribe for or to purchase, nor any restriction upon the voting or transfer of, any interests in the Partnership, Plains AAP or PAA pursuant to any agreement or other instrument to which the Partnership, Plains AAP or PAA is a party or by which the Partnership, Plains AAP or PAA may be bound. Neither the filing of the Registration Statement nor the offering or sale of the Shares as contemplated by this Agreement gives rise to any rights for or relating to the registration of any Shares or other securities of the Partnership except such rights as have been waived or satisfied. Except (i) as described in the Prospectus and (ii) for awards issued pursuant to the Partnership’s long-term incentive plans, there are no outstanding rights to purchase any Class A shares or other equity interests in the Partnership.</w:t>
      </w:r>
    </w:p>
    <w:p>
      <w:pPr>
        <w:spacing w:after="0" w:line="167" w:lineRule="exact"/>
        <w:rPr>
          <w:rFonts w:ascii="Arial" w:cs="Arial" w:eastAsia="Arial" w:hAnsi="Arial"/>
          <w:sz w:val="16"/>
          <w:szCs w:val="16"/>
          <w:color w:val="auto"/>
        </w:rPr>
      </w:pPr>
    </w:p>
    <w:p>
      <w:pPr>
        <w:ind w:right="20" w:firstLine="1305"/>
        <w:spacing w:after="0" w:line="255" w:lineRule="auto"/>
        <w:tabs>
          <w:tab w:leader="none" w:pos="1952"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Each of the Partnership, Plains AAP and PAA has all requisite power and authority to issue, sell and deliver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AAP Units and the PAA Units, as applicable, in accordance with and upon the terms and conditions set forth in this Agreement, the Omnibus Agreement, their respective Organizational Documents, the Registration Statement and the Prospectus, as applicable. At each Settlement Date, all action required to be taken by the Partnership or its partners for (i) the due and proper authorization, execution and delivery of this Agreement, (ii) the authorization, issuance, sale and delivery of the Shares and (iii) the consummation of the other transactions contemplated hereby will have been duly and validly taken. All action required to be taken by Plains AAP, PAA or their respective partners for the authorization, issuance, sale and delivery of AAP Units and PAA Units, as contemplated herein, will have been duly and validly taken.</w:t>
      </w:r>
    </w:p>
    <w:p>
      <w:pPr>
        <w:spacing w:after="0" w:line="189" w:lineRule="exact"/>
        <w:rPr>
          <w:rFonts w:ascii="Arial" w:cs="Arial" w:eastAsia="Arial" w:hAnsi="Arial"/>
          <w:sz w:val="18"/>
          <w:szCs w:val="18"/>
          <w:color w:val="auto"/>
        </w:rPr>
      </w:pPr>
    </w:p>
    <w:p>
      <w:pPr>
        <w:ind w:right="400" w:firstLine="1305"/>
        <w:spacing w:after="0" w:line="277" w:lineRule="auto"/>
        <w:tabs>
          <w:tab w:leader="none" w:pos="1952"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or on behalf of the Partnership.</w:t>
      </w:r>
    </w:p>
    <w:p>
      <w:pPr>
        <w:spacing w:after="0" w:line="170" w:lineRule="exact"/>
        <w:rPr>
          <w:rFonts w:ascii="Arial" w:cs="Arial" w:eastAsia="Arial" w:hAnsi="Arial"/>
          <w:sz w:val="18"/>
          <w:szCs w:val="18"/>
          <w:color w:val="auto"/>
        </w:rPr>
      </w:pPr>
    </w:p>
    <w:p>
      <w:pPr>
        <w:ind w:right="100" w:firstLine="1305"/>
        <w:spacing w:after="0" w:line="255" w:lineRule="auto"/>
        <w:tabs>
          <w:tab w:leader="none" w:pos="1965"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Authorization, Execution and Enforceability of the Operating Agreements</w:t>
      </w:r>
      <w:r>
        <w:rPr>
          <w:rFonts w:ascii="Arial" w:cs="Arial" w:eastAsia="Arial" w:hAnsi="Arial"/>
          <w:sz w:val="18"/>
          <w:szCs w:val="18"/>
          <w:color w:val="auto"/>
        </w:rPr>
        <w:t>. The Organizational Documents of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the General Partner, the PAA GP Entities, PAA and the Material Subsidiaries (each a “</w:t>
      </w:r>
      <w:r>
        <w:rPr>
          <w:rFonts w:ascii="Arial" w:cs="Arial" w:eastAsia="Arial" w:hAnsi="Arial"/>
          <w:sz w:val="18"/>
          <w:szCs w:val="18"/>
          <w:u w:val="single" w:color="auto"/>
          <w:color w:val="auto"/>
        </w:rPr>
        <w:t>Partnership Entity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Entities</w:t>
      </w:r>
      <w:r>
        <w:rPr>
          <w:rFonts w:ascii="Arial" w:cs="Arial" w:eastAsia="Arial" w:hAnsi="Arial"/>
          <w:sz w:val="18"/>
          <w:szCs w:val="18"/>
          <w:color w:val="auto"/>
        </w:rPr>
        <w:t xml:space="preserve">”)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89" w:lineRule="exact"/>
        <w:rPr>
          <w:rFonts w:ascii="Arial" w:cs="Arial" w:eastAsia="Arial" w:hAnsi="Arial"/>
          <w:sz w:val="18"/>
          <w:szCs w:val="18"/>
          <w:color w:val="auto"/>
        </w:rPr>
      </w:pPr>
    </w:p>
    <w:p>
      <w:pPr>
        <w:ind w:firstLine="1305"/>
        <w:spacing w:after="0" w:line="288" w:lineRule="auto"/>
        <w:tabs>
          <w:tab w:leader="none" w:pos="195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consent, approval, authorization, filing with or order of any court or governmental agency or body having</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over any of the Plains Entities or any of their respective properties is required in connection with the offering, issuance and sale by the Partnership of the Shares, the execution delivery and performance of, or the consummation by the Partnership of the transactions contemplated by this Agreement, except</w:t>
      </w:r>
    </w:p>
    <w:p>
      <w:pPr>
        <w:ind w:firstLine="8"/>
        <w:spacing w:after="0" w:line="253"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as have been obtained under the Act, (ii) such as may be required under the blue sky laws of any jurisdiction or the by-laws and rules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in connection with the purchase and distribution of the Shares in the manner contemplated herein and in the Prospectus and (iii) such that the failure to obtain or make would not reasonably be expected to have a Material Adverse Effect or materially impair the ability of the Partnership, Plains AAP or PAA to consummate the transactions contemplated by this Agreement, including the related sale of the AAP Units and PAA Units.</w:t>
      </w:r>
    </w:p>
    <w:p>
      <w:pPr>
        <w:spacing w:after="0" w:line="191" w:lineRule="exact"/>
        <w:rPr>
          <w:rFonts w:ascii="Arial" w:cs="Arial" w:eastAsia="Arial" w:hAnsi="Arial"/>
          <w:sz w:val="18"/>
          <w:szCs w:val="18"/>
          <w:color w:val="auto"/>
        </w:rPr>
      </w:pPr>
    </w:p>
    <w:p>
      <w:pPr>
        <w:ind w:firstLine="1305"/>
        <w:spacing w:after="0" w:line="290" w:lineRule="auto"/>
        <w:tabs>
          <w:tab w:leader="none" w:pos="1952"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None of the offering, issuance and sale by the Partnership of the Shares, the execution, delivery and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by the Partnership, or the consummation of the transactions contemplated by this Agreement (i) conflicts or will conflict with or constitutes or will constitute a violation of the Organizational Documents of the Partnership Entities,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Entities is a party or by which any of them or any of their respective properties may be bound, (iii) violates or will violate any statute, law or regulation or any order, judgment, decree or injunction of any court or governmental agency or body directed to the Partnership Entities or any of their properties in a proceeding to which any of them or their property is a party or (iv) results or will result in the creation or imposition of any Lien upon any property or assets of the Partnership Entities, which conflicts,</w:t>
      </w:r>
    </w:p>
    <w:p>
      <w:pPr>
        <w:sectPr>
          <w:pgSz w:w="11900" w:h="16838" w:orient="portrait"/>
          <w:cols w:equalWidth="0" w:num="1">
            <w:col w:w="11420"/>
          </w:cols>
          <w:pgMar w:left="240" w:top="125" w:right="239" w:bottom="0" w:gutter="0" w:footer="0" w:header="0"/>
        </w:sectPr>
      </w:pPr>
    </w:p>
    <w:bookmarkStart w:id="7" w:name="page8"/>
    <w:bookmarkEnd w:id="7"/>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breaches, violations, defaults or Liens, in the case of clauses (ii), (iii) or (iv), would reasonably be expected to have a Material Adverse Effect or materially impair the ability of the Partnership, Plains AAP or PAA to consummate the transactions contemplated by this Agreement, including the related sale of the AAP Units and PAA Units.</w:t>
      </w:r>
    </w:p>
    <w:p>
      <w:pPr>
        <w:spacing w:after="0" w:line="181" w:lineRule="exact"/>
        <w:rPr>
          <w:sz w:val="20"/>
          <w:szCs w:val="20"/>
          <w:color w:val="auto"/>
        </w:rPr>
      </w:pPr>
    </w:p>
    <w:p>
      <w:pPr>
        <w:ind w:firstLine="1305"/>
        <w:spacing w:after="0" w:line="284" w:lineRule="auto"/>
        <w:tabs>
          <w:tab w:leader="none" w:pos="1955"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related notes and supporting schedules) and other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included or incorporated by reference in the Registration Statement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and the Prospectus</w:t>
      </w:r>
    </w:p>
    <w:p>
      <w:pPr>
        <w:spacing w:after="0" w:line="1" w:lineRule="exact"/>
        <w:rPr>
          <w:rFonts w:ascii="Arial" w:cs="Arial" w:eastAsia="Arial" w:hAnsi="Arial"/>
          <w:sz w:val="16"/>
          <w:szCs w:val="16"/>
          <w:color w:val="auto"/>
        </w:rPr>
      </w:pPr>
    </w:p>
    <w:p>
      <w:pPr>
        <w:ind w:firstLine="8"/>
        <w:spacing w:after="0" w:line="252"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and the Prospectus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Prospectus.</w:t>
      </w:r>
    </w:p>
    <w:p>
      <w:pPr>
        <w:spacing w:after="0" w:line="194" w:lineRule="exact"/>
        <w:rPr>
          <w:rFonts w:ascii="Arial" w:cs="Arial" w:eastAsia="Arial" w:hAnsi="Arial"/>
          <w:sz w:val="18"/>
          <w:szCs w:val="18"/>
          <w:color w:val="auto"/>
        </w:rPr>
      </w:pPr>
    </w:p>
    <w:p>
      <w:pPr>
        <w:ind w:right="100" w:firstLine="1305"/>
        <w:spacing w:after="0" w:line="273" w:lineRule="auto"/>
        <w:tabs>
          <w:tab w:leader="none" w:pos="1927"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No Legal Actions</w:t>
      </w:r>
      <w:r>
        <w:rPr>
          <w:rFonts w:ascii="Arial" w:cs="Arial" w:eastAsia="Arial" w:hAnsi="Arial"/>
          <w:sz w:val="17"/>
          <w:szCs w:val="17"/>
          <w:color w:val="auto"/>
        </w:rPr>
        <w:t>. Except as described in the Prospectus, there is (i) no action, suit or proceeding before or by any court, arbitrator</w:t>
      </w:r>
      <w:r>
        <w:rPr>
          <w:rFonts w:ascii="Arial" w:cs="Arial" w:eastAsia="Arial" w:hAnsi="Arial"/>
          <w:sz w:val="17"/>
          <w:szCs w:val="17"/>
          <w:i w:val="1"/>
          <w:iCs w:val="1"/>
          <w:color w:val="auto"/>
        </w:rPr>
        <w:t xml:space="preserve"> </w:t>
      </w:r>
      <w:r>
        <w:rPr>
          <w:rFonts w:ascii="Arial" w:cs="Arial" w:eastAsia="Arial" w:hAnsi="Arial"/>
          <w:sz w:val="17"/>
          <w:szCs w:val="17"/>
          <w:color w:val="auto"/>
        </w:rPr>
        <w:t>or governmental agency, body or official, domestic or foreign, now pending or, to the knowledge of the Partnership, threatened, to which any of the Plains Entities is or may be a party or to which the business or property of any of the Plains Entities is or may be subject, and (ii) no injunction, restraining order or order of any nature issued by a federal or state court or foreign court of competent jurisdiction to which any of the Plains Entities is or may be subject, in the case of each of clauses (i) and (ii) that would reasonably be expected, individually or in the aggregate, to have a Material Adverse Effect or prevent or result in the suspension of the offering and issuance of the Shares.</w:t>
      </w:r>
    </w:p>
    <w:p>
      <w:pPr>
        <w:spacing w:after="0" w:line="178" w:lineRule="exact"/>
        <w:rPr>
          <w:rFonts w:ascii="Arial" w:cs="Arial" w:eastAsia="Arial" w:hAnsi="Arial"/>
          <w:sz w:val="17"/>
          <w:szCs w:val="17"/>
          <w:color w:val="auto"/>
        </w:rPr>
      </w:pPr>
    </w:p>
    <w:p>
      <w:pPr>
        <w:ind w:right="40" w:firstLine="1305"/>
        <w:spacing w:after="0" w:line="254" w:lineRule="auto"/>
        <w:tabs>
          <w:tab w:leader="none" w:pos="1948"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(i) None of the Partnership Entities is in violation of its Organizational Documents in any material respect; (ii) none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Entities is in violation of any law, statute, ordinance, administrative or governmental rule or regulation applicable to it or of any decree of any court or governmental agency or body having jurisdiction over it and (iii) none of the Partnership Entities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and (iii) would, if continued, reasonably be expected to have a Material Adverse Effect or materially impair the ability of the Partnership, Plains AAP or PAA to consummate the transactions contemplated by this Agreement, including the related sale of the AAP Units and PAA Units.</w:t>
      </w:r>
    </w:p>
    <w:p>
      <w:pPr>
        <w:spacing w:after="0" w:line="192" w:lineRule="exact"/>
        <w:rPr>
          <w:rFonts w:ascii="Arial" w:cs="Arial" w:eastAsia="Arial" w:hAnsi="Arial"/>
          <w:sz w:val="18"/>
          <w:szCs w:val="18"/>
          <w:color w:val="auto"/>
        </w:rPr>
      </w:pPr>
    </w:p>
    <w:p>
      <w:pPr>
        <w:jc w:val="both"/>
        <w:ind w:right="500" w:firstLine="1305"/>
        <w:spacing w:after="0" w:line="259" w:lineRule="auto"/>
        <w:tabs>
          <w:tab w:leader="none" w:pos="1954"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PricewaterhouseCoopers LLP (the “</w:t>
      </w:r>
      <w:r>
        <w:rPr>
          <w:rFonts w:ascii="Arial" w:cs="Arial" w:eastAsia="Arial" w:hAnsi="Arial"/>
          <w:sz w:val="18"/>
          <w:szCs w:val="18"/>
          <w:u w:val="single" w:color="auto"/>
          <w:color w:val="auto"/>
        </w:rPr>
        <w:t>Accountants</w:t>
      </w:r>
      <w:r>
        <w:rPr>
          <w:rFonts w:ascii="Arial" w:cs="Arial" w:eastAsia="Arial" w:hAnsi="Arial"/>
          <w:sz w:val="18"/>
          <w:szCs w:val="18"/>
          <w:color w:val="auto"/>
        </w:rPr>
        <w:t>”), which has certified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audited financial statements included or incorporated by reference in the Registration Statement and the Prospectus (and any amendment or supplement thereto), is an independent registered public accounting firm with respect to the General Partner and the Partnership and its consolidated subsidiaries as required by the Act and the Public Company Accounting Oversight Board.</w:t>
      </w:r>
    </w:p>
    <w:p>
      <w:pPr>
        <w:spacing w:after="0" w:line="186" w:lineRule="exact"/>
        <w:rPr>
          <w:rFonts w:ascii="Arial" w:cs="Arial" w:eastAsia="Arial" w:hAnsi="Arial"/>
          <w:sz w:val="18"/>
          <w:szCs w:val="18"/>
          <w:color w:val="auto"/>
        </w:rPr>
      </w:pPr>
    </w:p>
    <w:p>
      <w:pPr>
        <w:ind w:right="260" w:firstLine="1305"/>
        <w:spacing w:after="0" w:line="279" w:lineRule="auto"/>
        <w:tabs>
          <w:tab w:leader="none" w:pos="1948"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No Material Adverse Changes</w:t>
      </w:r>
      <w:r>
        <w:rPr>
          <w:rFonts w:ascii="Arial" w:cs="Arial" w:eastAsia="Arial" w:hAnsi="Arial"/>
          <w:sz w:val="17"/>
          <w:szCs w:val="17"/>
          <w:color w:val="auto"/>
        </w:rPr>
        <w:t>. None of the Plains Entities has sustained, since the date of the latest audited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Registration Statement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and the Prospectus and other than as would not reasonably be expected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to have a Material Adverse Effect. Except as disclosed in the Prospectus, subsequent to the respective dates as of which information is given in the Registration Statement and the Prospectus, there has not been (i) any Material Adverse Effect, or any development that would, individually or in the aggregate, reasonably be expected to have a Material Adverse Effect, (ii) any transaction which is material to the Plains Entities taken as a whole, other than transactions in the ordinary course of business as such business is described in the Registration Statement and the Prospectus or (iii) any dividend or distribution of any kind, other than quarterly distributions of Available Cash (as defined in the Partnership Agreement) and other than dividends or distributions from any Subsidiary to another Subsidiary or the Partnership or from a Partnership Entity to its members or other equity owners, declared, paid or made on the security interests of any of the Plains Entities, in each case other than as set forth in the Registration Statement and the Prospectus.</w:t>
      </w:r>
    </w:p>
    <w:p>
      <w:pPr>
        <w:spacing w:after="0" w:line="167" w:lineRule="exact"/>
        <w:rPr>
          <w:sz w:val="20"/>
          <w:szCs w:val="20"/>
          <w:color w:val="auto"/>
        </w:rPr>
      </w:pPr>
    </w:p>
    <w:p>
      <w:pPr>
        <w:ind w:right="20" w:firstLine="1305"/>
        <w:spacing w:after="0" w:line="276" w:lineRule="auto"/>
        <w:tabs>
          <w:tab w:leader="none" w:pos="1954"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Required Disclosures and Descriptions</w:t>
      </w:r>
      <w:r>
        <w:rPr>
          <w:rFonts w:ascii="Arial" w:cs="Arial" w:eastAsia="Arial" w:hAnsi="Arial"/>
          <w:sz w:val="17"/>
          <w:szCs w:val="17"/>
          <w:color w:val="auto"/>
        </w:rPr>
        <w:t>. There are no legal or governmental proceedings pending 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threatened, against any of the Plains Entities, or to which any of the Plains Entities is a party, or to which any of their respective properties is subject, that are required to be described in the Registration Statement or the Prospectus but are not described as required, and there are no agreements, contracts, indentures, leases or other instruments that are required to be described in the Registration Statement or the Prospectus or to be filed as an exhibit to the Registration Statement that are not described or filed as required by the Act or the Exchange Act.</w:t>
      </w:r>
    </w:p>
    <w:p>
      <w:pPr>
        <w:spacing w:after="0" w:line="172" w:lineRule="exact"/>
        <w:rPr>
          <w:rFonts w:ascii="Arial" w:cs="Arial" w:eastAsia="Arial" w:hAnsi="Arial"/>
          <w:sz w:val="17"/>
          <w:szCs w:val="17"/>
          <w:color w:val="auto"/>
        </w:rPr>
      </w:pPr>
    </w:p>
    <w:p>
      <w:pPr>
        <w:ind w:right="20" w:firstLine="1305"/>
        <w:spacing w:after="0" w:line="293" w:lineRule="auto"/>
        <w:tabs>
          <w:tab w:leader="none" w:pos="193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PAA Entities, directly or indirectly, have good and indefeasible title to all real property and good title to all</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 property described in the Prospectus as being owned by them, free and clear of all Liens except (i) as provided in the Third Amended and Restated Credit Agreement dated August 19, 2011, as amended, among Plains Marketing, L.P., Bank of America, N.A., as administrative agent thereunder, and the lenders from time to time party thereto, described in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Prospectus.</w:t>
      </w:r>
    </w:p>
    <w:p>
      <w:pPr>
        <w:spacing w:after="0" w:line="164" w:lineRule="exact"/>
        <w:rPr>
          <w:rFonts w:ascii="Arial" w:cs="Arial" w:eastAsia="Arial" w:hAnsi="Arial"/>
          <w:sz w:val="16"/>
          <w:szCs w:val="16"/>
          <w:color w:val="auto"/>
        </w:rPr>
      </w:pPr>
    </w:p>
    <w:p>
      <w:pPr>
        <w:ind w:right="40" w:firstLine="1305"/>
        <w:spacing w:after="0" w:line="342" w:lineRule="auto"/>
        <w:tabs>
          <w:tab w:leader="none" w:pos="197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Permits</w:t>
      </w:r>
      <w:r>
        <w:rPr>
          <w:rFonts w:ascii="Arial" w:cs="Arial" w:eastAsia="Arial" w:hAnsi="Arial"/>
          <w:sz w:val="16"/>
          <w:szCs w:val="16"/>
          <w:color w:val="auto"/>
        </w:rPr>
        <w:t>. Each of the Plains Entities, directly or indirectly, has such permits, consents, licenses, franchises, certificates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of governmental or regulatory authorities (“</w:t>
      </w:r>
      <w:r>
        <w:rPr>
          <w:rFonts w:ascii="Arial" w:cs="Arial" w:eastAsia="Arial" w:hAnsi="Arial"/>
          <w:sz w:val="16"/>
          <w:szCs w:val="16"/>
          <w:u w:val="single" w:color="auto"/>
          <w:color w:val="auto"/>
        </w:rPr>
        <w:t>Permits</w:t>
      </w:r>
      <w:r>
        <w:rPr>
          <w:rFonts w:ascii="Arial" w:cs="Arial" w:eastAsia="Arial" w:hAnsi="Arial"/>
          <w:sz w:val="16"/>
          <w:szCs w:val="16"/>
          <w:color w:val="auto"/>
        </w:rPr>
        <w:t>”) as are necessary to own its properties and to conduct its business in the manner described</w:t>
      </w:r>
    </w:p>
    <w:p>
      <w:pPr>
        <w:sectPr>
          <w:pgSz w:w="11900" w:h="16975" w:orient="portrait"/>
          <w:cols w:equalWidth="0" w:num="1">
            <w:col w:w="11420"/>
          </w:cols>
          <w:pgMar w:left="240" w:top="125" w:right="239" w:bottom="0" w:gutter="0" w:footer="0" w:header="0"/>
        </w:sectPr>
      </w:pPr>
    </w:p>
    <w:bookmarkStart w:id="8" w:name="page9"/>
    <w:bookmarkEnd w:id="8"/>
    <w:p>
      <w:pPr>
        <w:ind w:right="80"/>
        <w:spacing w:after="0" w:line="257" w:lineRule="auto"/>
        <w:rPr>
          <w:sz w:val="20"/>
          <w:szCs w:val="20"/>
          <w:color w:val="auto"/>
        </w:rPr>
      </w:pPr>
      <w:r>
        <w:rPr>
          <w:rFonts w:ascii="Arial" w:cs="Arial" w:eastAsia="Arial" w:hAnsi="Arial"/>
          <w:sz w:val="18"/>
          <w:szCs w:val="18"/>
          <w:color w:val="auto"/>
        </w:rPr>
        <w:t>in the Prospectus, subject to such qualifications as may be set forth in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Prospectus.</w:t>
      </w:r>
    </w:p>
    <w:p>
      <w:pPr>
        <w:spacing w:after="0" w:line="188" w:lineRule="exact"/>
        <w:rPr>
          <w:sz w:val="20"/>
          <w:szCs w:val="20"/>
          <w:color w:val="auto"/>
        </w:rPr>
      </w:pPr>
    </w:p>
    <w:p>
      <w:pPr>
        <w:ind w:firstLine="1305"/>
        <w:spacing w:after="0" w:line="254" w:lineRule="auto"/>
        <w:tabs>
          <w:tab w:leader="none" w:pos="19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Rights-of-Way</w:t>
      </w:r>
      <w:r>
        <w:rPr>
          <w:rFonts w:ascii="Arial" w:cs="Arial" w:eastAsia="Arial" w:hAnsi="Arial"/>
          <w:sz w:val="18"/>
          <w:szCs w:val="18"/>
          <w:color w:val="auto"/>
        </w:rPr>
        <w:t>. Each of the Plains Entities, directly or indirectly, has such consents, easements, rights-of-way or licenses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t>
      </w:r>
      <w:r>
        <w:rPr>
          <w:rFonts w:ascii="Arial" w:cs="Arial" w:eastAsia="Arial" w:hAnsi="Arial"/>
          <w:sz w:val="18"/>
          <w:szCs w:val="18"/>
          <w:u w:val="single" w:color="auto"/>
          <w:color w:val="auto"/>
        </w:rPr>
        <w:t>rights-of-way</w:t>
      </w:r>
      <w:r>
        <w:rPr>
          <w:rFonts w:ascii="Arial" w:cs="Arial" w:eastAsia="Arial" w:hAnsi="Arial"/>
          <w:sz w:val="18"/>
          <w:szCs w:val="18"/>
          <w:color w:val="auto"/>
        </w:rPr>
        <w:t>”) as are necessary to conduct its business in the manner described in the Prospectus, subject to such qualifications as may be set forth in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Prospectus.</w:t>
      </w:r>
    </w:p>
    <w:p>
      <w:pPr>
        <w:spacing w:after="0" w:line="192" w:lineRule="exact"/>
        <w:rPr>
          <w:rFonts w:ascii="Arial" w:cs="Arial" w:eastAsia="Arial" w:hAnsi="Arial"/>
          <w:sz w:val="18"/>
          <w:szCs w:val="18"/>
          <w:color w:val="auto"/>
        </w:rPr>
      </w:pPr>
    </w:p>
    <w:p>
      <w:pPr>
        <w:ind w:right="160" w:firstLine="1305"/>
        <w:spacing w:after="0" w:line="257" w:lineRule="auto"/>
        <w:tabs>
          <w:tab w:leader="none" w:pos="197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None of the Plains Entities are now, and after sale of the Shares to be sold by the Partnership hereunder, or</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sale of the AAP Units and the PAA Units, and application of the Net Proceeds (as defined below) from such sale as described in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(ii) a “gas utility,” within the meaning of Tex. Util. Code § 121.001 or (iii) a “public utility”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70" w:lineRule="exact"/>
        <w:rPr>
          <w:sz w:val="20"/>
          <w:szCs w:val="20"/>
          <w:color w:val="auto"/>
        </w:rPr>
      </w:pPr>
    </w:p>
    <w:p>
      <w:pPr>
        <w:ind w:right="100" w:firstLine="1305"/>
        <w:spacing w:after="0" w:line="297" w:lineRule="auto"/>
        <w:tabs>
          <w:tab w:leader="none" w:pos="1949"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Environmental Compliance</w:t>
      </w:r>
      <w:r>
        <w:rPr>
          <w:rFonts w:ascii="Arial" w:cs="Arial" w:eastAsia="Arial" w:hAnsi="Arial"/>
          <w:sz w:val="16"/>
          <w:szCs w:val="16"/>
          <w:color w:val="auto"/>
        </w:rPr>
        <w:t>. Except as described in the Prospectus, none of the Plains Entities, directly or indirectly, has violated</w:t>
      </w:r>
      <w:r>
        <w:rPr>
          <w:rFonts w:ascii="Arial" w:cs="Arial" w:eastAsia="Arial" w:hAnsi="Arial"/>
          <w:sz w:val="16"/>
          <w:szCs w:val="16"/>
          <w:i w:val="1"/>
          <w:iCs w:val="1"/>
          <w:color w:val="auto"/>
        </w:rPr>
        <w:t xml:space="preserve"> </w:t>
      </w:r>
      <w:r>
        <w:rPr>
          <w:rFonts w:ascii="Arial" w:cs="Arial" w:eastAsia="Arial" w:hAnsi="Arial"/>
          <w:sz w:val="16"/>
          <w:szCs w:val="16"/>
          <w:color w:val="auto"/>
        </w:rPr>
        <w:t>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lacks any permits, licenses or other approvals required of them under applicable Environmental Laws to own, lease or operate their properties and conduct their business as described in the Prospectus or is violating any terms and conditions of any such permit, license or approval, which in each case would reasonably be expected to have a Material Adverse Effect.</w:t>
      </w:r>
    </w:p>
    <w:p>
      <w:pPr>
        <w:spacing w:after="0" w:line="158" w:lineRule="exact"/>
        <w:rPr>
          <w:rFonts w:ascii="Arial" w:cs="Arial" w:eastAsia="Arial" w:hAnsi="Arial"/>
          <w:sz w:val="16"/>
          <w:szCs w:val="16"/>
          <w:color w:val="auto"/>
        </w:rPr>
      </w:pPr>
    </w:p>
    <w:p>
      <w:pPr>
        <w:ind w:right="880" w:firstLine="1305"/>
        <w:spacing w:after="0" w:line="277" w:lineRule="auto"/>
        <w:tabs>
          <w:tab w:leader="none" w:pos="1948"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is imminent, that would reasonably be expected to have a Material Adverse Effect.</w:t>
      </w:r>
    </w:p>
    <w:p>
      <w:pPr>
        <w:spacing w:after="0" w:line="170" w:lineRule="exact"/>
        <w:rPr>
          <w:rFonts w:ascii="Arial" w:cs="Arial" w:eastAsia="Arial" w:hAnsi="Arial"/>
          <w:sz w:val="18"/>
          <w:szCs w:val="18"/>
          <w:color w:val="auto"/>
        </w:rPr>
      </w:pPr>
    </w:p>
    <w:p>
      <w:pPr>
        <w:ind w:right="60" w:firstLine="1305"/>
        <w:spacing w:after="0" w:line="302" w:lineRule="auto"/>
        <w:tabs>
          <w:tab w:leader="none" w:pos="1976"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against such losses and risks as are reasonably adequate to protect it and its businesses in a manner consistent with other businesses similarly situated. All such insurance is outstanding and duly in force as of the Execution Time and will be outstanding and duly in force on each applicable Settlement Date, except for such insurance for which the failure to be outstanding and duly in force would not reasonably be expected to have a Material Adverse Effect.</w:t>
      </w:r>
    </w:p>
    <w:p>
      <w:pPr>
        <w:spacing w:after="0" w:line="154" w:lineRule="exact"/>
        <w:rPr>
          <w:rFonts w:ascii="Arial" w:cs="Arial" w:eastAsia="Arial" w:hAnsi="Arial"/>
          <w:sz w:val="16"/>
          <w:szCs w:val="16"/>
          <w:color w:val="auto"/>
        </w:rPr>
      </w:pPr>
    </w:p>
    <w:p>
      <w:pPr>
        <w:ind w:right="40" w:firstLine="1305"/>
        <w:spacing w:after="0" w:line="276" w:lineRule="auto"/>
        <w:tabs>
          <w:tab w:leader="none" w:pos="1940"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Distribution Restrictions</w:t>
      </w:r>
      <w:r>
        <w:rPr>
          <w:rFonts w:ascii="Arial" w:cs="Arial" w:eastAsia="Arial" w:hAnsi="Arial"/>
          <w:sz w:val="17"/>
          <w:szCs w:val="17"/>
          <w:color w:val="auto"/>
        </w:rPr>
        <w:t>. None of PAA, Plains AAP or any PAA Subsidiary is currently prohibited, directly or indirectly, from</w:t>
      </w:r>
      <w:r>
        <w:rPr>
          <w:rFonts w:ascii="Arial" w:cs="Arial" w:eastAsia="Arial" w:hAnsi="Arial"/>
          <w:sz w:val="17"/>
          <w:szCs w:val="17"/>
          <w:i w:val="1"/>
          <w:iCs w:val="1"/>
          <w:color w:val="auto"/>
        </w:rPr>
        <w:t xml:space="preserve"> </w:t>
      </w:r>
      <w:r>
        <w:rPr>
          <w:rFonts w:ascii="Arial" w:cs="Arial" w:eastAsia="Arial" w:hAnsi="Arial"/>
          <w:sz w:val="17"/>
          <w:szCs w:val="17"/>
          <w:color w:val="auto"/>
        </w:rPr>
        <w:t>making any distributions to any Plains Entity, from making any other distribution on such entity’s equity interests, from repaying to any Plains Entity any loans or advances to such entity from a Plains Entity or from transferring any of such entity’s property or assets to a Plains Entity, except (i) as described in or contemplated by the Prospectus, (ii) such prohibitions mandated by the laws of each such entity’s state of formation and the terms of any such Subsidiary’s Organizational Documents and (iii) where such prohibition would not reasonably be expected to have a Material Adverse Effect.</w:t>
      </w:r>
    </w:p>
    <w:p>
      <w:pPr>
        <w:spacing w:after="0" w:line="172" w:lineRule="exact"/>
        <w:rPr>
          <w:rFonts w:ascii="Arial" w:cs="Arial" w:eastAsia="Arial" w:hAnsi="Arial"/>
          <w:sz w:val="17"/>
          <w:szCs w:val="17"/>
          <w:color w:val="auto"/>
        </w:rPr>
      </w:pPr>
    </w:p>
    <w:p>
      <w:pPr>
        <w:ind w:right="300" w:firstLine="1305"/>
        <w:spacing w:after="0" w:line="264" w:lineRule="auto"/>
        <w:tabs>
          <w:tab w:leader="none" w:pos="1948"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Plains Entities has distributed and, prior to the latest Settlement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distribute, any prospectus (as defined under the Act) in connection with the offering and sale of the Shares other than the Prospectus or other materials, if any, permitted by the Act, including Rule 134.</w:t>
      </w:r>
    </w:p>
    <w:p>
      <w:pPr>
        <w:spacing w:after="0" w:line="181" w:lineRule="exact"/>
        <w:rPr>
          <w:rFonts w:ascii="Arial" w:cs="Arial" w:eastAsia="Arial" w:hAnsi="Arial"/>
          <w:sz w:val="18"/>
          <w:szCs w:val="18"/>
          <w:color w:val="auto"/>
        </w:rPr>
      </w:pPr>
    </w:p>
    <w:p>
      <w:pPr>
        <w:ind w:right="140" w:firstLine="1305"/>
        <w:spacing w:after="0" w:line="342" w:lineRule="auto"/>
        <w:tabs>
          <w:tab w:leader="none" w:pos="1948"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NYSE Listing of Class A Shares</w:t>
      </w:r>
      <w:r>
        <w:rPr>
          <w:rFonts w:ascii="Arial" w:cs="Arial" w:eastAsia="Arial" w:hAnsi="Arial"/>
          <w:sz w:val="16"/>
          <w:szCs w:val="16"/>
          <w:color w:val="auto"/>
        </w:rPr>
        <w:t>. The Class A Shares are listed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and prior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Date, the Shares to be issued on such Settlement Date will be approved for listing on the NYSE subject only to official notice of issuance.</w:t>
      </w:r>
    </w:p>
    <w:p>
      <w:pPr>
        <w:spacing w:after="0" w:line="123" w:lineRule="exact"/>
        <w:rPr>
          <w:rFonts w:ascii="Arial" w:cs="Arial" w:eastAsia="Arial" w:hAnsi="Arial"/>
          <w:sz w:val="16"/>
          <w:szCs w:val="16"/>
          <w:color w:val="auto"/>
        </w:rPr>
      </w:pPr>
    </w:p>
    <w:p>
      <w:pPr>
        <w:ind w:right="80" w:firstLine="1305"/>
        <w:spacing w:after="0" w:line="288" w:lineRule="auto"/>
        <w:tabs>
          <w:tab w:leader="none" w:pos="1948"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w:t>
      </w:r>
    </w:p>
    <w:p>
      <w:pPr>
        <w:ind w:right="320" w:firstLine="8"/>
        <w:spacing w:after="0" w:line="290"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1" w:lineRule="exact"/>
        <w:rPr>
          <w:rFonts w:ascii="Arial" w:cs="Arial" w:eastAsia="Arial" w:hAnsi="Arial"/>
          <w:sz w:val="17"/>
          <w:szCs w:val="17"/>
          <w:color w:val="auto"/>
        </w:rPr>
      </w:pPr>
    </w:p>
    <w:p>
      <w:pPr>
        <w:jc w:val="both"/>
        <w:ind w:right="100" w:firstLine="1305"/>
        <w:spacing w:after="0" w:line="264" w:lineRule="auto"/>
        <w:tabs>
          <w:tab w:leader="none" w:pos="1948"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of the General Partner and officers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and GP LLC, each in their capacities as such, are in compliance in all material respects with all applicable and effective provisions of the Sarbanes-Oxley Act of 2002 and the rules and regulations promulgated thereunder.</w:t>
      </w:r>
    </w:p>
    <w:p>
      <w:pPr>
        <w:spacing w:after="0" w:line="181" w:lineRule="exact"/>
        <w:rPr>
          <w:rFonts w:ascii="Arial" w:cs="Arial" w:eastAsia="Arial" w:hAnsi="Arial"/>
          <w:sz w:val="18"/>
          <w:szCs w:val="18"/>
          <w:color w:val="auto"/>
        </w:rPr>
      </w:pPr>
    </w:p>
    <w:p>
      <w:pPr>
        <w:ind w:right="200" w:firstLine="1305"/>
        <w:spacing w:after="0" w:line="277" w:lineRule="auto"/>
        <w:tabs>
          <w:tab w:leader="none" w:pos="1968"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Partnership maintains disclosure controls and procedures (to the extent required by and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 and 15d-15 under the Exchange Act), that (i)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the General Partner and GP LLC, as applicable, to allow for timely decisions regarding required disclosure, particularly during the periods in which the periodic reports required under</w:t>
      </w:r>
    </w:p>
    <w:p>
      <w:pPr>
        <w:sectPr>
          <w:pgSz w:w="11900" w:h="16838" w:orient="portrait"/>
          <w:cols w:equalWidth="0" w:num="1">
            <w:col w:w="11420"/>
          </w:cols>
          <w:pgMar w:left="240" w:top="125" w:right="239" w:bottom="0" w:gutter="0" w:footer="0" w:header="0"/>
        </w:sectPr>
      </w:pPr>
    </w:p>
    <w:bookmarkStart w:id="9" w:name="page10"/>
    <w:bookmarkEnd w:id="9"/>
    <w:p>
      <w:pPr>
        <w:spacing w:after="0" w:line="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70" w:lineRule="exact"/>
        <w:rPr>
          <w:sz w:val="20"/>
          <w:szCs w:val="20"/>
          <w:color w:val="auto"/>
        </w:rPr>
      </w:pPr>
    </w:p>
    <w:p>
      <w:pPr>
        <w:ind w:firstLine="1305"/>
        <w:spacing w:after="0" w:line="257" w:lineRule="auto"/>
        <w:tabs>
          <w:tab w:leader="none" w:pos="1962"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preparation and filing of the Partnership’s most recently filed Annual Report on Form 10-K,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88" w:lineRule="exact"/>
        <w:rPr>
          <w:rFonts w:ascii="Arial" w:cs="Arial" w:eastAsia="Arial" w:hAnsi="Arial"/>
          <w:sz w:val="18"/>
          <w:szCs w:val="18"/>
          <w:color w:val="auto"/>
        </w:rPr>
      </w:pPr>
    </w:p>
    <w:p>
      <w:pPr>
        <w:ind w:right="140" w:firstLine="1305"/>
        <w:spacing w:after="0" w:line="286" w:lineRule="auto"/>
        <w:tabs>
          <w:tab w:leader="none" w:pos="1949"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FCPA</w:t>
      </w:r>
      <w:r>
        <w:rPr>
          <w:rFonts w:ascii="Arial" w:cs="Arial" w:eastAsia="Arial" w:hAnsi="Arial"/>
          <w:sz w:val="17"/>
          <w:szCs w:val="17"/>
          <w:color w:val="auto"/>
        </w:rPr>
        <w:t>. None of the Plains Entities nor, to the knowledge of the Partnership, any director, officer, agent or employee of the Plains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65" w:lineRule="exact"/>
        <w:rPr>
          <w:rFonts w:ascii="Arial" w:cs="Arial" w:eastAsia="Arial" w:hAnsi="Arial"/>
          <w:sz w:val="17"/>
          <w:szCs w:val="17"/>
          <w:color w:val="auto"/>
        </w:rPr>
      </w:pPr>
    </w:p>
    <w:p>
      <w:pPr>
        <w:ind w:right="200" w:firstLine="1305"/>
        <w:spacing w:after="0" w:line="342" w:lineRule="auto"/>
        <w:tabs>
          <w:tab w:leader="none" w:pos="194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Money Laundering Laws</w:t>
      </w:r>
      <w:r>
        <w:rPr>
          <w:rFonts w:ascii="Arial" w:cs="Arial" w:eastAsia="Arial" w:hAnsi="Arial"/>
          <w:sz w:val="16"/>
          <w:szCs w:val="16"/>
          <w:color w:val="auto"/>
        </w:rPr>
        <w:t>. No action, suit or proceeding by or before any court or governmental agency, authority or body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arbitrator involving the Plains Entities that involve allegations of money laundering is pending or, to the knowledge of the Partnership, threatened.</w:t>
      </w:r>
    </w:p>
    <w:p>
      <w:pPr>
        <w:spacing w:after="0" w:line="123" w:lineRule="exact"/>
        <w:rPr>
          <w:rFonts w:ascii="Arial" w:cs="Arial" w:eastAsia="Arial" w:hAnsi="Arial"/>
          <w:sz w:val="16"/>
          <w:szCs w:val="16"/>
          <w:color w:val="auto"/>
        </w:rPr>
      </w:pPr>
    </w:p>
    <w:p>
      <w:pPr>
        <w:ind w:right="60" w:firstLine="1305"/>
        <w:spacing w:after="0" w:line="264" w:lineRule="auto"/>
        <w:tabs>
          <w:tab w:leader="none" w:pos="194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nor, to the knowledge of the Partnership, any director, officer or employee of the Plains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capacity as director, officer or employee) has received notice that it is subject to any sanctions administered by the Office of Foreign Assets Control of the U.S. Treasury Department.</w:t>
      </w:r>
    </w:p>
    <w:p>
      <w:pPr>
        <w:spacing w:after="0" w:line="181" w:lineRule="exact"/>
        <w:rPr>
          <w:rFonts w:ascii="Arial" w:cs="Arial" w:eastAsia="Arial" w:hAnsi="Arial"/>
          <w:sz w:val="18"/>
          <w:szCs w:val="18"/>
          <w:color w:val="auto"/>
        </w:rPr>
      </w:pPr>
    </w:p>
    <w:p>
      <w:pPr>
        <w:ind w:right="120" w:firstLine="1305"/>
        <w:spacing w:after="0" w:line="264" w:lineRule="auto"/>
        <w:tabs>
          <w:tab w:leader="none" w:pos="197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Except as disclosed in the Registration Statement and the Prospectus, the Partnership does not intend to use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proceeds from the sale of the Shares hereunder to repay any outstanding debt owed to any lender known to the Partnership to be an affiliate of any of the Managers.</w:t>
      </w:r>
    </w:p>
    <w:p>
      <w:pPr>
        <w:spacing w:after="0" w:line="181" w:lineRule="exact"/>
        <w:rPr>
          <w:rFonts w:ascii="Arial" w:cs="Arial" w:eastAsia="Arial" w:hAnsi="Arial"/>
          <w:sz w:val="18"/>
          <w:szCs w:val="18"/>
          <w:color w:val="auto"/>
        </w:rPr>
      </w:pPr>
    </w:p>
    <w:p>
      <w:pPr>
        <w:ind w:right="260" w:firstLine="1305"/>
        <w:spacing w:after="0" w:line="264" w:lineRule="auto"/>
        <w:tabs>
          <w:tab w:leader="none" w:pos="194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applicable statements made in any certificate signed by any officer of the Partnership and delivered to any Manager in connection with this Agreement or any Terms Agreement shall be deemed a representation and warranty by the Partnership, as to matters covered thereby, to such Manager.</w:t>
      </w:r>
    </w:p>
    <w:p>
      <w:pPr>
        <w:spacing w:after="0" w:line="12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86" w:lineRule="auto"/>
        <w:tabs>
          <w:tab w:leader="none" w:pos="1942"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Sale of Offered Shares by the Managers, as Sales Agents</w:t>
      </w:r>
      <w:r>
        <w:rPr>
          <w:rFonts w:ascii="Arial" w:cs="Arial" w:eastAsia="Arial" w:hAnsi="Arial"/>
          <w:sz w:val="17"/>
          <w:szCs w:val="17"/>
          <w:color w:val="auto"/>
        </w:rPr>
        <w:t>. Subject to the terms and conditions and in reliance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and warranties herein set forth, the Partnership agrees to issue and sell Shares from time to time through the Managers, acting as sales agents, and each Manager agrees to use its reasonable efforts to sell, as sales agent for the Partnership, the Shares on the following terms.</w:t>
      </w:r>
    </w:p>
    <w:p>
      <w:pPr>
        <w:spacing w:after="0" w:line="165" w:lineRule="exact"/>
        <w:rPr>
          <w:rFonts w:ascii="Arial" w:cs="Arial" w:eastAsia="Arial" w:hAnsi="Arial"/>
          <w:sz w:val="17"/>
          <w:szCs w:val="17"/>
          <w:color w:val="auto"/>
        </w:rPr>
      </w:pPr>
    </w:p>
    <w:p>
      <w:pPr>
        <w:ind w:left="660" w:right="100" w:firstLine="1293"/>
        <w:spacing w:after="0" w:line="293" w:lineRule="auto"/>
        <w:tabs>
          <w:tab w:leader="none" w:pos="2626" w:val="left"/>
        </w:tabs>
        <w:numPr>
          <w:ilvl w:val="2"/>
          <w:numId w:val="19"/>
        </w:numPr>
        <w:rPr>
          <w:rFonts w:ascii="Arial" w:cs="Arial" w:eastAsia="Arial" w:hAnsi="Arial"/>
          <w:sz w:val="16"/>
          <w:szCs w:val="16"/>
          <w:color w:val="auto"/>
        </w:rPr>
      </w:pPr>
      <w:r>
        <w:rPr>
          <w:rFonts w:ascii="Arial" w:cs="Arial" w:eastAsia="Arial" w:hAnsi="Arial"/>
          <w:sz w:val="16"/>
          <w:szCs w:val="16"/>
          <w:color w:val="auto"/>
        </w:rPr>
        <w:t xml:space="preserve">The Shares are to be sold by one of the Managers on a daily basis or otherwise as shall be agreed to by the Partnership and such Manager on any day that (A) is a trading day for the NYSE (other than a day on which the NYSE is scheduled to close prior to its regular weekday closing time), (B) the Partnership has instructed such Manager by telephone (confirmed promptly by electronic mail) to make such sales and (C) the Partnership has satisfied its obligations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The Partnership will designate the maximum amount of the Shares to be sold by such Manager daily as agreed to by such Manager (in any event not in excess of the amount available for issuance under the Prospectus and the currently effective Registration Statement) and the minimum price per Share at which such Shares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 xml:space="preserve">may be sold. Subject to the terms and conditions hereof, such Manager shall use its reasonable efforts to sell on a particular day all of the Shares designated for the sale by the Partnership on such day. The gross sales price of the Shares sold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shall be the market price for the Shares sold by such Manager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on the NYSE at the time of sale of such Shares. For the avoidance of doubt, the Partnership shall submit instructions to sell Shares to only one Manager, if any, on any single trading day.</w:t>
      </w:r>
    </w:p>
    <w:p>
      <w:pPr>
        <w:spacing w:after="0" w:line="171" w:lineRule="exact"/>
        <w:rPr>
          <w:sz w:val="20"/>
          <w:szCs w:val="20"/>
          <w:color w:val="auto"/>
        </w:rPr>
      </w:pPr>
    </w:p>
    <w:p>
      <w:pPr>
        <w:ind w:left="660" w:right="60" w:firstLine="1293"/>
        <w:spacing w:after="0" w:line="297" w:lineRule="auto"/>
        <w:tabs>
          <w:tab w:leader="none" w:pos="26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Partnership acknowledges and agrees that (A) there can be no assurance that any Manager will be successful in selling the Shares, (B) no Manager will incur any liability or obligation to the Partnership or any other person or entity if such Manager does not sell Shares for any reason other than a failure by such Manager to use its reasonable efforts consistent with its normal trading and sales practices and applicable law and regulations to sell such Shares as required under this Agreement, and (C) each Manager shall be under no obligation to purchase Shares on a principal basis pursuant to this Agreement, except as otherwise specifically agreed by such Manager and the Partnership.</w:t>
      </w:r>
    </w:p>
    <w:p>
      <w:pPr>
        <w:spacing w:after="0" w:line="158" w:lineRule="exact"/>
        <w:rPr>
          <w:rFonts w:ascii="Arial" w:cs="Arial" w:eastAsia="Arial" w:hAnsi="Arial"/>
          <w:sz w:val="16"/>
          <w:szCs w:val="16"/>
          <w:color w:val="auto"/>
        </w:rPr>
      </w:pPr>
    </w:p>
    <w:p>
      <w:pPr>
        <w:ind w:left="660" w:right="40" w:firstLine="1293"/>
        <w:spacing w:after="0" w:line="284" w:lineRule="auto"/>
        <w:tabs>
          <w:tab w:leader="none" w:pos="26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Partnership shall not authorize the issuance and sale of, and the relevant Manager shall not be obligated to use its reasonable efforts to sell, any Shares at a price lower than the minimum price therefor designated from time to time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of the General Partner, a duly authorized committee thereof, or any individual to whom such authority has been duly and properly delegated by the Board or a duly authorized committee thereof, and notified to such Manager in writing. The Partnership or any Manager may, upon notice to the other party hereto by telephone (confirmed promptly by electronic mail), suspend or terminate the offering of the Shares with respect to which such Manager is acting as sales agent for any reason and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suspension or termination shall not affect or impair the parties’ respective obligations with respect to the Shares sold hereunder prior to the giving of such notice. During any such period of</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suspension, the Partnership shall not be obligated to deliver (or cause to be delivered) any of the documents referred to in </w:t>
      </w:r>
      <w:r>
        <w:rPr>
          <w:rFonts w:ascii="Arial" w:cs="Arial" w:eastAsia="Arial" w:hAnsi="Arial"/>
          <w:sz w:val="16"/>
          <w:szCs w:val="16"/>
          <w:u w:val="single" w:color="auto"/>
          <w:color w:val="auto"/>
        </w:rPr>
        <w:t>Sections 4(l)</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w:t>
      </w:r>
    </w:p>
    <w:p>
      <w:pPr>
        <w:spacing w:after="0" w:line="32"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(q)</w:t>
      </w:r>
      <w:r>
        <w:rPr>
          <w:rFonts w:ascii="Arial" w:cs="Arial" w:eastAsia="Arial" w:hAnsi="Arial"/>
          <w:sz w:val="18"/>
          <w:szCs w:val="18"/>
          <w:color w:val="auto"/>
        </w:rPr>
        <w:t xml:space="preserve">, be deemed to affirm any of the representations or warranties contained in this Agreement pursuant to </w:t>
      </w:r>
      <w:r>
        <w:rPr>
          <w:rFonts w:ascii="Arial" w:cs="Arial" w:eastAsia="Arial" w:hAnsi="Arial"/>
          <w:sz w:val="18"/>
          <w:szCs w:val="18"/>
          <w:u w:val="single" w:color="auto"/>
          <w:color w:val="auto"/>
        </w:rPr>
        <w:t>Section 3(a)(viii)</w:t>
      </w:r>
      <w:r>
        <w:rPr>
          <w:rFonts w:ascii="Arial" w:cs="Arial" w:eastAsia="Arial" w:hAnsi="Arial"/>
          <w:sz w:val="18"/>
          <w:szCs w:val="18"/>
          <w:color w:val="auto"/>
        </w:rPr>
        <w:t xml:space="preserve"> or</w:t>
      </w:r>
    </w:p>
    <w:p>
      <w:pPr>
        <w:spacing w:after="0" w:line="9"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u w:val="single" w:color="auto"/>
          <w:color w:val="auto"/>
        </w:rPr>
        <w:t>Section 4(v)</w:t>
      </w:r>
      <w:r>
        <w:rPr>
          <w:rFonts w:ascii="Arial" w:cs="Arial" w:eastAsia="Arial" w:hAnsi="Arial"/>
          <w:sz w:val="17"/>
          <w:szCs w:val="17"/>
          <w:color w:val="auto"/>
        </w:rPr>
        <w:t xml:space="preserve"> hereof, or be obligated to conduct any due diligence session as referred to in </w:t>
      </w:r>
      <w:r>
        <w:rPr>
          <w:rFonts w:ascii="Arial" w:cs="Arial" w:eastAsia="Arial" w:hAnsi="Arial"/>
          <w:sz w:val="17"/>
          <w:szCs w:val="17"/>
          <w:u w:val="single" w:color="auto"/>
          <w:color w:val="auto"/>
        </w:rPr>
        <w:t>Section 4(r)</w:t>
      </w:r>
      <w:r>
        <w:rPr>
          <w:rFonts w:ascii="Arial" w:cs="Arial" w:eastAsia="Arial" w:hAnsi="Arial"/>
          <w:sz w:val="17"/>
          <w:szCs w:val="17"/>
          <w:color w:val="auto"/>
        </w:rPr>
        <w:t xml:space="preserve"> until the termination of the suspension and the recommencement of the offering of the Shares pursuant to this Agreement (which recommencement shall constitute a Representation Date, as defined in </w:t>
      </w:r>
      <w:r>
        <w:rPr>
          <w:rFonts w:ascii="Arial" w:cs="Arial" w:eastAsia="Arial" w:hAnsi="Arial"/>
          <w:sz w:val="17"/>
          <w:szCs w:val="17"/>
          <w:u w:val="single" w:color="auto"/>
          <w:color w:val="auto"/>
        </w:rPr>
        <w:t>Section 4(l)</w:t>
      </w:r>
      <w:r>
        <w:rPr>
          <w:rFonts w:ascii="Arial" w:cs="Arial" w:eastAsia="Arial" w:hAnsi="Arial"/>
          <w:sz w:val="17"/>
          <w:szCs w:val="17"/>
          <w:color w:val="auto"/>
        </w:rPr>
        <w:t xml:space="preserve">). For the avoidance of doubt, any period during which the Partnership has not provided instructions with respect to the sale of Shares pursuant to </w:t>
      </w:r>
      <w:r>
        <w:rPr>
          <w:rFonts w:ascii="Arial" w:cs="Arial" w:eastAsia="Arial" w:hAnsi="Arial"/>
          <w:sz w:val="17"/>
          <w:szCs w:val="17"/>
          <w:u w:val="single" w:color="auto"/>
          <w:color w:val="auto"/>
        </w:rPr>
        <w:t>Section 3(a)(i)</w:t>
      </w:r>
      <w:r>
        <w:rPr>
          <w:rFonts w:ascii="Arial" w:cs="Arial" w:eastAsia="Arial" w:hAnsi="Arial"/>
          <w:sz w:val="17"/>
          <w:szCs w:val="17"/>
          <w:color w:val="auto"/>
        </w:rPr>
        <w:t xml:space="preserve"> hereof, or any period during which such instruction provided thereunder has been properly revoked by the Partnership, shall not be deemed a suspension of the program under this Agreement.</w:t>
      </w:r>
    </w:p>
    <w:p>
      <w:pPr>
        <w:spacing w:after="0" w:line="179" w:lineRule="exact"/>
        <w:rPr>
          <w:sz w:val="20"/>
          <w:szCs w:val="20"/>
          <w:color w:val="auto"/>
        </w:rPr>
      </w:pPr>
    </w:p>
    <w:p>
      <w:pPr>
        <w:jc w:val="both"/>
        <w:ind w:left="660" w:right="120" w:firstLine="1293"/>
        <w:spacing w:after="0" w:line="342" w:lineRule="auto"/>
        <w:tabs>
          <w:tab w:leader="none" w:pos="266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Each Manager hereby covenants and agrees not to make any sales of the Shares on behalf of the Partnership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other than (A) by means of ordinary brokers' transactions between members of the NYSE that qualify for delivery of a Prospectus</w:t>
      </w:r>
    </w:p>
    <w:p>
      <w:pPr>
        <w:sectPr>
          <w:pgSz w:w="11900" w:h="16908" w:orient="portrait"/>
          <w:cols w:equalWidth="0" w:num="1">
            <w:col w:w="11400"/>
          </w:cols>
          <w:pgMar w:left="240" w:top="125" w:right="259" w:bottom="0" w:gutter="0" w:footer="0" w:header="0"/>
        </w:sectPr>
      </w:pPr>
    </w:p>
    <w:bookmarkStart w:id="10" w:name="page11"/>
    <w:bookmarkEnd w:id="10"/>
    <w:p>
      <w:pPr>
        <w:spacing w:after="0" w:line="36"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to the NYSE in accordance with Rule 153 and (B) such other sales of the Shares on behalf of the Partnership in its capacity as agent of the Partnership as shall be agreed by the Partnership and such Manager pursuant to a Terms Agreement.</w:t>
      </w:r>
    </w:p>
    <w:p>
      <w:pPr>
        <w:spacing w:after="0" w:line="170" w:lineRule="exact"/>
        <w:rPr>
          <w:sz w:val="20"/>
          <w:szCs w:val="20"/>
          <w:color w:val="auto"/>
        </w:rPr>
      </w:pPr>
    </w:p>
    <w:p>
      <w:pPr>
        <w:ind w:left="660" w:firstLine="1293"/>
        <w:spacing w:after="0" w:line="293" w:lineRule="auto"/>
        <w:tabs>
          <w:tab w:leader="none" w:pos="26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compensation to each Manager for sales of the Shares with respect to which such Manager acts as sales agent under this Agreement shall be up to 2.0% of the gross sales price of the Shares sold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and payable as described in the succeeding subclause (vi) below. The foregoing rate of compensation shall not apply when such Manager acts as principal, in which case the Partnership may sell Shares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16"/>
          <w:szCs w:val="16"/>
          <w:u w:val="single" w:color="auto"/>
          <w:color w:val="auto"/>
        </w:rPr>
        <w:t>Transaction Fees</w:t>
      </w:r>
      <w:r>
        <w:rPr>
          <w:rFonts w:ascii="Arial" w:cs="Arial" w:eastAsia="Arial" w:hAnsi="Arial"/>
          <w:sz w:val="16"/>
          <w:szCs w:val="16"/>
          <w:color w:val="auto"/>
        </w:rPr>
        <w:t>”), shall constitute the net proceeds due to the Partnership for such Shares (the “</w:t>
      </w:r>
      <w:r>
        <w:rPr>
          <w:rFonts w:ascii="Arial" w:cs="Arial" w:eastAsia="Arial" w:hAnsi="Arial"/>
          <w:sz w:val="16"/>
          <w:szCs w:val="16"/>
          <w:u w:val="single" w:color="auto"/>
          <w:color w:val="auto"/>
        </w:rPr>
        <w:t>Net Proceeds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660" w:right="40" w:firstLine="1293"/>
        <w:spacing w:after="0" w:line="279" w:lineRule="auto"/>
        <w:tabs>
          <w:tab w:leader="none" w:pos="262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Each Manager shall provide written confirmation (which may be by facsimile or electronic mail) to the Partnership following the close of trading on the NYSE each day in which the Shares with respect to which such Manager is acting as sales agent are sold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setting forth the number of the Shares sold on such day, the aggregate gross sales proceeds and the Net Proceeds to the Partnership, and the compensation payable by the Partnership to such Manager with respect to such sales.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Such compensation shall be set forth and invoiced in periodic statements from such Manager to the Partnership, with payment to be made by the Partnership promptly after its receipt thereof.</w:t>
      </w:r>
    </w:p>
    <w:p>
      <w:pPr>
        <w:spacing w:after="0" w:line="170" w:lineRule="exact"/>
        <w:rPr>
          <w:sz w:val="20"/>
          <w:szCs w:val="20"/>
          <w:color w:val="auto"/>
        </w:rPr>
      </w:pPr>
    </w:p>
    <w:p>
      <w:pPr>
        <w:ind w:left="660" w:right="20" w:firstLine="1293"/>
        <w:spacing w:after="0" w:line="287" w:lineRule="auto"/>
        <w:tabs>
          <w:tab w:leader="none" w:pos="2671"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Settlement for sales of the Shares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will occur on the third Business Day following the date on which such sales are made (each such day,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the Shares sold through a Manager for settlement on such date shall be issued and delivered by or on behalf of the Partnership to such Manager against payment of the aggregate gross sales proceeds less any Transaction Fees for the sale of such Shares. Settlement for all such Shares shall be effected by free delivery of the Shares to such Manager’s or such Manager’s designee’s account at The Depository Trust &amp; Clearing Corporation (“</w:t>
      </w:r>
      <w:r>
        <w:rPr>
          <w:rFonts w:ascii="Arial" w:cs="Arial" w:eastAsia="Arial" w:hAnsi="Arial"/>
          <w:sz w:val="16"/>
          <w:szCs w:val="16"/>
          <w:u w:val="single" w:color="auto"/>
          <w:color w:val="auto"/>
        </w:rPr>
        <w:t>DTC</w:t>
      </w:r>
      <w:r>
        <w:rPr>
          <w:rFonts w:ascii="Arial" w:cs="Arial" w:eastAsia="Arial" w:hAnsi="Arial"/>
          <w:sz w:val="16"/>
          <w:szCs w:val="16"/>
          <w:color w:val="auto"/>
        </w:rPr>
        <w:t>”) in return for payments in same day funds delivered to the Partnership by federal funds wire transfer to the account designated by the Partnership. If the Partnership or its transfer agent shall default on the obligation to deliver the Shares on any Settlement Date, the Partnership shall (A) indemnify and hold such Manager harmless against any loss, claim or damage arising from or as a result of such default by the Partnership and (B) pay such Manager any commission to which it would otherwise be entitled absent such default. If a Manager breaches this Agreement by failing to deliver the aggregate gross sales proceeds less any Transaction Fees to the Partnership on any Settlement Date for the Shares delivered by the Partnership, such Manager will pay the Partnership interest based on the effective overnight federal funds rate on such unpaid amount less any compensation due to such Manager.</w:t>
      </w:r>
    </w:p>
    <w:p>
      <w:pPr>
        <w:spacing w:after="0" w:line="172" w:lineRule="exact"/>
        <w:rPr>
          <w:rFonts w:ascii="Arial" w:cs="Arial" w:eastAsia="Arial" w:hAnsi="Arial"/>
          <w:sz w:val="16"/>
          <w:szCs w:val="16"/>
          <w:color w:val="auto"/>
        </w:rPr>
      </w:pPr>
    </w:p>
    <w:p>
      <w:pPr>
        <w:ind w:left="660" w:right="40" w:firstLine="1293"/>
        <w:spacing w:after="0" w:line="255" w:lineRule="auto"/>
        <w:tabs>
          <w:tab w:leader="none" w:pos="26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At each Applicable Time, Settlement Date, and Representation Date (as defined in </w:t>
      </w:r>
      <w:r>
        <w:rPr>
          <w:rFonts w:ascii="Arial" w:cs="Arial" w:eastAsia="Arial" w:hAnsi="Arial"/>
          <w:sz w:val="18"/>
          <w:szCs w:val="18"/>
          <w:u w:val="single" w:color="auto"/>
          <w:color w:val="auto"/>
        </w:rPr>
        <w:t>Section 4(l)</w:t>
      </w:r>
      <w:r>
        <w:rPr>
          <w:rFonts w:ascii="Arial" w:cs="Arial" w:eastAsia="Arial" w:hAnsi="Arial"/>
          <w:sz w:val="18"/>
          <w:szCs w:val="18"/>
          <w:color w:val="auto"/>
        </w:rPr>
        <w:t xml:space="preserve"> hereof), the Partnership shall be deemed to have affirmed each representation and warranty contained in this Agreement as if such representation and warranty were made as of such date, but modified to incorporate the disclosures contained in the Registration Statement and the Prospectus, in each case as amended or supplemented as of such date. Any obligation of any Manager to use its reasonable efforts to sell the Shares on behalf of the Partnership shall be subject to the continuing accuracy of the representations and warranties of the Partnership herein (as modified in the manner described above), to the performance by the Partnership of its obligations hereunder and to the continuing satisfaction of the additional conditions specified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89" w:lineRule="exact"/>
        <w:rPr>
          <w:rFonts w:ascii="Arial" w:cs="Arial" w:eastAsia="Arial" w:hAnsi="Arial"/>
          <w:sz w:val="18"/>
          <w:szCs w:val="18"/>
          <w:color w:val="auto"/>
        </w:rPr>
      </w:pPr>
    </w:p>
    <w:p>
      <w:pPr>
        <w:ind w:right="80" w:firstLine="1305"/>
        <w:spacing w:after="0" w:line="272" w:lineRule="auto"/>
        <w:tabs>
          <w:tab w:leader="none" w:pos="1952"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Sale of Offered Shares by a Manager, as Principal</w:t>
      </w:r>
      <w:r>
        <w:rPr>
          <w:rFonts w:ascii="Arial" w:cs="Arial" w:eastAsia="Arial" w:hAnsi="Arial"/>
          <w:sz w:val="17"/>
          <w:szCs w:val="17"/>
          <w:color w:val="auto"/>
        </w:rPr>
        <w:t>. If the Partnership wishes to issue and sell the Shares pursuant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but other than as set forth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hereof (each, a “</w:t>
      </w:r>
      <w:r>
        <w:rPr>
          <w:rFonts w:ascii="Arial" w:cs="Arial" w:eastAsia="Arial" w:hAnsi="Arial"/>
          <w:sz w:val="17"/>
          <w:szCs w:val="17"/>
          <w:u w:val="single" w:color="auto"/>
          <w:color w:val="auto"/>
        </w:rPr>
        <w:t>Placement</w:t>
      </w:r>
      <w:r>
        <w:rPr>
          <w:rFonts w:ascii="Arial" w:cs="Arial" w:eastAsia="Arial" w:hAnsi="Arial"/>
          <w:sz w:val="17"/>
          <w:szCs w:val="17"/>
          <w:color w:val="auto"/>
        </w:rPr>
        <w:t>”), it will notify a Manager of the proposed terms of such Placement. If such Manager, acting as principal, wishes to accept such proposed terms (which it may decline to do for any reason in its sole discretion) or, following discussions with the Partnership wishes to accept amended terms, such Manager and the Partnership will enter into a Terms Agreement setting forth the terms of such Placement. The terms set forth in a Terms Agreement will not be binding on the Partnership or such Manager unless and until the Partnership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77" w:lineRule="exact"/>
        <w:rPr>
          <w:rFonts w:ascii="Arial" w:cs="Arial" w:eastAsia="Arial" w:hAnsi="Arial"/>
          <w:sz w:val="17"/>
          <w:szCs w:val="17"/>
          <w:color w:val="auto"/>
        </w:rPr>
      </w:pPr>
    </w:p>
    <w:p>
      <w:pPr>
        <w:ind w:right="160" w:firstLine="1305"/>
        <w:spacing w:after="0" w:line="289" w:lineRule="auto"/>
        <w:tabs>
          <w:tab w:leader="none" w:pos="195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Terms Agreement</w:t>
      </w:r>
      <w:r>
        <w:rPr>
          <w:rFonts w:ascii="Arial" w:cs="Arial" w:eastAsia="Arial" w:hAnsi="Arial"/>
          <w:sz w:val="16"/>
          <w:szCs w:val="16"/>
          <w:color w:val="auto"/>
        </w:rPr>
        <w:t>. Each sale of the Shares to a Manager shall be made in accordance with the terms of this Agreement and,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 Terms Agreement, which will provide for the sale of such Shares to, and the purchase thereof by, such Manager. A Terms Agreement may also specify certain provisions relating to the reoffering of such Shares by such Manager. The commitment of such Manager to purchase the Shares pursuant to any Terms Agreement shall be deemed to have been made on the basis of the representations and warranties of the Partnership herein contained and shall be subject to the terms and conditions herein set forth. Each Terms Agreement shall specify the number of Shares to be purchased by such Manager pursuant thereto, the price to be paid to the Partnership for such Shares, any provisions relating to rights of, and default by, underwriters acting together with such Manager in the reoffering of the Shares, and the time and date (each such time and date being referred to herein as a “</w:t>
      </w:r>
      <w:r>
        <w:rPr>
          <w:rFonts w:ascii="Arial" w:cs="Arial" w:eastAsia="Arial" w:hAnsi="Arial"/>
          <w:sz w:val="16"/>
          <w:szCs w:val="16"/>
          <w:u w:val="single" w:color="auto"/>
          <w:color w:val="auto"/>
        </w:rPr>
        <w:t>Time of Delivery</w:t>
      </w:r>
      <w:r>
        <w:rPr>
          <w:rFonts w:ascii="Arial" w:cs="Arial" w:eastAsia="Arial" w:hAnsi="Arial"/>
          <w:sz w:val="16"/>
          <w:szCs w:val="16"/>
          <w:color w:val="auto"/>
        </w:rPr>
        <w:t xml:space="preserve">”) and place of delivery of and payment for such Shares. Such Terms Agreement shall also specify any requirements for opinions of counsel, accountants’ letters and officers’ certificates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and any other information or documents required by such Manager.</w:t>
      </w:r>
    </w:p>
    <w:p>
      <w:pPr>
        <w:spacing w:after="0" w:line="166" w:lineRule="exact"/>
        <w:rPr>
          <w:rFonts w:ascii="Arial" w:cs="Arial" w:eastAsia="Arial" w:hAnsi="Arial"/>
          <w:sz w:val="16"/>
          <w:szCs w:val="16"/>
          <w:color w:val="auto"/>
        </w:rPr>
      </w:pPr>
    </w:p>
    <w:p>
      <w:pPr>
        <w:ind w:right="40" w:firstLine="1305"/>
        <w:spacing w:after="0" w:line="264"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Limitations on Number and Amount of Offered Shares Sold</w:t>
      </w:r>
      <w:r>
        <w:rPr>
          <w:rFonts w:ascii="Arial" w:cs="Arial" w:eastAsia="Arial" w:hAnsi="Arial"/>
          <w:sz w:val="18"/>
          <w:szCs w:val="18"/>
          <w:color w:val="auto"/>
        </w:rPr>
        <w:t>. Under no circumstances shall the number and aggregate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sold pursuant to this Agreement and any Terms Agreement exceed (i) the aggregate amount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(ii) the number of Class A Shares available for issuance 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currently effective Registration Statement or (iii) the number and aggregate amount of the Shares, if any, authorized to be issued and sold under this Agreement by the Board, or a duly authorized committee thereof, and notified to each Manager in writing.</w:t>
      </w:r>
    </w:p>
    <w:p>
      <w:pPr>
        <w:spacing w:after="0" w:line="170" w:lineRule="exact"/>
        <w:rPr>
          <w:sz w:val="20"/>
          <w:szCs w:val="20"/>
          <w:color w:val="auto"/>
        </w:rPr>
      </w:pPr>
    </w:p>
    <w:p>
      <w:pPr>
        <w:ind w:right="40" w:firstLine="1305"/>
        <w:spacing w:after="0" w:line="286" w:lineRule="auto"/>
        <w:tabs>
          <w:tab w:leader="none" w:pos="1955"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Regulation M</w:t>
      </w:r>
      <w:r>
        <w:rPr>
          <w:rFonts w:ascii="Arial" w:cs="Arial" w:eastAsia="Arial" w:hAnsi="Arial"/>
          <w:sz w:val="17"/>
          <w:szCs w:val="17"/>
          <w:color w:val="auto"/>
        </w:rPr>
        <w:t>. If either party has reason to believe that the exemptive provisions set forth in Rule 101(c)(1) of Regulation M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Act are not satisfied with respect to the Shares, it shall promptly notify the other party and sales of the Shares under this Agreement and any Terms Agreement shall be suspended until that or other exemptive provisions have been satisfied in the judgment of each party.</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Partnership agrees with each Manager that:</w:t>
      </w:r>
    </w:p>
    <w:p>
      <w:pPr>
        <w:sectPr>
          <w:pgSz w:w="11900" w:h="16874" w:orient="portrait"/>
          <w:cols w:equalWidth="0" w:num="1">
            <w:col w:w="11420"/>
          </w:cols>
          <w:pgMar w:left="240" w:top="125" w:right="239" w:bottom="0" w:gutter="0" w:footer="0" w:header="0"/>
        </w:sectPr>
      </w:pPr>
    </w:p>
    <w:bookmarkStart w:id="11" w:name="page12"/>
    <w:bookmarkEnd w:id="11"/>
    <w:p>
      <w:pPr>
        <w:spacing w:after="0" w:line="26" w:lineRule="exact"/>
        <w:rPr>
          <w:sz w:val="20"/>
          <w:szCs w:val="20"/>
          <w:color w:val="auto"/>
        </w:rPr>
      </w:pPr>
    </w:p>
    <w:p>
      <w:pPr>
        <w:ind w:firstLine="1305"/>
        <w:spacing w:after="0" w:line="284" w:lineRule="auto"/>
        <w:tabs>
          <w:tab w:leader="none" w:pos="1942"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Filing of Amendment or Supplement</w:t>
      </w:r>
      <w:r>
        <w:rPr>
          <w:rFonts w:ascii="Arial" w:cs="Arial" w:eastAsia="Arial" w:hAnsi="Arial"/>
          <w:sz w:val="16"/>
          <w:szCs w:val="16"/>
          <w:color w:val="auto"/>
        </w:rPr>
        <w:t>. During any period when the delivery of a prospectus relating to the Shares is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 circumstances where such requirement may be satisfied pursuant to Rule 172) to be delivered under the Act, the Partnership will advise the Managers promptly of any amendment or supplement to the Registration Statement or the Prospectus which is proposed to be filed (other than any amendment or supplement which does not relate to the sale of the Shares and not including any reports or documents and any preliminary or definitive proxy or information statement required to be filed by the Partnership with the Commission in order to comply with the Exchange Act) and to provide the Managers reasonable opportunity to review the same.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relating to the Shares shall have been filed with the Commission, (ii) when, during any period when the delivery of a prospectus (whether physically, deemed to be delivered pursuant to Rule 153, or through compliance with Rule 172 or any similar rule) is required under the Act in connection with the offering or sale of the Shares, any amendment to the Registration Statement shall have been filed or become effective, (iii) of any request by the Commission or its staff for any amendment of the Registration Statement, or any Rule 462(b) Registration Statement relating to the Shares,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Shares for sale in any jurisdiction or the institution or threatening of any proceeding for such purpose. The Partnership will use its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efforts to have such amendment or new registration statement declared effective as soon as practicable.</w:t>
      </w:r>
    </w:p>
    <w:p>
      <w:pPr>
        <w:spacing w:after="0" w:line="397" w:lineRule="exact"/>
        <w:rPr>
          <w:rFonts w:ascii="Arial" w:cs="Arial" w:eastAsia="Arial" w:hAnsi="Arial"/>
          <w:sz w:val="16"/>
          <w:szCs w:val="16"/>
          <w:color w:val="auto"/>
        </w:rPr>
      </w:pPr>
    </w:p>
    <w:p>
      <w:pPr>
        <w:ind w:right="40" w:firstLine="1305"/>
        <w:spacing w:after="0" w:line="312" w:lineRule="auto"/>
        <w:tabs>
          <w:tab w:leader="none" w:pos="1952"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Notice of Ineligibility</w:t>
      </w:r>
      <w:r>
        <w:rPr>
          <w:rFonts w:ascii="Arial" w:cs="Arial" w:eastAsia="Arial" w:hAnsi="Arial"/>
          <w:sz w:val="16"/>
          <w:szCs w:val="16"/>
          <w:color w:val="auto"/>
        </w:rPr>
        <w:t>. If at any time when Shares remain unsold by the Managers, the Partnership receives from the Commission a</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or otherwise ceases to be eligible to use Form S-3, the Partnership will promptly notify the Managers, and the Partnership will not give any Manager instructions to sell Shares under this Agreement until such time as the Partnership is again eligible to use Form S-3 for such purpose.</w:t>
      </w:r>
    </w:p>
    <w:p>
      <w:pPr>
        <w:spacing w:after="0" w:line="146" w:lineRule="exact"/>
        <w:rPr>
          <w:rFonts w:ascii="Arial" w:cs="Arial" w:eastAsia="Arial" w:hAnsi="Arial"/>
          <w:sz w:val="16"/>
          <w:szCs w:val="16"/>
          <w:color w:val="auto"/>
        </w:rPr>
      </w:pPr>
    </w:p>
    <w:p>
      <w:pPr>
        <w:ind w:right="40" w:firstLine="1305"/>
        <w:spacing w:after="0" w:line="255"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Notice of Material Changes</w:t>
      </w:r>
      <w:r>
        <w:rPr>
          <w:rFonts w:ascii="Arial" w:cs="Arial" w:eastAsia="Arial" w:hAnsi="Arial"/>
          <w:sz w:val="18"/>
          <w:szCs w:val="18"/>
          <w:color w:val="auto"/>
        </w:rPr>
        <w:t>. If, at any time on or after an Applicable Time but prior to the related Settlement Date or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each Manager in such quantities as such Manager may reasonably request.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0" w:lineRule="auto"/>
        <w:tabs>
          <w:tab w:leader="none" w:pos="1952"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Material Misstatements or Omissions in Prospectus</w:t>
      </w:r>
      <w:r>
        <w:rPr>
          <w:rFonts w:ascii="Arial" w:cs="Arial" w:eastAsia="Arial" w:hAnsi="Arial"/>
          <w:sz w:val="17"/>
          <w:szCs w:val="17"/>
          <w:color w:val="auto"/>
        </w:rPr>
        <w:t>. During any period when the delivery of a prospectus relating to the Shares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(including in circumstances where such requirement may be satisfied pursuant to Rule 172)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second sentence of paragraph (a) of this </w:t>
      </w:r>
      <w:r>
        <w:rPr>
          <w:rFonts w:ascii="Arial" w:cs="Arial" w:eastAsia="Arial" w:hAnsi="Arial"/>
          <w:sz w:val="17"/>
          <w:szCs w:val="17"/>
          <w:u w:val="single" w:color="auto"/>
          <w:color w:val="auto"/>
        </w:rPr>
        <w:t>Section 4</w:t>
      </w:r>
      <w:r>
        <w:rPr>
          <w:rFonts w:ascii="Arial" w:cs="Arial" w:eastAsia="Arial" w:hAnsi="Arial"/>
          <w:sz w:val="17"/>
          <w:szCs w:val="17"/>
          <w:color w:val="auto"/>
        </w:rPr>
        <w:t>, an amendment or supplement or new registration statement which will correct such statement or omission or effect such compliance, (iii) use its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77" w:lineRule="exact"/>
        <w:rPr>
          <w:rFonts w:ascii="Arial" w:cs="Arial" w:eastAsia="Arial" w:hAnsi="Arial"/>
          <w:sz w:val="17"/>
          <w:szCs w:val="17"/>
          <w:color w:val="auto"/>
        </w:rPr>
      </w:pPr>
    </w:p>
    <w:p>
      <w:pPr>
        <w:ind w:right="120" w:firstLine="1305"/>
        <w:spacing w:after="0" w:line="259"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Reports to Security Holders</w:t>
      </w:r>
      <w:r>
        <w:rPr>
          <w:rFonts w:ascii="Arial" w:cs="Arial" w:eastAsia="Arial" w:hAnsi="Arial"/>
          <w:sz w:val="18"/>
          <w:szCs w:val="18"/>
          <w:color w:val="auto"/>
        </w:rPr>
        <w:t>. In accordance with Section 11(a) of the Act and Rule 158, the Partnership will make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86" w:lineRule="exact"/>
        <w:rPr>
          <w:rFonts w:ascii="Arial" w:cs="Arial" w:eastAsia="Arial" w:hAnsi="Arial"/>
          <w:sz w:val="18"/>
          <w:szCs w:val="18"/>
          <w:color w:val="auto"/>
        </w:rPr>
      </w:pPr>
    </w:p>
    <w:p>
      <w:pPr>
        <w:ind w:firstLine="1305"/>
        <w:spacing w:after="0" w:line="302" w:lineRule="auto"/>
        <w:tabs>
          <w:tab w:leader="none" w:pos="19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Signed Copies of Registration Statement</w:t>
      </w:r>
      <w:r>
        <w:rPr>
          <w:rFonts w:ascii="Arial" w:cs="Arial" w:eastAsia="Arial" w:hAnsi="Arial"/>
          <w:sz w:val="16"/>
          <w:szCs w:val="16"/>
          <w:color w:val="auto"/>
        </w:rPr>
        <w:t>. The Partnership will make available to each Manager, without charge, signed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and, so long as delivery of a prospectus by such Manager or a dealer may be required by the Act (including in circumstances where such requirement may be satisfied pursuant to Rule 172), as many copies of the Prospectus and any amendments or supplement thereto as such Manager may reasonably request. The Partnership will pay the expenses of printing or other production of all documents relating to the offering.</w:t>
      </w:r>
    </w:p>
    <w:p>
      <w:pPr>
        <w:spacing w:after="0" w:line="154" w:lineRule="exact"/>
        <w:rPr>
          <w:rFonts w:ascii="Arial" w:cs="Arial" w:eastAsia="Arial" w:hAnsi="Arial"/>
          <w:sz w:val="16"/>
          <w:szCs w:val="16"/>
          <w:color w:val="auto"/>
        </w:rPr>
      </w:pPr>
    </w:p>
    <w:p>
      <w:pPr>
        <w:ind w:right="60" w:firstLine="1305"/>
        <w:spacing w:after="0" w:line="302" w:lineRule="auto"/>
        <w:tabs>
          <w:tab w:leader="none" w:pos="196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Qualification</w:t>
      </w:r>
      <w:r>
        <w:rPr>
          <w:rFonts w:ascii="Arial" w:cs="Arial" w:eastAsia="Arial" w:hAnsi="Arial"/>
          <w:sz w:val="16"/>
          <w:szCs w:val="16"/>
          <w:color w:val="auto"/>
        </w:rPr>
        <w:t>. The Partnership will arrange, if necessary, for the qualification of the Shares for sale under the laws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jurisdictions as the Managers may designate and will maintain such qualifications in effect so long as required for the distribution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54" w:lineRule="exact"/>
        <w:rPr>
          <w:rFonts w:ascii="Arial" w:cs="Arial" w:eastAsia="Arial" w:hAnsi="Arial"/>
          <w:sz w:val="16"/>
          <w:szCs w:val="16"/>
          <w:color w:val="auto"/>
        </w:rPr>
      </w:pPr>
    </w:p>
    <w:p>
      <w:pPr>
        <w:ind w:right="140" w:firstLine="1305"/>
        <w:spacing w:after="0" w:line="286" w:lineRule="auto"/>
        <w:tabs>
          <w:tab w:leader="none" w:pos="1952"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No Issuer Free Writing Prospectus</w:t>
      </w:r>
      <w:r>
        <w:rPr>
          <w:rFonts w:ascii="Arial" w:cs="Arial" w:eastAsia="Arial" w:hAnsi="Arial"/>
          <w:sz w:val="17"/>
          <w:szCs w:val="17"/>
          <w:color w:val="auto"/>
        </w:rPr>
        <w:t>. Each of the Partnership and the Managers agree that it has not made and will not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 relating to the Shares that would constitute an Issuer Free Writing Prospectus or that would otherwise constitute a “free writing prospectus” (as defined in Rule 405) required to be filed by the Partnership with the Commission or retained by the Partnership under Rule 433.</w:t>
      </w:r>
    </w:p>
    <w:p>
      <w:pPr>
        <w:spacing w:after="0" w:line="165" w:lineRule="exact"/>
        <w:rPr>
          <w:rFonts w:ascii="Arial" w:cs="Arial" w:eastAsia="Arial" w:hAnsi="Arial"/>
          <w:sz w:val="17"/>
          <w:szCs w:val="17"/>
          <w:color w:val="auto"/>
        </w:rPr>
      </w:pPr>
    </w:p>
    <w:p>
      <w:pPr>
        <w:ind w:right="120" w:firstLine="1305"/>
        <w:spacing w:after="0" w:line="291" w:lineRule="auto"/>
        <w:tabs>
          <w:tab w:leader="none" w:pos="196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Limitations on Sale of Class A Shares</w:t>
      </w:r>
      <w:r>
        <w:rPr>
          <w:rFonts w:ascii="Arial" w:cs="Arial" w:eastAsia="Arial" w:hAnsi="Arial"/>
          <w:sz w:val="16"/>
          <w:szCs w:val="16"/>
          <w:color w:val="auto"/>
        </w:rPr>
        <w:t>. At any time that sales of the Shares have been made but not settled or at any time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has outstanding with any Manager any instructions to sell the Shares but such instructions have not been fulfilled or cancelled, the Partnership will not, without giving such Manager at least three Business Days prior written notice specifying the nature of the proposed transaction and the date of such proposed transaction,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w:t>
      </w:r>
    </w:p>
    <w:p>
      <w:pPr>
        <w:sectPr>
          <w:pgSz w:w="11900" w:h="16865" w:orient="portrait"/>
          <w:cols w:equalWidth="0" w:num="1">
            <w:col w:w="11420"/>
          </w:cols>
          <w:pgMar w:left="240" w:top="341" w:right="239" w:bottom="0" w:gutter="0" w:footer="0" w:header="0"/>
        </w:sectPr>
      </w:pPr>
    </w:p>
    <w:bookmarkStart w:id="12" w:name="page13"/>
    <w:bookmarkEnd w:id="12"/>
    <w:p>
      <w:pPr>
        <w:ind w:right="100"/>
        <w:spacing w:after="0" w:line="276" w:lineRule="auto"/>
        <w:rPr>
          <w:sz w:val="20"/>
          <w:szCs w:val="20"/>
          <w:color w:val="auto"/>
        </w:rPr>
      </w:pPr>
      <w:r>
        <w:rPr>
          <w:rFonts w:ascii="Arial" w:cs="Arial" w:eastAsia="Arial" w:hAnsi="Arial"/>
          <w:sz w:val="17"/>
          <w:szCs w:val="17"/>
          <w:color w:val="auto"/>
        </w:rPr>
        <w:t xml:space="preserve">Exchange Act with respect to, any Class A Shares or any securities that are convertible into, or exercisable or exchangeable for, or that represent the right to receive, Class A shares or any securities that are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Class A shares, or publicly announce an intention to effect any such transaction, or (ii) grant any options or warrants to purchase Class A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 the Partnership may issue the Shares pursuant to this Agreement or any Terms Agreement; (B) the Partnership may file a registration statement on Form S-8 or issue and sell Class A Shares or securities convertible into or exchangeable for Class A shares pursuant to any long-term incentive plan, employee share option plan, share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ownership plan or dividend reinvestment plan of the Partnership (or adopted by the General Partner) in effect at the Applicable Time; and (C) the Partnership may issue or deliver Class A shares issuable upon the conversion, vesting or exercise of securities (including long-term incentive plan awards, options and warrants) outstanding at the Applicable Time. In the event that notice of a proposed sale is provided by the Partnership pursuant to this </w:t>
      </w:r>
      <w:r>
        <w:rPr>
          <w:rFonts w:ascii="Arial" w:cs="Arial" w:eastAsia="Arial" w:hAnsi="Arial"/>
          <w:sz w:val="18"/>
          <w:szCs w:val="18"/>
          <w:u w:val="single" w:color="auto"/>
          <w:color w:val="auto"/>
        </w:rPr>
        <w:t>Section 4(i)</w:t>
      </w:r>
      <w:r>
        <w:rPr>
          <w:rFonts w:ascii="Arial" w:cs="Arial" w:eastAsia="Arial" w:hAnsi="Arial"/>
          <w:sz w:val="18"/>
          <w:szCs w:val="18"/>
          <w:color w:val="auto"/>
        </w:rPr>
        <w:t>, such Manager may (and shall if requested by the Partnership) suspend activity under this program for such period of time as may be requested by the Partnership or as may be deemed appropriate by such Manager.</w:t>
      </w:r>
    </w:p>
    <w:p>
      <w:pPr>
        <w:spacing w:after="0" w:line="188" w:lineRule="exact"/>
        <w:rPr>
          <w:sz w:val="20"/>
          <w:szCs w:val="20"/>
          <w:color w:val="auto"/>
        </w:rPr>
      </w:pPr>
    </w:p>
    <w:p>
      <w:pPr>
        <w:jc w:val="both"/>
        <w:ind w:right="80" w:firstLine="1305"/>
        <w:spacing w:after="0" w:line="259" w:lineRule="auto"/>
        <w:tabs>
          <w:tab w:leader="none" w:pos="195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Market Stabilization</w:t>
      </w:r>
      <w:r>
        <w:rPr>
          <w:rFonts w:ascii="Arial" w:cs="Arial" w:eastAsia="Arial" w:hAnsi="Arial"/>
          <w:sz w:val="18"/>
          <w:szCs w:val="18"/>
          <w:color w:val="auto"/>
        </w:rPr>
        <w:t>. Except as stated in this Agreement, any Terms Agreement and the Prospectus, the Partnership has not taken,</w:t>
      </w:r>
      <w:r>
        <w:rPr>
          <w:rFonts w:ascii="Arial" w:cs="Arial" w:eastAsia="Arial" w:hAnsi="Arial"/>
          <w:sz w:val="18"/>
          <w:szCs w:val="18"/>
          <w:i w:val="1"/>
          <w:iCs w:val="1"/>
          <w:color w:val="auto"/>
        </w:rPr>
        <w:t xml:space="preserve"> </w:t>
      </w:r>
      <w:r>
        <w:rPr>
          <w:rFonts w:ascii="Arial" w:cs="Arial" w:eastAsia="Arial" w:hAnsi="Arial"/>
          <w:sz w:val="18"/>
          <w:szCs w:val="18"/>
          <w:color w:val="auto"/>
        </w:rPr>
        <w:t>nor will it (i) take, directly or indirectly, any action designed to or that might reasonably be expected to cause or result in stabilization or manipulation of the price of the Class A shares to facilitate the sale or resale of the Shares or (ii) sell, bid for, purchase or pay any person any compensation for soliciting purchases of the Shares.</w:t>
      </w:r>
    </w:p>
    <w:p>
      <w:pPr>
        <w:spacing w:after="0" w:line="186" w:lineRule="exact"/>
        <w:rPr>
          <w:rFonts w:ascii="Arial" w:cs="Arial" w:eastAsia="Arial" w:hAnsi="Arial"/>
          <w:sz w:val="18"/>
          <w:szCs w:val="18"/>
          <w:color w:val="auto"/>
        </w:rPr>
      </w:pPr>
    </w:p>
    <w:p>
      <w:pPr>
        <w:ind w:right="280" w:firstLine="1305"/>
        <w:spacing w:after="0" w:line="286" w:lineRule="auto"/>
        <w:tabs>
          <w:tab w:leader="none" w:pos="1952"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Notifications to Managers</w:t>
      </w:r>
      <w:r>
        <w:rPr>
          <w:rFonts w:ascii="Arial" w:cs="Arial" w:eastAsia="Arial" w:hAnsi="Arial"/>
          <w:sz w:val="17"/>
          <w:szCs w:val="17"/>
          <w:color w:val="auto"/>
        </w:rPr>
        <w:t>. The Partnership will, at any time during the term of this Agreement, as supplemented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advise the Managers immediately after it shall have received notice or obtain knowledge thereof, of any information or fact that would alter or affect any opinion, certificate, letter and other document which has been previously provided to the Managers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herein.</w:t>
      </w:r>
    </w:p>
    <w:p>
      <w:pPr>
        <w:spacing w:after="0" w:line="165" w:lineRule="exact"/>
        <w:rPr>
          <w:rFonts w:ascii="Arial" w:cs="Arial" w:eastAsia="Arial" w:hAnsi="Arial"/>
          <w:sz w:val="17"/>
          <w:szCs w:val="17"/>
          <w:color w:val="auto"/>
        </w:rPr>
      </w:pPr>
    </w:p>
    <w:p>
      <w:pPr>
        <w:ind w:firstLine="1305"/>
        <w:spacing w:after="0" w:line="267" w:lineRule="auto"/>
        <w:tabs>
          <w:tab w:leader="none" w:pos="200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Certificates</w:t>
      </w:r>
      <w:r>
        <w:rPr>
          <w:rFonts w:ascii="Arial" w:cs="Arial" w:eastAsia="Arial" w:hAnsi="Arial"/>
          <w:sz w:val="17"/>
          <w:szCs w:val="17"/>
          <w:color w:val="auto"/>
        </w:rPr>
        <w:t>. Upon commencement of the offering of the Shares under this Agreement (and upon the recommencement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offering of the Shares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clauses (ii) and (iv) below, any prospectus supplement filed pursuant to Rule 424(b) pursuant to </w:t>
      </w:r>
      <w:r>
        <w:rPr>
          <w:rFonts w:ascii="Arial" w:cs="Arial" w:eastAsia="Arial" w:hAnsi="Arial"/>
          <w:sz w:val="17"/>
          <w:szCs w:val="17"/>
          <w:u w:val="single" w:color="auto"/>
          <w:color w:val="auto"/>
        </w:rPr>
        <w:t>Section 4(bb)</w:t>
      </w:r>
      <w:r>
        <w:rPr>
          <w:rFonts w:ascii="Arial" w:cs="Arial" w:eastAsia="Arial" w:hAnsi="Arial"/>
          <w:sz w:val="17"/>
          <w:szCs w:val="17"/>
          <w:color w:val="auto"/>
        </w:rPr>
        <w:t xml:space="preserve"> hereof or a prospectus supplement relating solely to the offering of securities other than the Shares), (ii) there is filed with the Commission any document incorporated by reference into the Prospectus (other than a Current Report on Form 8-K, unless any Manager shall otherwise reasonably request), (iii) the Shares are delivered to any Manager as principal at the Time of Delivery pursuant to a Terms Agreement, or (iv) otherwise as any Manager may reasonably request and upon reasonable advance notice to the Partnership (such commencement or recommencement date and each such date referred to in subclause (i), (ii), (iii) and (iv) herein, each a “</w:t>
      </w:r>
      <w:r>
        <w:rPr>
          <w:rFonts w:ascii="Arial" w:cs="Arial" w:eastAsia="Arial" w:hAnsi="Arial"/>
          <w:sz w:val="17"/>
          <w:szCs w:val="17"/>
          <w:u w:val="single" w:color="auto"/>
          <w:color w:val="auto"/>
        </w:rPr>
        <w:t>Representation Date</w:t>
      </w:r>
      <w:r>
        <w:rPr>
          <w:rFonts w:ascii="Arial" w:cs="Arial" w:eastAsia="Arial" w:hAnsi="Arial"/>
          <w:sz w:val="17"/>
          <w:szCs w:val="17"/>
          <w:color w:val="auto"/>
        </w:rPr>
        <w:t xml:space="preserve">”), the Partnership shall furnish or cause to be furnished to the Managers (or, in the case of subclause (iii) above, the relevant Manager party to the Terms Agreement) forthwith a certificate dated and delivered on the Representation Date, in form satisfactory to the Managers (or, in the case of subclause (iii) above, the relevant Manager party to the Terms Agreement) to the effect that the statements contained in the certificate referred to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which were last furnished to the Managers (or, in the case of subclause (iii) above, the relevant Manager party to the Terms Agreement)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contained in the Registration Statement and the Prospectus, in each case as amended or supplemented as of such date) or, in lieu of such certificate, a certificate of the same tenor as the certificate referred to in said </w:t>
      </w:r>
      <w:r>
        <w:rPr>
          <w:rFonts w:ascii="Arial" w:cs="Arial" w:eastAsia="Arial" w:hAnsi="Arial"/>
          <w:sz w:val="17"/>
          <w:szCs w:val="17"/>
          <w:u w:val="single" w:color="auto"/>
          <w:color w:val="auto"/>
        </w:rPr>
        <w:t>Section 6(b)</w:t>
      </w:r>
      <w:r>
        <w:rPr>
          <w:rFonts w:ascii="Arial" w:cs="Arial" w:eastAsia="Arial" w:hAnsi="Arial"/>
          <w:sz w:val="17"/>
          <w:szCs w:val="17"/>
          <w:color w:val="auto"/>
        </w:rPr>
        <w:t>, modified as described immediately above to the time of delivery of such certificate.</w:t>
      </w:r>
    </w:p>
    <w:p>
      <w:pPr>
        <w:spacing w:after="0" w:line="192" w:lineRule="exact"/>
        <w:rPr>
          <w:rFonts w:ascii="Arial" w:cs="Arial" w:eastAsia="Arial" w:hAnsi="Arial"/>
          <w:sz w:val="17"/>
          <w:szCs w:val="17"/>
          <w:color w:val="auto"/>
        </w:rPr>
      </w:pPr>
    </w:p>
    <w:p>
      <w:pPr>
        <w:ind w:right="40" w:firstLine="1305"/>
        <w:spacing w:after="0" w:line="293" w:lineRule="auto"/>
        <w:tabs>
          <w:tab w:leader="none" w:pos="1948"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Opinion of Partnership Counsel</w:t>
      </w:r>
      <w:r>
        <w:rPr>
          <w:rFonts w:ascii="Arial" w:cs="Arial" w:eastAsia="Arial" w:hAnsi="Arial"/>
          <w:sz w:val="16"/>
          <w:szCs w:val="16"/>
          <w:color w:val="auto"/>
        </w:rPr>
        <w:t>. At each Representation Date, the Partnership shall furnish or cause to be furnished forthwith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Managers (or, in the case of a Representation Date of the type described in </w:t>
      </w:r>
      <w:r>
        <w:rPr>
          <w:rFonts w:ascii="Arial" w:cs="Arial" w:eastAsia="Arial" w:hAnsi="Arial"/>
          <w:sz w:val="16"/>
          <w:szCs w:val="16"/>
          <w:u w:val="single" w:color="auto"/>
          <w:color w:val="auto"/>
        </w:rPr>
        <w:t>Section 4(l)(iii)</w:t>
      </w:r>
      <w:r>
        <w:rPr>
          <w:rFonts w:ascii="Arial" w:cs="Arial" w:eastAsia="Arial" w:hAnsi="Arial"/>
          <w:sz w:val="16"/>
          <w:szCs w:val="16"/>
          <w:color w:val="auto"/>
        </w:rPr>
        <w:t>, the relevant Manager party to the Terms Agreement) a written opinion of Vinson &amp; Elkins L.L.P., counsel for the Partnership (“</w:t>
      </w:r>
      <w:r>
        <w:rPr>
          <w:rFonts w:ascii="Arial" w:cs="Arial" w:eastAsia="Arial" w:hAnsi="Arial"/>
          <w:sz w:val="16"/>
          <w:szCs w:val="16"/>
          <w:u w:val="single" w:color="auto"/>
          <w:color w:val="auto"/>
        </w:rPr>
        <w:t>Partnership Counsel</w:t>
      </w:r>
      <w:r>
        <w:rPr>
          <w:rFonts w:ascii="Arial" w:cs="Arial" w:eastAsia="Arial" w:hAnsi="Arial"/>
          <w:sz w:val="16"/>
          <w:szCs w:val="16"/>
          <w:color w:val="auto"/>
        </w:rPr>
        <w:t xml:space="preserve">”), or other counsel satisfactory to the Managers, dated as of the Representation Date, in form and substance satisfactory to the Managers (or, in the case of a Representation Date of the type described in </w:t>
      </w:r>
      <w:r>
        <w:rPr>
          <w:rFonts w:ascii="Arial" w:cs="Arial" w:eastAsia="Arial" w:hAnsi="Arial"/>
          <w:sz w:val="16"/>
          <w:szCs w:val="16"/>
          <w:u w:val="single" w:color="auto"/>
          <w:color w:val="auto"/>
        </w:rPr>
        <w:t>Section 4(l)(iii)</w:t>
      </w:r>
      <w:r>
        <w:rPr>
          <w:rFonts w:ascii="Arial" w:cs="Arial" w:eastAsia="Arial" w:hAnsi="Arial"/>
          <w:sz w:val="16"/>
          <w:szCs w:val="16"/>
          <w:color w:val="auto"/>
        </w:rPr>
        <w:t xml:space="preserve">, the relevant Manager party to the Terms Agreement), of the same tenor as the opinion referred to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but modified as necessary to relate to the Registration Statement and the Prospectus, in each case as amended and supplemented to the time of delivery of such opinion.</w:t>
      </w:r>
    </w:p>
    <w:p>
      <w:pPr>
        <w:spacing w:after="0" w:line="164" w:lineRule="exact"/>
        <w:rPr>
          <w:rFonts w:ascii="Arial" w:cs="Arial" w:eastAsia="Arial" w:hAnsi="Arial"/>
          <w:sz w:val="16"/>
          <w:szCs w:val="16"/>
          <w:color w:val="auto"/>
        </w:rPr>
      </w:pPr>
    </w:p>
    <w:p>
      <w:pPr>
        <w:ind w:right="200" w:firstLine="1305"/>
        <w:spacing w:after="0" w:line="312" w:lineRule="auto"/>
        <w:tabs>
          <w:tab w:leader="none" w:pos="195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Opinion of General Counsel</w:t>
      </w:r>
      <w:r>
        <w:rPr>
          <w:rFonts w:ascii="Arial" w:cs="Arial" w:eastAsia="Arial" w:hAnsi="Arial"/>
          <w:sz w:val="16"/>
          <w:szCs w:val="16"/>
          <w:color w:val="auto"/>
        </w:rPr>
        <w:t>. At each Representation Date, the Partnership shall furnish or cause to be furnished forthwith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Managers (or, in the case of a Representation Date of the type described in </w:t>
      </w:r>
      <w:r>
        <w:rPr>
          <w:rFonts w:ascii="Arial" w:cs="Arial" w:eastAsia="Arial" w:hAnsi="Arial"/>
          <w:sz w:val="16"/>
          <w:szCs w:val="16"/>
          <w:u w:val="single" w:color="auto"/>
          <w:color w:val="auto"/>
        </w:rPr>
        <w:t>Section 4(l)(iii)</w:t>
      </w:r>
      <w:r>
        <w:rPr>
          <w:rFonts w:ascii="Arial" w:cs="Arial" w:eastAsia="Arial" w:hAnsi="Arial"/>
          <w:sz w:val="16"/>
          <w:szCs w:val="16"/>
          <w:color w:val="auto"/>
        </w:rPr>
        <w:t>, the relevant Manager party to the Terms Agreement) a written opinion of the general counsel for the General Partner (“</w:t>
      </w:r>
      <w:r>
        <w:rPr>
          <w:rFonts w:ascii="Arial" w:cs="Arial" w:eastAsia="Arial" w:hAnsi="Arial"/>
          <w:sz w:val="16"/>
          <w:szCs w:val="16"/>
          <w:u w:val="single" w:color="auto"/>
          <w:color w:val="auto"/>
        </w:rPr>
        <w:t>General Counsel</w:t>
      </w:r>
      <w:r>
        <w:rPr>
          <w:rFonts w:ascii="Arial" w:cs="Arial" w:eastAsia="Arial" w:hAnsi="Arial"/>
          <w:sz w:val="16"/>
          <w:szCs w:val="16"/>
          <w:color w:val="auto"/>
        </w:rPr>
        <w:t>”), dated as of the Representation Date, in form and substance satisfactory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pacing w:after="0" w:line="181" w:lineRule="exact"/>
        <w:rPr>
          <w:sz w:val="20"/>
          <w:szCs w:val="20"/>
          <w:color w:val="auto"/>
        </w:rPr>
      </w:pPr>
    </w:p>
    <w:p>
      <w:pPr>
        <w:ind w:right="80" w:firstLine="1305"/>
        <w:spacing w:after="0" w:line="273"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Opinion of Canadian Counsel</w:t>
      </w:r>
      <w:r>
        <w:rPr>
          <w:rFonts w:ascii="Arial" w:cs="Arial" w:eastAsia="Arial" w:hAnsi="Arial"/>
          <w:sz w:val="17"/>
          <w:szCs w:val="17"/>
          <w:color w:val="auto"/>
        </w:rPr>
        <w:t>. At each Representation Date, the Partnership shall furnish or cause to be furnished forthwith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the relevant Manager party to the Terms Agreement) a written opinion of special internal Canadian counsel for the Partnership (“</w:t>
      </w:r>
      <w:r>
        <w:rPr>
          <w:rFonts w:ascii="Arial" w:cs="Arial" w:eastAsia="Arial" w:hAnsi="Arial"/>
          <w:sz w:val="17"/>
          <w:szCs w:val="17"/>
          <w:u w:val="single" w:color="auto"/>
          <w:color w:val="auto"/>
        </w:rPr>
        <w:t>Canadian Counsel</w:t>
      </w:r>
      <w:r>
        <w:rPr>
          <w:rFonts w:ascii="Arial" w:cs="Arial" w:eastAsia="Arial" w:hAnsi="Arial"/>
          <w:sz w:val="17"/>
          <w:szCs w:val="17"/>
          <w:color w:val="auto"/>
        </w:rPr>
        <w:t xml:space="preserve">”), dated as of the Representation Date, in form and substance satisfactory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of the same tenor as the opinion referred to in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hereof, but modified as necessary to relate to the Registration Statement and the Prospectus, in each case as amended and supplemented to the time of delivery of such opinion.</w:t>
      </w:r>
    </w:p>
    <w:p>
      <w:pPr>
        <w:spacing w:after="0" w:line="178" w:lineRule="exact"/>
        <w:rPr>
          <w:rFonts w:ascii="Arial" w:cs="Arial" w:eastAsia="Arial" w:hAnsi="Arial"/>
          <w:sz w:val="17"/>
          <w:szCs w:val="17"/>
          <w:color w:val="auto"/>
        </w:rPr>
      </w:pPr>
    </w:p>
    <w:p>
      <w:pPr>
        <w:ind w:right="120" w:firstLine="1305"/>
        <w:spacing w:after="0" w:line="25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Opinion of Managers’ Counsel</w:t>
      </w:r>
      <w:r>
        <w:rPr>
          <w:rFonts w:ascii="Arial" w:cs="Arial" w:eastAsia="Arial" w:hAnsi="Arial"/>
          <w:sz w:val="18"/>
          <w:szCs w:val="18"/>
          <w:color w:val="auto"/>
        </w:rPr>
        <w:t>. At each Representation Date, Baker Botts L.L.P., counsel for the Managers (“</w:t>
      </w:r>
      <w:r>
        <w:rPr>
          <w:rFonts w:ascii="Arial" w:cs="Arial" w:eastAsia="Arial" w:hAnsi="Arial"/>
          <w:sz w:val="18"/>
          <w:szCs w:val="18"/>
          <w:u w:val="single" w:color="auto"/>
          <w:color w:val="auto"/>
        </w:rPr>
        <w:t>Managers’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xml:space="preserve">”), shall deliver a written opinion, dated as of the Representation Date, in form and substance satisfactory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ectPr>
          <w:pgSz w:w="11900" w:h="16838" w:orient="portrait"/>
          <w:cols w:equalWidth="0" w:num="1">
            <w:col w:w="11400"/>
          </w:cols>
          <w:pgMar w:left="240" w:top="125" w:right="259" w:bottom="0" w:gutter="0" w:footer="0" w:header="0"/>
        </w:sectPr>
      </w:pPr>
    </w:p>
    <w:bookmarkStart w:id="13" w:name="page14"/>
    <w:bookmarkEnd w:id="13"/>
    <w:p>
      <w:pPr>
        <w:ind w:right="80" w:firstLine="1305"/>
        <w:spacing w:after="0" w:line="287" w:lineRule="auto"/>
        <w:tabs>
          <w:tab w:leader="none" w:pos="1952"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Letter of Independent Accountants</w:t>
      </w:r>
      <w:r>
        <w:rPr>
          <w:rFonts w:ascii="Arial" w:cs="Arial" w:eastAsia="Arial" w:hAnsi="Arial"/>
          <w:sz w:val="16"/>
          <w:szCs w:val="16"/>
          <w:color w:val="auto"/>
        </w:rPr>
        <w:t>. Upon commencement of the offering of the Shares under this Agreement (and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recommencement of the offering of the Shares under this Agreement following the termination of a suspension of sales hereunder), and each time that (i) the Registration Statement or the Prospectus shall be amended or supplemented to include additional or amended financial information, (ii) the Shares are delivered to any Manager as principal at the Time of Delivery pursuant to a Terms Agreement, (iii) the Partnership files a Quarterly Report on Form 10-Q or an Annual Report on Form 10-K, or (iv) at any Manager’s request and upon reasonable advance notice to the Partnership, there is filed with the Commission any document which contains financial information (other than a Quarterly Report on Form 10-Q or an Annual Report on Form 10-K) incorporated by reference into the Prospectus, the Partnership shall cause the Accountants, or other independent accountants satisfactory to the Managers or, in the case of subclause (ii) above, the relevant Manager party to the Terms Agreement forthwith, to furnish, as promptly as practicable after such date, the Managers or, in the case of subclause (ii) above, the relevant Manager party to the Terms Agreement a letter, dated the date of commencement or recommencement, effectiveness of such amendment, the date of filing of such supplement or other document with the Commission, or the Time of Delivery, as the case may be, in form satisfactory to the Managers or, in the case of subclause (ii) above, such Manager, of the same tenor as the letter referred to in </w:t>
      </w:r>
      <w:r>
        <w:rPr>
          <w:rFonts w:ascii="Arial" w:cs="Arial" w:eastAsia="Arial" w:hAnsi="Arial"/>
          <w:sz w:val="16"/>
          <w:szCs w:val="16"/>
          <w:u w:val="single" w:color="auto"/>
          <w:color w:val="auto"/>
        </w:rPr>
        <w:t>Section 6(g)</w:t>
      </w:r>
      <w:r>
        <w:rPr>
          <w:rFonts w:ascii="Arial" w:cs="Arial" w:eastAsia="Arial" w:hAnsi="Arial"/>
          <w:sz w:val="16"/>
          <w:szCs w:val="16"/>
          <w:color w:val="auto"/>
        </w:rPr>
        <w:t xml:space="preserve"> hereof but modified to incorporate the disclosures contained in the Registration Statement and the Prospectus, in each case as amended or supplemented as of such date.</w:t>
      </w:r>
    </w:p>
    <w:p>
      <w:pPr>
        <w:spacing w:after="0" w:line="168" w:lineRule="exact"/>
        <w:rPr>
          <w:rFonts w:ascii="Arial" w:cs="Arial" w:eastAsia="Arial" w:hAnsi="Arial"/>
          <w:sz w:val="16"/>
          <w:szCs w:val="16"/>
          <w:color w:val="auto"/>
        </w:rPr>
      </w:pPr>
    </w:p>
    <w:p>
      <w:pPr>
        <w:ind w:firstLine="1305"/>
        <w:spacing w:after="0" w:line="255" w:lineRule="auto"/>
        <w:tabs>
          <w:tab w:leader="none" w:pos="196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At each Representation Date, if reasonably requested by the Managers, the Partnership will conduct a due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session, in form and substance satisfactory to such Manager,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w:t>
      </w:r>
    </w:p>
    <w:p>
      <w:pPr>
        <w:spacing w:after="0" w:line="189" w:lineRule="exact"/>
        <w:rPr>
          <w:rFonts w:ascii="Arial" w:cs="Arial" w:eastAsia="Arial" w:hAnsi="Arial"/>
          <w:sz w:val="18"/>
          <w:szCs w:val="18"/>
          <w:color w:val="auto"/>
        </w:rPr>
      </w:pPr>
    </w:p>
    <w:p>
      <w:pPr>
        <w:ind w:right="120" w:firstLine="1305"/>
        <w:spacing w:after="0" w:line="342" w:lineRule="auto"/>
        <w:tabs>
          <w:tab w:leader="none" w:pos="1959"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Managers Trading</w:t>
      </w:r>
      <w:r>
        <w:rPr>
          <w:rFonts w:ascii="Arial" w:cs="Arial" w:eastAsia="Arial" w:hAnsi="Arial"/>
          <w:sz w:val="16"/>
          <w:szCs w:val="16"/>
          <w:color w:val="auto"/>
        </w:rPr>
        <w:t>. The Partnership consents to each Manager trading in the Class A Shares for such Manager’s own account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account of its clients at the same time as sales of the Shares occur pursuant to this Agreement or pursuant to a Terms Agreement.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Disclosures in Periodic Reports</w:t>
      </w:r>
      <w:r>
        <w:rPr>
          <w:rFonts w:ascii="Arial" w:cs="Arial" w:eastAsia="Arial" w:hAnsi="Arial"/>
          <w:sz w:val="17"/>
          <w:szCs w:val="17"/>
          <w:color w:val="auto"/>
        </w:rPr>
        <w:t>. The Partnership will disclose in its Annual Reports on Form 10-K, Quarterly Reports on</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Form 10-Q, and in any other filings made by the Partnership where the Commission may require the Partnership to disclose such information, the number of Shares sold to or through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Managers under this Agreement, the Net Proceeds to the Partnership and the compensation paid by the Partnership with respect to sales of Shares pursuant to this Agreement during the relevant quarter.</w:t>
      </w:r>
    </w:p>
    <w:p>
      <w:pPr>
        <w:spacing w:after="0" w:line="170" w:lineRule="exact"/>
        <w:rPr>
          <w:sz w:val="20"/>
          <w:szCs w:val="20"/>
          <w:color w:val="auto"/>
        </w:rPr>
      </w:pPr>
    </w:p>
    <w:p>
      <w:pPr>
        <w:jc w:val="both"/>
        <w:ind w:right="140" w:firstLine="1305"/>
        <w:spacing w:after="0" w:line="286" w:lineRule="auto"/>
        <w:tabs>
          <w:tab w:leader="none" w:pos="195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Failure of Certain Conditions</w:t>
      </w:r>
      <w:r>
        <w:rPr>
          <w:rFonts w:ascii="Arial" w:cs="Arial" w:eastAsia="Arial" w:hAnsi="Arial"/>
          <w:sz w:val="17"/>
          <w:szCs w:val="17"/>
          <w:color w:val="auto"/>
        </w:rPr>
        <w:t>. If to the knowledge of the Partnership, the conditions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6(a)</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6(h)</w:t>
      </w:r>
      <w:r>
        <w:rPr>
          <w:rFonts w:ascii="Arial" w:cs="Arial" w:eastAsia="Arial" w:hAnsi="Arial"/>
          <w:sz w:val="17"/>
          <w:szCs w:val="17"/>
          <w:i w:val="1"/>
          <w:iCs w:val="1"/>
          <w:color w:val="auto"/>
        </w:rPr>
        <w:t xml:space="preserve"> </w:t>
      </w:r>
      <w:r>
        <w:rPr>
          <w:rFonts w:ascii="Arial" w:cs="Arial" w:eastAsia="Arial" w:hAnsi="Arial"/>
          <w:sz w:val="17"/>
          <w:szCs w:val="17"/>
          <w:color w:val="auto"/>
        </w:rPr>
        <w:t>hereof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true and correct on the applicable Settlement Date, the Partnership will offer to any person who has agreed to purchase Shares from the Partnership as the result of an offer to purchase solicited by any Manager the right to refuse to purchase and pay for such Shares.</w:t>
      </w:r>
    </w:p>
    <w:p>
      <w:pPr>
        <w:spacing w:after="0" w:line="165" w:lineRule="exact"/>
        <w:rPr>
          <w:rFonts w:ascii="Arial" w:cs="Arial" w:eastAsia="Arial" w:hAnsi="Arial"/>
          <w:sz w:val="17"/>
          <w:szCs w:val="17"/>
          <w:color w:val="auto"/>
        </w:rPr>
      </w:pPr>
    </w:p>
    <w:p>
      <w:pPr>
        <w:ind w:firstLine="1305"/>
        <w:spacing w:after="0" w:line="276" w:lineRule="auto"/>
        <w:tabs>
          <w:tab w:leader="none" w:pos="195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Affirmation of Representations and Warranties</w:t>
      </w:r>
      <w:r>
        <w:rPr>
          <w:rFonts w:ascii="Arial" w:cs="Arial" w:eastAsia="Arial" w:hAnsi="Arial"/>
          <w:sz w:val="17"/>
          <w:szCs w:val="17"/>
          <w:color w:val="auto"/>
        </w:rPr>
        <w:t>. At each Applicable Time, Settlement Date, Representation Date, upon each</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and delivery by the Partnership of a Terms Agreement, and at each Time of Delivery, the Partnership shall be deemed to have made an affirmation to the Managers that the representations and warranties of the Partnership contained in or made pursuant to this Agreement are true and correct as of such date, as though made at and as of such date (except that such representations and warranties shall be deemed modified to incorporate the disclosures contained in the Registration Statement and the Prospectus, in each case as amended or supplemented as of such date).</w:t>
      </w:r>
    </w:p>
    <w:p>
      <w:pPr>
        <w:spacing w:after="0" w:line="172" w:lineRule="exact"/>
        <w:rPr>
          <w:rFonts w:ascii="Arial" w:cs="Arial" w:eastAsia="Arial" w:hAnsi="Arial"/>
          <w:sz w:val="17"/>
          <w:szCs w:val="17"/>
          <w:color w:val="auto"/>
        </w:rPr>
      </w:pPr>
    </w:p>
    <w:p>
      <w:pPr>
        <w:jc w:val="both"/>
        <w:ind w:right="300" w:firstLine="1305"/>
        <w:spacing w:after="0" w:line="312" w:lineRule="auto"/>
        <w:tabs>
          <w:tab w:leader="none" w:pos="196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Partnership Authority</w:t>
      </w:r>
      <w:r>
        <w:rPr>
          <w:rFonts w:ascii="Arial" w:cs="Arial" w:eastAsia="Arial" w:hAnsi="Arial"/>
          <w:sz w:val="16"/>
          <w:szCs w:val="16"/>
          <w:color w:val="auto"/>
        </w:rPr>
        <w:t>. The Partnership shall ensure prior to instructing any Manager to sell Shares that (i) the Partnership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obtained all necessary partnership authority for the offer and sale of such Shares, (ii) there are at all times sufficient Class A shares to provide for the issuance, free of any preemptive rights, of the maximum aggregate number of Shares authorized for issuance pursuant to the terms of this Agreement.</w:t>
      </w:r>
    </w:p>
    <w:p>
      <w:pPr>
        <w:spacing w:after="0" w:line="146" w:lineRule="exact"/>
        <w:rPr>
          <w:rFonts w:ascii="Arial" w:cs="Arial" w:eastAsia="Arial" w:hAnsi="Arial"/>
          <w:sz w:val="16"/>
          <w:szCs w:val="16"/>
          <w:color w:val="auto"/>
        </w:rPr>
      </w:pPr>
    </w:p>
    <w:p>
      <w:pPr>
        <w:ind w:right="120" w:firstLine="1305"/>
        <w:spacing w:after="0" w:line="277" w:lineRule="auto"/>
        <w:tabs>
          <w:tab w:leader="none" w:pos="195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NYSE Listing</w:t>
      </w:r>
      <w:r>
        <w:rPr>
          <w:rFonts w:ascii="Arial" w:cs="Arial" w:eastAsia="Arial" w:hAnsi="Arial"/>
          <w:sz w:val="18"/>
          <w:szCs w:val="18"/>
          <w:color w:val="auto"/>
        </w:rPr>
        <w:t>. The Partnership will use its reasonable efforts to effect the listing of the Shares for trading on the NYSE,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issuance, and to maintain such listing.</w:t>
      </w:r>
    </w:p>
    <w:p>
      <w:pPr>
        <w:spacing w:after="0" w:line="170" w:lineRule="exact"/>
        <w:rPr>
          <w:rFonts w:ascii="Arial" w:cs="Arial" w:eastAsia="Arial" w:hAnsi="Arial"/>
          <w:sz w:val="18"/>
          <w:szCs w:val="18"/>
          <w:color w:val="auto"/>
        </w:rPr>
      </w:pPr>
    </w:p>
    <w:p>
      <w:pPr>
        <w:ind w:right="180" w:firstLine="1305"/>
        <w:spacing w:after="0" w:line="312" w:lineRule="auto"/>
        <w:tabs>
          <w:tab w:leader="none" w:pos="1952"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Exchange Act Filings</w:t>
      </w:r>
      <w:r>
        <w:rPr>
          <w:rFonts w:ascii="Arial" w:cs="Arial" w:eastAsia="Arial" w:hAnsi="Arial"/>
          <w:sz w:val="16"/>
          <w:szCs w:val="16"/>
          <w:color w:val="auto"/>
        </w:rPr>
        <w:t>. During any period when the delivery of a prospectus relating to the Shares is required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where such requirement may be satisfied pursuant to Rule 172) to be delivered under the Act, the Partnership will file all documents required to be filed with the Commission pursuant to the Exchange Act within the time periods required by the Exchange Act and the regulations thereunder.</w:t>
      </w:r>
    </w:p>
    <w:p>
      <w:pPr>
        <w:spacing w:after="0" w:line="146" w:lineRule="exact"/>
        <w:rPr>
          <w:rFonts w:ascii="Arial" w:cs="Arial" w:eastAsia="Arial" w:hAnsi="Arial"/>
          <w:sz w:val="16"/>
          <w:szCs w:val="16"/>
          <w:color w:val="auto"/>
        </w:rPr>
      </w:pPr>
    </w:p>
    <w:p>
      <w:pPr>
        <w:ind w:right="500" w:firstLine="1305"/>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Partnership shall cooperate with the Managers and use its reasonable efforts to permit the Shares to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clearance and settlement through the facilities of DTC.</w:t>
      </w:r>
    </w:p>
    <w:p>
      <w:pPr>
        <w:spacing w:after="0" w:line="170" w:lineRule="exact"/>
        <w:rPr>
          <w:sz w:val="20"/>
          <w:szCs w:val="20"/>
          <w:color w:val="auto"/>
        </w:rPr>
      </w:pPr>
    </w:p>
    <w:p>
      <w:pPr>
        <w:ind w:firstLine="1305"/>
        <w:spacing w:after="0" w:line="264" w:lineRule="auto"/>
        <w:tabs>
          <w:tab w:leader="none" w:pos="1927"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Partnership will apply the Net Proceeds from the sale of the Shares to purchase from Plains AAP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AAP Units equal to the number of Shares sold, and Plains AAP will use the net proceeds of such sale to purchase from PAA a number of PAA Units equal to the number of AAP Units sold, as set forth in the Prospectus Supplement.</w:t>
      </w:r>
    </w:p>
    <w:p>
      <w:pPr>
        <w:spacing w:after="0" w:line="181" w:lineRule="exact"/>
        <w:rPr>
          <w:rFonts w:ascii="Arial" w:cs="Arial" w:eastAsia="Arial" w:hAnsi="Arial"/>
          <w:sz w:val="18"/>
          <w:szCs w:val="18"/>
          <w:color w:val="auto"/>
        </w:rPr>
      </w:pPr>
    </w:p>
    <w:p>
      <w:pPr>
        <w:ind w:right="120" w:firstLine="1305"/>
        <w:spacing w:after="0" w:line="277" w:lineRule="auto"/>
        <w:tabs>
          <w:tab w:leader="none" w:pos="194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Rule 424 Filings</w:t>
      </w:r>
      <w:r>
        <w:rPr>
          <w:rFonts w:ascii="Arial" w:cs="Arial" w:eastAsia="Arial" w:hAnsi="Arial"/>
          <w:sz w:val="18"/>
          <w:szCs w:val="18"/>
          <w:color w:val="auto"/>
        </w:rPr>
        <w:t>. The Partnership will make all filings with respect to the Shares required to be filed by the Commission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Rule 424 within the applicable time period prescribed for such filing by Rule 424.</w:t>
      </w:r>
    </w:p>
    <w:p>
      <w:pPr>
        <w:spacing w:after="0" w:line="170" w:lineRule="exact"/>
        <w:rPr>
          <w:rFonts w:ascii="Arial" w:cs="Arial" w:eastAsia="Arial" w:hAnsi="Arial"/>
          <w:sz w:val="18"/>
          <w:szCs w:val="18"/>
          <w:color w:val="auto"/>
        </w:rPr>
      </w:pPr>
    </w:p>
    <w:p>
      <w:pPr>
        <w:ind w:firstLine="656"/>
        <w:spacing w:after="0" w:line="289" w:lineRule="auto"/>
        <w:tabs>
          <w:tab w:leader="none" w:pos="129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Partnership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each amendment or supplement to either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the NYSE; (vi) any registration or qualification of the Shares</w:t>
      </w:r>
    </w:p>
    <w:p>
      <w:pPr>
        <w:sectPr>
          <w:pgSz w:w="11900" w:h="16838" w:orient="portrait"/>
          <w:cols w:equalWidth="0" w:num="1">
            <w:col w:w="11420"/>
          </w:cols>
          <w:pgMar w:left="240" w:top="125" w:right="239" w:bottom="0" w:gutter="0" w:footer="0" w:header="0"/>
        </w:sectPr>
      </w:pPr>
    </w:p>
    <w:bookmarkStart w:id="14" w:name="page15"/>
    <w:bookmarkEnd w:id="14"/>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offer and sale under the securities or blue sky laws of the several states (including filing fees and the reasonable fees and expenses of Managers’ Counsel relating to such registration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qualification); (vii) any filings required to be made with FINRA (including filing fees and the reasonable fees and expenses of Managers’ Counsel relating to such filings); (viii) the transportation and other expenses incurred by or on behalf of Partnership representatives in connection with presentations to prospective purchasers of the Shares; (ix) the fees and expenses of the Partnership’s accountants and the fees and expenses of counsel (including local and special counsel) for the Partnership and the reasonable fees and expenses of counsel for the Managers; and (x) all other costs and expenses incident to the performance by the Partnership of its obligations hereunder. It is understood, however, that except as provided in </w:t>
      </w:r>
      <w:r>
        <w:rPr>
          <w:rFonts w:ascii="Arial" w:cs="Arial" w:eastAsia="Arial" w:hAnsi="Arial"/>
          <w:sz w:val="18"/>
          <w:szCs w:val="18"/>
          <w:u w:val="single" w:color="auto"/>
          <w:color w:val="auto"/>
        </w:rPr>
        <w:t>Sections 3(a)(v)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each Manager will pay all of its own out-of-pocket costs and expenses incurred in connection with entering into this Agreement and the transactions contemplated by this Agreement.</w:t>
      </w:r>
    </w:p>
    <w:p>
      <w:pPr>
        <w:spacing w:after="0" w:line="189" w:lineRule="exact"/>
        <w:rPr>
          <w:sz w:val="20"/>
          <w:szCs w:val="20"/>
          <w:color w:val="auto"/>
        </w:rPr>
      </w:pPr>
    </w:p>
    <w:p>
      <w:pPr>
        <w:ind w:right="80" w:firstLine="656"/>
        <w:spacing w:after="0" w:line="288" w:lineRule="auto"/>
        <w:tabs>
          <w:tab w:leader="none" w:pos="1296"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Managers</w:t>
      </w:r>
      <w:r>
        <w:rPr>
          <w:rFonts w:ascii="Arial" w:cs="Arial" w:eastAsia="Arial" w:hAnsi="Arial"/>
          <w:sz w:val="16"/>
          <w:szCs w:val="16"/>
          <w:color w:val="auto"/>
        </w:rPr>
        <w:t>. The obligations of each Manager under this Agreement and any Terms Agreement shall be subject to (i) the accuracy of the representations and warranties on the part of the Partnership contained herein as of the Execution Time, each Representation Date, and as of each Applicable Time, Settlement Date and Time of Delivery, (ii) to the performance by the Partnership of its obligations hereunder and</w:t>
      </w: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additional conditions:</w:t>
      </w:r>
    </w:p>
    <w:p>
      <w:pPr>
        <w:spacing w:after="0" w:line="210" w:lineRule="exact"/>
        <w:rPr>
          <w:rFonts w:ascii="Arial" w:cs="Arial" w:eastAsia="Arial" w:hAnsi="Arial"/>
          <w:sz w:val="18"/>
          <w:szCs w:val="18"/>
          <w:color w:val="auto"/>
        </w:rPr>
      </w:pPr>
    </w:p>
    <w:p>
      <w:pPr>
        <w:ind w:right="140" w:firstLine="1305"/>
        <w:spacing w:after="0" w:line="291" w:lineRule="auto"/>
        <w:tabs>
          <w:tab w:leader="none" w:pos="1942" w:val="left"/>
        </w:tabs>
        <w:numPr>
          <w:ilvl w:val="2"/>
          <w:numId w:val="37"/>
        </w:numPr>
        <w:rPr>
          <w:rFonts w:ascii="Arial" w:cs="Arial" w:eastAsia="Arial" w:hAnsi="Arial"/>
          <w:sz w:val="16"/>
          <w:szCs w:val="16"/>
          <w:color w:val="auto"/>
        </w:rPr>
      </w:pPr>
      <w:r>
        <w:rPr>
          <w:rFonts w:ascii="Arial" w:cs="Arial" w:eastAsia="Arial" w:hAnsi="Arial"/>
          <w:sz w:val="16"/>
          <w:szCs w:val="16"/>
          <w:color w:val="auto"/>
        </w:rPr>
        <w:t>The Prospectus, and any supplement thereto, required by Rule 424 to be filed with the Commission have been filed in the manner and within the time period required by Rule 424(b) with respect to any sale of Shares; any material required to be filed by the Partnership pursuant to</w:t>
      </w:r>
    </w:p>
    <w:p>
      <w:pPr>
        <w:jc w:val="both"/>
        <w:ind w:right="80"/>
        <w:spacing w:after="0" w:line="255" w:lineRule="auto"/>
        <w:rPr>
          <w:rFonts w:ascii="Arial" w:cs="Arial" w:eastAsia="Arial" w:hAnsi="Arial"/>
          <w:sz w:val="16"/>
          <w:szCs w:val="16"/>
          <w:color w:val="auto"/>
        </w:rPr>
      </w:pPr>
      <w:r>
        <w:rPr>
          <w:rFonts w:ascii="Arial" w:cs="Arial" w:eastAsia="Arial" w:hAnsi="Arial"/>
          <w:sz w:val="18"/>
          <w:szCs w:val="18"/>
          <w:color w:val="auto"/>
        </w:rPr>
        <w:t>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90" w:lineRule="exact"/>
        <w:rPr>
          <w:rFonts w:ascii="Arial" w:cs="Arial" w:eastAsia="Arial" w:hAnsi="Arial"/>
          <w:sz w:val="16"/>
          <w:szCs w:val="16"/>
          <w:color w:val="auto"/>
        </w:rPr>
      </w:pPr>
    </w:p>
    <w:p>
      <w:pPr>
        <w:ind w:right="20" w:firstLine="1305"/>
        <w:spacing w:after="0" w:line="276" w:lineRule="auto"/>
        <w:tabs>
          <w:tab w:leader="none" w:pos="1952" w:val="left"/>
        </w:tabs>
        <w:numPr>
          <w:ilvl w:val="2"/>
          <w:numId w:val="37"/>
        </w:numPr>
        <w:rPr>
          <w:rFonts w:ascii="Arial" w:cs="Arial" w:eastAsia="Arial" w:hAnsi="Arial"/>
          <w:sz w:val="17"/>
          <w:szCs w:val="17"/>
          <w:color w:val="auto"/>
        </w:rPr>
      </w:pPr>
      <w:r>
        <w:rPr>
          <w:rFonts w:ascii="Arial" w:cs="Arial" w:eastAsia="Arial" w:hAnsi="Arial"/>
          <w:sz w:val="17"/>
          <w:szCs w:val="17"/>
          <w:color w:val="auto"/>
        </w:rPr>
        <w:t xml:space="preserve">The Partnership shall have furnished or caused to be furnished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on every date specified in </w:t>
      </w:r>
      <w:r>
        <w:rPr>
          <w:rFonts w:ascii="Arial" w:cs="Arial" w:eastAsia="Arial" w:hAnsi="Arial"/>
          <w:sz w:val="17"/>
          <w:szCs w:val="17"/>
          <w:u w:val="single" w:color="auto"/>
          <w:color w:val="auto"/>
        </w:rPr>
        <w:t>Section 4(l)</w:t>
      </w:r>
      <w:r>
        <w:rPr>
          <w:rFonts w:ascii="Arial" w:cs="Arial" w:eastAsia="Arial" w:hAnsi="Arial"/>
          <w:sz w:val="17"/>
          <w:szCs w:val="17"/>
          <w:color w:val="auto"/>
        </w:rPr>
        <w:t xml:space="preserve"> hereof, a certificate of the Partnership, signed on behalf of the Partnership by any two of the Chief Executive Officer, any President, any Executive Vice President, any Senior Vice President or any Vice President of the General Partner, dated as of such date, to the effect that the signers of such certificate have carefully examined the Registration Statement and the Prospectus and any supplements or amendments thereto and this Agreement and that:</w:t>
      </w:r>
    </w:p>
    <w:p>
      <w:pPr>
        <w:spacing w:after="0" w:line="172" w:lineRule="exact"/>
        <w:rPr>
          <w:rFonts w:ascii="Arial" w:cs="Arial" w:eastAsia="Arial" w:hAnsi="Arial"/>
          <w:sz w:val="17"/>
          <w:szCs w:val="17"/>
          <w:color w:val="auto"/>
        </w:rPr>
      </w:pPr>
    </w:p>
    <w:p>
      <w:pPr>
        <w:ind w:left="660" w:right="40" w:firstLine="1293"/>
        <w:spacing w:after="0" w:line="276" w:lineRule="auto"/>
        <w:tabs>
          <w:tab w:leader="none" w:pos="2626" w:val="left"/>
        </w:tabs>
        <w:numPr>
          <w:ilvl w:val="3"/>
          <w:numId w:val="37"/>
        </w:numPr>
        <w:rPr>
          <w:rFonts w:ascii="Arial" w:cs="Arial" w:eastAsia="Arial" w:hAnsi="Arial"/>
          <w:sz w:val="17"/>
          <w:szCs w:val="17"/>
          <w:color w:val="auto"/>
        </w:rPr>
      </w:pPr>
      <w:r>
        <w:rPr>
          <w:rFonts w:ascii="Arial" w:cs="Arial" w:eastAsia="Arial" w:hAnsi="Arial"/>
          <w:sz w:val="17"/>
          <w:szCs w:val="17"/>
          <w:color w:val="auto"/>
        </w:rPr>
        <w:t>subject to modification to incorporate the disclosures contained in the Registration Statement and the Prospectus, in each case as amended or supplemented as of such date, the representations and warranties of the Partnership in this Agreement are true and correct on and as of such date with the same effect as if made on such date; and the Partnership has complied in all material respects (except with respect to agreements and conditions that are qualified by materiality, which shall be true and correct in all respects) with all the agreements and satisfied all the conditions on its part to be performed or satisfied at or prior to such date;</w:t>
      </w:r>
    </w:p>
    <w:p>
      <w:pPr>
        <w:spacing w:after="0" w:line="172" w:lineRule="exact"/>
        <w:rPr>
          <w:rFonts w:ascii="Arial" w:cs="Arial" w:eastAsia="Arial" w:hAnsi="Arial"/>
          <w:sz w:val="17"/>
          <w:szCs w:val="17"/>
          <w:color w:val="auto"/>
        </w:rPr>
      </w:pPr>
    </w:p>
    <w:p>
      <w:pPr>
        <w:ind w:left="660" w:right="40" w:firstLine="1293"/>
        <w:spacing w:after="0" w:line="277" w:lineRule="auto"/>
        <w:tabs>
          <w:tab w:leader="none" w:pos="2636" w:val="left"/>
        </w:tabs>
        <w:numPr>
          <w:ilvl w:val="3"/>
          <w:numId w:val="37"/>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170" w:lineRule="exact"/>
        <w:rPr>
          <w:rFonts w:ascii="Arial" w:cs="Arial" w:eastAsia="Arial" w:hAnsi="Arial"/>
          <w:sz w:val="18"/>
          <w:szCs w:val="18"/>
          <w:color w:val="auto"/>
        </w:rPr>
      </w:pPr>
    </w:p>
    <w:p>
      <w:pPr>
        <w:ind w:left="660" w:firstLine="1293"/>
        <w:spacing w:after="0" w:line="297" w:lineRule="auto"/>
        <w:tabs>
          <w:tab w:leader="none" w:pos="2645" w:val="left"/>
        </w:tabs>
        <w:numPr>
          <w:ilvl w:val="3"/>
          <w:numId w:val="37"/>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Prospectus, there has not been any change, or any development involving a prospective change, in the partnership interests, capital stock, or long-term debt of the Partnership or any of its subsidiaries that would reasonably be expected to cause a Material Adverse Effect, or any change in the general affairs, management, financial position, results of operations, cash flows or working capital of the Partnership and its subsidiaries, whether or not arising from transactions in the ordinary course of business, that would reasonably be expected to cause a Material Adverse Effect, other than as set forth in or contemplated by the Prospectus.</w:t>
      </w:r>
    </w:p>
    <w:p>
      <w:pPr>
        <w:spacing w:after="0" w:line="158" w:lineRule="exact"/>
        <w:rPr>
          <w:rFonts w:ascii="Arial" w:cs="Arial" w:eastAsia="Arial" w:hAnsi="Arial"/>
          <w:sz w:val="16"/>
          <w:szCs w:val="16"/>
          <w:color w:val="auto"/>
        </w:rPr>
      </w:pPr>
    </w:p>
    <w:p>
      <w:pPr>
        <w:ind w:right="600" w:firstLine="1305"/>
        <w:spacing w:after="0" w:line="279" w:lineRule="auto"/>
        <w:tabs>
          <w:tab w:leader="none" w:pos="1955" w:val="left"/>
        </w:tabs>
        <w:numPr>
          <w:ilvl w:val="2"/>
          <w:numId w:val="37"/>
        </w:numPr>
        <w:rPr>
          <w:rFonts w:ascii="Arial" w:cs="Arial" w:eastAsia="Arial" w:hAnsi="Arial"/>
          <w:sz w:val="17"/>
          <w:szCs w:val="17"/>
          <w:color w:val="auto"/>
        </w:rPr>
      </w:pPr>
      <w:r>
        <w:rPr>
          <w:rFonts w:ascii="Arial" w:cs="Arial" w:eastAsia="Arial" w:hAnsi="Arial"/>
          <w:sz w:val="17"/>
          <w:szCs w:val="17"/>
          <w:color w:val="auto"/>
        </w:rPr>
        <w:t xml:space="preserve">The Partnership shall have requested and caused the Partnership Counsel to furnish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on every date specified in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hereof, its opinion, dated as of such date and addressed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in the form set forth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1305"/>
        <w:spacing w:after="0" w:line="259"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Partnership shall have furnished to the Managers (or, in the case of a Representation Date of the type described in </w:t>
      </w:r>
      <w:r>
        <w:rPr>
          <w:rFonts w:ascii="Arial" w:cs="Arial" w:eastAsia="Arial" w:hAnsi="Arial"/>
          <w:sz w:val="18"/>
          <w:szCs w:val="18"/>
          <w:u w:val="single" w:color="auto"/>
          <w:color w:val="auto"/>
        </w:rPr>
        <w:t>Section 4(l)</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relevant Manager party to the Terms Agreement), on every date specified in </w:t>
      </w:r>
      <w:r>
        <w:rPr>
          <w:rFonts w:ascii="Arial" w:cs="Arial" w:eastAsia="Arial" w:hAnsi="Arial"/>
          <w:sz w:val="18"/>
          <w:szCs w:val="18"/>
          <w:u w:val="single" w:color="auto"/>
          <w:color w:val="auto"/>
        </w:rPr>
        <w:t>Section 4(n)</w:t>
      </w:r>
      <w:r>
        <w:rPr>
          <w:rFonts w:ascii="Arial" w:cs="Arial" w:eastAsia="Arial" w:hAnsi="Arial"/>
          <w:sz w:val="18"/>
          <w:szCs w:val="18"/>
          <w:color w:val="auto"/>
        </w:rPr>
        <w:t xml:space="preserve"> hereof, an opinion of the General Counsel,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in the form set forth in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60" w:firstLine="1305"/>
        <w:spacing w:after="0" w:line="259"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Partnership shall have furnished to the Managers (or, in the case of a Representation Date of the type described in </w:t>
      </w:r>
      <w:r>
        <w:rPr>
          <w:rFonts w:ascii="Arial" w:cs="Arial" w:eastAsia="Arial" w:hAnsi="Arial"/>
          <w:sz w:val="18"/>
          <w:szCs w:val="18"/>
          <w:u w:val="single" w:color="auto"/>
          <w:color w:val="auto"/>
        </w:rPr>
        <w:t>Section 4(l)</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relevant Manager party to the Terms Agreement), on every date specified in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hereof, an opinion of Canadian Counsel,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in the form set forth in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60" w:firstLine="1305"/>
        <w:spacing w:after="0" w:line="255" w:lineRule="auto"/>
        <w:tabs>
          <w:tab w:leader="none" w:pos="19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shall have received from Managers’ Counsel on every date specified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hereof, such opinion or opinions,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with respect to the issuance and sale of the Shares, the Registration Statement, the Prospectus (together with any supplement thereto) and other related matters as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the relevant Manager party to the Terms Agreement) may reasonably require, and the Partnership shall have furnished to such counsel such documents as they request for the purpose of enabling them to pass upon such matters.</w:t>
      </w:r>
    </w:p>
    <w:p>
      <w:pPr>
        <w:spacing w:after="0" w:line="189" w:lineRule="exact"/>
        <w:rPr>
          <w:rFonts w:ascii="Arial" w:cs="Arial" w:eastAsia="Arial" w:hAnsi="Arial"/>
          <w:sz w:val="18"/>
          <w:szCs w:val="18"/>
          <w:color w:val="auto"/>
        </w:rPr>
      </w:pPr>
    </w:p>
    <w:p>
      <w:pPr>
        <w:ind w:right="80" w:firstLine="1305"/>
        <w:spacing w:after="0" w:line="342" w:lineRule="auto"/>
        <w:tabs>
          <w:tab w:leader="none" w:pos="19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Partnership shall have requested and caused the Accountants to have furnished to the Managers or, in the case of </w:t>
      </w:r>
      <w:r>
        <w:rPr>
          <w:rFonts w:ascii="Arial" w:cs="Arial" w:eastAsia="Arial" w:hAnsi="Arial"/>
          <w:sz w:val="16"/>
          <w:szCs w:val="16"/>
          <w:u w:val="single" w:color="auto"/>
          <w:color w:val="auto"/>
        </w:rPr>
        <w:t>Section 4(q)</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relevant Manager party to the Terms Agreement, on every date specified in </w:t>
      </w:r>
      <w:r>
        <w:rPr>
          <w:rFonts w:ascii="Arial" w:cs="Arial" w:eastAsia="Arial" w:hAnsi="Arial"/>
          <w:sz w:val="16"/>
          <w:szCs w:val="16"/>
          <w:u w:val="single" w:color="auto"/>
          <w:color w:val="auto"/>
        </w:rPr>
        <w:t>Section 4(q)</w:t>
      </w:r>
      <w:r>
        <w:rPr>
          <w:rFonts w:ascii="Arial" w:cs="Arial" w:eastAsia="Arial" w:hAnsi="Arial"/>
          <w:sz w:val="16"/>
          <w:szCs w:val="16"/>
          <w:color w:val="auto"/>
        </w:rPr>
        <w:t xml:space="preserve"> hereof and to the extent reasonably requested by the</w:t>
      </w:r>
    </w:p>
    <w:p>
      <w:pPr>
        <w:sectPr>
          <w:pgSz w:w="11900" w:h="16975" w:orient="portrait"/>
          <w:cols w:equalWidth="0" w:num="1">
            <w:col w:w="11420"/>
          </w:cols>
          <w:pgMar w:left="240" w:top="125" w:right="239" w:bottom="0" w:gutter="0" w:footer="0" w:header="0"/>
        </w:sectPr>
      </w:pPr>
    </w:p>
    <w:bookmarkStart w:id="15" w:name="page16"/>
    <w:bookmarkEnd w:id="15"/>
    <w:p>
      <w:pPr>
        <w:ind w:right="60"/>
        <w:spacing w:after="0" w:line="293" w:lineRule="auto"/>
        <w:rPr>
          <w:sz w:val="20"/>
          <w:szCs w:val="20"/>
          <w:color w:val="auto"/>
        </w:rPr>
      </w:pPr>
      <w:r>
        <w:rPr>
          <w:rFonts w:ascii="Arial" w:cs="Arial" w:eastAsia="Arial" w:hAnsi="Arial"/>
          <w:sz w:val="16"/>
          <w:szCs w:val="16"/>
          <w:color w:val="auto"/>
        </w:rPr>
        <w:t xml:space="preserve">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with advance notice to the Partnership in connection with any offering of the Shares, letters (which may refer to letters previously delivered to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containing statements and information of the type ordinarily included in accountants’ “comfort letters” to underwriters with respect to the financial statements and certain financial information contained in the Registration Statement and the Prospectus, dated as of such date, in form and substance satisfactory to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cut-off date for the procedures performed by such accountants and described in such letters shall be a date not more than five days prior to the date of such letter.</w:t>
      </w:r>
    </w:p>
    <w:p>
      <w:pPr>
        <w:spacing w:after="0" w:line="165" w:lineRule="exact"/>
        <w:rPr>
          <w:sz w:val="20"/>
          <w:szCs w:val="20"/>
          <w:color w:val="auto"/>
        </w:rPr>
      </w:pPr>
    </w:p>
    <w:p>
      <w:pPr>
        <w:ind w:right="60" w:firstLine="1305"/>
        <w:spacing w:after="0" w:line="290" w:lineRule="auto"/>
        <w:tabs>
          <w:tab w:leader="none" w:pos="19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and the Prospectus, there shall not have occurred (i) any change, or any development involving a prospective change that would reasonably be expected to have a Material Adverse Effect, not contemplated by the Prospectus, which in a Manager’s opinion, would materially adversely affect the market for the Shares, or (ii) any event or development relating to or involving any of the Plains Entities or any executive officer or director of any of such entities that makes any statement made in the Prospectus untrue or which, in the opinion of the Partnership and its counsel or any Manager and its counsel, requires the making of any addition to or change in the Prospectus in order to state a material fact required by the Act or any other law to be stated therein or necessary in order to make the statements therein, in the light of the circumstances under which they were made, not misleading, if amending or supplementing the Prospectus to reflect such event or development would, in a Manager’s opinion, materially adversely affect the market for the Shares.</w:t>
      </w:r>
    </w:p>
    <w:p>
      <w:pPr>
        <w:spacing w:after="0" w:line="166" w:lineRule="exact"/>
        <w:rPr>
          <w:rFonts w:ascii="Arial" w:cs="Arial" w:eastAsia="Arial" w:hAnsi="Arial"/>
          <w:sz w:val="16"/>
          <w:szCs w:val="16"/>
          <w:color w:val="auto"/>
        </w:rPr>
      </w:pPr>
    </w:p>
    <w:p>
      <w:pPr>
        <w:ind w:left="1980" w:hanging="675"/>
        <w:spacing w:after="0"/>
        <w:tabs>
          <w:tab w:leader="none" w:pos="1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FINRA shall not have raised any objection with respect to the fairness and reasonableness of the terms and arrangements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100" w:firstLine="1305"/>
        <w:spacing w:after="0" w:line="277" w:lineRule="auto"/>
        <w:tabs>
          <w:tab w:leader="none" w:pos="19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Shares shall have been listed and admitted and authorized for trading on the NYSE, and satisfactory evidence of such actions shall have been provided to the Managers.</w:t>
      </w:r>
    </w:p>
    <w:p>
      <w:pPr>
        <w:spacing w:after="0" w:line="170" w:lineRule="exact"/>
        <w:rPr>
          <w:rFonts w:ascii="Arial" w:cs="Arial" w:eastAsia="Arial" w:hAnsi="Arial"/>
          <w:sz w:val="18"/>
          <w:szCs w:val="18"/>
          <w:color w:val="auto"/>
        </w:rPr>
      </w:pPr>
    </w:p>
    <w:p>
      <w:pPr>
        <w:ind w:right="460" w:firstLine="1305"/>
        <w:spacing w:after="0" w:line="277" w:lineRule="auto"/>
        <w:tabs>
          <w:tab w:leader="none" w:pos="19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each Settlement Date and Time of Delivery, as applicable, the Partnership shall have furnished to the Managers such further information, certificates and documents as the Managers may reasonably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have been fulfilled when and as provided in this Agreement, or if any of the opinions and certificates mentioned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elsewhere in this Agreement shall not be reasonably satisfactory in form and substance to any Manager, this Agreement, as it relates to such Manager, and all obligations of such Manager hereunder may be canceled at, or at any time prior to, any Settlement Date or Time of Delivery, as applicable, by such Manager. Notice of such cancellation shall be given to the Partnership in writing or by telephone or facsimile confirmed in writing.</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The documents required to be delivered to the Managers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delivered at the office of Managers’ Counsel, at Baker Botts L.L.P., One Shell Plaza, 910 Louisiana Street, Houston, Texas 77002, on each such date as provided in this Agreement.</w:t>
      </w:r>
    </w:p>
    <w:p>
      <w:pPr>
        <w:spacing w:after="0" w:line="170" w:lineRule="exact"/>
        <w:rPr>
          <w:sz w:val="20"/>
          <w:szCs w:val="20"/>
          <w:color w:val="auto"/>
        </w:rPr>
      </w:pPr>
    </w:p>
    <w:p>
      <w:pPr>
        <w:ind w:left="1380" w:hanging="724"/>
        <w:spacing w:after="0"/>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6" w:lineRule="auto"/>
        <w:tabs>
          <w:tab w:leader="none" w:pos="1991"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The Partnership agrees to indemnify and hold harmless each Manager, the directors, officers, employees and agents of each Manager, each affiliate of any Manager who has participated in the distribution of the Shares, each broker-dealer affiliate of any Manager and each other affiliate of any Manager within the meaning of Rule 405 under the Act, and each person who controls any Manager within the meaning of Section 15 of the Act or Section 20 of the Exchange Act against any and all losses, claims, damages, liabilities or expenses, joint or several, to which they or any of them may become subject under the Act, the Exchange Act or otherwise, insofar as such losses, claims, damages, liabilities or expenses arise out of, or are based upon any untrue statement or alleged untrue statement of a material fact contained in the Registration Statement or the Prospectus, or in any amendment thereof or supplement thereto, or arise out of or are based upon the omission or alleged omission to state therein a material fact required to be stated therein or necessary to make the statements therein (in the case of the Prospectus,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Partnership will not be liable in any such case to the extent that any such loss, claim, damage or liability arises out of or is based upon any such untrue statement or alleged untrue statement or omission or alleged omission made in reliance upon and in conformity with written information furnished to the Partnership by any Manager specifically for use therein, which information is specified in </w:t>
      </w:r>
      <w:r>
        <w:rPr>
          <w:rFonts w:ascii="Arial" w:cs="Arial" w:eastAsia="Arial" w:hAnsi="Arial"/>
          <w:sz w:val="16"/>
          <w:szCs w:val="16"/>
          <w:u w:val="single" w:color="auto"/>
          <w:color w:val="auto"/>
        </w:rPr>
        <w:t>Section 19</w:t>
      </w:r>
      <w:r>
        <w:rPr>
          <w:rFonts w:ascii="Arial" w:cs="Arial" w:eastAsia="Arial" w:hAnsi="Arial"/>
          <w:sz w:val="16"/>
          <w:szCs w:val="16"/>
          <w:color w:val="auto"/>
        </w:rPr>
        <w:t>. The foregoing indemnity will be in addition to any liability that the Partnership may otherwise have.</w:t>
      </w:r>
    </w:p>
    <w:p>
      <w:pPr>
        <w:spacing w:after="0" w:line="174" w:lineRule="exact"/>
        <w:rPr>
          <w:rFonts w:ascii="Arial" w:cs="Arial" w:eastAsia="Arial" w:hAnsi="Arial"/>
          <w:sz w:val="16"/>
          <w:szCs w:val="16"/>
          <w:color w:val="auto"/>
        </w:rPr>
      </w:pPr>
    </w:p>
    <w:p>
      <w:pPr>
        <w:ind w:right="20" w:firstLine="1305"/>
        <w:spacing w:after="0" w:line="286" w:lineRule="auto"/>
        <w:tabs>
          <w:tab w:leader="none" w:pos="2001"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Manager, the directors, officers, employees and agents of any Manager or any person controlling any Manager in respect of which indemnity may be sought against the Partnership, such Manager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Manager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Manager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68" w:lineRule="exact"/>
        <w:rPr>
          <w:rFonts w:ascii="Arial" w:cs="Arial" w:eastAsia="Arial" w:hAnsi="Arial"/>
          <w:sz w:val="16"/>
          <w:szCs w:val="16"/>
          <w:color w:val="auto"/>
        </w:rPr>
      </w:pPr>
    </w:p>
    <w:p>
      <w:pPr>
        <w:ind w:right="240" w:firstLine="1305"/>
        <w:spacing w:after="0" w:line="277" w:lineRule="auto"/>
        <w:tabs>
          <w:tab w:leader="none" w:pos="19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Manager, severally and not jointly, agrees to indemnify and hold harmless the Partnership, the General Partner’s directors and officers who sign the Registration Statement, and any person who</w:t>
      </w:r>
    </w:p>
    <w:p>
      <w:pPr>
        <w:sectPr>
          <w:pgSz w:w="11900" w:h="16838" w:orient="portrait"/>
          <w:cols w:equalWidth="0" w:num="1">
            <w:col w:w="11400"/>
          </w:cols>
          <w:pgMar w:left="240" w:top="125" w:right="259" w:bottom="12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16" w:name="page17"/>
    <w:bookmarkEnd w:id="16"/>
    <w:p>
      <w:pPr>
        <w:ind w:right="100"/>
        <w:spacing w:after="0" w:line="270" w:lineRule="auto"/>
        <w:rPr>
          <w:sz w:val="20"/>
          <w:szCs w:val="20"/>
          <w:color w:val="auto"/>
        </w:rPr>
      </w:pPr>
      <w:r>
        <w:rPr>
          <w:rFonts w:ascii="Arial" w:cs="Arial" w:eastAsia="Arial" w:hAnsi="Arial"/>
          <w:sz w:val="17"/>
          <w:szCs w:val="17"/>
          <w:color w:val="auto"/>
        </w:rPr>
        <w:t xml:space="preserve">controls the Partnership within the meaning of Section 15 of the Act or Section 20 of the Exchange Act, to the same extent as the foregoing indemnity from the Partnership to each Manager, but only with respect to information furnished in writing by or on behalf of such Manager expressly for use in the Registration Statement or the Prospectus, or any amendment or supplement thereto, which information is specified in </w:t>
      </w:r>
      <w:r>
        <w:rPr>
          <w:rFonts w:ascii="Arial" w:cs="Arial" w:eastAsia="Arial" w:hAnsi="Arial"/>
          <w:sz w:val="17"/>
          <w:szCs w:val="17"/>
          <w:u w:val="single" w:color="auto"/>
          <w:color w:val="auto"/>
        </w:rPr>
        <w:t>Section 19</w:t>
      </w:r>
      <w:r>
        <w:rPr>
          <w:rFonts w:ascii="Arial" w:cs="Arial" w:eastAsia="Arial" w:hAnsi="Arial"/>
          <w:sz w:val="17"/>
          <w:szCs w:val="17"/>
          <w:color w:val="auto"/>
        </w:rPr>
        <w:t>. If any action, suit or proceeding shall be brought against the Partnership, any of such directors and officers or any such controlling person based on the Registration Statement or the Prospectus, or any amendment or supplement thereto, and in respect of which indemnity may be sought against a Manager pursuant to this paragraph (c), such Manager shall have the rights and duties given to the Partnership by paragraph (b) above (except that if the Partnership shall have assumed the defense thereof such Manager shall not be required to do so, but may employ separate counsel therein and participate in (but not control) the defense thereof, but the fees and expenses of such counsel shall be at such Manager’s expense), and the Partnership, any of such directors and officers and any such controlling person shall have the rights and duties given to the Managers by paragraph (b) above. The foregoing indemnity agreement shall be in addition to any liability that each Manager may otherwise have.</w:t>
      </w:r>
    </w:p>
    <w:p>
      <w:pPr>
        <w:spacing w:after="0" w:line="184" w:lineRule="exact"/>
        <w:rPr>
          <w:sz w:val="20"/>
          <w:szCs w:val="20"/>
          <w:color w:val="auto"/>
        </w:rPr>
      </w:pPr>
    </w:p>
    <w:p>
      <w:pPr>
        <w:ind w:left="2000" w:hanging="695"/>
        <w:spacing w:after="0"/>
        <w:tabs>
          <w:tab w:leader="none" w:pos="2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In the event that the indemnification provided for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unavailable to an indemnified party under paragraph (a) or</w:t>
      </w:r>
    </w:p>
    <w:p>
      <w:pPr>
        <w:spacing w:after="0" w:line="40" w:lineRule="exact"/>
        <w:rPr>
          <w:rFonts w:ascii="Arial" w:cs="Arial" w:eastAsia="Arial" w:hAnsi="Arial"/>
          <w:sz w:val="16"/>
          <w:szCs w:val="16"/>
          <w:color w:val="auto"/>
        </w:rPr>
      </w:pPr>
    </w:p>
    <w:p>
      <w:pPr>
        <w:ind w:firstLine="8"/>
        <w:spacing w:after="0" w:line="285" w:lineRule="auto"/>
        <w:tabs>
          <w:tab w:leader="none" w:pos="239" w:val="left"/>
        </w:tabs>
        <w:numPr>
          <w:ilvl w:val="0"/>
          <w:numId w:val="42"/>
        </w:numPr>
        <w:rPr>
          <w:rFonts w:ascii="Arial" w:cs="Arial" w:eastAsia="Arial" w:hAnsi="Arial"/>
          <w:sz w:val="16"/>
          <w:szCs w:val="16"/>
          <w:color w:val="auto"/>
        </w:rPr>
      </w:pPr>
      <w:r>
        <w:rPr>
          <w:rFonts w:ascii="Arial" w:cs="Arial" w:eastAsia="Arial" w:hAnsi="Arial"/>
          <w:sz w:val="16"/>
          <w:szCs w:val="16"/>
          <w:color w:val="auto"/>
        </w:rPr>
        <w:t>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Managers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Partnership on the one hand and the Managers on the other in connection with the statements or omissions that resulted in such losses, claims, damages, liabilities or expenses, as well as any other relevant equitable considerations. The relative benefits received by the Partnership on the one hand and the Managers on the other shall be deemed to be in the same relative proportions as the total net proceeds from the offering (before deducting expenses) received by the Partnership bear to the total discounts and commissions received by the Managers, in each case as determined by this Agreement or any applicable Terms Agreement. The relative fault of the Partnership on the one hand and the Managers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Managers on the other hand, and the parties’ relative intent, knowledge, access to information and opportunity to correct or prevent such statement or omission.</w:t>
      </w:r>
    </w:p>
    <w:p>
      <w:pPr>
        <w:spacing w:after="0" w:line="172" w:lineRule="exact"/>
        <w:rPr>
          <w:rFonts w:ascii="Arial" w:cs="Arial" w:eastAsia="Arial" w:hAnsi="Arial"/>
          <w:sz w:val="16"/>
          <w:szCs w:val="16"/>
          <w:color w:val="auto"/>
        </w:rPr>
      </w:pPr>
    </w:p>
    <w:p>
      <w:pPr>
        <w:ind w:right="320" w:firstLine="1305"/>
        <w:spacing w:after="0" w:line="291" w:lineRule="auto"/>
        <w:tabs>
          <w:tab w:leader="none" w:pos="19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The Partnership and the Managers agree that it would not be just and equitable if contribution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determined by a pro rata allocation or by any other method of allocation that does not take account of the equitable considerations referred to in paragraph</w:t>
      </w: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above. The amount paid or payable by an indemnified party as a result of the losses, claims, damages, liabilities and expenses referred to in paragraph</w:t>
      </w:r>
    </w:p>
    <w:p>
      <w:pPr>
        <w:spacing w:after="0" w:line="32" w:lineRule="exact"/>
        <w:rPr>
          <w:sz w:val="20"/>
          <w:szCs w:val="20"/>
          <w:color w:val="auto"/>
        </w:rPr>
      </w:pPr>
    </w:p>
    <w:p>
      <w:pPr>
        <w:ind w:right="100" w:firstLine="8"/>
        <w:spacing w:after="0" w:line="270"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7"/>
          <w:szCs w:val="17"/>
          <w:u w:val="single" w:color="auto"/>
          <w:color w:val="auto"/>
        </w:rPr>
        <w:t>Section 7</w:t>
      </w:r>
      <w:r>
        <w:rPr>
          <w:rFonts w:ascii="Arial" w:cs="Arial" w:eastAsia="Arial" w:hAnsi="Arial"/>
          <w:sz w:val="17"/>
          <w:szCs w:val="17"/>
          <w:color w:val="auto"/>
        </w:rPr>
        <w:t>, no Manager shall be required to contribute any amount in excess of the amount by which the total price of the Shares distributed to the public pursuant to this Agreement exceeds the amount of damages that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78" w:lineRule="exact"/>
        <w:rPr>
          <w:rFonts w:ascii="Arial" w:cs="Arial" w:eastAsia="Arial" w:hAnsi="Arial"/>
          <w:sz w:val="17"/>
          <w:szCs w:val="17"/>
          <w:color w:val="auto"/>
        </w:rPr>
      </w:pPr>
    </w:p>
    <w:p>
      <w:pPr>
        <w:ind w:right="40" w:firstLine="1305"/>
        <w:spacing w:after="0" w:line="285" w:lineRule="auto"/>
        <w:tabs>
          <w:tab w:leader="none" w:pos="2016"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w:t>
      </w:r>
    </w:p>
    <w:p>
      <w:pPr>
        <w:spacing w:after="0" w:line="2" w:lineRule="exact"/>
        <w:rPr>
          <w:rFonts w:ascii="Arial" w:cs="Arial" w:eastAsia="Arial" w:hAnsi="Arial"/>
          <w:sz w:val="16"/>
          <w:szCs w:val="16"/>
          <w:color w:val="auto"/>
        </w:rPr>
      </w:pPr>
    </w:p>
    <w:p>
      <w:pPr>
        <w:ind w:right="140" w:firstLine="8"/>
        <w:spacing w:after="0" w:line="261"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liable for any settlement of any such action effected without its written consent (which consent shall not be unreasonably withheld), but if settled with the consent of the indemnifying party or if there be a final judgment for the plaintiff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such action, the indemnifying party agrees to indemnify and hold harmless any indemnified party from and against any loss or liability by reason of such settlement or judgment.</w:t>
      </w:r>
    </w:p>
    <w:p>
      <w:pPr>
        <w:spacing w:after="0" w:line="176" w:lineRule="exact"/>
        <w:rPr>
          <w:sz w:val="20"/>
          <w:szCs w:val="20"/>
          <w:color w:val="auto"/>
        </w:rPr>
      </w:pPr>
    </w:p>
    <w:p>
      <w:pPr>
        <w:ind w:firstLine="1305"/>
        <w:spacing w:after="0" w:line="291" w:lineRule="auto"/>
        <w:tabs>
          <w:tab w:leader="none" w:pos="20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Any losses, claims, damages, liabilities or expenses for which an indemnified party is entitled to indemnification or contribution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the covenants, representations and warranties of the Partnership set forth in this Agreement shall remain operative and in full force and effect, regardless of (i) any investigation made by or on behalf of any Manager or any person controlling any Manager, the Partnership or any of the General Partner’s directors or officers or any person controlling the Partnership, (ii) acceptance of any Shares and payment therefore in accordance with the terms of this Agreement, and (iii) any termination of this Agreement.</w:t>
      </w:r>
    </w:p>
    <w:p>
      <w:pPr>
        <w:spacing w:after="0" w:line="16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A successor to any Manager or any person controlling any Manager, or to the Partnership or any of the General Partner’s directors or officers or any person controlling the Partnership shall be entitled to the benefits of the indemnity, contribution and reimbursement agreements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24" w:lineRule="exact"/>
        <w:rPr>
          <w:sz w:val="20"/>
          <w:szCs w:val="20"/>
          <w:color w:val="auto"/>
        </w:rPr>
      </w:pPr>
    </w:p>
    <w:p>
      <w:pPr>
        <w:ind w:left="1380" w:hanging="724"/>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right="160" w:firstLine="1305"/>
        <w:spacing w:after="0" w:line="254" w:lineRule="auto"/>
        <w:tabs>
          <w:tab w:leader="none" w:pos="19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Partnership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any Manager for the Partnership, then </w:t>
      </w:r>
      <w:r>
        <w:rPr>
          <w:rFonts w:ascii="Arial" w:cs="Arial" w:eastAsia="Arial" w:hAnsi="Arial"/>
          <w:sz w:val="18"/>
          <w:szCs w:val="18"/>
          <w:u w:val="single" w:color="auto"/>
          <w:color w:val="auto"/>
        </w:rPr>
        <w:t>Section 4(v)</w:t>
      </w:r>
      <w:r>
        <w:rPr>
          <w:rFonts w:ascii="Arial" w:cs="Arial" w:eastAsia="Arial" w:hAnsi="Arial"/>
          <w:sz w:val="18"/>
          <w:szCs w:val="18"/>
          <w:color w:val="auto"/>
        </w:rPr>
        <w:t xml:space="preserve"> shall remain in full force and effect, (ii) with respect to any pending sale, through such Manager for the Partnership, the obligations of the Partnership, including in respect of compensation of the Managers, shall remain in full force and effect notwithstanding the termination and (iii)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hereof shall remain in full force and effect notwithstanding such termination.</w:t>
      </w:r>
    </w:p>
    <w:p>
      <w:pPr>
        <w:spacing w:after="0" w:line="192" w:lineRule="exact"/>
        <w:rPr>
          <w:rFonts w:ascii="Arial" w:cs="Arial" w:eastAsia="Arial" w:hAnsi="Arial"/>
          <w:sz w:val="18"/>
          <w:szCs w:val="18"/>
          <w:color w:val="auto"/>
        </w:rPr>
      </w:pPr>
    </w:p>
    <w:p>
      <w:pPr>
        <w:ind w:right="20" w:firstLine="1305"/>
        <w:spacing w:after="0" w:line="279" w:lineRule="auto"/>
        <w:tabs>
          <w:tab w:leader="none" w:pos="2001"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Each Manager shall have the right, by giving written notice as hereinafter specified, to terminate its own obligations under the provisions hereof relating to the solicitation of offers to purchase the Shares in its sole discretion at any time. Subject to </w:t>
      </w:r>
      <w:r>
        <w:rPr>
          <w:rFonts w:ascii="Arial" w:cs="Arial" w:eastAsia="Arial" w:hAnsi="Arial"/>
          <w:sz w:val="17"/>
          <w:szCs w:val="17"/>
          <w:u w:val="single" w:color="auto"/>
          <w:color w:val="auto"/>
        </w:rPr>
        <w:t>Section 8(a)(iii)</w:t>
      </w:r>
      <w:r>
        <w:rPr>
          <w:rFonts w:ascii="Arial" w:cs="Arial" w:eastAsia="Arial" w:hAnsi="Arial"/>
          <w:sz w:val="17"/>
          <w:szCs w:val="17"/>
          <w:color w:val="auto"/>
        </w:rPr>
        <w:t xml:space="preserve">, any such termination shall have no effect on the obligations of any other Manager under this Agreement and shall be without liability of any party to any other party except that the provisions of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hereof shall remain in full force and effect notwithstanding such termination.</w:t>
      </w:r>
    </w:p>
    <w:p>
      <w:pPr>
        <w:sectPr>
          <w:pgSz w:w="11900" w:h="16838" w:orient="portrait"/>
          <w:cols w:equalWidth="0" w:num="1">
            <w:col w:w="11420"/>
          </w:cols>
          <w:pgMar w:left="240" w:top="341" w:right="239" w:bottom="46" w:gutter="0" w:footer="0" w:header="0"/>
        </w:sectPr>
      </w:pPr>
    </w:p>
    <w:bookmarkStart w:id="17" w:name="page18"/>
    <w:bookmarkEnd w:id="17"/>
    <w:p>
      <w:pPr>
        <w:spacing w:after="0" w:line="36" w:lineRule="exact"/>
        <w:rPr>
          <w:sz w:val="20"/>
          <w:szCs w:val="20"/>
          <w:color w:val="auto"/>
        </w:rPr>
      </w:pPr>
    </w:p>
    <w:p>
      <w:pPr>
        <w:ind w:right="200" w:firstLine="1305"/>
        <w:spacing w:after="0" w:line="286" w:lineRule="auto"/>
        <w:tabs>
          <w:tab w:leader="none" w:pos="1991"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until the earlier of (i) its termination pursuant to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above or the termination of all Managers’ obligations pursuant to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above or otherwise by mutual agreement of the parties; provided that any such termination by mutual agreement shall in all cases be deemed to provide that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shall remain in full force and effect.</w:t>
      </w:r>
    </w:p>
    <w:p>
      <w:pPr>
        <w:spacing w:after="0" w:line="165" w:lineRule="exact"/>
        <w:rPr>
          <w:rFonts w:ascii="Arial" w:cs="Arial" w:eastAsia="Arial" w:hAnsi="Arial"/>
          <w:sz w:val="17"/>
          <w:szCs w:val="17"/>
          <w:color w:val="auto"/>
        </w:rPr>
      </w:pPr>
    </w:p>
    <w:p>
      <w:pPr>
        <w:ind w:right="380" w:firstLine="1305"/>
        <w:spacing w:after="0" w:line="259" w:lineRule="auto"/>
        <w:tabs>
          <w:tab w:leader="none" w:pos="20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provided that such termination shall not be effective until the close of business on the date of receipt of such notice by any Manager or the Partnership, as the case may be. If such termination shall occur prior to the Settlement Date or Time of Delivery for any sale of the Shares, such sale shall settle in accordance with the provisions of </w:t>
      </w:r>
      <w:r>
        <w:rPr>
          <w:rFonts w:ascii="Arial" w:cs="Arial" w:eastAsia="Arial" w:hAnsi="Arial"/>
          <w:sz w:val="18"/>
          <w:szCs w:val="18"/>
          <w:u w:val="single" w:color="auto"/>
          <w:color w:val="auto"/>
        </w:rPr>
        <w:t>Section 3(a)(vii)</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right="120" w:firstLine="1305"/>
        <w:spacing w:after="0" w:line="285" w:lineRule="auto"/>
        <w:tabs>
          <w:tab w:leader="none" w:pos="19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case of any purchase of Shares by any Manager pursuant to a Terms Agreement, the obligations of such Manager pursuant to such Terms Agreement shall be subject to termination, in the absolute discretion of such Manager, by notice given to the Partnership prior to the Time of Delivery relating to such Shares, if at any time prior to such delivery and payment (i) trading in the Class A Shares shall have been suspended by the Commission or the NYSE or trading in securities generally on the NYSE, the NYSE MKT LLC or the Nasdaq National Market shall have been suspended or limited or minimum prices shall have been established, (ii) a banking moratorium shall have been declared either by federal or New York state authorities; or</w:t>
      </w:r>
    </w:p>
    <w:p>
      <w:pPr>
        <w:spacing w:after="0" w:line="2" w:lineRule="exact"/>
        <w:rPr>
          <w:rFonts w:ascii="Arial" w:cs="Arial" w:eastAsia="Arial" w:hAnsi="Arial"/>
          <w:sz w:val="16"/>
          <w:szCs w:val="16"/>
          <w:color w:val="auto"/>
        </w:rPr>
      </w:pPr>
    </w:p>
    <w:p>
      <w:pPr>
        <w:ind w:right="280" w:firstLine="8"/>
        <w:spacing w:after="0" w:line="277" w:lineRule="auto"/>
        <w:tabs>
          <w:tab w:leader="none" w:pos="3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Shares as contemplated by the Prospectus (exclusive of any amendment or supplement thereto).</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56"/>
        <w:spacing w:after="0" w:line="259" w:lineRule="auto"/>
        <w:tabs>
          <w:tab w:leader="none" w:pos="136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Partnership or its officers and of each Manager set forth in or made pursuant to this Agreement will remain in full force and effect, regardless of any investigation made by the Managers or the Partnership or any of the officers, directors, employees, agents or controlling persons referred to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will survive delivery of and payment for the Shares.</w:t>
      </w:r>
    </w:p>
    <w:p>
      <w:pPr>
        <w:spacing w:after="0" w:line="186" w:lineRule="exact"/>
        <w:rPr>
          <w:rFonts w:ascii="Arial" w:cs="Arial" w:eastAsia="Arial" w:hAnsi="Arial"/>
          <w:sz w:val="18"/>
          <w:szCs w:val="18"/>
          <w:color w:val="auto"/>
        </w:rPr>
      </w:pPr>
    </w:p>
    <w:p>
      <w:pPr>
        <w:ind w:right="400" w:firstLine="656"/>
        <w:spacing w:after="0" w:line="264" w:lineRule="auto"/>
        <w:tabs>
          <w:tab w:leader="none" w:pos="132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Partnership, will be mailed, delivered or telefaxed to (713) 646-4313 and confirmed to it at 333 Clay St., Suite 1600, Houston, Texas 77002, Attention: General Counsel; or, if sent to each Manager, will be mailed, delivered or telefaxed to: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Wells Fargo Securities, LLC</w:t>
            </w:r>
          </w:p>
        </w:tc>
        <w:tc>
          <w:tcPr>
            <w:tcW w:w="6100" w:type="dxa"/>
            <w:vAlign w:val="bottom"/>
          </w:tcPr>
          <w:p>
            <w:pPr>
              <w:ind w:left="260"/>
              <w:spacing w:after="0"/>
              <w:rPr>
                <w:sz w:val="20"/>
                <w:szCs w:val="20"/>
                <w:color w:val="auto"/>
              </w:rPr>
            </w:pPr>
            <w:r>
              <w:rPr>
                <w:rFonts w:ascii="Arial" w:cs="Arial" w:eastAsia="Arial" w:hAnsi="Arial"/>
                <w:sz w:val="18"/>
                <w:szCs w:val="18"/>
                <w:color w:val="auto"/>
              </w:rPr>
              <w:t>Barclays Capital Inc.</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375 Park Avenue</w:t>
            </w:r>
          </w:p>
        </w:tc>
        <w:tc>
          <w:tcPr>
            <w:tcW w:w="6100" w:type="dxa"/>
            <w:vAlign w:val="bottom"/>
          </w:tcPr>
          <w:p>
            <w:pPr>
              <w:ind w:left="260"/>
              <w:spacing w:after="0"/>
              <w:rPr>
                <w:sz w:val="20"/>
                <w:szCs w:val="20"/>
                <w:color w:val="auto"/>
              </w:rPr>
            </w:pPr>
            <w:r>
              <w:rPr>
                <w:rFonts w:ascii="Arial" w:cs="Arial" w:eastAsia="Arial" w:hAnsi="Arial"/>
                <w:sz w:val="18"/>
                <w:szCs w:val="18"/>
                <w:color w:val="auto"/>
              </w:rPr>
              <w:t>745 Seventh Avenue</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New York, New York 10152</w:t>
            </w:r>
          </w:p>
        </w:tc>
        <w:tc>
          <w:tcPr>
            <w:tcW w:w="6100" w:type="dxa"/>
            <w:vAlign w:val="bottom"/>
          </w:tcPr>
          <w:p>
            <w:pPr>
              <w:ind w:left="260"/>
              <w:spacing w:after="0"/>
              <w:rPr>
                <w:sz w:val="20"/>
                <w:szCs w:val="20"/>
                <w:color w:val="auto"/>
              </w:rPr>
            </w:pPr>
            <w:r>
              <w:rPr>
                <w:rFonts w:ascii="Arial" w:cs="Arial" w:eastAsia="Arial" w:hAnsi="Arial"/>
                <w:sz w:val="18"/>
                <w:szCs w:val="18"/>
                <w:color w:val="auto"/>
              </w:rPr>
              <w:t>New York, New York 10019</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Attention: Equity Syndicate Department (fax</w:t>
            </w:r>
          </w:p>
        </w:tc>
        <w:tc>
          <w:tcPr>
            <w:tcW w:w="6100" w:type="dxa"/>
            <w:vAlign w:val="bottom"/>
          </w:tcPr>
          <w:p>
            <w:pPr>
              <w:ind w:left="260"/>
              <w:spacing w:after="0"/>
              <w:rPr>
                <w:sz w:val="20"/>
                <w:szCs w:val="20"/>
                <w:color w:val="auto"/>
              </w:rPr>
            </w:pPr>
            <w:r>
              <w:rPr>
                <w:rFonts w:ascii="Arial" w:cs="Arial" w:eastAsia="Arial" w:hAnsi="Arial"/>
                <w:sz w:val="18"/>
                <w:szCs w:val="18"/>
                <w:color w:val="auto"/>
              </w:rPr>
              <w:t>Attn: Syndicate Registration</w:t>
            </w:r>
          </w:p>
        </w:tc>
      </w:tr>
      <w:tr>
        <w:trPr>
          <w:trHeight w:val="230"/>
        </w:trPr>
        <w:tc>
          <w:tcPr>
            <w:tcW w:w="5360" w:type="dxa"/>
            <w:vAlign w:val="bottom"/>
          </w:tcPr>
          <w:p>
            <w:pPr>
              <w:ind w:left="1320"/>
              <w:spacing w:after="0"/>
              <w:rPr>
                <w:sz w:val="20"/>
                <w:szCs w:val="20"/>
                <w:color w:val="auto"/>
              </w:rPr>
            </w:pPr>
            <w:r>
              <w:rPr>
                <w:rFonts w:ascii="Arial" w:cs="Arial" w:eastAsia="Arial" w:hAnsi="Arial"/>
                <w:sz w:val="18"/>
                <w:szCs w:val="18"/>
                <w:color w:val="auto"/>
              </w:rPr>
              <w:t>no: (212) 214-5918)</w:t>
            </w:r>
          </w:p>
        </w:tc>
        <w:tc>
          <w:tcPr>
            <w:tcW w:w="6100" w:type="dxa"/>
            <w:vAlign w:val="bottom"/>
          </w:tcPr>
          <w:p>
            <w:pPr>
              <w:spacing w:after="0"/>
              <w:rPr>
                <w:sz w:val="20"/>
                <w:szCs w:val="20"/>
                <w:color w:val="auto"/>
              </w:rPr>
            </w:pPr>
          </w:p>
        </w:tc>
      </w:tr>
      <w:tr>
        <w:trPr>
          <w:trHeight w:val="418"/>
        </w:trPr>
        <w:tc>
          <w:tcPr>
            <w:tcW w:w="5360" w:type="dxa"/>
            <w:vAlign w:val="bottom"/>
          </w:tcPr>
          <w:p>
            <w:pPr>
              <w:ind w:left="1320"/>
              <w:spacing w:after="0"/>
              <w:rPr>
                <w:sz w:val="20"/>
                <w:szCs w:val="20"/>
                <w:color w:val="auto"/>
              </w:rPr>
            </w:pPr>
            <w:r>
              <w:rPr>
                <w:rFonts w:ascii="Arial" w:cs="Arial" w:eastAsia="Arial" w:hAnsi="Arial"/>
                <w:sz w:val="18"/>
                <w:szCs w:val="18"/>
                <w:color w:val="auto"/>
              </w:rPr>
              <w:t>BB&amp;T Capital Markets, a division of BB&amp;T</w:t>
            </w:r>
          </w:p>
        </w:tc>
        <w:tc>
          <w:tcPr>
            <w:tcW w:w="6100" w:type="dxa"/>
            <w:vAlign w:val="bottom"/>
          </w:tcPr>
          <w:p>
            <w:pPr>
              <w:ind w:left="260"/>
              <w:spacing w:after="0"/>
              <w:rPr>
                <w:sz w:val="20"/>
                <w:szCs w:val="20"/>
                <w:color w:val="auto"/>
              </w:rPr>
            </w:pPr>
            <w:r>
              <w:rPr>
                <w:rFonts w:ascii="Arial" w:cs="Arial" w:eastAsia="Arial" w:hAnsi="Arial"/>
                <w:sz w:val="18"/>
                <w:szCs w:val="18"/>
                <w:color w:val="auto"/>
              </w:rPr>
              <w:t>BMO Capital Markets Corp.</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Securities, LLC</w:t>
            </w:r>
          </w:p>
        </w:tc>
        <w:tc>
          <w:tcPr>
            <w:tcW w:w="6100" w:type="dxa"/>
            <w:vAlign w:val="bottom"/>
          </w:tcPr>
          <w:p>
            <w:pPr>
              <w:ind w:left="260"/>
              <w:spacing w:after="0"/>
              <w:rPr>
                <w:sz w:val="20"/>
                <w:szCs w:val="20"/>
                <w:color w:val="auto"/>
              </w:rPr>
            </w:pPr>
            <w:r>
              <w:rPr>
                <w:rFonts w:ascii="Arial" w:cs="Arial" w:eastAsia="Arial" w:hAnsi="Arial"/>
                <w:sz w:val="18"/>
                <w:szCs w:val="18"/>
                <w:color w:val="auto"/>
              </w:rPr>
              <w:t>3 Times Square</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901 East Byrd Street, Ste. 300</w:t>
            </w:r>
          </w:p>
        </w:tc>
        <w:tc>
          <w:tcPr>
            <w:tcW w:w="6100" w:type="dxa"/>
            <w:vAlign w:val="bottom"/>
          </w:tcPr>
          <w:p>
            <w:pPr>
              <w:ind w:left="260"/>
              <w:spacing w:after="0"/>
              <w:rPr>
                <w:sz w:val="20"/>
                <w:szCs w:val="20"/>
                <w:color w:val="auto"/>
              </w:rPr>
            </w:pPr>
            <w:r>
              <w:rPr>
                <w:rFonts w:ascii="Arial" w:cs="Arial" w:eastAsia="Arial" w:hAnsi="Arial"/>
                <w:sz w:val="18"/>
                <w:szCs w:val="18"/>
                <w:color w:val="auto"/>
              </w:rPr>
              <w:t>New York, New York 10036</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Richmond, Virginia 23219</w:t>
            </w:r>
          </w:p>
        </w:tc>
        <w:tc>
          <w:tcPr>
            <w:tcW w:w="6100" w:type="dxa"/>
            <w:vAlign w:val="bottom"/>
          </w:tcPr>
          <w:p>
            <w:pPr>
              <w:ind w:left="260"/>
              <w:spacing w:after="0"/>
              <w:rPr>
                <w:sz w:val="20"/>
                <w:szCs w:val="20"/>
                <w:color w:val="auto"/>
              </w:rPr>
            </w:pPr>
            <w:r>
              <w:rPr>
                <w:rFonts w:ascii="Arial" w:cs="Arial" w:eastAsia="Arial" w:hAnsi="Arial"/>
                <w:sz w:val="18"/>
                <w:szCs w:val="18"/>
                <w:color w:val="auto"/>
              </w:rPr>
              <w:t>Attention: Legal (Facsimile: (212) 702-1205)</w:t>
            </w:r>
          </w:p>
        </w:tc>
      </w:tr>
      <w:tr>
        <w:trPr>
          <w:trHeight w:val="230"/>
        </w:trPr>
        <w:tc>
          <w:tcPr>
            <w:tcW w:w="5360" w:type="dxa"/>
            <w:vAlign w:val="bottom"/>
          </w:tcPr>
          <w:p>
            <w:pPr>
              <w:ind w:left="1320"/>
              <w:spacing w:after="0"/>
              <w:rPr>
                <w:sz w:val="20"/>
                <w:szCs w:val="20"/>
                <w:color w:val="auto"/>
              </w:rPr>
            </w:pPr>
            <w:r>
              <w:rPr>
                <w:rFonts w:ascii="Arial" w:cs="Arial" w:eastAsia="Arial" w:hAnsi="Arial"/>
                <w:sz w:val="18"/>
                <w:szCs w:val="18"/>
                <w:color w:val="auto"/>
              </w:rPr>
              <w:t>Attention: Reid Burford</w:t>
            </w:r>
          </w:p>
        </w:tc>
        <w:tc>
          <w:tcPr>
            <w:tcW w:w="6100" w:type="dxa"/>
            <w:vAlign w:val="bottom"/>
          </w:tcPr>
          <w:p>
            <w:pPr>
              <w:ind w:left="260"/>
              <w:spacing w:after="0"/>
              <w:rPr>
                <w:sz w:val="20"/>
                <w:szCs w:val="20"/>
                <w:color w:val="auto"/>
              </w:rPr>
            </w:pPr>
            <w:r>
              <w:rPr>
                <w:rFonts w:ascii="Arial" w:cs="Arial" w:eastAsia="Arial" w:hAnsi="Arial"/>
                <w:sz w:val="18"/>
                <w:szCs w:val="18"/>
                <w:color w:val="auto"/>
              </w:rPr>
              <w:t>and Jonathan Hough (Facsimile: (713) 236-0696)</w:t>
            </w:r>
          </w:p>
        </w:tc>
      </w:tr>
      <w:tr>
        <w:trPr>
          <w:trHeight w:val="418"/>
        </w:trPr>
        <w:tc>
          <w:tcPr>
            <w:tcW w:w="5360" w:type="dxa"/>
            <w:vAlign w:val="bottom"/>
          </w:tcPr>
          <w:p>
            <w:pPr>
              <w:ind w:left="1320"/>
              <w:spacing w:after="0"/>
              <w:rPr>
                <w:sz w:val="20"/>
                <w:szCs w:val="20"/>
                <w:color w:val="auto"/>
              </w:rPr>
            </w:pPr>
            <w:r>
              <w:rPr>
                <w:rFonts w:ascii="Arial" w:cs="Arial" w:eastAsia="Arial" w:hAnsi="Arial"/>
                <w:sz w:val="18"/>
                <w:szCs w:val="18"/>
                <w:color w:val="auto"/>
              </w:rPr>
              <w:t>BNP Paribas Securities Corp.</w:t>
            </w:r>
          </w:p>
        </w:tc>
        <w:tc>
          <w:tcPr>
            <w:tcW w:w="6100" w:type="dxa"/>
            <w:vAlign w:val="bottom"/>
          </w:tcPr>
          <w:p>
            <w:pPr>
              <w:ind w:left="26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787 7th Avenue</w:t>
            </w:r>
          </w:p>
        </w:tc>
        <w:tc>
          <w:tcPr>
            <w:tcW w:w="6100" w:type="dxa"/>
            <w:vAlign w:val="bottom"/>
          </w:tcPr>
          <w:p>
            <w:pPr>
              <w:ind w:left="260"/>
              <w:spacing w:after="0"/>
              <w:rPr>
                <w:sz w:val="20"/>
                <w:szCs w:val="20"/>
                <w:color w:val="auto"/>
              </w:rPr>
            </w:pPr>
            <w:r>
              <w:rPr>
                <w:rFonts w:ascii="Arial" w:cs="Arial" w:eastAsia="Arial" w:hAnsi="Arial"/>
                <w:sz w:val="18"/>
                <w:szCs w:val="18"/>
                <w:color w:val="auto"/>
              </w:rPr>
              <w:t>388 Greenwich Street</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New York, New York 10019</w:t>
            </w:r>
          </w:p>
        </w:tc>
        <w:tc>
          <w:tcPr>
            <w:tcW w:w="6100" w:type="dxa"/>
            <w:vAlign w:val="bottom"/>
          </w:tcPr>
          <w:p>
            <w:pPr>
              <w:ind w:left="260"/>
              <w:spacing w:after="0"/>
              <w:rPr>
                <w:sz w:val="20"/>
                <w:szCs w:val="20"/>
                <w:color w:val="auto"/>
              </w:rPr>
            </w:pPr>
            <w:r>
              <w:rPr>
                <w:rFonts w:ascii="Arial" w:cs="Arial" w:eastAsia="Arial" w:hAnsi="Arial"/>
                <w:sz w:val="18"/>
                <w:szCs w:val="18"/>
                <w:color w:val="auto"/>
              </w:rPr>
              <w:t>New York, New York 10013</w:t>
            </w:r>
          </w:p>
        </w:tc>
      </w:tr>
      <w:tr>
        <w:trPr>
          <w:trHeight w:val="230"/>
        </w:trPr>
        <w:tc>
          <w:tcPr>
            <w:tcW w:w="5360" w:type="dxa"/>
            <w:vAlign w:val="bottom"/>
          </w:tcPr>
          <w:p>
            <w:pPr>
              <w:ind w:left="1320"/>
              <w:spacing w:after="0"/>
              <w:rPr>
                <w:sz w:val="20"/>
                <w:szCs w:val="20"/>
                <w:color w:val="auto"/>
              </w:rPr>
            </w:pPr>
            <w:r>
              <w:rPr>
                <w:rFonts w:ascii="Arial" w:cs="Arial" w:eastAsia="Arial" w:hAnsi="Arial"/>
                <w:sz w:val="18"/>
                <w:szCs w:val="18"/>
                <w:color w:val="auto"/>
              </w:rPr>
              <w:t>Attention: Equity Syndicate Desk</w:t>
            </w:r>
          </w:p>
        </w:tc>
        <w:tc>
          <w:tcPr>
            <w:tcW w:w="6100" w:type="dxa"/>
            <w:vAlign w:val="bottom"/>
          </w:tcPr>
          <w:p>
            <w:pPr>
              <w:ind w:left="260"/>
              <w:spacing w:after="0"/>
              <w:rPr>
                <w:sz w:val="20"/>
                <w:szCs w:val="20"/>
                <w:color w:val="auto"/>
              </w:rPr>
            </w:pPr>
            <w:r>
              <w:rPr>
                <w:rFonts w:ascii="Arial" w:cs="Arial" w:eastAsia="Arial" w:hAnsi="Arial"/>
                <w:sz w:val="18"/>
                <w:szCs w:val="18"/>
                <w:color w:val="auto"/>
              </w:rPr>
              <w:t>Attention: General Counsel</w:t>
            </w:r>
          </w:p>
        </w:tc>
      </w:tr>
      <w:tr>
        <w:trPr>
          <w:trHeight w:val="418"/>
        </w:trPr>
        <w:tc>
          <w:tcPr>
            <w:tcW w:w="5360" w:type="dxa"/>
            <w:vAlign w:val="bottom"/>
          </w:tcPr>
          <w:p>
            <w:pPr>
              <w:ind w:left="1320"/>
              <w:spacing w:after="0"/>
              <w:rPr>
                <w:sz w:val="20"/>
                <w:szCs w:val="20"/>
                <w:color w:val="auto"/>
              </w:rPr>
            </w:pPr>
            <w:r>
              <w:rPr>
                <w:rFonts w:ascii="Arial" w:cs="Arial" w:eastAsia="Arial" w:hAnsi="Arial"/>
                <w:sz w:val="18"/>
                <w:szCs w:val="18"/>
                <w:color w:val="auto"/>
              </w:rPr>
              <w:t>Deutsche Bank Securities Inc.</w:t>
            </w:r>
          </w:p>
        </w:tc>
        <w:tc>
          <w:tcPr>
            <w:tcW w:w="6100" w:type="dxa"/>
            <w:vAlign w:val="bottom"/>
          </w:tcPr>
          <w:p>
            <w:pPr>
              <w:ind w:left="260"/>
              <w:spacing w:after="0"/>
              <w:rPr>
                <w:sz w:val="20"/>
                <w:szCs w:val="20"/>
                <w:color w:val="auto"/>
              </w:rPr>
            </w:pPr>
            <w:r>
              <w:rPr>
                <w:rFonts w:ascii="Arial" w:cs="Arial" w:eastAsia="Arial" w:hAnsi="Arial"/>
                <w:sz w:val="18"/>
                <w:szCs w:val="18"/>
                <w:color w:val="auto"/>
              </w:rPr>
              <w:t>DNB Markets, Inc.</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60 Wall Street, 2nd Floor</w:t>
            </w:r>
          </w:p>
        </w:tc>
        <w:tc>
          <w:tcPr>
            <w:tcW w:w="6100" w:type="dxa"/>
            <w:vAlign w:val="bottom"/>
          </w:tcPr>
          <w:p>
            <w:pPr>
              <w:ind w:left="260"/>
              <w:spacing w:after="0" w:line="216" w:lineRule="exact"/>
              <w:rPr>
                <w:sz w:val="20"/>
                <w:szCs w:val="20"/>
                <w:color w:val="auto"/>
              </w:rPr>
            </w:pPr>
            <w:r>
              <w:rPr>
                <w:rFonts w:ascii="Arial" w:cs="Arial" w:eastAsia="Arial" w:hAnsi="Arial"/>
                <w:sz w:val="18"/>
                <w:szCs w:val="18"/>
                <w:color w:val="auto"/>
              </w:rPr>
              <w:t>200 Park Avenue,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New York, New York 10005</w:t>
            </w:r>
          </w:p>
        </w:tc>
        <w:tc>
          <w:tcPr>
            <w:tcW w:w="6100" w:type="dxa"/>
            <w:vAlign w:val="bottom"/>
          </w:tcPr>
          <w:p>
            <w:pPr>
              <w:ind w:left="260"/>
              <w:spacing w:after="0"/>
              <w:rPr>
                <w:sz w:val="20"/>
                <w:szCs w:val="20"/>
                <w:color w:val="auto"/>
              </w:rPr>
            </w:pPr>
            <w:r>
              <w:rPr>
                <w:rFonts w:ascii="Arial" w:cs="Arial" w:eastAsia="Arial" w:hAnsi="Arial"/>
                <w:sz w:val="18"/>
                <w:szCs w:val="18"/>
                <w:color w:val="auto"/>
              </w:rPr>
              <w:t>New York, New York 10016</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w w:val="98"/>
              </w:rPr>
              <w:t>Attention: Equity Capital Markets – Syndicate Desk</w:t>
            </w:r>
          </w:p>
        </w:tc>
        <w:tc>
          <w:tcPr>
            <w:tcW w:w="6100" w:type="dxa"/>
            <w:vAlign w:val="bottom"/>
          </w:tcPr>
          <w:p>
            <w:pPr>
              <w:ind w:left="260"/>
              <w:spacing w:after="0"/>
              <w:rPr>
                <w:sz w:val="20"/>
                <w:szCs w:val="20"/>
                <w:color w:val="auto"/>
              </w:rPr>
            </w:pPr>
            <w:r>
              <w:rPr>
                <w:rFonts w:ascii="Arial" w:cs="Arial" w:eastAsia="Arial" w:hAnsi="Arial"/>
                <w:sz w:val="18"/>
                <w:szCs w:val="18"/>
                <w:color w:val="auto"/>
              </w:rPr>
              <w:t>Attention: Kim Dalton</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with a copy to Deutsche Bank Securities Inc.</w:t>
            </w:r>
          </w:p>
        </w:tc>
        <w:tc>
          <w:tcPr>
            <w:tcW w:w="6100" w:type="dxa"/>
            <w:vAlign w:val="bottom"/>
          </w:tcPr>
          <w:p>
            <w:pPr>
              <w:ind w:left="260"/>
              <w:spacing w:after="0"/>
              <w:rPr>
                <w:sz w:val="20"/>
                <w:szCs w:val="20"/>
                <w:color w:val="auto"/>
              </w:rPr>
            </w:pPr>
            <w:r>
              <w:rPr>
                <w:rFonts w:ascii="Arial" w:cs="Arial" w:eastAsia="Arial" w:hAnsi="Arial"/>
                <w:sz w:val="18"/>
                <w:szCs w:val="18"/>
                <w:color w:val="auto"/>
              </w:rPr>
              <w:t>Fax: (212) 681-4121</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60 Wall Street, 36th Floor</w:t>
            </w:r>
          </w:p>
        </w:tc>
        <w:tc>
          <w:tcPr>
            <w:tcW w:w="6100" w:type="dxa"/>
            <w:vAlign w:val="bottom"/>
          </w:tcPr>
          <w:p>
            <w:pPr>
              <w:spacing w:after="0"/>
              <w:rPr>
                <w:sz w:val="18"/>
                <w:szCs w:val="18"/>
                <w:color w:val="auto"/>
              </w:rPr>
            </w:pP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New York, New York 10005</w:t>
            </w:r>
          </w:p>
        </w:tc>
        <w:tc>
          <w:tcPr>
            <w:tcW w:w="6100" w:type="dxa"/>
            <w:vAlign w:val="bottom"/>
          </w:tcPr>
          <w:p>
            <w:pPr>
              <w:spacing w:after="0"/>
              <w:rPr>
                <w:sz w:val="18"/>
                <w:szCs w:val="18"/>
                <w:color w:val="auto"/>
              </w:rPr>
            </w:pP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Attention: General Counsel</w:t>
            </w:r>
          </w:p>
        </w:tc>
        <w:tc>
          <w:tcPr>
            <w:tcW w:w="6100" w:type="dxa"/>
            <w:vAlign w:val="bottom"/>
          </w:tcPr>
          <w:p>
            <w:pPr>
              <w:spacing w:after="0"/>
              <w:rPr>
                <w:sz w:val="18"/>
                <w:szCs w:val="18"/>
                <w:color w:val="auto"/>
              </w:rPr>
            </w:pPr>
          </w:p>
        </w:tc>
      </w:tr>
      <w:tr>
        <w:trPr>
          <w:trHeight w:val="230"/>
        </w:trPr>
        <w:tc>
          <w:tcPr>
            <w:tcW w:w="5360" w:type="dxa"/>
            <w:vAlign w:val="bottom"/>
          </w:tcPr>
          <w:p>
            <w:pPr>
              <w:ind w:left="1320"/>
              <w:spacing w:after="0"/>
              <w:rPr>
                <w:sz w:val="20"/>
                <w:szCs w:val="20"/>
                <w:color w:val="auto"/>
              </w:rPr>
            </w:pPr>
            <w:r>
              <w:rPr>
                <w:rFonts w:ascii="Arial" w:cs="Arial" w:eastAsia="Arial" w:hAnsi="Arial"/>
                <w:sz w:val="18"/>
                <w:szCs w:val="18"/>
                <w:color w:val="auto"/>
              </w:rPr>
              <w:t>fax: (212) 797-4561</w:t>
            </w:r>
          </w:p>
        </w:tc>
        <w:tc>
          <w:tcPr>
            <w:tcW w:w="6100" w:type="dxa"/>
            <w:vAlign w:val="bottom"/>
          </w:tcPr>
          <w:p>
            <w:pPr>
              <w:spacing w:after="0"/>
              <w:rPr>
                <w:sz w:val="20"/>
                <w:szCs w:val="20"/>
                <w:color w:val="auto"/>
              </w:rPr>
            </w:pPr>
          </w:p>
        </w:tc>
      </w:tr>
      <w:tr>
        <w:trPr>
          <w:trHeight w:val="418"/>
        </w:trPr>
        <w:tc>
          <w:tcPr>
            <w:tcW w:w="5360" w:type="dxa"/>
            <w:vAlign w:val="bottom"/>
          </w:tcPr>
          <w:p>
            <w:pPr>
              <w:ind w:left="1320"/>
              <w:spacing w:after="0"/>
              <w:rPr>
                <w:sz w:val="20"/>
                <w:szCs w:val="20"/>
                <w:color w:val="auto"/>
              </w:rPr>
            </w:pPr>
            <w:r>
              <w:rPr>
                <w:rFonts w:ascii="Arial" w:cs="Arial" w:eastAsia="Arial" w:hAnsi="Arial"/>
                <w:sz w:val="18"/>
                <w:szCs w:val="18"/>
                <w:color w:val="auto"/>
              </w:rPr>
              <w:t>Fifth Third Securities, Inc.</w:t>
            </w:r>
          </w:p>
        </w:tc>
        <w:tc>
          <w:tcPr>
            <w:tcW w:w="6100" w:type="dxa"/>
            <w:vAlign w:val="bottom"/>
          </w:tcPr>
          <w:p>
            <w:pPr>
              <w:ind w:left="260"/>
              <w:spacing w:after="0"/>
              <w:rPr>
                <w:sz w:val="20"/>
                <w:szCs w:val="20"/>
                <w:color w:val="auto"/>
              </w:rPr>
            </w:pPr>
            <w:r>
              <w:rPr>
                <w:rFonts w:ascii="Arial" w:cs="Arial" w:eastAsia="Arial" w:hAnsi="Arial"/>
                <w:sz w:val="18"/>
                <w:szCs w:val="18"/>
                <w:color w:val="auto"/>
              </w:rPr>
              <w:t>J.P. Morgan Securities LLC</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38 Fountain Square Plaza</w:t>
            </w:r>
          </w:p>
        </w:tc>
        <w:tc>
          <w:tcPr>
            <w:tcW w:w="6100" w:type="dxa"/>
            <w:vAlign w:val="bottom"/>
          </w:tcPr>
          <w:p>
            <w:pPr>
              <w:ind w:left="260"/>
              <w:spacing w:after="0"/>
              <w:rPr>
                <w:sz w:val="20"/>
                <w:szCs w:val="20"/>
                <w:color w:val="auto"/>
              </w:rPr>
            </w:pPr>
            <w:r>
              <w:rPr>
                <w:rFonts w:ascii="Arial" w:cs="Arial" w:eastAsia="Arial" w:hAnsi="Arial"/>
                <w:sz w:val="18"/>
                <w:szCs w:val="18"/>
                <w:color w:val="auto"/>
              </w:rPr>
              <w:t>383 Madison Avenue</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Maildrop: 10AT76</w:t>
            </w:r>
          </w:p>
        </w:tc>
        <w:tc>
          <w:tcPr>
            <w:tcW w:w="6100" w:type="dxa"/>
            <w:vAlign w:val="bottom"/>
          </w:tcPr>
          <w:p>
            <w:pPr>
              <w:ind w:left="260"/>
              <w:spacing w:after="0"/>
              <w:rPr>
                <w:sz w:val="20"/>
                <w:szCs w:val="20"/>
                <w:color w:val="auto"/>
              </w:rPr>
            </w:pPr>
            <w:r>
              <w:rPr>
                <w:rFonts w:ascii="Arial" w:cs="Arial" w:eastAsia="Arial" w:hAnsi="Arial"/>
                <w:sz w:val="18"/>
                <w:szCs w:val="18"/>
                <w:color w:val="auto"/>
              </w:rPr>
              <w:t>New York, New York 10179</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Attention: Legal Department</w:t>
            </w:r>
          </w:p>
        </w:tc>
        <w:tc>
          <w:tcPr>
            <w:tcW w:w="6100" w:type="dxa"/>
            <w:vAlign w:val="bottom"/>
          </w:tcPr>
          <w:p>
            <w:pPr>
              <w:ind w:left="260"/>
              <w:spacing w:after="0"/>
              <w:rPr>
                <w:sz w:val="20"/>
                <w:szCs w:val="20"/>
                <w:color w:val="auto"/>
              </w:rPr>
            </w:pPr>
            <w:r>
              <w:rPr>
                <w:rFonts w:ascii="Arial" w:cs="Arial" w:eastAsia="Arial" w:hAnsi="Arial"/>
                <w:sz w:val="18"/>
                <w:szCs w:val="18"/>
                <w:color w:val="auto"/>
              </w:rPr>
              <w:t>Attention: Adam Rosenbluth</w:t>
            </w:r>
          </w:p>
        </w:tc>
      </w:tr>
      <w:tr>
        <w:trPr>
          <w:trHeight w:val="230"/>
        </w:trPr>
        <w:tc>
          <w:tcPr>
            <w:tcW w:w="5360" w:type="dxa"/>
            <w:vAlign w:val="bottom"/>
          </w:tcPr>
          <w:p>
            <w:pPr>
              <w:ind w:left="1320"/>
              <w:spacing w:after="0"/>
              <w:rPr>
                <w:sz w:val="20"/>
                <w:szCs w:val="20"/>
                <w:color w:val="auto"/>
              </w:rPr>
            </w:pPr>
            <w:r>
              <w:rPr>
                <w:rFonts w:ascii="Arial" w:cs="Arial" w:eastAsia="Arial" w:hAnsi="Arial"/>
                <w:sz w:val="18"/>
                <w:szCs w:val="18"/>
                <w:color w:val="auto"/>
              </w:rPr>
              <w:t>Cincinnati, Ohio 45263</w:t>
            </w:r>
          </w:p>
        </w:tc>
        <w:tc>
          <w:tcPr>
            <w:tcW w:w="6100" w:type="dxa"/>
            <w:vAlign w:val="bottom"/>
          </w:tcPr>
          <w:p>
            <w:pPr>
              <w:ind w:left="260"/>
              <w:spacing w:after="0"/>
              <w:rPr>
                <w:sz w:val="20"/>
                <w:szCs w:val="20"/>
                <w:color w:val="auto"/>
              </w:rPr>
            </w:pPr>
            <w:r>
              <w:rPr>
                <w:rFonts w:ascii="Arial" w:cs="Arial" w:eastAsia="Arial" w:hAnsi="Arial"/>
                <w:sz w:val="18"/>
                <w:szCs w:val="18"/>
                <w:color w:val="auto"/>
              </w:rPr>
              <w:t>Fax: (646) 441-4870</w:t>
            </w:r>
          </w:p>
        </w:tc>
      </w:tr>
      <w:tr>
        <w:trPr>
          <w:trHeight w:val="418"/>
        </w:trPr>
        <w:tc>
          <w:tcPr>
            <w:tcW w:w="5360" w:type="dxa"/>
            <w:vAlign w:val="bottom"/>
          </w:tcPr>
          <w:p>
            <w:pPr>
              <w:ind w:left="1320"/>
              <w:spacing w:after="0"/>
              <w:rPr>
                <w:sz w:val="20"/>
                <w:szCs w:val="20"/>
                <w:color w:val="auto"/>
              </w:rPr>
            </w:pPr>
            <w:r>
              <w:rPr>
                <w:rFonts w:ascii="Arial" w:cs="Arial" w:eastAsia="Arial" w:hAnsi="Arial"/>
                <w:sz w:val="18"/>
                <w:szCs w:val="18"/>
                <w:color w:val="auto"/>
              </w:rPr>
              <w:t>Jefferies LLC</w:t>
            </w:r>
          </w:p>
        </w:tc>
        <w:tc>
          <w:tcPr>
            <w:tcW w:w="6100" w:type="dxa"/>
            <w:vAlign w:val="bottom"/>
          </w:tcPr>
          <w:p>
            <w:pPr>
              <w:ind w:left="2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520 Madison Avenue</w:t>
            </w:r>
          </w:p>
        </w:tc>
        <w:tc>
          <w:tcPr>
            <w:tcW w:w="6100" w:type="dxa"/>
            <w:vAlign w:val="bottom"/>
          </w:tcPr>
          <w:p>
            <w:pPr>
              <w:ind w:left="260"/>
              <w:spacing w:after="0"/>
              <w:rPr>
                <w:sz w:val="20"/>
                <w:szCs w:val="20"/>
                <w:color w:val="auto"/>
              </w:rPr>
            </w:pPr>
            <w:r>
              <w:rPr>
                <w:rFonts w:ascii="Arial" w:cs="Arial" w:eastAsia="Arial" w:hAnsi="Arial"/>
                <w:sz w:val="18"/>
                <w:szCs w:val="18"/>
                <w:color w:val="auto"/>
              </w:rPr>
              <w:t>Incorporated</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New York, New York 10022</w:t>
            </w:r>
          </w:p>
        </w:tc>
        <w:tc>
          <w:tcPr>
            <w:tcW w:w="6100" w:type="dxa"/>
            <w:vAlign w:val="bottom"/>
          </w:tcPr>
          <w:p>
            <w:pPr>
              <w:ind w:left="260"/>
              <w:spacing w:after="0"/>
              <w:rPr>
                <w:sz w:val="20"/>
                <w:szCs w:val="20"/>
                <w:color w:val="auto"/>
              </w:rPr>
            </w:pPr>
            <w:r>
              <w:rPr>
                <w:rFonts w:ascii="Arial" w:cs="Arial" w:eastAsia="Arial" w:hAnsi="Arial"/>
                <w:sz w:val="18"/>
                <w:szCs w:val="18"/>
                <w:color w:val="auto"/>
              </w:rPr>
              <w:t>One Bryant Park</w:t>
            </w:r>
          </w:p>
        </w:tc>
      </w:tr>
      <w:tr>
        <w:trPr>
          <w:trHeight w:val="216"/>
        </w:trPr>
        <w:tc>
          <w:tcPr>
            <w:tcW w:w="5360" w:type="dxa"/>
            <w:vAlign w:val="bottom"/>
          </w:tcPr>
          <w:p>
            <w:pPr>
              <w:ind w:left="1320"/>
              <w:spacing w:after="0"/>
              <w:rPr>
                <w:sz w:val="20"/>
                <w:szCs w:val="20"/>
                <w:color w:val="auto"/>
              </w:rPr>
            </w:pPr>
            <w:r>
              <w:rPr>
                <w:rFonts w:ascii="Arial" w:cs="Arial" w:eastAsia="Arial" w:hAnsi="Arial"/>
                <w:sz w:val="18"/>
                <w:szCs w:val="18"/>
                <w:color w:val="auto"/>
              </w:rPr>
              <w:t>Attention: General Counsel</w:t>
            </w:r>
          </w:p>
        </w:tc>
        <w:tc>
          <w:tcPr>
            <w:tcW w:w="6100" w:type="dxa"/>
            <w:vAlign w:val="bottom"/>
          </w:tcPr>
          <w:p>
            <w:pPr>
              <w:ind w:left="260"/>
              <w:spacing w:after="0"/>
              <w:rPr>
                <w:sz w:val="20"/>
                <w:szCs w:val="20"/>
                <w:color w:val="auto"/>
              </w:rPr>
            </w:pPr>
            <w:r>
              <w:rPr>
                <w:rFonts w:ascii="Arial" w:cs="Arial" w:eastAsia="Arial" w:hAnsi="Arial"/>
                <w:sz w:val="18"/>
                <w:szCs w:val="18"/>
                <w:color w:val="auto"/>
              </w:rPr>
              <w:t>New York, New York 10036</w:t>
            </w:r>
          </w:p>
        </w:tc>
      </w:tr>
      <w:tr>
        <w:trPr>
          <w:trHeight w:val="216"/>
        </w:trPr>
        <w:tc>
          <w:tcPr>
            <w:tcW w:w="5360" w:type="dxa"/>
            <w:vAlign w:val="bottom"/>
          </w:tcPr>
          <w:p>
            <w:pPr>
              <w:spacing w:after="0"/>
              <w:rPr>
                <w:sz w:val="18"/>
                <w:szCs w:val="18"/>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Attention: Syndicate Department (facsimile: (646) 855-3073),</w:t>
            </w:r>
          </w:p>
        </w:tc>
      </w:tr>
      <w:tr>
        <w:trPr>
          <w:trHeight w:val="230"/>
        </w:trPr>
        <w:tc>
          <w:tcPr>
            <w:tcW w:w="5360" w:type="dxa"/>
            <w:vAlign w:val="bottom"/>
          </w:tcPr>
          <w:p>
            <w:pPr>
              <w:spacing w:after="0"/>
              <w:rPr>
                <w:sz w:val="20"/>
                <w:szCs w:val="20"/>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with a copy to ECM Legal (facsimile: (212) 230-8730)</w:t>
            </w:r>
          </w:p>
        </w:tc>
      </w:tr>
      <w:tr>
        <w:trPr>
          <w:trHeight w:val="432"/>
        </w:trPr>
        <w:tc>
          <w:tcPr>
            <w:tcW w:w="5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23</w:t>
            </w:r>
          </w:p>
        </w:tc>
      </w:tr>
      <w:tr>
        <w:trPr>
          <w:trHeight w:val="132"/>
        </w:trPr>
        <w:tc>
          <w:tcPr>
            <w:tcW w:w="5360" w:type="dxa"/>
            <w:vAlign w:val="bottom"/>
            <w:tcBorders>
              <w:bottom w:val="single" w:sz="8" w:color="808080"/>
            </w:tcBorders>
          </w:tcPr>
          <w:p>
            <w:pPr>
              <w:spacing w:after="0"/>
              <w:rPr>
                <w:sz w:val="11"/>
                <w:szCs w:val="11"/>
                <w:color w:val="auto"/>
              </w:rPr>
            </w:pPr>
          </w:p>
        </w:tc>
        <w:tc>
          <w:tcPr>
            <w:tcW w:w="6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4"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1320"/>
        <w:spacing w:after="0"/>
        <w:tabs>
          <w:tab w:leader="none" w:pos="5600" w:val="left"/>
        </w:tabs>
        <w:rPr>
          <w:sz w:val="20"/>
          <w:szCs w:val="20"/>
          <w:color w:val="auto"/>
        </w:rPr>
      </w:pPr>
      <w:r>
        <w:rPr>
          <w:rFonts w:ascii="Arial" w:cs="Arial" w:eastAsia="Arial" w:hAnsi="Arial"/>
          <w:sz w:val="18"/>
          <w:szCs w:val="18"/>
          <w:color w:val="auto"/>
        </w:rPr>
        <w:t>MUFG Securities Americas Inc.</w:t>
      </w:r>
      <w:r>
        <w:rPr>
          <w:sz w:val="20"/>
          <w:szCs w:val="20"/>
          <w:color w:val="auto"/>
        </w:rPr>
        <w:tab/>
      </w:r>
      <w:r>
        <w:rPr>
          <w:rFonts w:ascii="Arial" w:cs="Arial" w:eastAsia="Arial" w:hAnsi="Arial"/>
          <w:sz w:val="16"/>
          <w:szCs w:val="16"/>
          <w:color w:val="auto"/>
        </w:rPr>
        <w:t>Mizuho Securities USA Inc.</w:t>
      </w:r>
    </w:p>
    <w:p>
      <w:pPr>
        <w:sectPr>
          <w:pgSz w:w="11900" w:h="16874" w:orient="portrait"/>
          <w:cols w:equalWidth="0" w:num="1">
            <w:col w:w="11460"/>
          </w:cols>
          <w:pgMar w:left="240" w:top="125" w:right="199" w:bottom="0" w:gutter="0" w:footer="0" w:header="0"/>
          <w:type w:val="continuous"/>
        </w:sectPr>
      </w:pPr>
    </w:p>
    <w:bookmarkStart w:id="18" w:name="page19"/>
    <w:bookmarkEnd w:id="18"/>
    <w:p>
      <w:pPr>
        <w:spacing w:after="0" w:line="2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1221 Avenue of the Americas, 6th Floor</w:t>
      </w:r>
    </w:p>
    <w:p>
      <w:pPr>
        <w:spacing w:after="0" w:line="4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 Capital Markets Group</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Phone: (212) 405-7440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Fax: (646) 434-3455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320 Park Avenue, 12th Floor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643" w:lineRule="exact"/>
        <w:rPr>
          <w:sz w:val="20"/>
          <w:szCs w:val="20"/>
          <w:color w:val="auto"/>
        </w:rPr>
      </w:pPr>
    </w:p>
    <w:p>
      <w:pPr>
        <w:sectPr>
          <w:pgSz w:w="11900" w:h="16861" w:orient="portrait"/>
          <w:cols w:equalWidth="0" w:num="2">
            <w:col w:w="4900" w:space="720"/>
            <w:col w:w="5800"/>
          </w:cols>
          <w:pgMar w:left="240" w:top="125" w:right="239" w:bottom="0" w:gutter="0" w:footer="0" w:header="0"/>
        </w:sectPr>
      </w:pPr>
    </w:p>
    <w:p>
      <w:pPr>
        <w:spacing w:after="0" w:line="1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New York, New York 10036</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Raymond James &amp; Associates,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Petersburg, Florida 33716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861" w:orient="portrait"/>
          <w:cols w:equalWidth="0" w:num="2">
            <w:col w:w="4900" w:space="720"/>
            <w:col w:w="5800"/>
          </w:cols>
          <w:pgMar w:left="240" w:top="125" w:right="239" w:bottom="0" w:gutter="0" w:footer="0" w:header="0"/>
          <w:type w:val="continuous"/>
        </w:sectPr>
      </w:pP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Scotia Capital (USA)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250 Vesey Street, 24th Floor</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New York, New York 10281</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SMBC Nikko Securities America,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277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224-5300</w:t>
      </w:r>
    </w:p>
    <w:p>
      <w:pPr>
        <w:spacing w:after="0" w:line="200" w:lineRule="exact"/>
        <w:rPr>
          <w:sz w:val="20"/>
          <w:szCs w:val="20"/>
          <w:color w:val="auto"/>
        </w:rPr>
      </w:pPr>
    </w:p>
    <w:p>
      <w:pPr>
        <w:sectPr>
          <w:pgSz w:w="11900" w:h="16861" w:orient="portrait"/>
          <w:cols w:equalWidth="0" w:num="2">
            <w:col w:w="4900" w:space="720"/>
            <w:col w:w="5800"/>
          </w:cols>
          <w:pgMar w:left="240" w:top="125" w:right="239" w:bottom="0" w:gutter="0" w:footer="0" w:header="0"/>
          <w:type w:val="continuous"/>
        </w:sectPr>
      </w:pP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3333 Peachtree Road NE, 11th Floor</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Attention: Equity Syndicate Department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1285 Avenue of the Americas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(888) 827-7275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Syndicate</w:t>
      </w:r>
    </w:p>
    <w:p>
      <w:pPr>
        <w:spacing w:after="0" w:line="200" w:lineRule="exact"/>
        <w:rPr>
          <w:sz w:val="20"/>
          <w:szCs w:val="20"/>
          <w:color w:val="auto"/>
        </w:rPr>
      </w:pPr>
    </w:p>
    <w:p>
      <w:pPr>
        <w:sectPr>
          <w:pgSz w:w="11900" w:h="16861" w:orient="portrait"/>
          <w:cols w:equalWidth="0" w:num="2">
            <w:col w:w="4900" w:space="720"/>
            <w:col w:w="5800"/>
          </w:cols>
          <w:pgMar w:left="240" w:top="125" w:right="239" w:bottom="0" w:gutter="0" w:footer="0" w:header="0"/>
          <w:type w:val="continuous"/>
        </w:sectPr>
      </w:pPr>
    </w:p>
    <w:p>
      <w:pPr>
        <w:spacing w:after="0" w:line="11" w:lineRule="exact"/>
        <w:rPr>
          <w:sz w:val="20"/>
          <w:szCs w:val="20"/>
          <w:color w:val="auto"/>
        </w:rPr>
      </w:pPr>
    </w:p>
    <w:p>
      <w:pPr>
        <w:ind w:right="60" w:firstLine="656"/>
        <w:spacing w:after="0" w:line="273" w:lineRule="auto"/>
        <w:tabs>
          <w:tab w:leader="none" w:pos="1317"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Successors and Assigns; Amendments</w:t>
      </w:r>
      <w:r>
        <w:rPr>
          <w:rFonts w:ascii="Arial" w:cs="Arial" w:eastAsia="Arial" w:hAnsi="Arial"/>
          <w:sz w:val="17"/>
          <w:szCs w:val="17"/>
          <w:color w:val="auto"/>
        </w:rPr>
        <w:t xml:space="preserve">. This Agreement will inure to the benefit of and be binding upon each Manager and the Partnership and their respective successors and permitted assigns and the directors, officers, employees, affiliates and controlling persons referred to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and no other person will have any right or obligation hereunder.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Agreement shall each inure to the benefit of and be binding upon BofAML Securities, Inc. as an assignee to Merrill Lynch, Pierce, Fenner &amp; Smith Incorporated without prior written consent of any party. This Agreement may be amended or modified only by the written consent of the Partnership and the Managers.</w:t>
      </w:r>
    </w:p>
    <w:p>
      <w:pPr>
        <w:spacing w:after="0" w:line="178" w:lineRule="exact"/>
        <w:rPr>
          <w:rFonts w:ascii="Arial" w:cs="Arial" w:eastAsia="Arial" w:hAnsi="Arial"/>
          <w:sz w:val="17"/>
          <w:szCs w:val="17"/>
          <w:color w:val="auto"/>
        </w:rPr>
      </w:pPr>
    </w:p>
    <w:p>
      <w:pPr>
        <w:jc w:val="both"/>
        <w:ind w:right="220" w:firstLine="656"/>
        <w:spacing w:after="0" w:line="302" w:lineRule="auto"/>
        <w:tabs>
          <w:tab w:leader="none" w:pos="132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Parties in Interest</w:t>
      </w:r>
      <w:r>
        <w:rPr>
          <w:rFonts w:ascii="Arial" w:cs="Arial" w:eastAsia="Arial" w:hAnsi="Arial"/>
          <w:sz w:val="16"/>
          <w:szCs w:val="16"/>
          <w:color w:val="auto"/>
        </w:rPr>
        <w:t xml:space="preserve">. The Agreement herein set forth has been and is made solely for the benefit of the Managers and the Partnership and to the extent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the directors, officers, employees, affiliates and controlling persons referred to in such section, and their respective successors, assigns, heirs, personal representatives and executors and administrators. No other person, partnership, association or corporation (including a purchaser, as such purchaser, from any Manager) shall acquire or have any right under or by virtue of this Agreement.</w:t>
      </w:r>
    </w:p>
    <w:p>
      <w:pPr>
        <w:spacing w:after="0" w:line="154" w:lineRule="exact"/>
        <w:rPr>
          <w:rFonts w:ascii="Arial" w:cs="Arial" w:eastAsia="Arial" w:hAnsi="Arial"/>
          <w:sz w:val="16"/>
          <w:szCs w:val="16"/>
          <w:color w:val="auto"/>
        </w:rPr>
      </w:pPr>
    </w:p>
    <w:p>
      <w:pPr>
        <w:ind w:firstLine="656"/>
        <w:spacing w:after="0" w:line="271" w:lineRule="auto"/>
        <w:tabs>
          <w:tab w:leader="none" w:pos="1323"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Partnership hereby acknowledges that (a) the purchase and sale of the Shares pursuant to this Agreement is an arm’s-length commercial transaction between the Partnership, on the one hand, and each Manager and any affiliate through which it may be acting, on the other, (b) each Manager is acting solely as sales agent and/or principal in connection with the purchase and sale of the Partnership’s securities and not as a fiduciary of the Partnership and (c) the Partnership’s engagement of each Manager in connection with the offering and the process leading up to the offering is as independent contractor and not in any other capacity. Furthermore, the Partnership agrees that it is solely responsible for making its own judgments in connection with the offering (irrespective of whether any Manager has advised or is currently advising the Partnership on related or other matters). The Partnership agrees that it will not claim that any Manager has rendered advisory services of any nature or respect, or owe an agency, fiduciary or similar duty to the Partnership, in connection with such transaction or the process leading thereto.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656"/>
        <w:spacing w:after="0" w:line="277" w:lineRule="auto"/>
        <w:tabs>
          <w:tab w:leader="none" w:pos="132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Partnership and any Manager with respect to the subject matter hereof.</w:t>
      </w:r>
    </w:p>
    <w:p>
      <w:pPr>
        <w:spacing w:after="0" w:line="170" w:lineRule="exact"/>
        <w:rPr>
          <w:rFonts w:ascii="Arial" w:cs="Arial" w:eastAsia="Arial" w:hAnsi="Arial"/>
          <w:sz w:val="18"/>
          <w:szCs w:val="18"/>
          <w:color w:val="auto"/>
        </w:rPr>
      </w:pPr>
    </w:p>
    <w:p>
      <w:pPr>
        <w:ind w:right="100" w:firstLine="656"/>
        <w:spacing w:after="0" w:line="277" w:lineRule="auto"/>
        <w:tabs>
          <w:tab w:leader="none" w:pos="132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Terms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right="160" w:firstLine="656"/>
        <w:spacing w:after="0" w:line="342" w:lineRule="auto"/>
        <w:tabs>
          <w:tab w:leader="none" w:pos="132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Partnership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23" w:lineRule="exact"/>
        <w:rPr>
          <w:rFonts w:ascii="Arial" w:cs="Arial" w:eastAsia="Arial" w:hAnsi="Arial"/>
          <w:sz w:val="16"/>
          <w:szCs w:val="16"/>
          <w:color w:val="auto"/>
        </w:rPr>
      </w:pPr>
    </w:p>
    <w:p>
      <w:pPr>
        <w:ind w:right="400" w:firstLine="656"/>
        <w:spacing w:after="0" w:line="277" w:lineRule="auto"/>
        <w:tabs>
          <w:tab w:leader="none" w:pos="132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right="640" w:firstLine="656"/>
        <w:spacing w:after="0" w:line="277" w:lineRule="auto"/>
        <w:tabs>
          <w:tab w:leader="none" w:pos="132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and any Terms Agreement are for convenience only and shall not affect the construction hereof.</w:t>
      </w:r>
    </w:p>
    <w:p>
      <w:pPr>
        <w:spacing w:after="0" w:line="170" w:lineRule="exact"/>
        <w:rPr>
          <w:rFonts w:ascii="Arial" w:cs="Arial" w:eastAsia="Arial" w:hAnsi="Arial"/>
          <w:sz w:val="18"/>
          <w:szCs w:val="18"/>
          <w:color w:val="auto"/>
        </w:rPr>
      </w:pPr>
    </w:p>
    <w:p>
      <w:pPr>
        <w:ind w:right="100" w:firstLine="656"/>
        <w:spacing w:after="0" w:line="264" w:lineRule="auto"/>
        <w:tabs>
          <w:tab w:leader="none" w:pos="132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each Manager</w:t>
      </w:r>
      <w:r>
        <w:rPr>
          <w:rFonts w:ascii="Arial" w:cs="Arial" w:eastAsia="Arial" w:hAnsi="Arial"/>
          <w:sz w:val="18"/>
          <w:szCs w:val="18"/>
          <w:color w:val="auto"/>
        </w:rPr>
        <w:t xml:space="preserve">. The Partnership acknowledges that the following statements set forth in the Prospectus constitute the only information furnished by or on behalf of each Manager as such information is referred to in </w:t>
      </w:r>
      <w:r>
        <w:rPr>
          <w:rFonts w:ascii="Arial" w:cs="Arial" w:eastAsia="Arial" w:hAnsi="Arial"/>
          <w:sz w:val="18"/>
          <w:szCs w:val="18"/>
          <w:u w:val="single" w:color="auto"/>
          <w:color w:val="auto"/>
        </w:rPr>
        <w:t>Sections 1(b)</w:t>
      </w:r>
      <w:r>
        <w:rPr>
          <w:rFonts w:ascii="Arial" w:cs="Arial" w:eastAsia="Arial" w:hAnsi="Arial"/>
          <w:sz w:val="18"/>
          <w:szCs w:val="18"/>
          <w:color w:val="auto"/>
        </w:rPr>
        <w:t xml:space="preserve">,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7(c)</w:t>
      </w:r>
      <w:r>
        <w:rPr>
          <w:rFonts w:ascii="Arial" w:cs="Arial" w:eastAsia="Arial" w:hAnsi="Arial"/>
          <w:sz w:val="18"/>
          <w:szCs w:val="18"/>
          <w:color w:val="auto"/>
        </w:rPr>
        <w:t xml:space="preserve"> hereof: the name of each Manager.</w:t>
      </w:r>
    </w:p>
    <w:p>
      <w:pPr>
        <w:spacing w:after="0" w:line="181" w:lineRule="exact"/>
        <w:rPr>
          <w:rFonts w:ascii="Arial" w:cs="Arial" w:eastAsia="Arial" w:hAnsi="Arial"/>
          <w:sz w:val="18"/>
          <w:szCs w:val="18"/>
          <w:color w:val="auto"/>
        </w:rPr>
      </w:pPr>
    </w:p>
    <w:p>
      <w:pPr>
        <w:ind w:right="480" w:firstLine="656"/>
        <w:spacing w:after="0" w:line="277" w:lineRule="auto"/>
        <w:tabs>
          <w:tab w:leader="none" w:pos="132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 related numbers contained in this Agreement shall be adjusted to take into account any share split effected with respect to the Shares.</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and any Terms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Shares, the time of sale of such Shares pursuant to this Agreement or any relevant Terms Agreement.</w:t>
      </w:r>
    </w:p>
    <w:p>
      <w:pPr>
        <w:sectPr>
          <w:pgSz w:w="11900" w:h="16861" w:orient="portrait"/>
          <w:cols w:equalWidth="0" w:num="1">
            <w:col w:w="11420"/>
          </w:cols>
          <w:pgMar w:left="240" w:top="125" w:right="239" w:bottom="0" w:gutter="0" w:footer="0" w:header="0"/>
          <w:type w:val="continuous"/>
        </w:sectPr>
      </w:pPr>
    </w:p>
    <w:bookmarkStart w:id="19" w:name="page20"/>
    <w:bookmarkEnd w:id="1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xml:space="preserve">” shall mean the base prospectus referred to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contained in the Registration Statement at the Execution Time.</w:t>
      </w:r>
    </w:p>
    <w:p>
      <w:pPr>
        <w:spacing w:after="0" w:line="2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the Prospectus Supplement.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the most recent prospectus supplement relating to the Shares that was first filed pursuant to Rule 424(b) at or prior to the Execution Time.</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shall mean the registration statement referred to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5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134</w:t>
      </w:r>
      <w:r>
        <w:rPr>
          <w:rFonts w:ascii="Arial" w:cs="Arial" w:eastAsia="Arial" w:hAnsi="Arial"/>
          <w:sz w:val="18"/>
          <w:szCs w:val="18"/>
          <w:color w:val="auto"/>
        </w:rPr>
        <w:t>”, “</w:t>
      </w:r>
      <w:r>
        <w:rPr>
          <w:rFonts w:ascii="Arial" w:cs="Arial" w:eastAsia="Arial" w:hAnsi="Arial"/>
          <w:sz w:val="18"/>
          <w:szCs w:val="18"/>
          <w:u w:val="single" w:color="auto"/>
          <w:color w:val="auto"/>
        </w:rPr>
        <w:t>Rule 153</w:t>
      </w:r>
      <w:r>
        <w:rPr>
          <w:rFonts w:ascii="Arial" w:cs="Arial" w:eastAsia="Arial" w:hAnsi="Arial"/>
          <w:sz w:val="18"/>
          <w:szCs w:val="18"/>
          <w:color w:val="auto"/>
        </w:rPr>
        <w:t>”, “</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163</w:t>
      </w:r>
      <w:r>
        <w:rPr>
          <w:rFonts w:ascii="Arial" w:cs="Arial" w:eastAsia="Arial" w:hAnsi="Arial"/>
          <w:sz w:val="18"/>
          <w:szCs w:val="18"/>
          <w:color w:val="auto"/>
        </w:rPr>
        <w:t>”, “</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and similar references to rules refer to such rules under the Act, unless otherwise stated.</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xml:space="preserve">” shall mean a registration statement and any amendments thereto filed pursuant to Rule 462(b) relating to the offering covered by the registration statement referred to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Partnership and the Managers.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Holdings LLC,</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Herbold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Chris Herbold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Accounting and Chief</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Wells Fargo Securities, LLC</w:t>
            </w:r>
          </w:p>
        </w:tc>
        <w:tc>
          <w:tcPr>
            <w:tcW w:w="5740" w:type="dxa"/>
            <w:vAlign w:val="bottom"/>
            <w:gridSpan w:val="3"/>
          </w:tcPr>
          <w:p>
            <w:pPr>
              <w:ind w:left="280"/>
              <w:spacing w:after="0"/>
              <w:rPr>
                <w:sz w:val="20"/>
                <w:szCs w:val="20"/>
                <w:color w:val="auto"/>
              </w:rPr>
            </w:pPr>
            <w:r>
              <w:rPr>
                <w:rFonts w:ascii="Arial" w:cs="Arial" w:eastAsia="Arial" w:hAnsi="Arial"/>
                <w:sz w:val="18"/>
                <w:szCs w:val="18"/>
                <w:b w:val="1"/>
                <w:bCs w:val="1"/>
                <w:color w:val="auto"/>
              </w:rPr>
              <w:t>Barclays Capital Inc.</w:t>
            </w:r>
          </w:p>
        </w:tc>
        <w:tc>
          <w:tcPr>
            <w:tcW w:w="0" w:type="dxa"/>
            <w:vAlign w:val="bottom"/>
          </w:tcPr>
          <w:p>
            <w:pPr>
              <w:spacing w:after="0"/>
              <w:rPr>
                <w:sz w:val="1"/>
                <w:szCs w:val="1"/>
                <w:color w:val="auto"/>
              </w:rPr>
            </w:pPr>
          </w:p>
        </w:tc>
      </w:tr>
      <w:tr>
        <w:trPr>
          <w:trHeight w:val="60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/s/ Richard Tobin</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spacing w:after="0"/>
              <w:rPr>
                <w:sz w:val="20"/>
                <w:szCs w:val="20"/>
                <w:color w:val="auto"/>
              </w:rPr>
            </w:pPr>
            <w:r>
              <w:rPr>
                <w:rFonts w:ascii="Arial" w:cs="Arial" w:eastAsia="Arial" w:hAnsi="Arial"/>
                <w:sz w:val="18"/>
                <w:szCs w:val="18"/>
                <w:color w:val="auto"/>
              </w:rPr>
              <w:t>/s/ Nelson Mabry</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Richard Tobin</w:t>
            </w:r>
          </w:p>
        </w:tc>
        <w:tc>
          <w:tcPr>
            <w:tcW w:w="1020" w:type="dxa"/>
            <w:vAlign w:val="bottom"/>
            <w:vMerge w:val="continue"/>
          </w:tcPr>
          <w:p>
            <w:pPr>
              <w:spacing w:after="0"/>
              <w:rPr>
                <w:sz w:val="16"/>
                <w:szCs w:val="16"/>
                <w:color w:val="auto"/>
              </w:rPr>
            </w:pPr>
          </w:p>
        </w:tc>
        <w:tc>
          <w:tcPr>
            <w:tcW w:w="4720" w:type="dxa"/>
            <w:vAlign w:val="bottom"/>
            <w:gridSpan w:val="2"/>
          </w:tcPr>
          <w:p>
            <w:pPr>
              <w:spacing w:after="0" w:line="195" w:lineRule="exact"/>
              <w:rPr>
                <w:sz w:val="20"/>
                <w:szCs w:val="20"/>
                <w:color w:val="auto"/>
              </w:rPr>
            </w:pPr>
            <w:r>
              <w:rPr>
                <w:rFonts w:ascii="Arial" w:cs="Arial" w:eastAsia="Arial" w:hAnsi="Arial"/>
                <w:sz w:val="18"/>
                <w:szCs w:val="18"/>
                <w:color w:val="auto"/>
              </w:rPr>
              <w:t>Nelson Mabry</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Managing 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gridSpan w:val="10"/>
          </w:tcPr>
          <w:p>
            <w:pPr>
              <w:spacing w:after="0"/>
              <w:rPr>
                <w:sz w:val="20"/>
                <w:szCs w:val="20"/>
                <w:color w:val="auto"/>
              </w:rPr>
            </w:pPr>
            <w:r>
              <w:rPr>
                <w:rFonts w:ascii="Arial" w:cs="Arial" w:eastAsia="Arial" w:hAnsi="Arial"/>
                <w:sz w:val="18"/>
                <w:szCs w:val="18"/>
                <w:b w:val="1"/>
                <w:bCs w:val="1"/>
                <w:color w:val="auto"/>
              </w:rPr>
              <w:t>BB&amp;T Capital Markets, a division of BB&amp;T</w:t>
            </w:r>
          </w:p>
        </w:tc>
        <w:tc>
          <w:tcPr>
            <w:tcW w:w="5740" w:type="dxa"/>
            <w:vAlign w:val="bottom"/>
            <w:gridSpan w:val="7"/>
          </w:tcPr>
          <w:p>
            <w:pPr>
              <w:ind w:left="280"/>
              <w:spacing w:after="0"/>
              <w:rPr>
                <w:sz w:val="20"/>
                <w:szCs w:val="20"/>
                <w:color w:val="auto"/>
              </w:rPr>
            </w:pPr>
            <w:r>
              <w:rPr>
                <w:rFonts w:ascii="Arial" w:cs="Arial" w:eastAsia="Arial" w:hAnsi="Arial"/>
                <w:sz w:val="18"/>
                <w:szCs w:val="18"/>
                <w:b w:val="1"/>
                <w:bCs w:val="1"/>
                <w:color w:val="auto"/>
              </w:rPr>
              <w:t>BMO Capital Markets Corp.</w:t>
            </w:r>
          </w:p>
        </w:tc>
        <w:tc>
          <w:tcPr>
            <w:tcW w:w="0" w:type="dxa"/>
            <w:vAlign w:val="bottom"/>
          </w:tcPr>
          <w:p>
            <w:pPr>
              <w:spacing w:after="0"/>
              <w:rPr>
                <w:sz w:val="1"/>
                <w:szCs w:val="1"/>
                <w:color w:val="auto"/>
              </w:rPr>
            </w:pPr>
          </w:p>
        </w:tc>
      </w:tr>
      <w:tr>
        <w:trPr>
          <w:trHeight w:val="234"/>
        </w:trPr>
        <w:tc>
          <w:tcPr>
            <w:tcW w:w="5680" w:type="dxa"/>
            <w:vAlign w:val="bottom"/>
            <w:gridSpan w:val="10"/>
          </w:tcPr>
          <w:p>
            <w:pPr>
              <w:spacing w:after="0"/>
              <w:rPr>
                <w:sz w:val="20"/>
                <w:szCs w:val="20"/>
                <w:color w:val="auto"/>
              </w:rPr>
            </w:pPr>
            <w:r>
              <w:rPr>
                <w:rFonts w:ascii="Arial" w:cs="Arial" w:eastAsia="Arial" w:hAnsi="Arial"/>
                <w:sz w:val="18"/>
                <w:szCs w:val="18"/>
                <w:b w:val="1"/>
                <w:bCs w:val="1"/>
                <w:color w:val="auto"/>
              </w:rPr>
              <w:t>Securities, LLC</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/s/ Reid Burford</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6"/>
          </w:tcPr>
          <w:p>
            <w:pPr>
              <w:spacing w:after="0"/>
              <w:rPr>
                <w:sz w:val="20"/>
                <w:szCs w:val="20"/>
                <w:color w:val="auto"/>
              </w:rPr>
            </w:pPr>
            <w:r>
              <w:rPr>
                <w:rFonts w:ascii="Arial" w:cs="Arial" w:eastAsia="Arial" w:hAnsi="Arial"/>
                <w:sz w:val="18"/>
                <w:szCs w:val="18"/>
                <w:color w:val="auto"/>
              </w:rPr>
              <w:t>/s/ Michael Cippoletti</w:t>
            </w:r>
          </w:p>
        </w:tc>
        <w:tc>
          <w:tcPr>
            <w:tcW w:w="0" w:type="dxa"/>
            <w:vAlign w:val="bottom"/>
          </w:tcPr>
          <w:p>
            <w:pPr>
              <w:spacing w:after="0"/>
              <w:rPr>
                <w:sz w:val="1"/>
                <w:szCs w:val="1"/>
                <w:color w:val="auto"/>
              </w:rPr>
            </w:pPr>
          </w:p>
        </w:tc>
      </w:tr>
      <w:tr>
        <w:trPr>
          <w:trHeight w:val="21"/>
        </w:trPr>
        <w:tc>
          <w:tcPr>
            <w:tcW w:w="62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7"/>
          </w:tcPr>
          <w:p>
            <w:pPr>
              <w:spacing w:after="0" w:line="195" w:lineRule="exact"/>
              <w:rPr>
                <w:sz w:val="20"/>
                <w:szCs w:val="20"/>
                <w:color w:val="auto"/>
              </w:rPr>
            </w:pPr>
            <w:r>
              <w:rPr>
                <w:rFonts w:ascii="Arial" w:cs="Arial" w:eastAsia="Arial" w:hAnsi="Arial"/>
                <w:sz w:val="18"/>
                <w:szCs w:val="18"/>
                <w:color w:val="auto"/>
              </w:rPr>
              <w:t>Reid Burford</w:t>
            </w:r>
          </w:p>
        </w:tc>
        <w:tc>
          <w:tcPr>
            <w:tcW w:w="1020" w:type="dxa"/>
            <w:vAlign w:val="bottom"/>
            <w:vMerge w:val="continue"/>
          </w:tcPr>
          <w:p>
            <w:pPr>
              <w:spacing w:after="0"/>
              <w:rPr>
                <w:sz w:val="16"/>
                <w:szCs w:val="16"/>
                <w:color w:val="auto"/>
              </w:rPr>
            </w:pPr>
          </w:p>
        </w:tc>
        <w:tc>
          <w:tcPr>
            <w:tcW w:w="4720" w:type="dxa"/>
            <w:vAlign w:val="bottom"/>
            <w:gridSpan w:val="6"/>
          </w:tcPr>
          <w:p>
            <w:pPr>
              <w:spacing w:after="0" w:line="195" w:lineRule="exact"/>
              <w:rPr>
                <w:sz w:val="20"/>
                <w:szCs w:val="20"/>
                <w:color w:val="auto"/>
              </w:rPr>
            </w:pPr>
            <w:r>
              <w:rPr>
                <w:rFonts w:ascii="Arial" w:cs="Arial" w:eastAsia="Arial" w:hAnsi="Arial"/>
                <w:sz w:val="18"/>
                <w:szCs w:val="18"/>
                <w:color w:val="auto"/>
              </w:rPr>
              <w:t>Michael Cippoletti</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MD Corp Equity Securities</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6"/>
          </w:tcPr>
          <w:p>
            <w:pPr>
              <w:spacing w:after="0"/>
              <w:rPr>
                <w:sz w:val="20"/>
                <w:szCs w:val="20"/>
                <w:color w:val="auto"/>
              </w:rPr>
            </w:pPr>
            <w:r>
              <w:rPr>
                <w:rFonts w:ascii="Arial" w:cs="Arial" w:eastAsia="Arial" w:hAnsi="Arial"/>
                <w:sz w:val="18"/>
                <w:szCs w:val="18"/>
                <w:color w:val="auto"/>
              </w:rPr>
              <w:t>MD &amp; U.S. ECM Group Head</w:t>
            </w:r>
          </w:p>
        </w:tc>
        <w:tc>
          <w:tcPr>
            <w:tcW w:w="0" w:type="dxa"/>
            <w:vAlign w:val="bottom"/>
          </w:tcPr>
          <w:p>
            <w:pPr>
              <w:spacing w:after="0"/>
              <w:rPr>
                <w:sz w:val="1"/>
                <w:szCs w:val="1"/>
                <w:color w:val="auto"/>
              </w:rPr>
            </w:pPr>
          </w:p>
        </w:tc>
      </w:tr>
      <w:tr>
        <w:trPr>
          <w:trHeight w:val="432"/>
        </w:trPr>
        <w:tc>
          <w:tcPr>
            <w:tcW w:w="5680" w:type="dxa"/>
            <w:vAlign w:val="bottom"/>
            <w:gridSpan w:val="10"/>
          </w:tcPr>
          <w:p>
            <w:pPr>
              <w:spacing w:after="0"/>
              <w:rPr>
                <w:sz w:val="20"/>
                <w:szCs w:val="20"/>
                <w:color w:val="auto"/>
              </w:rPr>
            </w:pPr>
            <w:r>
              <w:rPr>
                <w:rFonts w:ascii="Arial" w:cs="Arial" w:eastAsia="Arial" w:hAnsi="Arial"/>
                <w:sz w:val="18"/>
                <w:szCs w:val="18"/>
                <w:b w:val="1"/>
                <w:bCs w:val="1"/>
                <w:color w:val="auto"/>
              </w:rPr>
              <w:t>BNP Paribas Securities Corp.</w:t>
            </w:r>
          </w:p>
        </w:tc>
        <w:tc>
          <w:tcPr>
            <w:tcW w:w="5740" w:type="dxa"/>
            <w:vAlign w:val="bottom"/>
            <w:gridSpan w:val="7"/>
          </w:tcPr>
          <w:p>
            <w:pPr>
              <w:ind w:left="280"/>
              <w:spacing w:after="0"/>
              <w:rPr>
                <w:sz w:val="20"/>
                <w:szCs w:val="20"/>
                <w:color w:val="auto"/>
              </w:rPr>
            </w:pPr>
            <w:r>
              <w:rPr>
                <w:rFonts w:ascii="Arial" w:cs="Arial" w:eastAsia="Arial" w:hAnsi="Arial"/>
                <w:sz w:val="18"/>
                <w:szCs w:val="18"/>
                <w:b w:val="1"/>
                <w:bCs w:val="1"/>
                <w:color w:val="auto"/>
              </w:rPr>
              <w:t>Citigroup Global Markets Inc.</w:t>
            </w:r>
          </w:p>
        </w:tc>
        <w:tc>
          <w:tcPr>
            <w:tcW w:w="0" w:type="dxa"/>
            <w:vAlign w:val="bottom"/>
          </w:tcPr>
          <w:p>
            <w:pPr>
              <w:spacing w:after="0"/>
              <w:rPr>
                <w:sz w:val="1"/>
                <w:szCs w:val="1"/>
                <w:color w:val="auto"/>
              </w:rPr>
            </w:pPr>
          </w:p>
        </w:tc>
      </w:tr>
      <w:tr>
        <w:trPr>
          <w:trHeight w:val="608"/>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/s/ Paul Drumm</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6"/>
          </w:tcPr>
          <w:p>
            <w:pPr>
              <w:spacing w:after="0"/>
              <w:rPr>
                <w:sz w:val="20"/>
                <w:szCs w:val="20"/>
                <w:color w:val="auto"/>
              </w:rPr>
            </w:pPr>
            <w:r>
              <w:rPr>
                <w:rFonts w:ascii="Arial" w:cs="Arial" w:eastAsia="Arial" w:hAnsi="Arial"/>
                <w:sz w:val="18"/>
                <w:szCs w:val="18"/>
                <w:color w:val="auto"/>
              </w:rPr>
              <w:t>/s/ Muhammad F. Laghari</w:t>
            </w:r>
          </w:p>
        </w:tc>
        <w:tc>
          <w:tcPr>
            <w:tcW w:w="0" w:type="dxa"/>
            <w:vAlign w:val="bottom"/>
          </w:tcPr>
          <w:p>
            <w:pPr>
              <w:spacing w:after="0"/>
              <w:rPr>
                <w:sz w:val="1"/>
                <w:szCs w:val="1"/>
                <w:color w:val="auto"/>
              </w:rPr>
            </w:pPr>
          </w:p>
        </w:tc>
      </w:tr>
      <w:tr>
        <w:trPr>
          <w:trHeight w:val="21"/>
        </w:trPr>
        <w:tc>
          <w:tcPr>
            <w:tcW w:w="62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7"/>
          </w:tcPr>
          <w:p>
            <w:pPr>
              <w:spacing w:after="0" w:line="195" w:lineRule="exact"/>
              <w:rPr>
                <w:sz w:val="20"/>
                <w:szCs w:val="20"/>
                <w:color w:val="auto"/>
              </w:rPr>
            </w:pPr>
            <w:r>
              <w:rPr>
                <w:rFonts w:ascii="Arial" w:cs="Arial" w:eastAsia="Arial" w:hAnsi="Arial"/>
                <w:sz w:val="18"/>
                <w:szCs w:val="18"/>
                <w:color w:val="auto"/>
              </w:rPr>
              <w:t>Paul Drumm</w:t>
            </w:r>
          </w:p>
        </w:tc>
        <w:tc>
          <w:tcPr>
            <w:tcW w:w="1020" w:type="dxa"/>
            <w:vAlign w:val="bottom"/>
            <w:vMerge w:val="continue"/>
          </w:tcPr>
          <w:p>
            <w:pPr>
              <w:spacing w:after="0"/>
              <w:rPr>
                <w:sz w:val="16"/>
                <w:szCs w:val="16"/>
                <w:color w:val="auto"/>
              </w:rPr>
            </w:pPr>
          </w:p>
        </w:tc>
        <w:tc>
          <w:tcPr>
            <w:tcW w:w="4720" w:type="dxa"/>
            <w:vAlign w:val="bottom"/>
            <w:gridSpan w:val="6"/>
          </w:tcPr>
          <w:p>
            <w:pPr>
              <w:spacing w:after="0" w:line="195" w:lineRule="exact"/>
              <w:rPr>
                <w:sz w:val="20"/>
                <w:szCs w:val="20"/>
                <w:color w:val="auto"/>
              </w:rPr>
            </w:pPr>
            <w:r>
              <w:rPr>
                <w:rFonts w:ascii="Arial" w:cs="Arial" w:eastAsia="Arial" w:hAnsi="Arial"/>
                <w:sz w:val="18"/>
                <w:szCs w:val="18"/>
                <w:color w:val="auto"/>
              </w:rPr>
              <w:t>Muhammad F. Laghari</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Authorised Signatory</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6"/>
          </w:tcPr>
          <w:p>
            <w:pPr>
              <w:spacing w:after="0"/>
              <w:rPr>
                <w:sz w:val="20"/>
                <w:szCs w:val="20"/>
                <w:color w:val="auto"/>
              </w:rPr>
            </w:pPr>
            <w:r>
              <w:rPr>
                <w:rFonts w:ascii="Arial" w:cs="Arial" w:eastAsia="Arial" w:hAnsi="Arial"/>
                <w:sz w:val="18"/>
                <w:szCs w:val="18"/>
                <w:color w:val="auto"/>
              </w:rPr>
              <w:t>Vice President, Investment Banking</w:t>
            </w:r>
          </w:p>
        </w:tc>
        <w:tc>
          <w:tcPr>
            <w:tcW w:w="0" w:type="dxa"/>
            <w:vAlign w:val="bottom"/>
          </w:tcPr>
          <w:p>
            <w:pPr>
              <w:spacing w:after="0"/>
              <w:rPr>
                <w:sz w:val="1"/>
                <w:szCs w:val="1"/>
                <w:color w:val="auto"/>
              </w:rPr>
            </w:pPr>
          </w:p>
        </w:tc>
      </w:tr>
      <w:tr>
        <w:trPr>
          <w:trHeight w:val="432"/>
        </w:trPr>
        <w:tc>
          <w:tcPr>
            <w:tcW w:w="5680" w:type="dxa"/>
            <w:vAlign w:val="bottom"/>
            <w:gridSpan w:val="10"/>
          </w:tcPr>
          <w:p>
            <w:pPr>
              <w:spacing w:after="0"/>
              <w:rPr>
                <w:sz w:val="20"/>
                <w:szCs w:val="20"/>
                <w:color w:val="auto"/>
              </w:rPr>
            </w:pPr>
            <w:r>
              <w:rPr>
                <w:rFonts w:ascii="Arial" w:cs="Arial" w:eastAsia="Arial" w:hAnsi="Arial"/>
                <w:sz w:val="18"/>
                <w:szCs w:val="18"/>
                <w:b w:val="1"/>
                <w:bCs w:val="1"/>
                <w:color w:val="auto"/>
              </w:rPr>
              <w:t>Deutsche Bank Securities Inc.</w:t>
            </w:r>
          </w:p>
        </w:tc>
        <w:tc>
          <w:tcPr>
            <w:tcW w:w="5740" w:type="dxa"/>
            <w:vAlign w:val="bottom"/>
            <w:gridSpan w:val="7"/>
          </w:tcPr>
          <w:p>
            <w:pPr>
              <w:ind w:left="280"/>
              <w:spacing w:after="0"/>
              <w:rPr>
                <w:sz w:val="20"/>
                <w:szCs w:val="20"/>
                <w:color w:val="auto"/>
              </w:rPr>
            </w:pPr>
            <w:r>
              <w:rPr>
                <w:rFonts w:ascii="Arial" w:cs="Arial" w:eastAsia="Arial" w:hAnsi="Arial"/>
                <w:sz w:val="18"/>
                <w:szCs w:val="18"/>
                <w:b w:val="1"/>
                <w:bCs w:val="1"/>
                <w:color w:val="auto"/>
              </w:rPr>
              <w:t>DNB Markets, Inc.</w:t>
            </w:r>
          </w:p>
        </w:tc>
        <w:tc>
          <w:tcPr>
            <w:tcW w:w="0" w:type="dxa"/>
            <w:vAlign w:val="bottom"/>
          </w:tcPr>
          <w:p>
            <w:pPr>
              <w:spacing w:after="0"/>
              <w:rPr>
                <w:sz w:val="1"/>
                <w:szCs w:val="1"/>
                <w:color w:val="auto"/>
              </w:rPr>
            </w:pPr>
          </w:p>
        </w:tc>
      </w:tr>
      <w:tr>
        <w:trPr>
          <w:trHeight w:val="608"/>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/s/ Francis Windels</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6"/>
          </w:tcPr>
          <w:p>
            <w:pPr>
              <w:spacing w:after="0"/>
              <w:rPr>
                <w:sz w:val="20"/>
                <w:szCs w:val="20"/>
                <w:color w:val="auto"/>
              </w:rPr>
            </w:pPr>
            <w:r>
              <w:rPr>
                <w:rFonts w:ascii="Arial" w:cs="Arial" w:eastAsia="Arial" w:hAnsi="Arial"/>
                <w:sz w:val="18"/>
                <w:szCs w:val="18"/>
                <w:color w:val="auto"/>
              </w:rPr>
              <w:t>/s/ Daniel M. Hochstadt</w:t>
            </w:r>
          </w:p>
        </w:tc>
        <w:tc>
          <w:tcPr>
            <w:tcW w:w="0" w:type="dxa"/>
            <w:vAlign w:val="bottom"/>
          </w:tcPr>
          <w:p>
            <w:pPr>
              <w:spacing w:after="0"/>
              <w:rPr>
                <w:sz w:val="1"/>
                <w:szCs w:val="1"/>
                <w:color w:val="auto"/>
              </w:rPr>
            </w:pPr>
          </w:p>
        </w:tc>
      </w:tr>
      <w:tr>
        <w:trPr>
          <w:trHeight w:val="21"/>
        </w:trPr>
        <w:tc>
          <w:tcPr>
            <w:tcW w:w="62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7"/>
          </w:tcPr>
          <w:p>
            <w:pPr>
              <w:spacing w:after="0" w:line="195" w:lineRule="exact"/>
              <w:rPr>
                <w:sz w:val="20"/>
                <w:szCs w:val="20"/>
                <w:color w:val="auto"/>
              </w:rPr>
            </w:pPr>
            <w:r>
              <w:rPr>
                <w:rFonts w:ascii="Arial" w:cs="Arial" w:eastAsia="Arial" w:hAnsi="Arial"/>
                <w:sz w:val="18"/>
                <w:szCs w:val="18"/>
                <w:color w:val="auto"/>
              </w:rPr>
              <w:t>Francis Windels</w:t>
            </w:r>
          </w:p>
        </w:tc>
        <w:tc>
          <w:tcPr>
            <w:tcW w:w="1020" w:type="dxa"/>
            <w:vAlign w:val="bottom"/>
            <w:vMerge w:val="continue"/>
          </w:tcPr>
          <w:p>
            <w:pPr>
              <w:spacing w:after="0"/>
              <w:rPr>
                <w:sz w:val="16"/>
                <w:szCs w:val="16"/>
                <w:color w:val="auto"/>
              </w:rPr>
            </w:pPr>
          </w:p>
        </w:tc>
        <w:tc>
          <w:tcPr>
            <w:tcW w:w="4720" w:type="dxa"/>
            <w:vAlign w:val="bottom"/>
            <w:gridSpan w:val="6"/>
          </w:tcPr>
          <w:p>
            <w:pPr>
              <w:spacing w:after="0" w:line="195" w:lineRule="exact"/>
              <w:rPr>
                <w:sz w:val="20"/>
                <w:szCs w:val="20"/>
                <w:color w:val="auto"/>
              </w:rPr>
            </w:pPr>
            <w:r>
              <w:rPr>
                <w:rFonts w:ascii="Arial" w:cs="Arial" w:eastAsia="Arial" w:hAnsi="Arial"/>
                <w:sz w:val="18"/>
                <w:szCs w:val="18"/>
                <w:color w:val="auto"/>
              </w:rPr>
              <w:t>Daniel M. Hochstadt</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Managing 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6"/>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392"/>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/s/ Stephen Lambrix</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6"/>
          </w:tcPr>
          <w:p>
            <w:pPr>
              <w:spacing w:after="0"/>
              <w:rPr>
                <w:sz w:val="20"/>
                <w:szCs w:val="20"/>
                <w:color w:val="auto"/>
              </w:rPr>
            </w:pPr>
            <w:r>
              <w:rPr>
                <w:rFonts w:ascii="Arial" w:cs="Arial" w:eastAsia="Arial" w:hAnsi="Arial"/>
                <w:sz w:val="18"/>
                <w:szCs w:val="18"/>
                <w:color w:val="auto"/>
              </w:rPr>
              <w:t>/s/ Ryan Morrell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gridSpan w:val="8"/>
          </w:tcPr>
          <w:p>
            <w:pPr>
              <w:ind w:left="140"/>
              <w:spacing w:after="0" w:line="195" w:lineRule="exact"/>
              <w:rPr>
                <w:sz w:val="20"/>
                <w:szCs w:val="20"/>
                <w:color w:val="auto"/>
              </w:rPr>
            </w:pPr>
            <w:r>
              <w:rPr>
                <w:rFonts w:ascii="Arial" w:cs="Arial" w:eastAsia="Arial" w:hAnsi="Arial"/>
                <w:sz w:val="18"/>
                <w:szCs w:val="18"/>
                <w:color w:val="auto"/>
              </w:rPr>
              <w:t>Stephen Lambrix</w:t>
            </w:r>
          </w:p>
        </w:tc>
        <w:tc>
          <w:tcPr>
            <w:tcW w:w="1020" w:type="dxa"/>
            <w:vAlign w:val="bottom"/>
            <w:vMerge w:val="continue"/>
          </w:tcPr>
          <w:p>
            <w:pPr>
              <w:spacing w:after="0"/>
              <w:rPr>
                <w:sz w:val="16"/>
                <w:szCs w:val="16"/>
                <w:color w:val="auto"/>
              </w:rPr>
            </w:pPr>
          </w:p>
        </w:tc>
        <w:tc>
          <w:tcPr>
            <w:tcW w:w="4720" w:type="dxa"/>
            <w:vAlign w:val="bottom"/>
            <w:gridSpan w:val="6"/>
          </w:tcPr>
          <w:p>
            <w:pPr>
              <w:spacing w:after="0" w:line="195" w:lineRule="exact"/>
              <w:rPr>
                <w:sz w:val="20"/>
                <w:szCs w:val="20"/>
                <w:color w:val="auto"/>
              </w:rPr>
            </w:pPr>
            <w:r>
              <w:rPr>
                <w:rFonts w:ascii="Arial" w:cs="Arial" w:eastAsia="Arial" w:hAnsi="Arial"/>
                <w:sz w:val="18"/>
                <w:szCs w:val="18"/>
                <w:color w:val="auto"/>
              </w:rPr>
              <w:t>Ryan Morrell</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6"/>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5680" w:type="dxa"/>
            <w:vAlign w:val="bottom"/>
            <w:gridSpan w:val="10"/>
          </w:tcPr>
          <w:p>
            <w:pPr>
              <w:spacing w:after="0"/>
              <w:rPr>
                <w:sz w:val="20"/>
                <w:szCs w:val="20"/>
                <w:color w:val="auto"/>
              </w:rPr>
            </w:pPr>
            <w:r>
              <w:rPr>
                <w:rFonts w:ascii="Arial" w:cs="Arial" w:eastAsia="Arial" w:hAnsi="Arial"/>
                <w:sz w:val="18"/>
                <w:szCs w:val="18"/>
                <w:b w:val="1"/>
                <w:bCs w:val="1"/>
                <w:color w:val="auto"/>
              </w:rPr>
              <w:t>Fifth Third Securities, Inc.</w:t>
            </w:r>
          </w:p>
        </w:tc>
        <w:tc>
          <w:tcPr>
            <w:tcW w:w="5740" w:type="dxa"/>
            <w:vAlign w:val="bottom"/>
            <w:gridSpan w:val="7"/>
          </w:tcPr>
          <w:p>
            <w:pPr>
              <w:ind w:left="280"/>
              <w:spacing w:after="0"/>
              <w:rPr>
                <w:sz w:val="20"/>
                <w:szCs w:val="20"/>
                <w:color w:val="auto"/>
              </w:rPr>
            </w:pPr>
            <w:r>
              <w:rPr>
                <w:rFonts w:ascii="Arial" w:cs="Arial" w:eastAsia="Arial" w:hAnsi="Arial"/>
                <w:sz w:val="18"/>
                <w:szCs w:val="18"/>
                <w:b w:val="1"/>
                <w:bCs w:val="1"/>
                <w:color w:val="auto"/>
              </w:rPr>
              <w:t>J.P. Morgan Securities LLC</w:t>
            </w:r>
          </w:p>
        </w:tc>
        <w:tc>
          <w:tcPr>
            <w:tcW w:w="0" w:type="dxa"/>
            <w:vAlign w:val="bottom"/>
          </w:tcPr>
          <w:p>
            <w:pPr>
              <w:spacing w:after="0"/>
              <w:rPr>
                <w:sz w:val="1"/>
                <w:szCs w:val="1"/>
                <w:color w:val="auto"/>
              </w:rPr>
            </w:pPr>
          </w:p>
        </w:tc>
      </w:tr>
      <w:tr>
        <w:trPr>
          <w:trHeight w:val="608"/>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/s/ Michael E. Ryan</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6"/>
          </w:tcPr>
          <w:p>
            <w:pPr>
              <w:spacing w:after="0"/>
              <w:rPr>
                <w:sz w:val="20"/>
                <w:szCs w:val="20"/>
                <w:color w:val="auto"/>
              </w:rPr>
            </w:pPr>
            <w:r>
              <w:rPr>
                <w:rFonts w:ascii="Arial" w:cs="Arial" w:eastAsia="Arial" w:hAnsi="Arial"/>
                <w:sz w:val="18"/>
                <w:szCs w:val="18"/>
                <w:color w:val="auto"/>
              </w:rPr>
              <w:t>/s/ Sanjeet Dewal</w:t>
            </w:r>
          </w:p>
        </w:tc>
        <w:tc>
          <w:tcPr>
            <w:tcW w:w="0" w:type="dxa"/>
            <w:vAlign w:val="bottom"/>
          </w:tcPr>
          <w:p>
            <w:pPr>
              <w:spacing w:after="0"/>
              <w:rPr>
                <w:sz w:val="1"/>
                <w:szCs w:val="1"/>
                <w:color w:val="auto"/>
              </w:rPr>
            </w:pPr>
          </w:p>
        </w:tc>
      </w:tr>
      <w:tr>
        <w:trPr>
          <w:trHeight w:val="21"/>
        </w:trPr>
        <w:tc>
          <w:tcPr>
            <w:tcW w:w="62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7"/>
          </w:tcPr>
          <w:p>
            <w:pPr>
              <w:spacing w:after="0" w:line="195" w:lineRule="exact"/>
              <w:rPr>
                <w:sz w:val="20"/>
                <w:szCs w:val="20"/>
                <w:color w:val="auto"/>
              </w:rPr>
            </w:pPr>
            <w:r>
              <w:rPr>
                <w:rFonts w:ascii="Arial" w:cs="Arial" w:eastAsia="Arial" w:hAnsi="Arial"/>
                <w:sz w:val="18"/>
                <w:szCs w:val="18"/>
                <w:color w:val="auto"/>
              </w:rPr>
              <w:t>Michael E. Ryan</w:t>
            </w:r>
          </w:p>
        </w:tc>
        <w:tc>
          <w:tcPr>
            <w:tcW w:w="1020" w:type="dxa"/>
            <w:vAlign w:val="bottom"/>
            <w:vMerge w:val="continue"/>
          </w:tcPr>
          <w:p>
            <w:pPr>
              <w:spacing w:after="0"/>
              <w:rPr>
                <w:sz w:val="16"/>
                <w:szCs w:val="16"/>
                <w:color w:val="auto"/>
              </w:rPr>
            </w:pPr>
          </w:p>
        </w:tc>
        <w:tc>
          <w:tcPr>
            <w:tcW w:w="4720" w:type="dxa"/>
            <w:vAlign w:val="bottom"/>
            <w:gridSpan w:val="6"/>
          </w:tcPr>
          <w:p>
            <w:pPr>
              <w:spacing w:after="0" w:line="195" w:lineRule="exact"/>
              <w:rPr>
                <w:sz w:val="20"/>
                <w:szCs w:val="20"/>
                <w:color w:val="auto"/>
              </w:rPr>
            </w:pPr>
            <w:r>
              <w:rPr>
                <w:rFonts w:ascii="Arial" w:cs="Arial" w:eastAsia="Arial" w:hAnsi="Arial"/>
                <w:sz w:val="18"/>
                <w:szCs w:val="18"/>
                <w:color w:val="auto"/>
              </w:rPr>
              <w:t>Sanjeet Dewal</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Managing 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6"/>
          </w:tcPr>
          <w:p>
            <w:pPr>
              <w:spacing w:after="0"/>
              <w:rPr>
                <w:sz w:val="20"/>
                <w:szCs w:val="20"/>
                <w:color w:val="auto"/>
              </w:rPr>
            </w:pPr>
            <w:r>
              <w:rPr>
                <w:rFonts w:ascii="Arial" w:cs="Arial" w:eastAsia="Arial" w:hAnsi="Arial"/>
                <w:sz w:val="18"/>
                <w:szCs w:val="18"/>
                <w:color w:val="auto"/>
              </w:rPr>
              <w:t>Executive Director</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740" w:type="dxa"/>
            <w:vAlign w:val="bottom"/>
            <w:gridSpan w:val="7"/>
          </w:tcPr>
          <w:p>
            <w:pPr>
              <w:ind w:left="280"/>
              <w:spacing w:after="0"/>
              <w:rPr>
                <w:sz w:val="20"/>
                <w:szCs w:val="20"/>
                <w:color w:val="auto"/>
              </w:rPr>
            </w:pPr>
            <w:r>
              <w:rPr>
                <w:rFonts w:ascii="Arial" w:cs="Arial" w:eastAsia="Arial" w:hAnsi="Arial"/>
                <w:sz w:val="18"/>
                <w:szCs w:val="18"/>
                <w:b w:val="1"/>
                <w:bCs w:val="1"/>
                <w:color w:val="auto"/>
              </w:rPr>
              <w:t>Merrill Lynch, Pierce, Fenner &amp; Smith</w:t>
            </w:r>
          </w:p>
        </w:tc>
        <w:tc>
          <w:tcPr>
            <w:tcW w:w="0" w:type="dxa"/>
            <w:vAlign w:val="bottom"/>
          </w:tcPr>
          <w:p>
            <w:pPr>
              <w:spacing w:after="0"/>
              <w:rPr>
                <w:sz w:val="1"/>
                <w:szCs w:val="1"/>
                <w:color w:val="auto"/>
              </w:rPr>
            </w:pPr>
          </w:p>
        </w:tc>
      </w:tr>
      <w:tr>
        <w:trPr>
          <w:trHeight w:val="234"/>
        </w:trPr>
        <w:tc>
          <w:tcPr>
            <w:tcW w:w="5680" w:type="dxa"/>
            <w:vAlign w:val="bottom"/>
            <w:gridSpan w:val="10"/>
          </w:tcPr>
          <w:p>
            <w:pPr>
              <w:spacing w:after="0"/>
              <w:rPr>
                <w:sz w:val="20"/>
                <w:szCs w:val="20"/>
                <w:color w:val="auto"/>
              </w:rPr>
            </w:pPr>
            <w:r>
              <w:rPr>
                <w:rFonts w:ascii="Arial" w:cs="Arial" w:eastAsia="Arial" w:hAnsi="Arial"/>
                <w:sz w:val="18"/>
                <w:szCs w:val="18"/>
                <w:b w:val="1"/>
                <w:bCs w:val="1"/>
                <w:color w:val="auto"/>
              </w:rPr>
              <w:t>Jefferies LLC</w:t>
            </w:r>
          </w:p>
        </w:tc>
        <w:tc>
          <w:tcPr>
            <w:tcW w:w="5740" w:type="dxa"/>
            <w:vAlign w:val="bottom"/>
            <w:gridSpan w:val="7"/>
          </w:tcPr>
          <w:p>
            <w:pPr>
              <w:ind w:left="640"/>
              <w:spacing w:after="0"/>
              <w:rPr>
                <w:sz w:val="20"/>
                <w:szCs w:val="20"/>
                <w:color w:val="auto"/>
              </w:rPr>
            </w:pPr>
            <w:r>
              <w:rPr>
                <w:rFonts w:ascii="Arial" w:cs="Arial" w:eastAsia="Arial" w:hAnsi="Arial"/>
                <w:sz w:val="18"/>
                <w:szCs w:val="18"/>
                <w:b w:val="1"/>
                <w:bCs w:val="1"/>
                <w:color w:val="auto"/>
              </w:rPr>
              <w:t>Incorporated</w:t>
            </w:r>
          </w:p>
        </w:tc>
        <w:tc>
          <w:tcPr>
            <w:tcW w:w="0" w:type="dxa"/>
            <w:vAlign w:val="bottom"/>
          </w:tcPr>
          <w:p>
            <w:pPr>
              <w:spacing w:after="0"/>
              <w:rPr>
                <w:sz w:val="1"/>
                <w:szCs w:val="1"/>
                <w:color w:val="auto"/>
              </w:rPr>
            </w:pPr>
          </w:p>
        </w:tc>
      </w:tr>
      <w:tr>
        <w:trPr>
          <w:trHeight w:val="608"/>
        </w:trPr>
        <w:tc>
          <w:tcPr>
            <w:tcW w:w="62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/s/ Brian Conner</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6"/>
          </w:tcPr>
          <w:p>
            <w:pPr>
              <w:spacing w:after="0"/>
              <w:rPr>
                <w:sz w:val="20"/>
                <w:szCs w:val="20"/>
                <w:color w:val="auto"/>
              </w:rPr>
            </w:pPr>
            <w:r>
              <w:rPr>
                <w:rFonts w:ascii="Arial" w:cs="Arial" w:eastAsia="Arial" w:hAnsi="Arial"/>
                <w:sz w:val="18"/>
                <w:szCs w:val="18"/>
                <w:color w:val="auto"/>
              </w:rPr>
              <w:t>/s/ David Anders</w:t>
            </w:r>
          </w:p>
        </w:tc>
        <w:tc>
          <w:tcPr>
            <w:tcW w:w="0" w:type="dxa"/>
            <w:vAlign w:val="bottom"/>
          </w:tcPr>
          <w:p>
            <w:pPr>
              <w:spacing w:after="0"/>
              <w:rPr>
                <w:sz w:val="1"/>
                <w:szCs w:val="1"/>
                <w:color w:val="auto"/>
              </w:rPr>
            </w:pPr>
          </w:p>
        </w:tc>
      </w:tr>
      <w:tr>
        <w:trPr>
          <w:trHeight w:val="21"/>
        </w:trPr>
        <w:tc>
          <w:tcPr>
            <w:tcW w:w="62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7"/>
          </w:tcPr>
          <w:p>
            <w:pPr>
              <w:spacing w:after="0" w:line="195" w:lineRule="exact"/>
              <w:rPr>
                <w:sz w:val="20"/>
                <w:szCs w:val="20"/>
                <w:color w:val="auto"/>
              </w:rPr>
            </w:pPr>
            <w:r>
              <w:rPr>
                <w:rFonts w:ascii="Arial" w:cs="Arial" w:eastAsia="Arial" w:hAnsi="Arial"/>
                <w:sz w:val="18"/>
                <w:szCs w:val="18"/>
                <w:color w:val="auto"/>
              </w:rPr>
              <w:t>Brian Conner</w:t>
            </w:r>
          </w:p>
        </w:tc>
        <w:tc>
          <w:tcPr>
            <w:tcW w:w="1020" w:type="dxa"/>
            <w:vAlign w:val="bottom"/>
            <w:vMerge w:val="continue"/>
          </w:tcPr>
          <w:p>
            <w:pPr>
              <w:spacing w:after="0"/>
              <w:rPr>
                <w:sz w:val="16"/>
                <w:szCs w:val="16"/>
                <w:color w:val="auto"/>
              </w:rPr>
            </w:pPr>
          </w:p>
        </w:tc>
        <w:tc>
          <w:tcPr>
            <w:tcW w:w="4720" w:type="dxa"/>
            <w:vAlign w:val="bottom"/>
            <w:gridSpan w:val="6"/>
          </w:tcPr>
          <w:p>
            <w:pPr>
              <w:spacing w:after="0" w:line="195" w:lineRule="exact"/>
              <w:rPr>
                <w:sz w:val="20"/>
                <w:szCs w:val="20"/>
                <w:color w:val="auto"/>
              </w:rPr>
            </w:pPr>
            <w:r>
              <w:rPr>
                <w:rFonts w:ascii="Arial" w:cs="Arial" w:eastAsia="Arial" w:hAnsi="Arial"/>
                <w:sz w:val="18"/>
                <w:szCs w:val="18"/>
                <w:color w:val="auto"/>
              </w:rPr>
              <w:t>David Anders</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8"/>
          </w:tcPr>
          <w:p>
            <w:pPr>
              <w:ind w:left="140"/>
              <w:spacing w:after="0"/>
              <w:rPr>
                <w:sz w:val="20"/>
                <w:szCs w:val="20"/>
                <w:color w:val="auto"/>
              </w:rPr>
            </w:pPr>
            <w:r>
              <w:rPr>
                <w:rFonts w:ascii="Arial" w:cs="Arial" w:eastAsia="Arial" w:hAnsi="Arial"/>
                <w:sz w:val="18"/>
                <w:szCs w:val="18"/>
                <w:color w:val="auto"/>
              </w:rPr>
              <w:t>Managing 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6"/>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gridSpan w:val="7"/>
          </w:tcPr>
          <w:p>
            <w:pPr>
              <w:spacing w:after="0"/>
              <w:rPr>
                <w:sz w:val="20"/>
                <w:szCs w:val="20"/>
                <w:color w:val="auto"/>
              </w:rPr>
            </w:pPr>
            <w:r>
              <w:rPr>
                <w:rFonts w:ascii="Arial" w:cs="Arial" w:eastAsia="Arial" w:hAnsi="Arial"/>
                <w:sz w:val="18"/>
                <w:szCs w:val="18"/>
                <w:b w:val="1"/>
                <w:bCs w:val="1"/>
                <w:color w:val="auto"/>
              </w:rPr>
              <w:t>MUFG Securities Americas Inc.</w:t>
            </w:r>
          </w:p>
        </w:tc>
        <w:tc>
          <w:tcPr>
            <w:tcW w:w="5740" w:type="dxa"/>
            <w:vAlign w:val="bottom"/>
            <w:gridSpan w:val="6"/>
          </w:tcPr>
          <w:p>
            <w:pPr>
              <w:ind w:left="280"/>
              <w:spacing w:after="0"/>
              <w:rPr>
                <w:sz w:val="20"/>
                <w:szCs w:val="20"/>
                <w:color w:val="auto"/>
              </w:rPr>
            </w:pPr>
            <w:r>
              <w:rPr>
                <w:rFonts w:ascii="Arial" w:cs="Arial" w:eastAsia="Arial" w:hAnsi="Arial"/>
                <w:sz w:val="18"/>
                <w:szCs w:val="18"/>
                <w:b w:val="1"/>
                <w:bCs w:val="1"/>
                <w:color w:val="auto"/>
              </w:rPr>
              <w:t>Mizuho Securities USA Inc.</w:t>
            </w:r>
          </w:p>
        </w:tc>
        <w:tc>
          <w:tcPr>
            <w:tcW w:w="0" w:type="dxa"/>
            <w:vAlign w:val="bottom"/>
          </w:tcPr>
          <w:p>
            <w:pPr>
              <w:spacing w:after="0"/>
              <w:rPr>
                <w:sz w:val="1"/>
                <w:szCs w:val="1"/>
                <w:color w:val="auto"/>
              </w:rPr>
            </w:pPr>
          </w:p>
        </w:tc>
      </w:tr>
      <w:tr>
        <w:trPr>
          <w:trHeight w:val="60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/s/ David McMillan</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5"/>
          </w:tcPr>
          <w:p>
            <w:pPr>
              <w:spacing w:after="0"/>
              <w:rPr>
                <w:sz w:val="20"/>
                <w:szCs w:val="20"/>
                <w:color w:val="auto"/>
              </w:rPr>
            </w:pPr>
            <w:r>
              <w:rPr>
                <w:rFonts w:ascii="Arial" w:cs="Arial" w:eastAsia="Arial" w:hAnsi="Arial"/>
                <w:sz w:val="18"/>
                <w:szCs w:val="18"/>
                <w:color w:val="auto"/>
              </w:rPr>
              <w:t>/s/ Paul Gaydos</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5"/>
          </w:tcPr>
          <w:p>
            <w:pPr>
              <w:spacing w:after="0" w:line="195" w:lineRule="exact"/>
              <w:rPr>
                <w:sz w:val="20"/>
                <w:szCs w:val="20"/>
                <w:color w:val="auto"/>
              </w:rPr>
            </w:pPr>
            <w:r>
              <w:rPr>
                <w:rFonts w:ascii="Arial" w:cs="Arial" w:eastAsia="Arial" w:hAnsi="Arial"/>
                <w:sz w:val="18"/>
                <w:szCs w:val="18"/>
                <w:color w:val="auto"/>
              </w:rPr>
              <w:t>David McMillan</w:t>
            </w:r>
          </w:p>
        </w:tc>
        <w:tc>
          <w:tcPr>
            <w:tcW w:w="1020" w:type="dxa"/>
            <w:vAlign w:val="bottom"/>
            <w:vMerge w:val="continue"/>
          </w:tcPr>
          <w:p>
            <w:pPr>
              <w:spacing w:after="0"/>
              <w:rPr>
                <w:sz w:val="16"/>
                <w:szCs w:val="16"/>
                <w:color w:val="auto"/>
              </w:rPr>
            </w:pPr>
          </w:p>
        </w:tc>
        <w:tc>
          <w:tcPr>
            <w:tcW w:w="4720" w:type="dxa"/>
            <w:vAlign w:val="bottom"/>
            <w:gridSpan w:val="5"/>
          </w:tcPr>
          <w:p>
            <w:pPr>
              <w:spacing w:after="0" w:line="195" w:lineRule="exact"/>
              <w:rPr>
                <w:sz w:val="20"/>
                <w:szCs w:val="20"/>
                <w:color w:val="auto"/>
              </w:rPr>
            </w:pPr>
            <w:r>
              <w:rPr>
                <w:rFonts w:ascii="Arial" w:cs="Arial" w:eastAsia="Arial" w:hAnsi="Arial"/>
                <w:sz w:val="18"/>
                <w:szCs w:val="18"/>
                <w:color w:val="auto"/>
              </w:rPr>
              <w:t>Paul Gaydos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Managing 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5"/>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Head of Equity Capital Markets</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80" w:type="dxa"/>
            <w:vAlign w:val="bottom"/>
            <w:gridSpan w:val="7"/>
          </w:tcPr>
          <w:p>
            <w:pPr>
              <w:spacing w:after="0"/>
              <w:rPr>
                <w:sz w:val="20"/>
                <w:szCs w:val="20"/>
                <w:color w:val="auto"/>
              </w:rPr>
            </w:pPr>
            <w:r>
              <w:rPr>
                <w:rFonts w:ascii="Arial" w:cs="Arial" w:eastAsia="Arial" w:hAnsi="Arial"/>
                <w:sz w:val="18"/>
                <w:szCs w:val="18"/>
                <w:b w:val="1"/>
                <w:bCs w:val="1"/>
                <w:color w:val="auto"/>
              </w:rPr>
              <w:t>Morgan Stanley &amp; Co. LLC</w:t>
            </w:r>
          </w:p>
        </w:tc>
        <w:tc>
          <w:tcPr>
            <w:tcW w:w="5740" w:type="dxa"/>
            <w:vAlign w:val="bottom"/>
            <w:gridSpan w:val="6"/>
          </w:tcPr>
          <w:p>
            <w:pPr>
              <w:ind w:left="280"/>
              <w:spacing w:after="0"/>
              <w:rPr>
                <w:sz w:val="20"/>
                <w:szCs w:val="20"/>
                <w:color w:val="auto"/>
              </w:rPr>
            </w:pPr>
            <w:r>
              <w:rPr>
                <w:rFonts w:ascii="Arial" w:cs="Arial" w:eastAsia="Arial" w:hAnsi="Arial"/>
                <w:sz w:val="18"/>
                <w:szCs w:val="18"/>
                <w:b w:val="1"/>
                <w:bCs w:val="1"/>
                <w:color w:val="auto"/>
              </w:rPr>
              <w:t>Raymond James &amp; Associates, Inc.</w:t>
            </w:r>
          </w:p>
        </w:tc>
        <w:tc>
          <w:tcPr>
            <w:tcW w:w="0" w:type="dxa"/>
            <w:vAlign w:val="bottom"/>
          </w:tcPr>
          <w:p>
            <w:pPr>
              <w:spacing w:after="0"/>
              <w:rPr>
                <w:sz w:val="1"/>
                <w:szCs w:val="1"/>
                <w:color w:val="auto"/>
              </w:rPr>
            </w:pPr>
          </w:p>
        </w:tc>
      </w:tr>
      <w:tr>
        <w:trPr>
          <w:trHeight w:val="60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/s/ Pawan Passi</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5"/>
          </w:tcPr>
          <w:p>
            <w:pPr>
              <w:spacing w:after="0"/>
              <w:rPr>
                <w:sz w:val="20"/>
                <w:szCs w:val="20"/>
                <w:color w:val="auto"/>
              </w:rPr>
            </w:pPr>
            <w:r>
              <w:rPr>
                <w:rFonts w:ascii="Arial" w:cs="Arial" w:eastAsia="Arial" w:hAnsi="Arial"/>
                <w:sz w:val="18"/>
                <w:szCs w:val="18"/>
                <w:color w:val="auto"/>
              </w:rPr>
              <w:t>/s/ Harris Bentsen Falb</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5"/>
          </w:tcPr>
          <w:p>
            <w:pPr>
              <w:spacing w:after="0" w:line="195" w:lineRule="exact"/>
              <w:rPr>
                <w:sz w:val="20"/>
                <w:szCs w:val="20"/>
                <w:color w:val="auto"/>
              </w:rPr>
            </w:pPr>
            <w:r>
              <w:rPr>
                <w:rFonts w:ascii="Arial" w:cs="Arial" w:eastAsia="Arial" w:hAnsi="Arial"/>
                <w:sz w:val="18"/>
                <w:szCs w:val="18"/>
                <w:color w:val="auto"/>
              </w:rPr>
              <w:t>Pawan Passi</w:t>
            </w:r>
          </w:p>
        </w:tc>
        <w:tc>
          <w:tcPr>
            <w:tcW w:w="1020" w:type="dxa"/>
            <w:vAlign w:val="bottom"/>
            <w:vMerge w:val="continue"/>
          </w:tcPr>
          <w:p>
            <w:pPr>
              <w:spacing w:after="0"/>
              <w:rPr>
                <w:sz w:val="16"/>
                <w:szCs w:val="16"/>
                <w:color w:val="auto"/>
              </w:rPr>
            </w:pPr>
          </w:p>
        </w:tc>
        <w:tc>
          <w:tcPr>
            <w:tcW w:w="4720" w:type="dxa"/>
            <w:vAlign w:val="bottom"/>
            <w:gridSpan w:val="5"/>
          </w:tcPr>
          <w:p>
            <w:pPr>
              <w:spacing w:after="0" w:line="195" w:lineRule="exact"/>
              <w:rPr>
                <w:sz w:val="20"/>
                <w:szCs w:val="20"/>
                <w:color w:val="auto"/>
              </w:rPr>
            </w:pPr>
            <w:r>
              <w:rPr>
                <w:rFonts w:ascii="Arial" w:cs="Arial" w:eastAsia="Arial" w:hAnsi="Arial"/>
                <w:sz w:val="18"/>
                <w:szCs w:val="18"/>
                <w:color w:val="auto"/>
              </w:rPr>
              <w:t>Harris Bentsen Falb</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Managing 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5"/>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5680" w:type="dxa"/>
            <w:vAlign w:val="bottom"/>
            <w:gridSpan w:val="7"/>
          </w:tcPr>
          <w:p>
            <w:pPr>
              <w:spacing w:after="0"/>
              <w:rPr>
                <w:sz w:val="20"/>
                <w:szCs w:val="20"/>
                <w:color w:val="auto"/>
              </w:rPr>
            </w:pPr>
            <w:r>
              <w:rPr>
                <w:rFonts w:ascii="Arial" w:cs="Arial" w:eastAsia="Arial" w:hAnsi="Arial"/>
                <w:sz w:val="18"/>
                <w:szCs w:val="18"/>
                <w:b w:val="1"/>
                <w:bCs w:val="1"/>
                <w:color w:val="auto"/>
              </w:rPr>
              <w:t>Scotia Capital (USA) Inc.</w:t>
            </w:r>
          </w:p>
        </w:tc>
        <w:tc>
          <w:tcPr>
            <w:tcW w:w="5740" w:type="dxa"/>
            <w:vAlign w:val="bottom"/>
            <w:gridSpan w:val="6"/>
          </w:tcPr>
          <w:p>
            <w:pPr>
              <w:ind w:left="280"/>
              <w:spacing w:after="0"/>
              <w:rPr>
                <w:sz w:val="20"/>
                <w:szCs w:val="20"/>
                <w:color w:val="auto"/>
              </w:rPr>
            </w:pPr>
            <w:r>
              <w:rPr>
                <w:rFonts w:ascii="Arial" w:cs="Arial" w:eastAsia="Arial" w:hAnsi="Arial"/>
                <w:sz w:val="18"/>
                <w:szCs w:val="18"/>
                <w:b w:val="1"/>
                <w:bCs w:val="1"/>
                <w:color w:val="auto"/>
              </w:rPr>
              <w:t>SMBC Nikko Securities America, Inc.</w:t>
            </w:r>
          </w:p>
        </w:tc>
        <w:tc>
          <w:tcPr>
            <w:tcW w:w="0" w:type="dxa"/>
            <w:vAlign w:val="bottom"/>
          </w:tcPr>
          <w:p>
            <w:pPr>
              <w:spacing w:after="0"/>
              <w:rPr>
                <w:sz w:val="1"/>
                <w:szCs w:val="1"/>
                <w:color w:val="auto"/>
              </w:rPr>
            </w:pPr>
          </w:p>
        </w:tc>
      </w:tr>
      <w:tr>
        <w:trPr>
          <w:trHeight w:val="60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/s/ Richard Agata</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5"/>
          </w:tcPr>
          <w:p>
            <w:pPr>
              <w:spacing w:after="0"/>
              <w:rPr>
                <w:sz w:val="20"/>
                <w:szCs w:val="20"/>
                <w:color w:val="auto"/>
              </w:rPr>
            </w:pPr>
            <w:r>
              <w:rPr>
                <w:rFonts w:ascii="Arial" w:cs="Arial" w:eastAsia="Arial" w:hAnsi="Arial"/>
                <w:sz w:val="18"/>
                <w:szCs w:val="18"/>
                <w:color w:val="auto"/>
              </w:rPr>
              <w:t>/s/ James Knoeller</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5"/>
          </w:tcPr>
          <w:p>
            <w:pPr>
              <w:spacing w:after="0" w:line="195" w:lineRule="exact"/>
              <w:rPr>
                <w:sz w:val="20"/>
                <w:szCs w:val="20"/>
                <w:color w:val="auto"/>
              </w:rPr>
            </w:pPr>
            <w:r>
              <w:rPr>
                <w:rFonts w:ascii="Arial" w:cs="Arial" w:eastAsia="Arial" w:hAnsi="Arial"/>
                <w:sz w:val="18"/>
                <w:szCs w:val="18"/>
                <w:color w:val="auto"/>
              </w:rPr>
              <w:t>Richard Agata</w:t>
            </w:r>
          </w:p>
        </w:tc>
        <w:tc>
          <w:tcPr>
            <w:tcW w:w="1020" w:type="dxa"/>
            <w:vAlign w:val="bottom"/>
            <w:vMerge w:val="continue"/>
          </w:tcPr>
          <w:p>
            <w:pPr>
              <w:spacing w:after="0"/>
              <w:rPr>
                <w:sz w:val="16"/>
                <w:szCs w:val="16"/>
                <w:color w:val="auto"/>
              </w:rPr>
            </w:pPr>
          </w:p>
        </w:tc>
        <w:tc>
          <w:tcPr>
            <w:tcW w:w="4720" w:type="dxa"/>
            <w:vAlign w:val="bottom"/>
            <w:gridSpan w:val="5"/>
          </w:tcPr>
          <w:p>
            <w:pPr>
              <w:spacing w:after="0" w:line="195" w:lineRule="exact"/>
              <w:rPr>
                <w:sz w:val="20"/>
                <w:szCs w:val="20"/>
                <w:color w:val="auto"/>
              </w:rPr>
            </w:pPr>
            <w:r>
              <w:rPr>
                <w:rFonts w:ascii="Arial" w:cs="Arial" w:eastAsia="Arial" w:hAnsi="Arial"/>
                <w:sz w:val="18"/>
                <w:szCs w:val="18"/>
                <w:color w:val="auto"/>
              </w:rPr>
              <w:t>James Knoeller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Chief Compliance Officer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5"/>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432"/>
        </w:trPr>
        <w:tc>
          <w:tcPr>
            <w:tcW w:w="5680" w:type="dxa"/>
            <w:vAlign w:val="bottom"/>
            <w:gridSpan w:val="7"/>
          </w:tcPr>
          <w:p>
            <w:pPr>
              <w:spacing w:after="0"/>
              <w:rPr>
                <w:sz w:val="20"/>
                <w:szCs w:val="20"/>
                <w:color w:val="auto"/>
              </w:rPr>
            </w:pPr>
            <w:r>
              <w:rPr>
                <w:rFonts w:ascii="Arial" w:cs="Arial" w:eastAsia="Arial" w:hAnsi="Arial"/>
                <w:sz w:val="18"/>
                <w:szCs w:val="18"/>
                <w:b w:val="1"/>
                <w:bCs w:val="1"/>
                <w:color w:val="auto"/>
              </w:rPr>
              <w:t>SunTrust Robinson Humphrey, Inc.</w:t>
            </w:r>
          </w:p>
        </w:tc>
        <w:tc>
          <w:tcPr>
            <w:tcW w:w="5740" w:type="dxa"/>
            <w:vAlign w:val="bottom"/>
            <w:gridSpan w:val="6"/>
          </w:tcPr>
          <w:p>
            <w:pPr>
              <w:ind w:left="280"/>
              <w:spacing w:after="0"/>
              <w:rPr>
                <w:sz w:val="20"/>
                <w:szCs w:val="20"/>
                <w:color w:val="auto"/>
              </w:rPr>
            </w:pPr>
            <w:r>
              <w:rPr>
                <w:rFonts w:ascii="Arial" w:cs="Arial" w:eastAsia="Arial" w:hAnsi="Arial"/>
                <w:sz w:val="18"/>
                <w:szCs w:val="18"/>
                <w:b w:val="1"/>
                <w:bCs w:val="1"/>
                <w:color w:val="auto"/>
              </w:rPr>
              <w:t>UBS Securities LLC</w:t>
            </w:r>
          </w:p>
        </w:tc>
        <w:tc>
          <w:tcPr>
            <w:tcW w:w="0" w:type="dxa"/>
            <w:vAlign w:val="bottom"/>
          </w:tcPr>
          <w:p>
            <w:pPr>
              <w:spacing w:after="0"/>
              <w:rPr>
                <w:sz w:val="1"/>
                <w:szCs w:val="1"/>
                <w:color w:val="auto"/>
              </w:rPr>
            </w:pPr>
          </w:p>
        </w:tc>
      </w:tr>
      <w:tr>
        <w:trPr>
          <w:trHeight w:val="60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/s/ Milton M. Woodruff</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720" w:type="dxa"/>
            <w:vAlign w:val="bottom"/>
            <w:gridSpan w:val="5"/>
          </w:tcPr>
          <w:p>
            <w:pPr>
              <w:spacing w:after="0"/>
              <w:rPr>
                <w:sz w:val="20"/>
                <w:szCs w:val="20"/>
                <w:color w:val="auto"/>
              </w:rPr>
            </w:pPr>
            <w:r>
              <w:rPr>
                <w:rFonts w:ascii="Arial" w:cs="Arial" w:eastAsia="Arial" w:hAnsi="Arial"/>
                <w:sz w:val="18"/>
                <w:szCs w:val="18"/>
                <w:color w:val="auto"/>
              </w:rPr>
              <w:t>/s/ Brad Limpert</w:t>
            </w: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4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920" w:type="dxa"/>
            <w:vAlign w:val="bottom"/>
            <w:gridSpan w:val="5"/>
          </w:tcPr>
          <w:p>
            <w:pPr>
              <w:spacing w:after="0" w:line="195" w:lineRule="exact"/>
              <w:rPr>
                <w:sz w:val="20"/>
                <w:szCs w:val="20"/>
                <w:color w:val="auto"/>
              </w:rPr>
            </w:pPr>
            <w:r>
              <w:rPr>
                <w:rFonts w:ascii="Arial" w:cs="Arial" w:eastAsia="Arial" w:hAnsi="Arial"/>
                <w:sz w:val="18"/>
                <w:szCs w:val="18"/>
                <w:color w:val="auto"/>
              </w:rPr>
              <w:t>Milton M. Woodruff</w:t>
            </w:r>
          </w:p>
        </w:tc>
        <w:tc>
          <w:tcPr>
            <w:tcW w:w="1020" w:type="dxa"/>
            <w:vAlign w:val="bottom"/>
            <w:vMerge w:val="continue"/>
          </w:tcPr>
          <w:p>
            <w:pPr>
              <w:spacing w:after="0"/>
              <w:rPr>
                <w:sz w:val="16"/>
                <w:szCs w:val="16"/>
                <w:color w:val="auto"/>
              </w:rPr>
            </w:pPr>
          </w:p>
        </w:tc>
        <w:tc>
          <w:tcPr>
            <w:tcW w:w="4720" w:type="dxa"/>
            <w:vAlign w:val="bottom"/>
            <w:gridSpan w:val="5"/>
          </w:tcPr>
          <w:p>
            <w:pPr>
              <w:spacing w:after="0" w:line="195" w:lineRule="exact"/>
              <w:rPr>
                <w:sz w:val="20"/>
                <w:szCs w:val="20"/>
                <w:color w:val="auto"/>
              </w:rPr>
            </w:pPr>
            <w:r>
              <w:rPr>
                <w:rFonts w:ascii="Arial" w:cs="Arial" w:eastAsia="Arial" w:hAnsi="Arial"/>
                <w:sz w:val="18"/>
                <w:szCs w:val="18"/>
                <w:color w:val="auto"/>
              </w:rPr>
              <w:t>Brad Limpert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gridSpan w:val="6"/>
          </w:tcPr>
          <w:p>
            <w:pPr>
              <w:ind w:left="140"/>
              <w:spacing w:after="0"/>
              <w:rPr>
                <w:sz w:val="20"/>
                <w:szCs w:val="20"/>
                <w:color w:val="auto"/>
              </w:rPr>
            </w:pPr>
            <w:r>
              <w:rPr>
                <w:rFonts w:ascii="Arial" w:cs="Arial" w:eastAsia="Arial" w:hAnsi="Arial"/>
                <w:sz w:val="18"/>
                <w:szCs w:val="18"/>
                <w:color w:val="auto"/>
              </w:rPr>
              <w:t>Managing Director</w:t>
            </w:r>
          </w:p>
        </w:tc>
        <w:tc>
          <w:tcPr>
            <w:tcW w:w="1020" w:type="dxa"/>
            <w:vAlign w:val="bottom"/>
          </w:tcPr>
          <w:p>
            <w:pPr>
              <w:ind w:left="280"/>
              <w:spacing w:after="0"/>
              <w:rPr>
                <w:sz w:val="20"/>
                <w:szCs w:val="20"/>
                <w:color w:val="auto"/>
              </w:rPr>
            </w:pPr>
            <w:r>
              <w:rPr>
                <w:rFonts w:ascii="Arial" w:cs="Arial" w:eastAsia="Arial" w:hAnsi="Arial"/>
                <w:sz w:val="18"/>
                <w:szCs w:val="18"/>
                <w:color w:val="auto"/>
              </w:rPr>
              <w:t>Title:</w:t>
            </w:r>
          </w:p>
        </w:tc>
        <w:tc>
          <w:tcPr>
            <w:tcW w:w="4720" w:type="dxa"/>
            <w:vAlign w:val="bottom"/>
            <w:gridSpan w:val="5"/>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57" w:gutter="0" w:footer="0" w:header="0"/>
        </w:sectPr>
      </w:pPr>
    </w:p>
    <w:bookmarkStart w:id="21" w:name="page22"/>
    <w:bookmarkEnd w:id="21"/>
    <w:p>
      <w:pPr>
        <w:spacing w:after="0" w:line="1" w:lineRule="exact"/>
        <w:rPr>
          <w:sz w:val="20"/>
          <w:szCs w:val="20"/>
          <w:color w:val="auto"/>
        </w:rPr>
      </w:pPr>
    </w:p>
    <w:tbl>
      <w:tblPr>
        <w:tblLayout w:type="fixed"/>
        <w:tblInd w:w="596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spacing w:after="0"/>
              <w:rPr>
                <w:sz w:val="20"/>
                <w:szCs w:val="20"/>
                <w:color w:val="auto"/>
              </w:rPr>
            </w:pPr>
            <w:r>
              <w:rPr>
                <w:rFonts w:ascii="Arial" w:cs="Arial" w:eastAsia="Arial" w:hAnsi="Arial"/>
                <w:sz w:val="18"/>
                <w:szCs w:val="18"/>
                <w:color w:val="auto"/>
              </w:rPr>
              <w:t>/s/ Tom Driscoll</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4720" w:type="dxa"/>
            <w:vAlign w:val="bottom"/>
            <w:gridSpan w:val="2"/>
          </w:tcPr>
          <w:p>
            <w:pPr>
              <w:spacing w:after="0" w:line="195" w:lineRule="exact"/>
              <w:rPr>
                <w:sz w:val="20"/>
                <w:szCs w:val="20"/>
                <w:color w:val="auto"/>
              </w:rPr>
            </w:pPr>
            <w:r>
              <w:rPr>
                <w:rFonts w:ascii="Arial" w:cs="Arial" w:eastAsia="Arial" w:hAnsi="Arial"/>
                <w:sz w:val="18"/>
                <w:szCs w:val="18"/>
                <w:color w:val="auto"/>
              </w:rPr>
              <w:t>Tom Driscoll</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gridSpan w:val="2"/>
          </w:tcPr>
          <w:p>
            <w:pPr>
              <w:spacing w:after="0"/>
              <w:rPr>
                <w:sz w:val="20"/>
                <w:szCs w:val="20"/>
                <w:color w:val="auto"/>
              </w:rPr>
            </w:pPr>
            <w:r>
              <w:rPr>
                <w:rFonts w:ascii="Arial" w:cs="Arial" w:eastAsia="Arial" w:hAnsi="Arial"/>
                <w:sz w:val="18"/>
                <w:szCs w:val="18"/>
                <w:color w:val="auto"/>
              </w:rPr>
              <w:t>Associate 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Terms Agreement(1)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Shares 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AGREEMENT</w:t>
      </w:r>
    </w:p>
    <w:p>
      <w:pPr>
        <w:spacing w:after="0" w:line="225" w:lineRule="exact"/>
        <w:rPr>
          <w:sz w:val="20"/>
          <w:szCs w:val="20"/>
          <w:color w:val="auto"/>
        </w:rPr>
      </w:pPr>
    </w:p>
    <w:tbl>
      <w:tblPr>
        <w:tblLayout w:type="fixed"/>
        <w:tblInd w:w="9840" w:type="dxa"/>
        <w:tblCellMar>
          <w:top w:w="0" w:type="dxa"/>
          <w:left w:w="0" w:type="dxa"/>
          <w:bottom w:w="0" w:type="dxa"/>
          <w:right w:w="0" w:type="dxa"/>
        </w:tblCellMar>
      </w:tblPr>
      <w:tr>
        <w:trPr>
          <w:trHeight w:val="234"/>
        </w:trPr>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bl>
    <w:p>
      <w:pPr>
        <w:sectPr>
          <w:pgSz w:w="11900" w:h="16838" w:orient="portrait"/>
          <w:cols w:equalWidth="0" w:num="1">
            <w:col w:w="11420"/>
          </w:cols>
          <w:pgMar w:left="240" w:top="108" w:right="239" w:bottom="0" w:gutter="0" w:footer="0" w:header="0"/>
        </w:sectPr>
      </w:pPr>
    </w:p>
    <w:bookmarkStart w:id="22" w:name="page23"/>
    <w:bookmarkEnd w:id="22"/>
    <w:p>
      <w:pPr>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0" w:firstLine="648"/>
        <w:spacing w:after="0" w:line="284" w:lineRule="auto"/>
        <w:rPr>
          <w:sz w:val="20"/>
          <w:szCs w:val="20"/>
          <w:color w:val="auto"/>
        </w:rPr>
      </w:pPr>
      <w:r>
        <w:rPr>
          <w:rFonts w:ascii="Arial" w:cs="Arial" w:eastAsia="Arial" w:hAnsi="Arial"/>
          <w:sz w:val="16"/>
          <w:szCs w:val="16"/>
          <w:color w:val="auto"/>
        </w:rPr>
        <w:t>Plains GP Holdings,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proposes, subject to the terms and conditions stated herein and in the Equity Distribution Agreement, dated as of December 27, 2016 (the “</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by and among the Partnership and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 Securities USA Inc., Morgan Stanley &amp; Co. LLC, Raymond James &amp; Associates, Inc., Scotia Capital (USA) Inc., SMBC Nikko Securities America, Inc., SunTrust Robinson Humphrey, Inc. and UBS</w:t>
      </w:r>
    </w:p>
    <w:p>
      <w:pPr>
        <w:spacing w:after="0" w:line="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Securities LLC to issue and sell to [ ] (the “</w:t>
      </w:r>
      <w:r>
        <w:rPr>
          <w:rFonts w:ascii="Arial" w:cs="Arial" w:eastAsia="Arial" w:hAnsi="Arial"/>
          <w:sz w:val="18"/>
          <w:szCs w:val="18"/>
          <w:u w:val="single" w:color="auto"/>
          <w:color w:val="auto"/>
        </w:rPr>
        <w:t>Manager</w:t>
      </w:r>
      <w:r>
        <w:rPr>
          <w:rFonts w:ascii="Arial" w:cs="Arial" w:eastAsia="Arial" w:hAnsi="Arial"/>
          <w:sz w:val="18"/>
          <w:szCs w:val="18"/>
          <w:color w:val="auto"/>
        </w:rPr>
        <w:t xml:space="preserve">”) the securities specified in the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xml:space="preserve">”) [, and solely for the purpose of covering over-allotments, to grant to the Manager the option to purchase the additional securities specified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w:t>
      </w:r>
    </w:p>
    <w:p>
      <w:pPr>
        <w:spacing w:after="0" w:line="19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Manager shall have the right to purchase from the Partnership all or a portion of the Additional Shares as may be necessary to cover over-allotments made in connection with the offering of the Purchased Shares, at the same purchase price per Class A Share to be paid by the Manager to the Partnership for the Purchased Shares. This option may be exercised by the Manager at any time (but not more than once) on or before the thirtieth day following the date hereof, by written notice to the Partnership.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7"/>
          <w:szCs w:val="17"/>
          <w:u w:val="single" w:color="auto"/>
          <w:color w:val="auto"/>
        </w:rPr>
        <w:t>Option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Option Closing Date shall not be earlier than the Time of Delivery (as set forth in the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nor earlier than the second business day after the date on which the option shall have been exercised nor later than the fifth business day after the date on which the option shall have been exercised. Payment of the purchase price for the Additional Shares shall be made at the Option Closing Date in the same manner and at the same office as the payment for the Purchased Shares.]</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Each of the provisions of the Equity Distribution Agreement not specifically related to the solicitation by the Manager, as agent of the Partnership,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Shares.</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 amendment to the Registration Statement (as defined in the Equity Distribution Agreement), or a supplement to the Prospectus, as the case may be, relating to the Purchased Shares [and the Additional Shares],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5600" w:right="2320" w:hanging="5592"/>
        <w:spacing w:after="0" w:line="528" w:lineRule="auto"/>
        <w:tabs>
          <w:tab w:leader="none" w:pos="29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bracketed language appearing in this form to be included only if the applicable Manager has an over-allotment option.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form heretofore delivered to the Manager is now proposed to be filed with the Securities and Exchange Commission.</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Subject to the terms and conditions set forth herein and in the Equity Distribution Agreement which are incorporated herein by reference, the Partnership agrees to issue and sell to the Manager and the latter agrees to purchase from the Partnership the number of Purchased Shares at the time and place and at the purchase price set forth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Partnership.</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ectPr>
          <w:pgSz w:w="11900" w:h="16838" w:orient="portrait"/>
          <w:cols w:equalWidth="0" w:num="1">
            <w:col w:w="11400"/>
          </w:cols>
          <w:pgMar w:left="240" w:top="341" w:right="259"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PAA GP Holdings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980" w:space="680"/>
            <w:col w:w="4740"/>
          </w:cols>
          <w:pgMar w:left="240" w:top="341" w:right="259" w:bottom="0" w:gutter="0" w:footer="0" w:header="0"/>
          <w:type w:val="continuous"/>
        </w:sect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-123190</wp:posOffset>
            </wp:positionV>
            <wp:extent cx="30270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4"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341" w:right="259" w:bottom="0" w:gutter="0" w:footer="0" w:header="0"/>
          <w:type w:val="continuous"/>
        </w:sectPr>
      </w:pPr>
    </w:p>
    <w:bookmarkStart w:id="23" w:name="page24"/>
    <w:bookmarkEnd w:id="23"/>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31559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Schedule 1 to the Terms Agreement</w:t>
            </w:r>
          </w:p>
        </w:tc>
      </w:tr>
      <w:tr>
        <w:trPr>
          <w:trHeight w:val="438"/>
        </w:trPr>
        <w:tc>
          <w:tcPr>
            <w:tcW w:w="5200" w:type="dxa"/>
            <w:vAlign w:val="bottom"/>
          </w:tcPr>
          <w:p>
            <w:pPr>
              <w:spacing w:after="0"/>
              <w:rPr>
                <w:sz w:val="20"/>
                <w:szCs w:val="20"/>
                <w:color w:val="auto"/>
              </w:rPr>
            </w:pPr>
            <w:r>
              <w:rPr>
                <w:rFonts w:ascii="Arial" w:cs="Arial" w:eastAsia="Arial" w:hAnsi="Arial"/>
                <w:sz w:val="18"/>
                <w:szCs w:val="18"/>
                <w:color w:val="auto"/>
              </w:rPr>
              <w:t>Title of Purchased Shares [and Additional Shares]:</w:t>
            </w:r>
          </w:p>
        </w:tc>
        <w:tc>
          <w:tcPr>
            <w:tcW w:w="6220" w:type="dxa"/>
            <w:vAlign w:val="bottom"/>
            <w:gridSpan w:val="3"/>
          </w:tcPr>
          <w:p>
            <w:pPr>
              <w:ind w:left="620"/>
              <w:spacing w:after="0"/>
              <w:rPr>
                <w:sz w:val="20"/>
                <w:szCs w:val="20"/>
                <w:color w:val="auto"/>
              </w:rPr>
            </w:pPr>
            <w:r>
              <w:rPr>
                <w:rFonts w:ascii="Arial" w:cs="Arial" w:eastAsia="Arial" w:hAnsi="Arial"/>
                <w:sz w:val="18"/>
                <w:szCs w:val="18"/>
                <w:color w:val="auto"/>
                <w:w w:val="92"/>
              </w:rPr>
              <w:t>Class A Shares representing limited partner interests in Plains GP Holdings,</w:t>
            </w:r>
          </w:p>
        </w:tc>
      </w:tr>
      <w:tr>
        <w:trPr>
          <w:trHeight w:val="230"/>
        </w:trPr>
        <w:tc>
          <w:tcPr>
            <w:tcW w:w="5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w w:val="87"/>
              </w:rPr>
              <w:t>L.P.</w:t>
            </w:r>
          </w:p>
        </w:tc>
        <w:tc>
          <w:tcPr>
            <w:tcW w:w="25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Number of Shares of Purchased Shares:</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2430"/>
              <w:spacing w:after="0"/>
              <w:rPr>
                <w:sz w:val="20"/>
                <w:szCs w:val="20"/>
                <w:color w:val="auto"/>
              </w:rPr>
            </w:pPr>
            <w:r>
              <w:rPr>
                <w:rFonts w:ascii="Arial" w:cs="Arial" w:eastAsia="Arial" w:hAnsi="Arial"/>
                <w:sz w:val="18"/>
                <w:szCs w:val="18"/>
                <w:color w:val="auto"/>
                <w:w w:val="78"/>
              </w:rPr>
              <w:t>]</w:t>
            </w:r>
          </w:p>
        </w:tc>
        <w:tc>
          <w:tcPr>
            <w:tcW w:w="2720" w:type="dxa"/>
            <w:vAlign w:val="bottom"/>
          </w:tcPr>
          <w:p>
            <w:pPr>
              <w:spacing w:after="0"/>
              <w:rPr>
                <w:sz w:val="24"/>
                <w:szCs w:val="24"/>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[Number of Shares of Additional Shares:]</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2430"/>
              <w:spacing w:after="0"/>
              <w:rPr>
                <w:sz w:val="20"/>
                <w:szCs w:val="20"/>
                <w:color w:val="auto"/>
              </w:rPr>
            </w:pPr>
            <w:r>
              <w:rPr>
                <w:rFonts w:ascii="Arial" w:cs="Arial" w:eastAsia="Arial" w:hAnsi="Arial"/>
                <w:sz w:val="18"/>
                <w:szCs w:val="18"/>
                <w:color w:val="auto"/>
                <w:w w:val="78"/>
              </w:rPr>
              <w:t>]</w:t>
            </w:r>
          </w:p>
        </w:tc>
        <w:tc>
          <w:tcPr>
            <w:tcW w:w="2720" w:type="dxa"/>
            <w:vAlign w:val="bottom"/>
          </w:tcPr>
          <w:p>
            <w:pPr>
              <w:spacing w:after="0"/>
              <w:rPr>
                <w:sz w:val="24"/>
                <w:szCs w:val="24"/>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[Price to Public:]</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235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Purchase Price by the Manager:</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2350"/>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4"/>
                <w:szCs w:val="24"/>
                <w:color w:val="auto"/>
              </w:rPr>
            </w:pPr>
          </w:p>
        </w:tc>
      </w:tr>
      <w:tr>
        <w:trPr>
          <w:trHeight w:val="418"/>
        </w:trPr>
        <w:tc>
          <w:tcPr>
            <w:tcW w:w="5200" w:type="dxa"/>
            <w:vAlign w:val="bottom"/>
          </w:tcPr>
          <w:p>
            <w:pPr>
              <w:spacing w:after="0"/>
              <w:rPr>
                <w:sz w:val="20"/>
                <w:szCs w:val="20"/>
                <w:color w:val="auto"/>
              </w:rPr>
            </w:pPr>
            <w:r>
              <w:rPr>
                <w:rFonts w:ascii="Arial" w:cs="Arial" w:eastAsia="Arial" w:hAnsi="Arial"/>
                <w:sz w:val="18"/>
                <w:szCs w:val="18"/>
                <w:color w:val="auto"/>
              </w:rPr>
              <w:t>Method of and Specified Funds for Payment of Purchase Price:</w:t>
            </w:r>
          </w:p>
        </w:tc>
        <w:tc>
          <w:tcPr>
            <w:tcW w:w="6220" w:type="dxa"/>
            <w:vAlign w:val="bottom"/>
            <w:gridSpan w:val="3"/>
          </w:tcPr>
          <w:p>
            <w:pPr>
              <w:ind w:left="620"/>
              <w:spacing w:after="0"/>
              <w:rPr>
                <w:sz w:val="20"/>
                <w:szCs w:val="20"/>
                <w:color w:val="auto"/>
              </w:rPr>
            </w:pPr>
            <w:r>
              <w:rPr>
                <w:rFonts w:ascii="Arial" w:cs="Arial" w:eastAsia="Arial" w:hAnsi="Arial"/>
                <w:sz w:val="18"/>
                <w:szCs w:val="18"/>
                <w:color w:val="auto"/>
                <w:w w:val="92"/>
              </w:rPr>
              <w:t>By wire transfer to a bank account specified by the Partnership in same day</w:t>
            </w:r>
          </w:p>
        </w:tc>
      </w:tr>
      <w:tr>
        <w:trPr>
          <w:trHeight w:val="230"/>
        </w:trPr>
        <w:tc>
          <w:tcPr>
            <w:tcW w:w="5200" w:type="dxa"/>
            <w:vAlign w:val="bottom"/>
          </w:tcPr>
          <w:p>
            <w:pPr>
              <w:spacing w:after="0"/>
              <w:rPr>
                <w:sz w:val="20"/>
                <w:szCs w:val="20"/>
                <w:color w:val="auto"/>
              </w:rPr>
            </w:pPr>
          </w:p>
        </w:tc>
        <w:tc>
          <w:tcPr>
            <w:tcW w:w="6220" w:type="dxa"/>
            <w:vAlign w:val="bottom"/>
            <w:gridSpan w:val="3"/>
          </w:tcPr>
          <w:p>
            <w:pPr>
              <w:ind w:left="620"/>
              <w:spacing w:after="0"/>
              <w:rPr>
                <w:sz w:val="20"/>
                <w:szCs w:val="20"/>
                <w:color w:val="auto"/>
              </w:rPr>
            </w:pPr>
            <w:r>
              <w:rPr>
                <w:rFonts w:ascii="Arial" w:cs="Arial" w:eastAsia="Arial" w:hAnsi="Arial"/>
                <w:sz w:val="18"/>
                <w:szCs w:val="18"/>
                <w:color w:val="auto"/>
              </w:rPr>
              <w:t>funds.</w:t>
            </w:r>
          </w:p>
        </w:tc>
      </w:tr>
      <w:tr>
        <w:trPr>
          <w:trHeight w:val="418"/>
        </w:trPr>
        <w:tc>
          <w:tcPr>
            <w:tcW w:w="5200" w:type="dxa"/>
            <w:vAlign w:val="bottom"/>
          </w:tcPr>
          <w:p>
            <w:pPr>
              <w:spacing w:after="0"/>
              <w:rPr>
                <w:sz w:val="20"/>
                <w:szCs w:val="20"/>
                <w:color w:val="auto"/>
              </w:rPr>
            </w:pPr>
            <w:r>
              <w:rPr>
                <w:rFonts w:ascii="Arial" w:cs="Arial" w:eastAsia="Arial" w:hAnsi="Arial"/>
                <w:sz w:val="18"/>
                <w:szCs w:val="18"/>
                <w:color w:val="auto"/>
              </w:rPr>
              <w:t>Method of Delivery:</w:t>
            </w:r>
          </w:p>
        </w:tc>
        <w:tc>
          <w:tcPr>
            <w:tcW w:w="6220" w:type="dxa"/>
            <w:vAlign w:val="bottom"/>
            <w:gridSpan w:val="3"/>
          </w:tcPr>
          <w:p>
            <w:pPr>
              <w:ind w:left="620"/>
              <w:spacing w:after="0"/>
              <w:rPr>
                <w:sz w:val="20"/>
                <w:szCs w:val="20"/>
                <w:color w:val="auto"/>
              </w:rPr>
            </w:pPr>
            <w:r>
              <w:rPr>
                <w:rFonts w:ascii="Arial" w:cs="Arial" w:eastAsia="Arial" w:hAnsi="Arial"/>
                <w:sz w:val="18"/>
                <w:szCs w:val="18"/>
                <w:color w:val="auto"/>
                <w:w w:val="90"/>
              </w:rPr>
              <w:t>Free delivery of the Shares to the Manager’s account at The Depository Trust</w:t>
            </w:r>
          </w:p>
        </w:tc>
      </w:tr>
      <w:tr>
        <w:trPr>
          <w:trHeight w:val="230"/>
        </w:trPr>
        <w:tc>
          <w:tcPr>
            <w:tcW w:w="5200" w:type="dxa"/>
            <w:vAlign w:val="bottom"/>
          </w:tcPr>
          <w:p>
            <w:pPr>
              <w:spacing w:after="0"/>
              <w:rPr>
                <w:sz w:val="20"/>
                <w:szCs w:val="20"/>
                <w:color w:val="auto"/>
              </w:rPr>
            </w:pPr>
          </w:p>
        </w:tc>
        <w:tc>
          <w:tcPr>
            <w:tcW w:w="6220" w:type="dxa"/>
            <w:vAlign w:val="bottom"/>
            <w:gridSpan w:val="3"/>
          </w:tcPr>
          <w:p>
            <w:pPr>
              <w:ind w:left="620"/>
              <w:spacing w:after="0"/>
              <w:rPr>
                <w:sz w:val="20"/>
                <w:szCs w:val="20"/>
                <w:color w:val="auto"/>
              </w:rPr>
            </w:pPr>
            <w:r>
              <w:rPr>
                <w:rFonts w:ascii="Arial" w:cs="Arial" w:eastAsia="Arial" w:hAnsi="Arial"/>
                <w:sz w:val="18"/>
                <w:szCs w:val="18"/>
                <w:color w:val="auto"/>
              </w:rPr>
              <w:t>Company in return for payment of the purchase price.</w:t>
            </w: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Time of Delivery:</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2430"/>
              <w:spacing w:after="0"/>
              <w:rPr>
                <w:sz w:val="20"/>
                <w:szCs w:val="20"/>
                <w:color w:val="auto"/>
              </w:rPr>
            </w:pPr>
            <w:r>
              <w:rPr>
                <w:rFonts w:ascii="Arial" w:cs="Arial" w:eastAsia="Arial" w:hAnsi="Arial"/>
                <w:sz w:val="18"/>
                <w:szCs w:val="18"/>
                <w:color w:val="auto"/>
                <w:w w:val="78"/>
              </w:rPr>
              <w:t>]</w:t>
            </w:r>
          </w:p>
        </w:tc>
        <w:tc>
          <w:tcPr>
            <w:tcW w:w="2720" w:type="dxa"/>
            <w:vAlign w:val="bottom"/>
          </w:tcPr>
          <w:p>
            <w:pPr>
              <w:spacing w:after="0"/>
              <w:rPr>
                <w:sz w:val="24"/>
                <w:szCs w:val="24"/>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Closing Location:</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2430"/>
              <w:spacing w:after="0"/>
              <w:rPr>
                <w:sz w:val="20"/>
                <w:szCs w:val="20"/>
                <w:color w:val="auto"/>
              </w:rPr>
            </w:pPr>
            <w:r>
              <w:rPr>
                <w:rFonts w:ascii="Arial" w:cs="Arial" w:eastAsia="Arial" w:hAnsi="Arial"/>
                <w:sz w:val="18"/>
                <w:szCs w:val="18"/>
                <w:color w:val="auto"/>
                <w:w w:val="78"/>
              </w:rPr>
              <w:t>]</w:t>
            </w:r>
          </w:p>
        </w:tc>
        <w:tc>
          <w:tcPr>
            <w:tcW w:w="2720" w:type="dxa"/>
            <w:vAlign w:val="bottom"/>
          </w:tcPr>
          <w:p>
            <w:pPr>
              <w:spacing w:after="0"/>
              <w:rPr>
                <w:sz w:val="24"/>
                <w:szCs w:val="24"/>
                <w:color w:val="auto"/>
              </w:rPr>
            </w:pPr>
          </w:p>
        </w:tc>
      </w:tr>
      <w:tr>
        <w:trPr>
          <w:trHeight w:val="432"/>
        </w:trPr>
        <w:tc>
          <w:tcPr>
            <w:tcW w:w="5200" w:type="dxa"/>
            <w:vAlign w:val="bottom"/>
          </w:tcPr>
          <w:p>
            <w:pPr>
              <w:ind w:left="660"/>
              <w:spacing w:after="0"/>
              <w:rPr>
                <w:sz w:val="20"/>
                <w:szCs w:val="20"/>
                <w:color w:val="auto"/>
              </w:rPr>
            </w:pPr>
            <w:r>
              <w:rPr>
                <w:rFonts w:ascii="Arial" w:cs="Arial" w:eastAsia="Arial" w:hAnsi="Arial"/>
                <w:sz w:val="18"/>
                <w:szCs w:val="18"/>
                <w:color w:val="auto"/>
              </w:rPr>
              <w:t>Documents to be Delivered:</w:t>
            </w:r>
          </w:p>
        </w:tc>
        <w:tc>
          <w:tcPr>
            <w:tcW w:w="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documents referred to in the Equity Distribution Agreement shall be delivered as a condition to the closing at the Time of Delivery [and on any Option Closing Date]:</w:t>
      </w:r>
    </w:p>
    <w:p>
      <w:pPr>
        <w:spacing w:after="0" w:line="170" w:lineRule="exact"/>
        <w:rPr>
          <w:sz w:val="20"/>
          <w:szCs w:val="20"/>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officers’ certificate referred to in </w:t>
      </w:r>
      <w:r>
        <w:rPr>
          <w:rFonts w:ascii="Arial" w:cs="Arial" w:eastAsia="Arial" w:hAnsi="Arial"/>
          <w:sz w:val="18"/>
          <w:szCs w:val="18"/>
          <w:u w:val="single" w:color="auto"/>
          <w:color w:val="auto"/>
        </w:rPr>
        <w:t>Section 4(l)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accountant’s letter referred to in </w:t>
      </w:r>
      <w:r>
        <w:rPr>
          <w:rFonts w:ascii="Arial" w:cs="Arial" w:eastAsia="Arial" w:hAnsi="Arial"/>
          <w:sz w:val="18"/>
          <w:szCs w:val="18"/>
          <w:u w:val="single" w:color="auto"/>
          <w:color w:val="auto"/>
        </w:rPr>
        <w:t>Section 4(q)</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right"/>
        <w:ind w:left="5600" w:right="5540" w:hanging="4944"/>
        <w:spacing w:after="0" w:line="460" w:lineRule="auto"/>
        <w:tabs>
          <w:tab w:leader="none" w:pos="1303"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Such other documents as the Manager shall reasonably request.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Counsel for the Partnership</w:t>
      </w:r>
    </w:p>
    <w:p>
      <w:pPr>
        <w:spacing w:after="0" w:line="211" w:lineRule="exact"/>
        <w:rPr>
          <w:sz w:val="20"/>
          <w:szCs w:val="20"/>
          <w:color w:val="auto"/>
        </w:rPr>
      </w:pPr>
    </w:p>
    <w:p>
      <w:pPr>
        <w:ind w:firstLine="656"/>
        <w:spacing w:after="0" w:line="272" w:lineRule="auto"/>
        <w:tabs>
          <w:tab w:leader="none" w:pos="131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Registration Statement was declared effective under the Act on [ ]; any required filing of the Base Prospectus and the Prospectus, and 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no proceedings for that purpose have been instituted or threatened by the Commission, and the Registration Statement and the Prospectus (other than the financial statements and the notes and the schedules thereto and the other financial information included or incorporated by reference in the Registration Statement or the Prospectus, as to which such counsel need express no opinion) appear on their face to comply as to form in all material respects with the applicable requirements of the Act and the Exchange Act and the respective rules thereunder.</w:t>
      </w:r>
    </w:p>
    <w:p>
      <w:pPr>
        <w:spacing w:after="0" w:line="177" w:lineRule="exact"/>
        <w:rPr>
          <w:rFonts w:ascii="Arial" w:cs="Arial" w:eastAsia="Arial" w:hAnsi="Arial"/>
          <w:sz w:val="17"/>
          <w:szCs w:val="17"/>
          <w:color w:val="auto"/>
        </w:rPr>
      </w:pPr>
    </w:p>
    <w:p>
      <w:pPr>
        <w:ind w:right="280" w:firstLine="656"/>
        <w:spacing w:after="0" w:line="259" w:lineRule="auto"/>
        <w:tabs>
          <w:tab w:leader="none" w:pos="132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Each of the General Partner, the Partnership, the PAA GP Entities, PAA and the subsidiaries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Domestic</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Subsidiaries</w:t>
      </w:r>
      <w:r>
        <w:rPr>
          <w:rFonts w:ascii="Arial" w:cs="Arial" w:eastAsia="Arial" w:hAnsi="Arial"/>
          <w:sz w:val="18"/>
          <w:szCs w:val="18"/>
          <w:color w:val="auto"/>
        </w:rPr>
        <w:t>”) has been duly formed and is validly existing in good standing as a limited partnership or limited liability company under the laws of its respective jurisdiction of formation with full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firstLine="656"/>
        <w:spacing w:after="0" w:line="264" w:lineRule="auto"/>
        <w:tabs>
          <w:tab w:leader="none" w:pos="13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General Partner and each Domestic Subsidiary or PAA GP Entity that serves as a general partner of PAA or another Domestic Subsidiary or PAA GP Entity has full limited liability company power and authority, as the case may be, to serve as general partner of the Partnership, PAA or such Domestic Subsidiary or PAA GP Entity, in each case in all material respects.</w:t>
      </w:r>
    </w:p>
    <w:p>
      <w:pPr>
        <w:sectPr>
          <w:pgSz w:w="11900" w:h="16918" w:orient="portrait"/>
          <w:cols w:equalWidth="0" w:num="1">
            <w:col w:w="11420"/>
          </w:cols>
          <w:pgMar w:left="240" w:top="557" w:right="239" w:bottom="0" w:gutter="0" w:footer="0" w:header="0"/>
        </w:sectPr>
      </w:pPr>
    </w:p>
    <w:bookmarkStart w:id="24" w:name="page25"/>
    <w:bookmarkEnd w:id="24"/>
    <w:p>
      <w:pPr>
        <w:spacing w:after="0" w:line="22" w:lineRule="exact"/>
        <w:rPr>
          <w:sz w:val="20"/>
          <w:szCs w:val="20"/>
          <w:color w:val="auto"/>
        </w:rPr>
      </w:pPr>
    </w:p>
    <w:p>
      <w:pPr>
        <w:ind w:right="260" w:firstLine="656"/>
        <w:spacing w:after="0" w:line="277" w:lineRule="auto"/>
        <w:tabs>
          <w:tab w:leader="none" w:pos="131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170" w:lineRule="exact"/>
        <w:rPr>
          <w:rFonts w:ascii="Arial" w:cs="Arial" w:eastAsia="Arial" w:hAnsi="Arial"/>
          <w:sz w:val="18"/>
          <w:szCs w:val="18"/>
          <w:color w:val="auto"/>
        </w:rPr>
      </w:pPr>
    </w:p>
    <w:p>
      <w:pPr>
        <w:ind w:right="20" w:firstLine="656"/>
        <w:spacing w:after="0" w:line="284" w:lineRule="auto"/>
        <w:tabs>
          <w:tab w:leader="none" w:pos="1304"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General Partner, the Partnership and the PAA GP Entities hold the general partner, limited partner and membership interests in the Partnership, the PAA GP Entities and PAA, as applicable, as described in the Registration Statement and the Prospectus; all of such interests (a) have been duly authorized and validly issued in accordance with their respective Organizational Documents, as applicable, and such limited partner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General Partner, the Partnership and the PAA GP Entities, as applicable, free and clear of all Liens</w:t>
      </w:r>
    </w:p>
    <w:p>
      <w:pPr>
        <w:spacing w:after="0" w:line="4" w:lineRule="exact"/>
        <w:rPr>
          <w:rFonts w:ascii="Arial" w:cs="Arial" w:eastAsia="Arial" w:hAnsi="Arial"/>
          <w:sz w:val="16"/>
          <w:szCs w:val="16"/>
          <w:color w:val="auto"/>
        </w:rPr>
      </w:pPr>
    </w:p>
    <w:p>
      <w:pPr>
        <w:ind w:right="60" w:firstLine="8"/>
        <w:spacing w:after="0" w:line="255" w:lineRule="auto"/>
        <w:tabs>
          <w:tab w:leader="none" w:pos="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190" w:lineRule="exact"/>
        <w:rPr>
          <w:rFonts w:ascii="Arial" w:cs="Arial" w:eastAsia="Arial" w:hAnsi="Arial"/>
          <w:sz w:val="18"/>
          <w:szCs w:val="18"/>
          <w:color w:val="auto"/>
        </w:rPr>
      </w:pPr>
    </w:p>
    <w:p>
      <w:pPr>
        <w:ind w:right="100" w:firstLine="656"/>
        <w:spacing w:after="0" w:line="269" w:lineRule="auto"/>
        <w:tabs>
          <w:tab w:leader="none" w:pos="1313"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of the outstanding membership or limited partner interests (other than general partner interests) of each Domestic Subsidiary (a) have been duly authorized and validly issued (in accordance with the Organizational Documents of such Domestic Subsidiary), are fully paid (to the extent required under the Organizational Documents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 of Delaware naming the Partnership as debtor or, in the case of membership or limited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 without independent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investigation, other than those created by or arising under the limited liability company or partnership laws of the jurisdiction of formation of the respective Domestic Subsidiary, as the case may be.</w:t>
      </w:r>
    </w:p>
    <w:p>
      <w:pPr>
        <w:spacing w:after="0" w:line="170" w:lineRule="exact"/>
        <w:rPr>
          <w:sz w:val="20"/>
          <w:szCs w:val="20"/>
          <w:color w:val="auto"/>
        </w:rPr>
      </w:pPr>
    </w:p>
    <w:p>
      <w:pPr>
        <w:ind w:right="80" w:firstLine="656"/>
        <w:spacing w:after="0" w:line="255" w:lineRule="auto"/>
        <w:tabs>
          <w:tab w:leader="none" w:pos="13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 of Delaware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 without independent investigation, other than those created by or arising under the partnership laws of the jurisdiction of formation of the respective Domestic Subsidiary, as the case may be.</w:t>
      </w:r>
    </w:p>
    <w:p>
      <w:pPr>
        <w:spacing w:after="0" w:line="189" w:lineRule="exact"/>
        <w:rPr>
          <w:rFonts w:ascii="Arial" w:cs="Arial" w:eastAsia="Arial" w:hAnsi="Arial"/>
          <w:sz w:val="18"/>
          <w:szCs w:val="18"/>
          <w:color w:val="auto"/>
        </w:rPr>
      </w:pPr>
    </w:p>
    <w:p>
      <w:pPr>
        <w:ind w:firstLine="656"/>
        <w:spacing w:after="0" w:line="259" w:lineRule="auto"/>
        <w:tabs>
          <w:tab w:leader="none" w:pos="13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Shares to be issued and sold pursuant to this Agreement and the limited partner interests represented thereby have been duly authorized by the Partnership Agreement and, when issued and delivered against payment therefor as provided in this Agreement and any Terms Agreement, will be validly issued, fully paid (to the extent required under the Partnership Agreement) and nonassessable (except as such nonassessability may be affected by Sections 17-303, 17-607 and 17-804 of the Delaware LP Act).</w:t>
      </w:r>
    </w:p>
    <w:p>
      <w:pPr>
        <w:spacing w:after="0" w:line="186" w:lineRule="exact"/>
        <w:rPr>
          <w:rFonts w:ascii="Arial" w:cs="Arial" w:eastAsia="Arial" w:hAnsi="Arial"/>
          <w:sz w:val="18"/>
          <w:szCs w:val="18"/>
          <w:color w:val="auto"/>
        </w:rPr>
      </w:pPr>
    </w:p>
    <w:p>
      <w:pPr>
        <w:ind w:right="200" w:firstLine="656"/>
        <w:spacing w:after="0" w:line="276" w:lineRule="auto"/>
        <w:tabs>
          <w:tab w:leader="none" w:pos="131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AAP Units and PAA Units to be issued and sold pursuant to the Omnibus Agreement in connection with sales of Shares pursuant to this Agreement and the limited partner interests represented thereby have been duly authorized by the Organizational Documents of Plains AAP and PAA, respectively, and, when issued and delivered against payment therefor as provided in this Agreement, the Omnibus Agreement and any Terms Agreement, will be validly issued, fully paid (to the extent required under the applicable Organizational Documents) and nonassessable (except as such nonassessability may be affected by Sections 17-303, 17-607 and 17-804 of the Delaware LP Act).</w:t>
      </w:r>
    </w:p>
    <w:p>
      <w:pPr>
        <w:spacing w:after="0" w:line="172" w:lineRule="exact"/>
        <w:rPr>
          <w:rFonts w:ascii="Arial" w:cs="Arial" w:eastAsia="Arial" w:hAnsi="Arial"/>
          <w:sz w:val="17"/>
          <w:szCs w:val="17"/>
          <w:color w:val="auto"/>
        </w:rPr>
      </w:pPr>
    </w:p>
    <w:p>
      <w:pPr>
        <w:ind w:firstLine="656"/>
        <w:spacing w:after="0" w:line="270" w:lineRule="auto"/>
        <w:tabs>
          <w:tab w:leader="none" w:pos="13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Except as described in the Prospectus or as provided in the Organizational Documents of the Partnership, Plains AAP or PAA and the Omnibus Agreement, there are no preemptive rights or other rights to subscribe for or to purchase, nor any restriction upon the voting or transfer of, any interests in the Partnership, Plains AAP or PAA pursuant to the Delaware LP Act, the Delaware LLC Act or any instrument known to us to which any of the Partnership, Plains AAP or PAA is a party or by which any one of them may be bound. Neither the filing of the Registration Statement nor the offering or sale of the Shares as contemplated by this Agreement gives rise to any rights for or relating to the registration of any Shares or other securities of the Partnership pursuant to any of the documents or agreements included as exhibits to any of the Incorporated Documents, except such rights as have been waived or satisfied. Each of the Partnership, Plains AAP and PAA has all requisite power and authority to issue, sell and deliver the Shares, the AAP Units and the PAA Units, in accordance with and upon the terms and conditions set forth in this Agreement, their respective Organizational Documents, the Omnibus Agreement, the Registration Statement and the Prospectus.</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Agreement and any applicable Terms Agreement has been duly authorized and validly executed and delivered by the Partnership.</w:t>
      </w:r>
    </w:p>
    <w:p>
      <w:pPr>
        <w:spacing w:after="0" w:line="248" w:lineRule="exact"/>
        <w:rPr>
          <w:rFonts w:ascii="Arial" w:cs="Arial" w:eastAsia="Arial" w:hAnsi="Arial"/>
          <w:sz w:val="16"/>
          <w:szCs w:val="16"/>
          <w:color w:val="auto"/>
        </w:rPr>
      </w:pPr>
    </w:p>
    <w:p>
      <w:pPr>
        <w:ind w:right="80" w:firstLine="656"/>
        <w:spacing w:after="0" w:line="272" w:lineRule="auto"/>
        <w:tabs>
          <w:tab w:leader="none" w:pos="1323"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At or before each applicable Representation Date, the partnership agreement or limited liability company agreement, as applicable, of each of the Partnership, the General Partner, the PAA GP Entities, PAA and the Domestic Subsidiaries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77" w:lineRule="exact"/>
        <w:rPr>
          <w:rFonts w:ascii="Arial" w:cs="Arial" w:eastAsia="Arial" w:hAnsi="Arial"/>
          <w:sz w:val="17"/>
          <w:szCs w:val="17"/>
          <w:color w:val="auto"/>
        </w:rPr>
      </w:pPr>
    </w:p>
    <w:p>
      <w:pPr>
        <w:jc w:val="both"/>
        <w:ind w:right="60" w:firstLine="656"/>
        <w:spacing w:after="0" w:line="279" w:lineRule="auto"/>
        <w:tabs>
          <w:tab w:leader="none" w:pos="1332"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Shares, the execution, delivery and performance of this Agreement by the Partnership or the consummation of the transactions contemplated by this Agreement, including the related sale of AAP Units and PAA Units, (A) constitutes or will constitute a violation of the Organizational Documents of the General Partner, the Partnership, PAA or any of the PAA GP Entities or Domestic Subsidiaries, (B) conflicts or will conflict with or constitutes or will constitute a breach or violation of, a</w:t>
      </w:r>
    </w:p>
    <w:p>
      <w:pPr>
        <w:sectPr>
          <w:pgSz w:w="11900" w:h="16860" w:orient="portrait"/>
          <w:cols w:equalWidth="0" w:num="1">
            <w:col w:w="11420"/>
          </w:cols>
          <w:pgMar w:left="240" w:top="341"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change of control or a default under (or an event that, with notice or lapse of time or both, would constitute such an event) any document or agreement filed as an exhibit to the Registration Statement or any Incorporated Document, (C) results or will result in any violation of the Delaware LP Act, the Delaware LLC Act, the laws of the State of Texas or federal law, or (D) results or will result in the creation or imposition of any Lien upon any property or assets of any of the General Partner, the Partnership, PAA, the PAA GP Entities or the Domestic Subsidiaries, which conflicts, breaches, violations or defaults in the case of clauses (B), (C) or (D) would reasonably be expected to have a Material Adverse Effect or materially impair the ability of the Partnership, Plains AAP or PAA to consummate the transactions contemplated by this Agreement, including the related sale of AAP Units and PAA Units, it being understood that such counsel need not express an opinion in clause (C) of this paragraph (xii) with respect to any securities or other anti-fraud law.</w:t>
      </w:r>
    </w:p>
    <w:p>
      <w:pPr>
        <w:spacing w:after="0" w:line="167" w:lineRule="exact"/>
        <w:rPr>
          <w:sz w:val="20"/>
          <w:szCs w:val="20"/>
          <w:color w:val="auto"/>
        </w:rPr>
      </w:pPr>
    </w:p>
    <w:p>
      <w:pPr>
        <w:ind w:right="40" w:firstLine="656"/>
        <w:spacing w:after="0" w:line="271" w:lineRule="auto"/>
        <w:tabs>
          <w:tab w:leader="none" w:pos="1309"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federal, Delaware or Texas court, governmental agency or body having jurisdiction over the General Partner, the Partnership, PAA, the PAA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offer and sale of the Shares in the manner contemplated herein and in the Prospectus (as to which such counsel need not express any opinion), (B) such that the failure to obtain would not reasonably be expected to have a Material Adverse Effect or materially impair the ability of the Partnership, Plains AAP or PAA to consummate the transactions contemplated by this Agreement, including the related sale of AAP Units and PAA Units, and (C) such other that have been obtained or taken and are in full force and effect.</w:t>
      </w:r>
    </w:p>
    <w:p>
      <w:pPr>
        <w:spacing w:after="0" w:line="178" w:lineRule="exact"/>
        <w:rPr>
          <w:rFonts w:ascii="Arial" w:cs="Arial" w:eastAsia="Arial" w:hAnsi="Arial"/>
          <w:sz w:val="17"/>
          <w:szCs w:val="17"/>
          <w:color w:val="auto"/>
        </w:rPr>
      </w:pPr>
    </w:p>
    <w:p>
      <w:pPr>
        <w:ind w:firstLine="656"/>
        <w:spacing w:after="0" w:line="259" w:lineRule="auto"/>
        <w:tabs>
          <w:tab w:leader="none" w:pos="12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statements in the Registration Statement and the Prospectus under the captions “Description of Our Shares,” “Our Cash Distribution Policy” and “The Partnership Agreement,” insofar as they constitute descriptions of agreements or refer to statements of law or legal conclusions, are accurate in all material respects, and the Shares and the Class A Shares conform in all material respects to the descriptions thereof contained in the Registration Statement and the Prospectus.</w:t>
      </w:r>
    </w:p>
    <w:p>
      <w:pPr>
        <w:spacing w:after="0" w:line="186" w:lineRule="exact"/>
        <w:rPr>
          <w:rFonts w:ascii="Arial" w:cs="Arial" w:eastAsia="Arial" w:hAnsi="Arial"/>
          <w:sz w:val="18"/>
          <w:szCs w:val="18"/>
          <w:color w:val="auto"/>
        </w:rPr>
      </w:pPr>
    </w:p>
    <w:p>
      <w:pPr>
        <w:ind w:right="280" w:firstLine="656"/>
        <w:spacing w:after="0" w:line="277" w:lineRule="auto"/>
        <w:tabs>
          <w:tab w:leader="none" w:pos="13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Managers may rely upon such opinion as if it were addressed to the Managers.</w:t>
      </w:r>
    </w:p>
    <w:p>
      <w:pPr>
        <w:spacing w:after="0" w:line="170" w:lineRule="exact"/>
        <w:rPr>
          <w:rFonts w:ascii="Arial" w:cs="Arial" w:eastAsia="Arial" w:hAnsi="Arial"/>
          <w:sz w:val="18"/>
          <w:szCs w:val="18"/>
          <w:color w:val="auto"/>
        </w:rPr>
      </w:pPr>
    </w:p>
    <w:p>
      <w:pPr>
        <w:jc w:val="both"/>
        <w:ind w:right="220" w:firstLine="656"/>
        <w:spacing w:after="0" w:line="264" w:lineRule="auto"/>
        <w:tabs>
          <w:tab w:leader="none" w:pos="13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Partnership is not now and, after giving effect to the offering and sale of the Shares and the application of the net proceeds thereof as described in the Prospectus, will not be, an “investment company” within the meaning of the Investment Company Act and the rules and regulations of the Commission thereunder.</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such counsel shall state that they have participated in conferences with officers and other representatives of the the General Partner, GP LLC and Partnership and representatives of the independent public accountants of the General Partner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(except to the extent specified in paragraph (xiii) above), on the basis of the foregoing, no facts have come to the attention of such counsel that lead them to believe that:</w:t>
      </w:r>
    </w:p>
    <w:p>
      <w:pPr>
        <w:spacing w:after="0" w:line="178" w:lineRule="exact"/>
        <w:rPr>
          <w:sz w:val="20"/>
          <w:szCs w:val="20"/>
          <w:color w:val="auto"/>
        </w:rPr>
      </w:pPr>
    </w:p>
    <w:p>
      <w:pPr>
        <w:ind w:right="540" w:firstLine="656"/>
        <w:spacing w:after="0" w:line="277" w:lineRule="auto"/>
        <w:tabs>
          <w:tab w:leader="none" w:pos="13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170" w:lineRule="exact"/>
        <w:rPr>
          <w:rFonts w:ascii="Arial" w:cs="Arial" w:eastAsia="Arial" w:hAnsi="Arial"/>
          <w:sz w:val="18"/>
          <w:szCs w:val="18"/>
          <w:color w:val="auto"/>
        </w:rPr>
      </w:pPr>
    </w:p>
    <w:p>
      <w:pPr>
        <w:ind w:firstLine="656"/>
        <w:spacing w:after="0" w:line="342" w:lineRule="auto"/>
        <w:tabs>
          <w:tab w:leader="none" w:pos="13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 incorporated by reference in the Registration Statement and the Prospectus or (ii) any other financial information included or incorporated by reference in the Registration Statement and the Prospectus.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rendering such opinion, such counsel may (A) rely in respect of matters of fact upon the representations of the Partnership contained in this Agreement, certificates of officers and employees of the General Partner, the Partnership and certain PAA Subsidiaries,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us is accurate, complete and authentic, and all official public records are accurate and complete, (D) with respect to opinions expressed in paragraphs (v), (vi) and (vii), relied on reports, dated as of recent dates, prepared by Corporation Service Company, purporting to describe all financing statements on file as of the dates thereof in the office of the Secretary of State of the State of Delaware or the Secretary of State of the State of Texas, as applicable, naming the General Partner, the Partnership, the PAA GP Entities, PAA or any of the Domestic Subsidiaries as debtors, (E) with respect to the opinion expressed in paragraph (i) above, as to the absence of stop orders and proceedings instituted for that purpose, relied solely on the list of stop orders contained on the Commission’s website at www.sec.gov/litigation/stoporders.shtml and http://www.sec.gov/litigation/admin.shtml, (F) state that their opinions are limited to federal laws, the Delaware LP Act, the Delaware LLC Act and the laws of the State of Texas and (G) state that they express no opinion with respect to (i) any permits to own or operate any real or personal property or (ii) foreign, state or local taxes or tax statutes to which any of the limited partners of any of the Plains Entities may be subject.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464"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ANNEX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PAA GP Holdings LLC</w:t>
      </w:r>
    </w:p>
    <w:p>
      <w:pPr>
        <w:spacing w:after="0" w:line="211" w:lineRule="exact"/>
        <w:rPr>
          <w:sz w:val="20"/>
          <w:szCs w:val="20"/>
          <w:color w:val="auto"/>
        </w:rPr>
      </w:pPr>
    </w:p>
    <w:p>
      <w:pPr>
        <w:ind w:right="20" w:firstLine="656"/>
        <w:spacing w:after="0" w:line="270" w:lineRule="auto"/>
        <w:tabs>
          <w:tab w:leader="none" w:pos="1318"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Shares, the execution, delivery and performance by the Partnership of this Agreement or the consummation of the transactions contemplated by this Agreement, including the related sale of AAP Units and PAA Units,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Partnership Entities is a party or by which any one of them may be bound (other than any other document or agreement filed as an exhibit to the Registration Statement or an Incorporated Document) or (B) violates or will violate any statute, law or regulation or any order, judgment, decree or injunction known to such counsel of any court or governmental agency or body directed to any of the Partnership Entities or any of their respective properties in a proceeding to which any of them is a party, which would, in the case of either (A) or (B), reasonably be expected to have a Material Adverse Effect or materially impair the ability of the Partnership, Plains AAP or PAA to consummate the transactions contemplated by this Agreement, including the related sale of the AAP Units and PAA Units.</w:t>
      </w:r>
    </w:p>
    <w:p>
      <w:pPr>
        <w:spacing w:after="0" w:line="177" w:lineRule="exact"/>
        <w:rPr>
          <w:rFonts w:ascii="Arial" w:cs="Arial" w:eastAsia="Arial" w:hAnsi="Arial"/>
          <w:sz w:val="17"/>
          <w:szCs w:val="17"/>
          <w:color w:val="auto"/>
        </w:rPr>
      </w:pPr>
    </w:p>
    <w:p>
      <w:pPr>
        <w:ind w:right="220" w:firstLine="656"/>
        <w:spacing w:after="0" w:line="342" w:lineRule="auto"/>
        <w:tabs>
          <w:tab w:leader="none" w:pos="132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knowledge of such counsel, there is no legal or governmental proceeding pending or threatened to which the Partnership or any of the Subsidiaries is a party or to which any of their respective properties is subject that is required to be disclosed in the Prospectus and is not so disclosed.</w:t>
      </w:r>
    </w:p>
    <w:p>
      <w:pPr>
        <w:spacing w:after="0" w:line="123" w:lineRule="exact"/>
        <w:rPr>
          <w:rFonts w:ascii="Arial" w:cs="Arial" w:eastAsia="Arial" w:hAnsi="Arial"/>
          <w:sz w:val="16"/>
          <w:szCs w:val="16"/>
          <w:color w:val="auto"/>
        </w:rPr>
      </w:pPr>
    </w:p>
    <w:p>
      <w:pPr>
        <w:ind w:right="80" w:firstLine="656"/>
        <w:spacing w:after="0" w:line="381" w:lineRule="auto"/>
        <w:tabs>
          <w:tab w:leader="none" w:pos="1337" w:val="left"/>
        </w:tabs>
        <w:numPr>
          <w:ilvl w:val="0"/>
          <w:numId w:val="60"/>
        </w:numPr>
        <w:rPr>
          <w:rFonts w:ascii="Arial" w:cs="Arial" w:eastAsia="Arial" w:hAnsi="Arial"/>
          <w:sz w:val="15"/>
          <w:szCs w:val="15"/>
          <w:color w:val="auto"/>
        </w:rPr>
      </w:pPr>
      <w:r>
        <w:rPr>
          <w:rFonts w:ascii="Arial" w:cs="Arial" w:eastAsia="Arial" w:hAnsi="Arial"/>
          <w:sz w:val="15"/>
          <w:szCs w:val="15"/>
          <w:color w:val="auto"/>
        </w:rPr>
        <w:t>To the knowledge of such counsel, except as described in the Prospectus or as have been issued pursuant to compensation plans adopted or administered by the General Partner, there are no outstanding options or warrants to purchase any Class A Shares or other equity interests in the Partnership.</w:t>
      </w:r>
    </w:p>
    <w:p>
      <w:pPr>
        <w:spacing w:after="0" w:line="100" w:lineRule="exact"/>
        <w:rPr>
          <w:rFonts w:ascii="Arial" w:cs="Arial" w:eastAsia="Arial" w:hAnsi="Arial"/>
          <w:sz w:val="15"/>
          <w:szCs w:val="15"/>
          <w:color w:val="auto"/>
        </w:rPr>
      </w:pPr>
    </w:p>
    <w:p>
      <w:pPr>
        <w:jc w:val="both"/>
        <w:ind w:right="860" w:firstLine="656"/>
        <w:spacing w:after="0" w:line="264" w:lineRule="auto"/>
        <w:tabs>
          <w:tab w:leader="none" w:pos="13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or any of the Subsidiaries is a party or are bound that are required to be described in the Registration Statement or the Prospectus or to be filed as exhibits to the Registration Statement or to the Incorporated Documents that are not described or filed as required.</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addition, such counsel shall state that he has participated in conferences with officers and other representatives of the General Partner and the Partnership, representatives of the independent public accountants of the General Partner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on the basis of the foregoing, no facts have come to the attention of such counsel that lead him to believe that:</w:t>
      </w:r>
    </w:p>
    <w:p>
      <w:pPr>
        <w:spacing w:after="0" w:line="158" w:lineRule="exact"/>
        <w:rPr>
          <w:sz w:val="20"/>
          <w:szCs w:val="20"/>
          <w:color w:val="auto"/>
        </w:rPr>
      </w:pPr>
    </w:p>
    <w:p>
      <w:pPr>
        <w:ind w:right="540" w:firstLine="656"/>
        <w:spacing w:after="0" w:line="277" w:lineRule="auto"/>
        <w:tabs>
          <w:tab w:leader="none" w:pos="13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170" w:lineRule="exact"/>
        <w:rPr>
          <w:rFonts w:ascii="Arial" w:cs="Arial" w:eastAsia="Arial" w:hAnsi="Arial"/>
          <w:sz w:val="18"/>
          <w:szCs w:val="18"/>
          <w:color w:val="auto"/>
        </w:rPr>
      </w:pPr>
    </w:p>
    <w:p>
      <w:pPr>
        <w:ind w:firstLine="656"/>
        <w:spacing w:after="0" w:line="342" w:lineRule="auto"/>
        <w:tabs>
          <w:tab w:leader="none" w:pos="13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or statistical information included or incorporated by reference in the Registration Statement and the Prospectus.</w:t>
      </w:r>
    </w:p>
    <w:p>
      <w:pPr>
        <w:spacing w:after="0" w:line="16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the General Partner and the Partnership, to the extent he deems appropriate, and upon information obtained from public officials or public records, (B) assume that all documents submitted to him as originals are authentic, that all copies submitted to him conform to the originals thereof, and that the signatures 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documents examined by him are genuine, (C) state that such opinions are limited to federal laws and the Delaware LP Act, the Delaware LLC Act,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and the laws of the State of Texas and (D) state that he expresses no opinion with respect to either federal or state securities laws in clause (B) of paragraph (i) above or foreign, state or local taxes or tax statutes.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Canadian Counsel</w:t>
      </w:r>
    </w:p>
    <w:p>
      <w:pPr>
        <w:spacing w:after="0" w:line="211" w:lineRule="exact"/>
        <w:rPr>
          <w:sz w:val="20"/>
          <w:szCs w:val="20"/>
          <w:color w:val="auto"/>
        </w:rPr>
      </w:pPr>
    </w:p>
    <w:p>
      <w:pPr>
        <w:ind w:right="60" w:firstLine="656"/>
        <w:spacing w:after="0" w:line="276" w:lineRule="auto"/>
        <w:tabs>
          <w:tab w:leader="none" w:pos="1318" w:val="left"/>
        </w:tabs>
        <w:numPr>
          <w:ilvl w:val="0"/>
          <w:numId w:val="62"/>
        </w:numPr>
        <w:rPr>
          <w:rFonts w:ascii="Arial" w:cs="Arial" w:eastAsia="Arial" w:hAnsi="Arial"/>
          <w:sz w:val="17"/>
          <w:szCs w:val="17"/>
          <w:color w:val="auto"/>
        </w:rPr>
      </w:pPr>
      <w:r>
        <w:rPr>
          <w:rFonts w:ascii="Arial" w:cs="Arial" w:eastAsia="Arial" w:hAnsi="Arial"/>
          <w:sz w:val="17"/>
          <w:szCs w:val="17"/>
          <w:color w:val="auto"/>
        </w:rPr>
        <w:t>Plains Midstream Canada ULC, a British Columbia unlimited liability company (“</w:t>
      </w:r>
      <w:r>
        <w:rPr>
          <w:rFonts w:ascii="Arial" w:cs="Arial" w:eastAsia="Arial" w:hAnsi="Arial"/>
          <w:sz w:val="17"/>
          <w:szCs w:val="17"/>
          <w:u w:val="single" w:color="auto"/>
          <w:color w:val="auto"/>
        </w:rPr>
        <w:t>Plains Midstream Canada</w:t>
      </w:r>
      <w:r>
        <w:rPr>
          <w:rFonts w:ascii="Arial" w:cs="Arial" w:eastAsia="Arial" w:hAnsi="Arial"/>
          <w:sz w:val="17"/>
          <w:szCs w:val="17"/>
          <w:color w:val="auto"/>
        </w:rPr>
        <w:t>”) has been duly amalgamated and is validly existing as an unlimited liability company under the laws of British Columbia, with all necessary corporate power and authority to own or lease its properties, in all material respects as described in the Prospectus, and to conduct its business as currently conducted and as proposed in the Prospectus to be conducted. Plains Midstream Canada is duly registered extraprovincially for the transaction of business under the laws of the provinces of Alberta, Manitoba, New Brunswick, Nova Scotia, Ontario, Quebec and Saskatchewan.</w:t>
      </w:r>
    </w:p>
    <w:p>
      <w:pPr>
        <w:spacing w:after="0" w:line="172" w:lineRule="exact"/>
        <w:rPr>
          <w:rFonts w:ascii="Arial" w:cs="Arial" w:eastAsia="Arial" w:hAnsi="Arial"/>
          <w:sz w:val="17"/>
          <w:szCs w:val="17"/>
          <w:color w:val="auto"/>
        </w:rPr>
      </w:pPr>
    </w:p>
    <w:p>
      <w:pPr>
        <w:ind w:right="180" w:firstLine="656"/>
        <w:spacing w:after="0" w:line="312" w:lineRule="auto"/>
        <w:tabs>
          <w:tab w:leader="none" w:pos="1327" w:val="left"/>
        </w:tabs>
        <w:numPr>
          <w:ilvl w:val="0"/>
          <w:numId w:val="62"/>
        </w:numPr>
        <w:rPr>
          <w:rFonts w:ascii="Arial" w:cs="Arial" w:eastAsia="Arial" w:hAnsi="Arial"/>
          <w:sz w:val="16"/>
          <w:szCs w:val="16"/>
          <w:color w:val="auto"/>
        </w:rPr>
      </w:pPr>
      <w:r>
        <w:rPr>
          <w:rFonts w:ascii="Arial" w:cs="Arial" w:eastAsia="Arial" w:hAnsi="Arial"/>
          <w:sz w:val="16"/>
          <w:szCs w:val="16"/>
          <w:color w:val="auto"/>
        </w:rPr>
        <w:t>Plains Midstream Canada is the registered holder of 100% of the limited partnership interests of Plains Midstream Empress Management, L.P., a limited partnership formed under the laws of Alberta (“</w:t>
      </w:r>
      <w:r>
        <w:rPr>
          <w:rFonts w:ascii="Arial" w:cs="Arial" w:eastAsia="Arial" w:hAnsi="Arial"/>
          <w:sz w:val="16"/>
          <w:szCs w:val="16"/>
          <w:u w:val="single" w:color="auto"/>
          <w:color w:val="auto"/>
        </w:rPr>
        <w:t>Plains Midstream Empress L.P.</w:t>
      </w:r>
      <w:r>
        <w:rPr>
          <w:rFonts w:ascii="Arial" w:cs="Arial" w:eastAsia="Arial" w:hAnsi="Arial"/>
          <w:sz w:val="16"/>
          <w:szCs w:val="16"/>
          <w:color w:val="auto"/>
        </w:rPr>
        <w:t>”); Plains Midstream Empress Management ULC (“</w:t>
      </w:r>
      <w:r>
        <w:rPr>
          <w:rFonts w:ascii="Arial" w:cs="Arial" w:eastAsia="Arial" w:hAnsi="Arial"/>
          <w:sz w:val="16"/>
          <w:szCs w:val="16"/>
          <w:u w:val="single" w:color="auto"/>
          <w:color w:val="auto"/>
        </w:rPr>
        <w:t>Plains</w:t>
      </w:r>
      <w:r>
        <w:rPr>
          <w:rFonts w:ascii="Arial" w:cs="Arial" w:eastAsia="Arial" w:hAnsi="Arial"/>
          <w:sz w:val="16"/>
          <w:szCs w:val="16"/>
          <w:color w:val="auto"/>
        </w:rPr>
        <w:t xml:space="preserve"> </w:t>
      </w:r>
      <w:r>
        <w:rPr>
          <w:rFonts w:ascii="Arial" w:cs="Arial" w:eastAsia="Arial" w:hAnsi="Arial"/>
          <w:sz w:val="16"/>
          <w:szCs w:val="16"/>
          <w:u w:val="single" w:color="auto"/>
          <w:color w:val="auto"/>
        </w:rPr>
        <w:t>Midstream Empress ULC</w:t>
      </w:r>
      <w:r>
        <w:rPr>
          <w:rFonts w:ascii="Arial" w:cs="Arial" w:eastAsia="Arial" w:hAnsi="Arial"/>
          <w:sz w:val="16"/>
          <w:szCs w:val="16"/>
          <w:color w:val="auto"/>
        </w:rPr>
        <w:t>”) is the registered holder of 100% of the general partnership interests of Plains Midstream Empress L.P.</w:t>
      </w:r>
    </w:p>
    <w:p>
      <w:pPr>
        <w:spacing w:after="0" w:line="146" w:lineRule="exact"/>
        <w:rPr>
          <w:rFonts w:ascii="Arial" w:cs="Arial" w:eastAsia="Arial" w:hAnsi="Arial"/>
          <w:sz w:val="16"/>
          <w:szCs w:val="16"/>
          <w:color w:val="auto"/>
        </w:rPr>
      </w:pPr>
    </w:p>
    <w:p>
      <w:pPr>
        <w:ind w:right="80" w:firstLine="656"/>
        <w:spacing w:after="0" w:line="259" w:lineRule="auto"/>
        <w:tabs>
          <w:tab w:leader="none" w:pos="13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Plains Midstream Empress ULC, an unlimited liability company formed under the laws of British Columbia; such share capital has been duly authorized and validly issued in accordance with the Plains Midstream Empress ULC Articles of Continuance, as fully paid and nonassessable shares (except as such nonassessability may be affected by the laws of the Province of British Columbia).</w:t>
      </w:r>
    </w:p>
    <w:p>
      <w:pPr>
        <w:sectPr>
          <w:pgSz w:w="11900" w:h="16838" w:orient="portrait"/>
          <w:cols w:equalWidth="0" w:num="1">
            <w:col w:w="11420"/>
          </w:cols>
          <w:pgMar w:left="240" w:top="121" w:right="239" w:bottom="0" w:gutter="0" w:footer="0" w:header="0"/>
        </w:sectPr>
      </w:pPr>
    </w:p>
    <w:bookmarkStart w:id="27" w:name="page28"/>
    <w:bookmarkEnd w:id="27"/>
    <w:p>
      <w:pPr>
        <w:ind w:left="-40" w:right="160" w:firstLine="656"/>
        <w:spacing w:after="0" w:line="259" w:lineRule="auto"/>
        <w:tabs>
          <w:tab w:leader="none" w:pos="12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Plains Petroleum Transmission Company ULC, an unlimited liability company formed under the laws of Canada (“</w:t>
      </w:r>
      <w:r>
        <w:rPr>
          <w:rFonts w:ascii="Arial" w:cs="Arial" w:eastAsia="Arial" w:hAnsi="Arial"/>
          <w:sz w:val="18"/>
          <w:szCs w:val="18"/>
          <w:u w:val="single" w:color="auto"/>
          <w:color w:val="auto"/>
        </w:rPr>
        <w:t>Plains Petroleum Transmission</w:t>
      </w:r>
      <w:r>
        <w:rPr>
          <w:rFonts w:ascii="Arial" w:cs="Arial" w:eastAsia="Arial" w:hAnsi="Arial"/>
          <w:sz w:val="18"/>
          <w:szCs w:val="18"/>
          <w:color w:val="auto"/>
        </w:rPr>
        <w:t>”); such share capital has been duly authorized and validly issued in accordance with the Plains Petroleum Transmission Articles of Continuance, as fully paid and nonassessable shares (except as such nonassessability may be affected by the laws of the Province of British Columbia).</w:t>
      </w:r>
    </w:p>
    <w:p>
      <w:pPr>
        <w:spacing w:after="0" w:line="186" w:lineRule="exact"/>
        <w:rPr>
          <w:rFonts w:ascii="Arial" w:cs="Arial" w:eastAsia="Arial" w:hAnsi="Arial"/>
          <w:sz w:val="18"/>
          <w:szCs w:val="18"/>
          <w:color w:val="auto"/>
        </w:rPr>
      </w:pPr>
    </w:p>
    <w:p>
      <w:pPr>
        <w:ind w:left="-40" w:firstLine="656"/>
        <w:spacing w:after="0" w:line="279" w:lineRule="auto"/>
        <w:tabs>
          <w:tab w:leader="none" w:pos="1264" w:val="left"/>
        </w:tabs>
        <w:numPr>
          <w:ilvl w:val="0"/>
          <w:numId w:val="63"/>
        </w:numPr>
        <w:rPr>
          <w:rFonts w:ascii="Arial" w:cs="Arial" w:eastAsia="Arial" w:hAnsi="Arial"/>
          <w:sz w:val="17"/>
          <w:szCs w:val="17"/>
          <w:color w:val="auto"/>
        </w:rPr>
      </w:pPr>
      <w:r>
        <w:rPr>
          <w:rFonts w:ascii="Arial" w:cs="Arial" w:eastAsia="Arial" w:hAnsi="Arial"/>
          <w:sz w:val="17"/>
          <w:szCs w:val="17"/>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71" w:lineRule="exact"/>
        <w:rPr>
          <w:rFonts w:ascii="Arial" w:cs="Arial" w:eastAsia="Arial" w:hAnsi="Arial"/>
          <w:sz w:val="17"/>
          <w:szCs w:val="17"/>
          <w:color w:val="auto"/>
        </w:rPr>
      </w:pPr>
    </w:p>
    <w:p>
      <w:pPr>
        <w:ind w:left="-40" w:right="40" w:firstLine="656"/>
        <w:spacing w:after="0" w:line="264" w:lineRule="auto"/>
        <w:tabs>
          <w:tab w:leader="none" w:pos="12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Shares.</w:t>
      </w:r>
    </w:p>
    <w:p>
      <w:pPr>
        <w:spacing w:after="0" w:line="181" w:lineRule="exact"/>
        <w:rPr>
          <w:rFonts w:ascii="Arial" w:cs="Arial" w:eastAsia="Arial" w:hAnsi="Arial"/>
          <w:sz w:val="18"/>
          <w:szCs w:val="18"/>
          <w:color w:val="auto"/>
        </w:rPr>
      </w:pPr>
    </w:p>
    <w:p>
      <w:pPr>
        <w:ind w:left="-40" w:firstLine="656"/>
        <w:spacing w:after="0" w:line="273" w:lineRule="auto"/>
        <w:tabs>
          <w:tab w:leader="none" w:pos="1283"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Shares, the execution, delivery and performance of this Agreement by the Partnership or the consummation of the transactions contemplated hereby, including the related sale of AAP Units and PAA Units,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178" w:lineRule="exact"/>
        <w:rPr>
          <w:rFonts w:ascii="Arial" w:cs="Arial" w:eastAsia="Arial" w:hAnsi="Arial"/>
          <w:sz w:val="17"/>
          <w:szCs w:val="17"/>
          <w:color w:val="auto"/>
        </w:rPr>
      </w:pPr>
    </w:p>
    <w:p>
      <w:pPr>
        <w:ind w:left="-40" w:right="220" w:firstLine="656"/>
        <w:spacing w:after="0" w:line="302" w:lineRule="auto"/>
        <w:tabs>
          <w:tab w:leader="none" w:pos="129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Prospectus to be conducted, subject to such qualifications as may be set forth in the Prospectus, and except for such Permits which, if not obtained would not reasonably be expected to, individually or in the aggregate, materially adversely affect the operations conducted by Plains Midstream Canada.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acted as counsel for Plains GP Holdings,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with respect to certain legal matters in connection with the registration by the Partnership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offer and sale by the Partnership of Class A shares representing limited partner interests in the Partnership having an aggregate offering price of up to $500,000,000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We have participated in the preparation of a Prospectus Supplement dated December 27, 2016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and the Prospectus dated December 20, 2016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forming part of the Registration Statement on Form S-3 (No. 333-214964)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which this opinion is an exhibit. The Prospectus Supplement has been filed pursuant to Rule 424(b) promulgated under the Securities Act.</w:t>
      </w:r>
    </w:p>
    <w:p>
      <w:pPr>
        <w:spacing w:after="0" w:line="189"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In rendering the opinion set forth below, we have examined and relied upon (i) the Delaware Revised Uniform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the Registration Statement, the Prospectus Supplement and the Prospectus, (iii) the Second Amended and Restated Agreement of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 of the Partnership, dated as of November 15, 2016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(iv) the Certificate of Limited Partnership of the Partnership,</w:t>
      </w:r>
    </w:p>
    <w:p>
      <w:pPr>
        <w:ind w:right="200" w:firstLine="8"/>
        <w:spacing w:after="0" w:line="271"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 Equity Distribution Agreement, dated December 27, 2016, relating to the offering and sale of the Shares (the “</w:t>
      </w:r>
      <w:r>
        <w:rPr>
          <w:rFonts w:ascii="Arial" w:cs="Arial" w:eastAsia="Arial" w:hAnsi="Arial"/>
          <w:sz w:val="17"/>
          <w:szCs w:val="17"/>
          <w:b w:val="1"/>
          <w:bCs w:val="1"/>
          <w:i w:val="1"/>
          <w:iCs w:val="1"/>
          <w:color w:val="auto"/>
        </w:rPr>
        <w:t>Equity Distribution Agreement</w:t>
      </w:r>
      <w:r>
        <w:rPr>
          <w:rFonts w:ascii="Arial" w:cs="Arial" w:eastAsia="Arial" w:hAnsi="Arial"/>
          <w:sz w:val="17"/>
          <w:szCs w:val="17"/>
          <w:color w:val="auto"/>
        </w:rPr>
        <w:t>”), a copy of which is being filed with the Commission as an exhibit to the Partnership’s Current Report on Form 8-K on or about the date hereof, (vi) certain resolutions adopted by the board of directors of Plains GP Holdings LLC, the general partner of the Partnership, approving and authorizing, among other things, the Registration Statement and other matters relating to the offering of the Shares, and (vii) such other certificates, statutes and other instruments and documents as we consider appropriate for purposes of the opinion hereafter expressed.</w:t>
      </w:r>
    </w:p>
    <w:p>
      <w:pPr>
        <w:spacing w:after="0" w:line="17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the Shares are duly and validly authorized for issuance and, upon payment and delivery of the Shares in accordance with the Equity Distribution Agreement, the Prospectus Supplement and the Prospectus, will be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840" w:type="dxa"/>
            <w:vAlign w:val="bottom"/>
          </w:tcPr>
          <w:p>
            <w:pPr>
              <w:ind w:left="20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620" w:type="dxa"/>
            <w:vAlign w:val="bottom"/>
          </w:tcPr>
          <w:p>
            <w:pPr>
              <w:spacing w:after="0"/>
              <w:rPr>
                <w:sz w:val="20"/>
                <w:szCs w:val="20"/>
                <w:color w:val="auto"/>
              </w:rPr>
            </w:pPr>
            <w:r>
              <w:rPr>
                <w:rFonts w:ascii="Arial" w:cs="Arial" w:eastAsia="Arial" w:hAnsi="Arial"/>
                <w:sz w:val="18"/>
                <w:szCs w:val="18"/>
                <w:color w:val="auto"/>
                <w:w w:val="99"/>
              </w:rPr>
              <w:t>Austin Beijing Dallas Dubai Hong Kong Houston London Moscow New</w:t>
            </w:r>
          </w:p>
        </w:tc>
        <w:tc>
          <w:tcPr>
            <w:tcW w:w="5840" w:type="dxa"/>
            <w:vAlign w:val="bottom"/>
          </w:tcPr>
          <w:p>
            <w:pPr>
              <w:ind w:left="200"/>
              <w:spacing w:after="0"/>
              <w:rPr>
                <w:sz w:val="20"/>
                <w:szCs w:val="20"/>
                <w:color w:val="auto"/>
              </w:rPr>
            </w:pPr>
            <w:r>
              <w:rPr>
                <w:rFonts w:ascii="Arial" w:cs="Arial" w:eastAsia="Arial" w:hAnsi="Arial"/>
                <w:sz w:val="18"/>
                <w:szCs w:val="18"/>
                <w:color w:val="auto"/>
              </w:rPr>
              <w:t>Houston, TX 77002-6760</w:t>
            </w:r>
          </w:p>
        </w:tc>
      </w:tr>
      <w:tr>
        <w:trPr>
          <w:trHeight w:val="234"/>
        </w:trPr>
        <w:tc>
          <w:tcPr>
            <w:tcW w:w="5620" w:type="dxa"/>
            <w:vAlign w:val="bottom"/>
          </w:tcPr>
          <w:p>
            <w:pPr>
              <w:spacing w:after="0"/>
              <w:rPr>
                <w:sz w:val="20"/>
                <w:szCs w:val="20"/>
                <w:color w:val="auto"/>
              </w:rPr>
            </w:pPr>
            <w:r>
              <w:rPr>
                <w:rFonts w:ascii="Arial" w:cs="Arial" w:eastAsia="Arial" w:hAnsi="Arial"/>
                <w:sz w:val="18"/>
                <w:szCs w:val="18"/>
                <w:color w:val="auto"/>
                <w:w w:val="95"/>
              </w:rPr>
              <w:t>York Palo Alto Richmond Riyadh San Francisco Taipei Tokyo Washington</w:t>
            </w:r>
          </w:p>
        </w:tc>
        <w:tc>
          <w:tcPr>
            <w:tcW w:w="5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348"/>
        </w:trPr>
        <w:tc>
          <w:tcPr>
            <w:tcW w:w="56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validly issued, fully paid (to the extent required under the Partnership Agreement) and non-assessable (except as such nonassessability may be affected by Sections 17-303, 17-607 and 17-804 of the Delaware LP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qualified in the following respects:</w:t>
      </w:r>
    </w:p>
    <w:p>
      <w:pPr>
        <w:spacing w:after="0" w:line="225" w:lineRule="exact"/>
        <w:rPr>
          <w:sz w:val="20"/>
          <w:szCs w:val="20"/>
          <w:color w:val="auto"/>
        </w:rPr>
      </w:pPr>
    </w:p>
    <w:p>
      <w:pPr>
        <w:ind w:right="160" w:firstLine="656"/>
        <w:spacing w:after="0" w:line="277" w:lineRule="auto"/>
        <w:tabs>
          <w:tab w:leader="none" w:pos="13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Shares will conform to the specimens thereof examined by us and will have been duly countersigned by a transfer agent and duly registered by a registrar of the Shares.</w:t>
      </w:r>
    </w:p>
    <w:p>
      <w:pPr>
        <w:spacing w:after="0" w:line="170" w:lineRule="exact"/>
        <w:rPr>
          <w:rFonts w:ascii="Arial" w:cs="Arial" w:eastAsia="Arial" w:hAnsi="Arial"/>
          <w:sz w:val="18"/>
          <w:szCs w:val="18"/>
          <w:color w:val="auto"/>
        </w:rPr>
      </w:pPr>
    </w:p>
    <w:p>
      <w:pPr>
        <w:ind w:right="140" w:firstLine="656"/>
        <w:spacing w:after="0" w:line="312" w:lineRule="auto"/>
        <w:tabs>
          <w:tab w:leader="none" w:pos="1299"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46" w:lineRule="exact"/>
        <w:rPr>
          <w:rFonts w:ascii="Arial" w:cs="Arial" w:eastAsia="Arial" w:hAnsi="Arial"/>
          <w:sz w:val="16"/>
          <w:szCs w:val="16"/>
          <w:color w:val="auto"/>
        </w:rPr>
      </w:pPr>
    </w:p>
    <w:p>
      <w:pPr>
        <w:ind w:right="180" w:firstLine="656"/>
        <w:spacing w:after="0" w:line="277" w:lineRule="auto"/>
        <w:tabs>
          <w:tab w:leader="none" w:pos="12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60"/>
          </w:cols>
          <w:pgMar w:left="240" w:top="121" w:right="19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acted as counsel for Plains GP Holdings, L.P.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xml:space="preserve">), a Delaware limited partnership that has elected to be treated as a corporation for U.S. federal income tax purposes, with respect to certain legal matters in connection with the preparation of a Prospectus Supplement dated on or about the date hereof and the Prospectus with an effective date of December 20, 2016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each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Class A shares representing limited partner interests in PAGP.</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opinion is based on various facts and assumptions, including factual representations of PAGP concerning its business, properties and governing documents as set forth in the Registration Statement.</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840" w:type="dxa"/>
            <w:vAlign w:val="bottom"/>
          </w:tcPr>
          <w:p>
            <w:pPr>
              <w:ind w:left="20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620" w:type="dxa"/>
            <w:vAlign w:val="bottom"/>
          </w:tcPr>
          <w:p>
            <w:pPr>
              <w:spacing w:after="0"/>
              <w:rPr>
                <w:sz w:val="20"/>
                <w:szCs w:val="20"/>
                <w:color w:val="auto"/>
              </w:rPr>
            </w:pPr>
            <w:r>
              <w:rPr>
                <w:rFonts w:ascii="Arial" w:cs="Arial" w:eastAsia="Arial" w:hAnsi="Arial"/>
                <w:sz w:val="18"/>
                <w:szCs w:val="18"/>
                <w:color w:val="auto"/>
                <w:w w:val="99"/>
              </w:rPr>
              <w:t>Austin Beijing Dallas Dubai Hong Kong Houston London Moscow New</w:t>
            </w:r>
          </w:p>
        </w:tc>
        <w:tc>
          <w:tcPr>
            <w:tcW w:w="5840" w:type="dxa"/>
            <w:vAlign w:val="bottom"/>
          </w:tcPr>
          <w:p>
            <w:pPr>
              <w:ind w:left="200"/>
              <w:spacing w:after="0"/>
              <w:rPr>
                <w:sz w:val="20"/>
                <w:szCs w:val="20"/>
                <w:color w:val="auto"/>
              </w:rPr>
            </w:pPr>
            <w:r>
              <w:rPr>
                <w:rFonts w:ascii="Arial" w:cs="Arial" w:eastAsia="Arial" w:hAnsi="Arial"/>
                <w:sz w:val="18"/>
                <w:szCs w:val="18"/>
                <w:color w:val="auto"/>
              </w:rPr>
              <w:t>Houston, TX 77002-6760</w:t>
            </w:r>
          </w:p>
        </w:tc>
      </w:tr>
      <w:tr>
        <w:trPr>
          <w:trHeight w:val="234"/>
        </w:trPr>
        <w:tc>
          <w:tcPr>
            <w:tcW w:w="5620" w:type="dxa"/>
            <w:vAlign w:val="bottom"/>
          </w:tcPr>
          <w:p>
            <w:pPr>
              <w:spacing w:after="0"/>
              <w:rPr>
                <w:sz w:val="20"/>
                <w:szCs w:val="20"/>
                <w:color w:val="auto"/>
              </w:rPr>
            </w:pPr>
            <w:r>
              <w:rPr>
                <w:rFonts w:ascii="Arial" w:cs="Arial" w:eastAsia="Arial" w:hAnsi="Arial"/>
                <w:sz w:val="18"/>
                <w:szCs w:val="18"/>
                <w:color w:val="auto"/>
                <w:w w:val="95"/>
              </w:rPr>
              <w:t>York Palo Alto Richmond Riyadh San Francisco Taipei Tokyo Washington</w:t>
            </w:r>
          </w:p>
        </w:tc>
        <w:tc>
          <w:tcPr>
            <w:tcW w:w="5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348"/>
        </w:trPr>
        <w:tc>
          <w:tcPr>
            <w:tcW w:w="56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may affect the conclusions stated herein.</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No opinion is expressed as to any matter not discussed in the Prospectus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hereby consent to the filing of this opinion of counsel as Exhibit 8.1 to the Current Report on Form 8-K of PAGP dated on or about the date hereof and to the incorporation by reference of this opinion of counsel into the Registration Statement. In giving such consent, we do not admit that we are within the category of persons whose consent is required under Section 7 of the Securities Act.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o"/>
      <w:numFmt w:val="bullet"/>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decimal"/>
      <w:start w:val="2"/>
    </w:lvl>
    <w:lvl w:ilvl="1">
      <w:lvlJc w:val="left"/>
      <w:lvlText w:val="(%2)"/>
      <w:numFmt w:val="lowerLetter"/>
      <w:start w:val="1"/>
    </w:lvl>
  </w:abstractNum>
  <w:abstractNum w:abstractNumId="3">
    <w:nsid w:val="419AC241"/>
    <w:multiLevelType w:val="hybridMultilevel"/>
    <w:lvl w:ilvl="0">
      <w:lvlJc w:val="left"/>
      <w:lvlText w:val="(%1)"/>
      <w:numFmt w:val="lowerLetter"/>
      <w:start w:val="3"/>
    </w:lvl>
  </w:abstractNum>
  <w:abstractNum w:abstractNumId="4">
    <w:nsid w:val="5577F8E1"/>
    <w:multiLevelType w:val="hybridMultilevel"/>
    <w:lvl w:ilvl="0">
      <w:lvlJc w:val="left"/>
      <w:lvlText w:val="(%1)"/>
      <w:numFmt w:val="lowerLetter"/>
      <w:start w:val="6"/>
    </w:lvl>
  </w:abstractNum>
  <w:abstractNum w:abstractNumId="5">
    <w:nsid w:val="440BADFC"/>
    <w:multiLevelType w:val="hybridMultilevel"/>
    <w:lvl w:ilvl="0">
      <w:lvlJc w:val="left"/>
      <w:lvlText w:val="(%1)"/>
      <w:numFmt w:val="lowerLetter"/>
      <w:start w:val="9"/>
    </w:lvl>
  </w:abstractNum>
  <w:abstractNum w:abstractNumId="6">
    <w:nsid w:val="5072367"/>
    <w:multiLevelType w:val="hybridMultilevel"/>
    <w:lvl w:ilvl="0">
      <w:lvlJc w:val="left"/>
      <w:lvlText w:val="(%1)"/>
      <w:numFmt w:val="lowerLetter"/>
      <w:start w:val="11"/>
    </w:lvl>
  </w:abstractNum>
  <w:abstractNum w:abstractNumId="7">
    <w:nsid w:val="3804823E"/>
    <w:multiLevelType w:val="hybridMultilevel"/>
    <w:lvl w:ilvl="0">
      <w:lvlJc w:val="left"/>
      <w:lvlText w:val="(%1)"/>
      <w:numFmt w:val="lowerLetter"/>
      <w:start w:val="15"/>
    </w:lvl>
  </w:abstractNum>
  <w:abstractNum w:abstractNumId="8">
    <w:nsid w:val="77465F01"/>
    <w:multiLevelType w:val="hybridMultilevel"/>
    <w:lvl w:ilvl="0">
      <w:lvlJc w:val="left"/>
      <w:lvlText w:val="(%1)"/>
      <w:numFmt w:val="lowerLetter"/>
      <w:start w:val="16"/>
    </w:lvl>
  </w:abstractNum>
  <w:abstractNum w:abstractNumId="9">
    <w:nsid w:val="7724C67E"/>
    <w:multiLevelType w:val="hybridMultilevel"/>
    <w:lvl w:ilvl="0">
      <w:lvlJc w:val="left"/>
      <w:lvlText w:val="%1"/>
      <w:numFmt w:val="lowerLetter"/>
      <w:start w:val="1"/>
    </w:lvl>
    <w:lvl w:ilvl="1">
      <w:lvlJc w:val="left"/>
      <w:lvlText w:val="(%2)"/>
      <w:numFmt w:val="lowerLetter"/>
      <w:start w:val="20"/>
    </w:lvl>
  </w:abstractNum>
  <w:abstractNum w:abstractNumId="10">
    <w:nsid w:val="5C482A97"/>
    <w:multiLevelType w:val="hybridMultilevel"/>
    <w:lvl w:ilvl="0">
      <w:lvlJc w:val="left"/>
      <w:lvlText w:val="(%1)"/>
      <w:numFmt w:val="lowerLetter"/>
      <w:start w:val="9"/>
    </w:lvl>
    <w:lvl w:ilvl="1">
      <w:lvlJc w:val="left"/>
      <w:lvlText w:val="(%2)"/>
      <w:numFmt w:val="lowerLetter"/>
      <w:start w:val="25"/>
    </w:lvl>
  </w:abstractNum>
  <w:abstractNum w:abstractNumId="11">
    <w:nsid w:val="2463B9EA"/>
    <w:multiLevelType w:val="hybridMultilevel"/>
    <w:lvl w:ilvl="0">
      <w:lvlJc w:val="left"/>
      <w:lvlText w:val="%1"/>
      <w:numFmt w:val="lowerLetter"/>
      <w:start w:val="1"/>
    </w:lvl>
    <w:lvl w:ilvl="1">
      <w:lvlJc w:val="left"/>
      <w:lvlText w:val="(%2)"/>
      <w:numFmt w:val="lowerLetter"/>
      <w:start w:val="26"/>
    </w:lvl>
  </w:abstractNum>
  <w:abstractNum w:abstractNumId="12">
    <w:nsid w:val="5E884ADC"/>
    <w:multiLevelType w:val="hybridMultilevel"/>
    <w:lvl w:ilvl="0">
      <w:lvlJc w:val="left"/>
      <w:lvlText w:val="(%1)"/>
      <w:numFmt w:val="lowerLetter"/>
      <w:start w:val="9"/>
    </w:lvl>
    <w:lvl w:ilvl="1">
      <w:lvlJc w:val="left"/>
      <w:lvlText w:val="(%2)"/>
      <w:numFmt w:val="lowerLetter"/>
      <w:start w:val="27"/>
    </w:lvl>
  </w:abstractNum>
  <w:abstractNum w:abstractNumId="13">
    <w:nsid w:val="51EAD36B"/>
    <w:multiLevelType w:val="hybridMultilevel"/>
    <w:lvl w:ilvl="0">
      <w:lvlJc w:val="left"/>
      <w:lvlText w:val="(%1)"/>
      <w:numFmt w:val="lowerLetter"/>
      <w:start w:val="31"/>
    </w:lvl>
  </w:abstractNum>
  <w:abstractNum w:abstractNumId="14">
    <w:nsid w:val="2D517796"/>
    <w:multiLevelType w:val="hybridMultilevel"/>
    <w:lvl w:ilvl="0">
      <w:lvlJc w:val="left"/>
      <w:lvlText w:val="(%1)"/>
      <w:numFmt w:val="lowerLetter"/>
      <w:start w:val="34"/>
    </w:lvl>
  </w:abstractNum>
  <w:abstractNum w:abstractNumId="15">
    <w:nsid w:val="580BD78F"/>
    <w:multiLevelType w:val="hybridMultilevel"/>
    <w:lvl w:ilvl="0">
      <w:lvlJc w:val="left"/>
      <w:lvlText w:val="%1"/>
      <w:numFmt w:val="lowerLetter"/>
      <w:start w:val="1"/>
    </w:lvl>
    <w:lvl w:ilvl="1">
      <w:lvlJc w:val="left"/>
      <w:lvlText w:val="(%2)"/>
      <w:numFmt w:val="lowerLetter"/>
      <w:start w:val="36"/>
    </w:lvl>
  </w:abstractNum>
  <w:abstractNum w:abstractNumId="16">
    <w:nsid w:val="153EA438"/>
    <w:multiLevelType w:val="hybridMultilevel"/>
    <w:lvl w:ilvl="0">
      <w:lvlJc w:val="left"/>
      <w:lvlText w:val="(%1)"/>
      <w:numFmt w:val="lowerLetter"/>
      <w:start w:val="61"/>
    </w:lvl>
    <w:lvl w:ilvl="1">
      <w:lvlJc w:val="left"/>
      <w:lvlText w:val="(%2)"/>
      <w:numFmt w:val="lowerLetter"/>
      <w:start w:val="43"/>
    </w:lvl>
  </w:abstractNum>
  <w:abstractNum w:abstractNumId="17">
    <w:nsid w:val="3855585C"/>
    <w:multiLevelType w:val="hybridMultilevel"/>
    <w:lvl w:ilvl="0">
      <w:lvlJc w:val="left"/>
      <w:lvlText w:val="(%1)"/>
      <w:numFmt w:val="lowerLetter"/>
      <w:start w:val="45"/>
    </w:lvl>
  </w:abstractNum>
  <w:abstractNum w:abstractNumId="18">
    <w:nsid w:val="70A64E2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9">
    <w:nsid w:val="6A2342EC"/>
    <w:multiLevelType w:val="hybridMultilevel"/>
    <w:lvl w:ilvl="0">
      <w:lvlJc w:val="left"/>
      <w:lvlText w:val="(%1)"/>
      <w:numFmt w:val="lowerRoman"/>
      <w:start w:val="2"/>
    </w:lvl>
  </w:abstractNum>
  <w:abstractNum w:abstractNumId="20">
    <w:nsid w:val="2A487CB0"/>
    <w:multiLevelType w:val="hybridMultilevel"/>
    <w:lvl w:ilvl="0">
      <w:lvlJc w:val="left"/>
      <w:lvlText w:val="(%1)"/>
      <w:numFmt w:val="lowerLetter"/>
      <w:start w:val="15"/>
    </w:lvl>
  </w:abstractNum>
  <w:abstractNum w:abstractNumId="21">
    <w:nsid w:val="1D4ED43B"/>
    <w:multiLevelType w:val="hybridMultilevel"/>
    <w:lvl w:ilvl="0">
      <w:lvlJc w:val="left"/>
      <w:lvlText w:val="(%1)"/>
      <w:numFmt w:val="lowerRoman"/>
      <w:start w:val="4"/>
    </w:lvl>
  </w:abstractNum>
  <w:abstractNum w:abstractNumId="22">
    <w:nsid w:val="725A06FB"/>
    <w:multiLevelType w:val="hybridMultilevel"/>
    <w:lvl w:ilvl="0">
      <w:lvlJc w:val="left"/>
      <w:lvlText w:val="(%1)"/>
      <w:numFmt w:val="lowerRoman"/>
      <w:start w:val="5"/>
    </w:lvl>
  </w:abstractNum>
  <w:abstractNum w:abstractNumId="23">
    <w:nsid w:val="2CD89A32"/>
    <w:multiLevelType w:val="hybridMultilevel"/>
    <w:lvl w:ilvl="0">
      <w:lvlJc w:val="left"/>
      <w:lvlText w:val="%1"/>
      <w:numFmt w:val="lowerLetter"/>
      <w:start w:val="1"/>
    </w:lvl>
    <w:lvl w:ilvl="1">
      <w:lvlJc w:val="left"/>
      <w:lvlText w:val="(%2)"/>
      <w:numFmt w:val="lowerRoman"/>
      <w:start w:val="7"/>
    </w:lvl>
  </w:abstractNum>
  <w:abstractNum w:abstractNumId="24">
    <w:nsid w:val="57E4CCAF"/>
    <w:multiLevelType w:val="hybridMultilevel"/>
    <w:lvl w:ilvl="0">
      <w:lvlJc w:val="left"/>
      <w:lvlText w:val="(%1)"/>
      <w:numFmt w:val="lowerLetter"/>
      <w:start w:val="2"/>
    </w:lvl>
    <w:lvl w:ilvl="1">
      <w:lvlJc w:val="left"/>
      <w:lvlText w:val="%2"/>
      <w:numFmt w:val="lowerRoman"/>
      <w:start w:val="1"/>
    </w:lvl>
  </w:abstractNum>
  <w:abstractNum w:abstractNumId="25">
    <w:nsid w:val="7A6D8D3C"/>
    <w:multiLevelType w:val="hybridMultilevel"/>
    <w:lvl w:ilvl="0">
      <w:lvlJc w:val="left"/>
      <w:lvlText w:val="%1"/>
      <w:numFmt w:val="decimal"/>
      <w:start w:val="1"/>
    </w:lvl>
    <w:lvl w:ilvl="1">
      <w:lvlJc w:val="left"/>
      <w:lvlText w:val="(%2)"/>
      <w:numFmt w:val="lowerLetter"/>
      <w:start w:val="5"/>
    </w:lvl>
  </w:abstractNum>
  <w:abstractNum w:abstractNumId="26">
    <w:nsid w:val="4B588F54"/>
    <w:multiLevelType w:val="hybridMultilevel"/>
    <w:lvl w:ilvl="0">
      <w:lvlJc w:val="left"/>
      <w:lvlText w:val="%1."/>
      <w:numFmt w:val="decimal"/>
      <w:start w:val="4"/>
    </w:lvl>
    <w:lvl w:ilvl="1">
      <w:lvlJc w:val="left"/>
      <w:lvlText w:val="%2"/>
      <w:numFmt w:val="lowerLetter"/>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4"/>
    </w:lvl>
  </w:abstractNum>
  <w:abstractNum w:abstractNumId="29">
    <w:nsid w:val="38437FDB"/>
    <w:multiLevelType w:val="hybridMultilevel"/>
    <w:lvl w:ilvl="0">
      <w:lvlJc w:val="left"/>
      <w:lvlText w:val="(%1)"/>
      <w:numFmt w:val="lowerLetter"/>
      <w:start w:val="10"/>
    </w:lvl>
  </w:abstractNum>
  <w:abstractNum w:abstractNumId="30">
    <w:nsid w:val="7644A45C"/>
    <w:multiLevelType w:val="hybridMultilevel"/>
    <w:lvl w:ilvl="0">
      <w:lvlJc w:val="left"/>
      <w:lvlText w:val="(%1)"/>
      <w:numFmt w:val="lowerLetter"/>
      <w:start w:val="15"/>
    </w:lvl>
  </w:abstractNum>
  <w:abstractNum w:abstractNumId="31">
    <w:nsid w:val="32FFF902"/>
    <w:multiLevelType w:val="hybridMultilevel"/>
    <w:lvl w:ilvl="0">
      <w:lvlJc w:val="left"/>
      <w:lvlText w:val="(%1)"/>
      <w:numFmt w:val="lowerLetter"/>
      <w:start w:val="17"/>
    </w:lvl>
  </w:abstractNum>
  <w:abstractNum w:abstractNumId="32">
    <w:nsid w:val="684A481A"/>
    <w:multiLevelType w:val="hybridMultilevel"/>
    <w:lvl w:ilvl="0">
      <w:lvlJc w:val="left"/>
      <w:lvlText w:val="(%1)"/>
      <w:numFmt w:val="lowerLetter"/>
      <w:start w:val="21"/>
    </w:lvl>
  </w:abstractNum>
  <w:abstractNum w:abstractNumId="33">
    <w:nsid w:val="579478FE"/>
    <w:multiLevelType w:val="hybridMultilevel"/>
    <w:lvl w:ilvl="0">
      <w:lvlJc w:val="left"/>
      <w:lvlText w:val="%1"/>
      <w:numFmt w:val="decimal"/>
      <w:start w:val="1"/>
    </w:lvl>
    <w:lvl w:ilvl="1">
      <w:lvlJc w:val="left"/>
      <w:lvlText w:val="(%2)"/>
      <w:numFmt w:val="lowerLetter"/>
      <w:start w:val="27"/>
    </w:lvl>
  </w:abstractNum>
  <w:abstractNum w:abstractNumId="34">
    <w:nsid w:val="749ABB43"/>
    <w:multiLevelType w:val="hybridMultilevel"/>
    <w:lvl w:ilvl="0">
      <w:lvlJc w:val="left"/>
      <w:lvlText w:val="%1."/>
      <w:numFmt w:val="decimal"/>
      <w:start w:val="5"/>
    </w:lvl>
    <w:lvl w:ilvl="1">
      <w:lvlJc w:val="left"/>
      <w:lvlText w:val="%2"/>
      <w:numFmt w:val="lowerLetter"/>
      <w:start w:val="1"/>
    </w:lvl>
  </w:abstractNum>
  <w:abstractNum w:abstractNumId="35">
    <w:nsid w:val="3DC240F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6">
    <w:nsid w:val="1BA026F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7">
    <w:nsid w:val="79A1DEAA"/>
    <w:multiLevelType w:val="hybridMultilevel"/>
    <w:lvl w:ilvl="0">
      <w:lvlJc w:val="left"/>
      <w:lvlText w:val="(%1)"/>
      <w:numFmt w:val="lowerLetter"/>
      <w:start w:val="4"/>
    </w:lvl>
  </w:abstractNum>
  <w:abstractNum w:abstractNumId="38">
    <w:nsid w:val="75C6C33A"/>
    <w:multiLevelType w:val="hybridMultilevel"/>
    <w:lvl w:ilvl="0">
      <w:lvlJc w:val="left"/>
      <w:lvlText w:val="(%1)"/>
      <w:numFmt w:val="lowerLetter"/>
      <w:start w:val="8"/>
    </w:lvl>
  </w:abstractNum>
  <w:abstractNum w:abstractNumId="39">
    <w:nsid w:val="12E685FB"/>
    <w:multiLevelType w:val="hybridMultilevel"/>
    <w:lvl w:ilvl="0">
      <w:lvlJc w:val="left"/>
      <w:lvlText w:val="%1."/>
      <w:numFmt w:val="decimal"/>
      <w:start w:val="7"/>
    </w:lvl>
    <w:lvl w:ilvl="1">
      <w:lvlJc w:val="left"/>
      <w:lvlText w:val="(%2)"/>
      <w:numFmt w:val="lowerLetter"/>
      <w:start w:val="1"/>
    </w:lvl>
  </w:abstractNum>
  <w:abstractNum w:abstractNumId="40">
    <w:nsid w:val="70C6A529"/>
    <w:multiLevelType w:val="hybridMultilevel"/>
    <w:lvl w:ilvl="0">
      <w:lvlJc w:val="left"/>
      <w:lvlText w:val="%1"/>
      <w:numFmt w:val="lowerLetter"/>
      <w:start w:val="1"/>
    </w:lvl>
    <w:lvl w:ilvl="1">
      <w:lvlJc w:val="left"/>
      <w:lvlText w:val="(%2)"/>
      <w:numFmt w:val="lowerLetter"/>
      <w:start w:val="4"/>
    </w:lvl>
  </w:abstractNum>
  <w:abstractNum w:abstractNumId="41">
    <w:nsid w:val="520EEDD1"/>
    <w:multiLevelType w:val="hybridMultilevel"/>
    <w:lvl w:ilvl="0">
      <w:lvlJc w:val="left"/>
      <w:lvlText w:val="(%1)"/>
      <w:numFmt w:val="lowerLetter"/>
      <w:start w:val="3"/>
    </w:lvl>
    <w:lvl w:ilvl="1">
      <w:lvlJc w:val="left"/>
      <w:lvlText w:val="(%2)"/>
      <w:numFmt w:val="lowerLetter"/>
      <w:start w:val="5"/>
    </w:lvl>
  </w:abstractNum>
  <w:abstractNum w:abstractNumId="42">
    <w:nsid w:val="374A3FE6"/>
    <w:multiLevelType w:val="hybridMultilevel"/>
    <w:lvl w:ilvl="0">
      <w:lvlJc w:val="left"/>
      <w:lvlText w:val="(%1)"/>
      <w:numFmt w:val="lowerLetter"/>
      <w:start w:val="4"/>
    </w:lvl>
    <w:lvl w:ilvl="1">
      <w:lvlJc w:val="left"/>
      <w:lvlText w:val="(%2)"/>
      <w:numFmt w:val="lowerLetter"/>
      <w:start w:val="6"/>
    </w:lvl>
  </w:abstractNum>
  <w:abstractNum w:abstractNumId="43">
    <w:nsid w:val="4F4EF005"/>
    <w:multiLevelType w:val="hybridMultilevel"/>
    <w:lvl w:ilvl="0">
      <w:lvlJc w:val="left"/>
      <w:lvlText w:val="(%1)"/>
      <w:numFmt w:val="lowerLetter"/>
      <w:start w:val="35"/>
    </w:lvl>
    <w:lvl w:ilvl="1">
      <w:lvlJc w:val="left"/>
      <w:lvlText w:val="%2"/>
      <w:numFmt w:val="lowerLetter"/>
      <w:start w:val="1"/>
    </w:lvl>
  </w:abstractNum>
  <w:abstractNum w:abstractNumId="44">
    <w:nsid w:val="23F9C13C"/>
    <w:multiLevelType w:val="hybridMultilevel"/>
    <w:lvl w:ilvl="0">
      <w:lvlJc w:val="left"/>
      <w:lvlText w:val="(%1)"/>
      <w:numFmt w:val="lowerLetter"/>
      <w:start w:val="7"/>
    </w:lvl>
  </w:abstractNum>
  <w:abstractNum w:abstractNumId="45">
    <w:nsid w:val="649BB77C"/>
    <w:multiLevelType w:val="hybridMultilevel"/>
    <w:lvl w:ilvl="0">
      <w:lvlJc w:val="left"/>
      <w:lvlText w:val="%1."/>
      <w:numFmt w:val="decimal"/>
      <w:start w:val="8"/>
    </w:lvl>
    <w:lvl w:ilvl="1">
      <w:lvlJc w:val="left"/>
      <w:lvlText w:val="(%2)"/>
      <w:numFmt w:val="lowerLetter"/>
      <w:start w:val="1"/>
    </w:lvl>
  </w:abstractNum>
  <w:abstractNum w:abstractNumId="46">
    <w:nsid w:val="275AC794"/>
    <w:multiLevelType w:val="hybridMultilevel"/>
    <w:lvl w:ilvl="0">
      <w:lvlJc w:val="left"/>
      <w:lvlText w:val="%1"/>
      <w:numFmt w:val="lowerLetter"/>
      <w:start w:val="1"/>
    </w:lvl>
    <w:lvl w:ilvl="1">
      <w:lvlJc w:val="left"/>
      <w:lvlText w:val="(%2)"/>
      <w:numFmt w:val="lowerLetter"/>
      <w:start w:val="3"/>
    </w:lvl>
  </w:abstractNum>
  <w:abstractNum w:abstractNumId="47">
    <w:nsid w:val="39386575"/>
    <w:multiLevelType w:val="hybridMultilevel"/>
    <w:lvl w:ilvl="0">
      <w:lvlJc w:val="left"/>
      <w:lvlText w:val="(%1)"/>
      <w:numFmt w:val="lowerLetter"/>
      <w:start w:val="61"/>
    </w:lvl>
    <w:lvl w:ilvl="1">
      <w:lvlJc w:val="left"/>
      <w:lvlText w:val="%2"/>
      <w:numFmt w:val="lowerLetter"/>
      <w:start w:val="1"/>
    </w:lvl>
  </w:abstractNum>
  <w:abstractNum w:abstractNumId="48">
    <w:nsid w:val="1CF10FD8"/>
    <w:multiLevelType w:val="hybridMultilevel"/>
    <w:lvl w:ilvl="0">
      <w:lvlJc w:val="left"/>
      <w:lvlText w:val="%1."/>
      <w:numFmt w:val="decimal"/>
      <w:start w:val="9"/>
    </w:lvl>
  </w:abstractNum>
  <w:abstractNum w:abstractNumId="49">
    <w:nsid w:val="180115BE"/>
    <w:multiLevelType w:val="hybridMultilevel"/>
    <w:lvl w:ilvl="0">
      <w:lvlJc w:val="left"/>
      <w:lvlText w:val="%1."/>
      <w:numFmt w:val="decimal"/>
      <w:start w:val="11"/>
    </w:lvl>
  </w:abstractNum>
  <w:abstractNum w:abstractNumId="50">
    <w:nsid w:val="235BA861"/>
    <w:multiLevelType w:val="hybridMultilevel"/>
    <w:lvl w:ilvl="0">
      <w:lvlJc w:val="left"/>
      <w:lvlText w:val="%1."/>
      <w:numFmt w:val="decimal"/>
      <w:start w:val="14"/>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lowerRoman"/>
      <w:start w:val="1"/>
    </w:lvl>
  </w:abstractNum>
  <w:abstractNum w:abstractNumId="54">
    <w:nsid w:val="741226BB"/>
    <w:multiLevelType w:val="hybridMultilevel"/>
    <w:lvl w:ilvl="0">
      <w:lvlJc w:val="left"/>
      <w:lvlText w:val="%1"/>
      <w:numFmt w:val="upperLetter"/>
      <w:start w:val="1"/>
    </w:lvl>
    <w:lvl w:ilvl="1">
      <w:lvlJc w:val="left"/>
      <w:lvlText w:val="(%2)"/>
      <w:numFmt w:val="lowerRoman"/>
      <w:start w:val="4"/>
    </w:lvl>
  </w:abstractNum>
  <w:abstractNum w:abstractNumId="55">
    <w:nsid w:val="D34B6A8"/>
    <w:multiLevelType w:val="hybridMultilevel"/>
    <w:lvl w:ilvl="0">
      <w:lvlJc w:val="left"/>
      <w:lvlText w:val="(%1)"/>
      <w:numFmt w:val="upperLetter"/>
      <w:start w:val="1"/>
    </w:lvl>
    <w:lvl w:ilvl="1">
      <w:lvlJc w:val="left"/>
      <w:lvlText w:val="(%2)"/>
      <w:numFmt w:val="lowerRoman"/>
      <w:start w:val="6"/>
    </w:lvl>
  </w:abstractNum>
  <w:abstractNum w:abstractNumId="56">
    <w:nsid w:val="10233C99"/>
    <w:multiLevelType w:val="hybridMultilevel"/>
    <w:lvl w:ilvl="0">
      <w:lvlJc w:val="left"/>
      <w:lvlText w:val="(%1)"/>
      <w:numFmt w:val="lowerRoman"/>
      <w:start w:val="7"/>
    </w:lvl>
  </w:abstractNum>
  <w:abstractNum w:abstractNumId="57">
    <w:nsid w:val="3F6AB60F"/>
    <w:multiLevelType w:val="hybridMultilevel"/>
    <w:lvl w:ilvl="0">
      <w:lvlJc w:val="left"/>
      <w:lvlText w:val="(%1)"/>
      <w:numFmt w:val="lowerRoman"/>
      <w:start w:val="14"/>
    </w:lvl>
  </w:abstractNum>
  <w:abstractNum w:abstractNumId="58">
    <w:nsid w:val="61574095"/>
    <w:multiLevelType w:val="hybridMultilevel"/>
    <w:lvl w:ilvl="0">
      <w:lvlJc w:val="left"/>
      <w:lvlText w:val="(%1)"/>
      <w:numFmt w:val="upperLetter"/>
      <w:start w:val="1"/>
    </w:lvl>
  </w:abstractNum>
  <w:abstractNum w:abstractNumId="59">
    <w:nsid w:val="7E0C57B1"/>
    <w:multiLevelType w:val="hybridMultilevel"/>
    <w:lvl w:ilvl="0">
      <w:lvlJc w:val="left"/>
      <w:lvlText w:val="(%1)"/>
      <w:numFmt w:val="lowerRoman"/>
      <w:start w:val="1"/>
    </w:lvl>
  </w:abstractNum>
  <w:abstractNum w:abstractNumId="60">
    <w:nsid w:val="77AE35EB"/>
    <w:multiLevelType w:val="hybridMultilevel"/>
    <w:lvl w:ilvl="0">
      <w:lvlJc w:val="left"/>
      <w:lvlText w:val="(%1)"/>
      <w:numFmt w:val="upperLetter"/>
      <w:start w:val="1"/>
    </w:lvl>
  </w:abstractNum>
  <w:abstractNum w:abstractNumId="61">
    <w:nsid w:val="579BE4F1"/>
    <w:multiLevelType w:val="hybridMultilevel"/>
    <w:lvl w:ilvl="0">
      <w:lvlJc w:val="left"/>
      <w:lvlText w:val="(%1)"/>
      <w:numFmt w:val="lowerRoman"/>
      <w:start w:val="1"/>
    </w:lvl>
  </w:abstractNum>
  <w:abstractNum w:abstractNumId="62">
    <w:nsid w:val="310C50B3"/>
    <w:multiLevelType w:val="hybridMultilevel"/>
    <w:lvl w:ilvl="0">
      <w:lvlJc w:val="left"/>
      <w:lvlText w:val="(%1)"/>
      <w:numFmt w:val="lowerRoman"/>
      <w:start w:val="4"/>
    </w:lvl>
  </w:abstractNum>
  <w:abstractNum w:abstractNumId="63">
    <w:nsid w:val="5FF87E05"/>
    <w:multiLevelType w:val="hybridMultilevel"/>
    <w:lvl w:ilvl="0">
      <w:lvlJc w:val="left"/>
      <w:lvlText w:val="(%1)"/>
      <w:numFmt w:val="lowerRoman"/>
      <w:start w:val="5"/>
    </w:lvl>
  </w:abstractNum>
  <w:abstractNum w:abstractNumId="64">
    <w:nsid w:val="2F305DE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2020-01-22T03:20:08Z</dcterms:created>
  <dcterms:modified xsi:type="dcterms:W3CDTF">2020-01-22T03:20:08Z</dcterms:modified>
</cp:coreProperties>
</file>