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February 9, 2022</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8"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4"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080"/>
          </w:cols>
          <w:pgMar w:left="320" w:top="1274" w:right="499" w:bottom="1440" w:gutter="0" w:footer="0" w:header="0"/>
          <w:type w:val="continuous"/>
        </w:sectPr>
      </w:pP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33"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right="120" w:firstLine="172"/>
        <w:spacing w:after="0" w:line="285" w:lineRule="auto"/>
        <w:rPr>
          <w:sz w:val="20"/>
          <w:szCs w:val="20"/>
          <w:color w:val="auto"/>
        </w:rPr>
      </w:pPr>
      <w:r>
        <w:rPr>
          <w:rFonts w:ascii="Arial" w:cs="Arial" w:eastAsia="Arial" w:hAnsi="Arial"/>
          <w:sz w:val="16"/>
          <w:szCs w:val="16"/>
          <w:color w:val="auto"/>
        </w:rPr>
        <w:t>On February 9, 2022, the Registrant issued a press release reporting its fourth-quarter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240" w:type="dxa"/>
            <w:vAlign w:val="bottom"/>
            <w:gridSpan w:val="2"/>
          </w:tcPr>
          <w:p>
            <w:pPr>
              <w:ind w:left="640"/>
              <w:spacing w:after="0"/>
              <w:rPr>
                <w:sz w:val="20"/>
                <w:szCs w:val="20"/>
                <w:color w:val="auto"/>
              </w:rPr>
            </w:pPr>
            <w:r>
              <w:rPr>
                <w:rFonts w:ascii="Arial" w:cs="Arial" w:eastAsia="Arial" w:hAnsi="Arial"/>
                <w:sz w:val="16"/>
                <w:szCs w:val="16"/>
                <w:b w:val="1"/>
                <w:bCs w:val="1"/>
                <w:color w:val="auto"/>
              </w:rPr>
              <w:t>Exhibit</w:t>
            </w: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180" w:type="dxa"/>
            <w:vAlign w:val="bottom"/>
            <w:vMerge w:val="restart"/>
          </w:tcPr>
          <w:p>
            <w:pPr>
              <w:jc w:val="right"/>
              <w:ind w:right="2922"/>
              <w:spacing w:after="0"/>
              <w:rPr>
                <w:sz w:val="20"/>
                <w:szCs w:val="20"/>
                <w:color w:val="auto"/>
              </w:rPr>
            </w:pPr>
            <w:r>
              <w:rPr>
                <w:rFonts w:ascii="Arial" w:cs="Arial" w:eastAsia="Arial" w:hAnsi="Arial"/>
                <w:sz w:val="16"/>
                <w:szCs w:val="16"/>
                <w:b w:val="1"/>
                <w:bCs w:val="1"/>
                <w:color w:val="auto"/>
              </w:rPr>
              <w:t>Description</w:t>
            </w:r>
          </w:p>
        </w:tc>
        <w:tc>
          <w:tcPr>
            <w:tcW w:w="19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jc w:val="right"/>
              <w:ind w:right="42"/>
              <w:spacing w:after="0" w:line="176"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0" w:type="dxa"/>
            <w:vAlign w:val="bottom"/>
            <w:tcBorders>
              <w:bottom w:val="single" w:sz="8" w:color="0000FF"/>
            </w:tcBorders>
          </w:tcPr>
          <w:p>
            <w:pPr>
              <w:spacing w:after="0" w:line="176"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Press Release dated February 9, 2022</w:t>
              </w:r>
            </w:hyperlink>
          </w:p>
        </w:tc>
        <w:tc>
          <w:tcPr>
            <w:tcW w:w="6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80" w:type="dxa"/>
            <w:vAlign w:val="bottom"/>
            <w:gridSpan w:val="2"/>
          </w:tcPr>
          <w:p>
            <w:pPr>
              <w:jc w:val="right"/>
              <w:ind w:right="62"/>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6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292"/>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3"/>
          </w:tcPr>
          <w:p>
            <w:pPr>
              <w:jc w:val="right"/>
              <w:ind w:right="3522"/>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19"/>
        </w:trPr>
        <w:tc>
          <w:tcPr>
            <w:tcW w:w="2880" w:type="dxa"/>
            <w:vAlign w:val="bottom"/>
          </w:tcPr>
          <w:p>
            <w:pPr>
              <w:spacing w:after="0"/>
              <w:rPr>
                <w:sz w:val="19"/>
                <w:szCs w:val="19"/>
                <w:color w:val="auto"/>
              </w:rPr>
            </w:pPr>
          </w:p>
        </w:tc>
        <w:tc>
          <w:tcPr>
            <w:tcW w:w="7200" w:type="dxa"/>
            <w:vAlign w:val="bottom"/>
            <w:gridSpan w:val="3"/>
          </w:tcPr>
          <w:p>
            <w:pPr>
              <w:ind w:left="1260"/>
              <w:spacing w:after="0"/>
              <w:rPr>
                <w:sz w:val="20"/>
                <w:szCs w:val="20"/>
                <w:color w:val="auto"/>
              </w:rPr>
            </w:pPr>
            <w:r>
              <w:rPr>
                <w:rFonts w:ascii="Arial" w:cs="Arial" w:eastAsia="Arial" w:hAnsi="Arial"/>
                <w:sz w:val="17"/>
                <w:szCs w:val="17"/>
                <w:color w:val="auto"/>
              </w:rPr>
              <w:t>PLAINS GP HOLDINGS, L.P.</w:t>
            </w:r>
          </w:p>
        </w:tc>
      </w:tr>
      <w:tr>
        <w:trPr>
          <w:trHeight w:val="478"/>
        </w:trPr>
        <w:tc>
          <w:tcPr>
            <w:tcW w:w="288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17"/>
                <w:szCs w:val="17"/>
                <w:color w:val="auto"/>
              </w:rPr>
              <w:t>By:</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2880" w:type="dxa"/>
            <w:vAlign w:val="bottom"/>
          </w:tcPr>
          <w:p>
            <w:pPr>
              <w:spacing w:after="0"/>
              <w:rPr>
                <w:sz w:val="20"/>
                <w:szCs w:val="20"/>
                <w:color w:val="auto"/>
              </w:rPr>
            </w:pPr>
            <w:r>
              <w:rPr>
                <w:rFonts w:ascii="Arial" w:cs="Arial" w:eastAsia="Arial" w:hAnsi="Arial"/>
                <w:sz w:val="17"/>
                <w:szCs w:val="17"/>
                <w:color w:val="auto"/>
              </w:rPr>
              <w:t>Date: February 9, 2022</w:t>
            </w:r>
          </w:p>
        </w:tc>
        <w:tc>
          <w:tcPr>
            <w:tcW w:w="1540" w:type="dxa"/>
            <w:vAlign w:val="bottom"/>
          </w:tcPr>
          <w:p>
            <w:pPr>
              <w:ind w:left="1260"/>
              <w:spacing w:after="0"/>
              <w:rPr>
                <w:sz w:val="20"/>
                <w:szCs w:val="20"/>
                <w:color w:val="auto"/>
              </w:rPr>
            </w:pPr>
            <w:r>
              <w:rPr>
                <w:rFonts w:ascii="Arial" w:cs="Arial" w:eastAsia="Arial" w:hAnsi="Arial"/>
                <w:sz w:val="17"/>
                <w:szCs w:val="17"/>
                <w:color w:val="auto"/>
              </w:rPr>
              <w:t>By:</w:t>
            </w: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/s/ Al Swanson</w:t>
            </w:r>
          </w:p>
        </w:tc>
        <w:tc>
          <w:tcPr>
            <w:tcW w:w="3940" w:type="dxa"/>
            <w:vAlign w:val="bottom"/>
            <w:tcBorders>
              <w:bottom w:val="single" w:sz="8" w:color="auto"/>
            </w:tcBorders>
          </w:tcPr>
          <w:p>
            <w:pPr>
              <w:spacing w:after="0"/>
              <w:rPr>
                <w:sz w:val="24"/>
                <w:szCs w:val="24"/>
                <w:color w:val="auto"/>
              </w:rPr>
            </w:pPr>
          </w:p>
        </w:tc>
      </w:tr>
      <w:tr>
        <w:trPr>
          <w:trHeight w:val="213"/>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Name:</w:t>
            </w:r>
          </w:p>
        </w:tc>
        <w:tc>
          <w:tcPr>
            <w:tcW w:w="3940" w:type="dxa"/>
            <w:vAlign w:val="bottom"/>
          </w:tcPr>
          <w:p>
            <w:pPr>
              <w:ind w:left="40"/>
              <w:spacing w:after="0"/>
              <w:rPr>
                <w:sz w:val="20"/>
                <w:szCs w:val="20"/>
                <w:color w:val="auto"/>
              </w:rPr>
            </w:pPr>
            <w:r>
              <w:rPr>
                <w:rFonts w:ascii="Arial" w:cs="Arial" w:eastAsia="Arial" w:hAnsi="Arial"/>
                <w:sz w:val="17"/>
                <w:szCs w:val="17"/>
                <w:color w:val="auto"/>
              </w:rPr>
              <w:t>Al Swanson</w:t>
            </w: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Title:</w:t>
            </w:r>
          </w:p>
        </w:tc>
        <w:tc>
          <w:tcPr>
            <w:tcW w:w="3940" w:type="dxa"/>
            <w:vAlign w:val="bottom"/>
          </w:tcPr>
          <w:p>
            <w:pPr>
              <w:ind w:left="40"/>
              <w:spacing w:after="0"/>
              <w:rPr>
                <w:sz w:val="20"/>
                <w:szCs w:val="20"/>
                <w:color w:val="auto"/>
              </w:rPr>
            </w:pPr>
            <w:r>
              <w:rPr>
                <w:rFonts w:ascii="Arial" w:cs="Arial" w:eastAsia="Arial" w:hAnsi="Arial"/>
                <w:sz w:val="17"/>
                <w:szCs w:val="17"/>
                <w:i w:val="1"/>
                <w:iCs w:val="1"/>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Fourth-Quarter and Full-Year 2021 Results</w:t>
      </w:r>
    </w:p>
    <w:p>
      <w:pPr>
        <w:spacing w:after="0" w:line="244" w:lineRule="exact"/>
        <w:rPr>
          <w:sz w:val="20"/>
          <w:szCs w:val="20"/>
          <w:color w:val="auto"/>
        </w:rPr>
      </w:pPr>
    </w:p>
    <w:p>
      <w:pPr>
        <w:ind w:right="200" w:firstLine="172"/>
        <w:spacing w:after="0" w:line="283" w:lineRule="auto"/>
        <w:rPr>
          <w:sz w:val="20"/>
          <w:szCs w:val="20"/>
          <w:color w:val="auto"/>
        </w:rPr>
      </w:pPr>
      <w:r>
        <w:rPr>
          <w:rFonts w:ascii="Arial" w:cs="Arial" w:eastAsia="Arial" w:hAnsi="Arial"/>
          <w:sz w:val="17"/>
          <w:szCs w:val="17"/>
          <w:color w:val="auto"/>
        </w:rPr>
        <w:t>(Houston — February 9, 2022) Plains All American Pipeline, L.P. (Nasdaq: PAA) and Plains GP Holdings (Nasdaq: PAGP) today reported fourth-quarter and full-year 2021 results and provided the following updates: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Highlights</w:t>
      </w:r>
    </w:p>
    <w:p>
      <w:pPr>
        <w:spacing w:after="0" w:line="289" w:lineRule="exact"/>
        <w:rPr>
          <w:sz w:val="20"/>
          <w:szCs w:val="20"/>
          <w:color w:val="auto"/>
        </w:rPr>
      </w:pPr>
    </w:p>
    <w:p>
      <w:pPr>
        <w:ind w:left="620" w:right="180" w:hanging="307"/>
        <w:spacing w:after="0" w:line="234" w:lineRule="auto"/>
        <w:tabs>
          <w:tab w:leader="none" w:pos="615" w:val="left"/>
        </w:tabs>
        <w:numPr>
          <w:ilvl w:val="0"/>
          <w:numId w:val="2"/>
        </w:numPr>
        <w:rPr>
          <w:rFonts w:ascii="Arial" w:cs="Arial" w:eastAsia="Arial" w:hAnsi="Arial"/>
          <w:sz w:val="21"/>
          <w:szCs w:val="21"/>
          <w:color w:val="auto"/>
        </w:rPr>
      </w:pPr>
      <w:r>
        <w:rPr>
          <w:rFonts w:ascii="Arial" w:cs="Arial" w:eastAsia="Arial" w:hAnsi="Arial"/>
          <w:sz w:val="17"/>
          <w:szCs w:val="17"/>
          <w:color w:val="auto"/>
        </w:rPr>
        <w:t>Reported fourth-quarter and full-year 2021 Net income attributable to PAA of $450 million and $593 million, respectively, and 2021 Net cash provided by operating activities of $635 million and $1,996 million, respectively</w:t>
      </w:r>
    </w:p>
    <w:p>
      <w:pPr>
        <w:spacing w:after="0" w:line="236"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17"/>
          <w:szCs w:val="17"/>
          <w:color w:val="auto"/>
        </w:rPr>
        <w:t>Reported fourth-quarter and full-year 2021 Adjusted EBITDA attributable to PAA of $564 million and $2,196 million, respectively</w:t>
      </w:r>
    </w:p>
    <w:p>
      <w:pPr>
        <w:spacing w:after="0" w:line="258" w:lineRule="exact"/>
        <w:rPr>
          <w:rFonts w:ascii="Arial" w:cs="Arial" w:eastAsia="Arial" w:hAnsi="Arial"/>
          <w:sz w:val="21"/>
          <w:szCs w:val="21"/>
          <w:color w:val="auto"/>
        </w:rPr>
      </w:pPr>
    </w:p>
    <w:p>
      <w:pPr>
        <w:ind w:left="620" w:right="180" w:hanging="307"/>
        <w:spacing w:after="0" w:line="234" w:lineRule="auto"/>
        <w:tabs>
          <w:tab w:leader="none" w:pos="615" w:val="left"/>
        </w:tabs>
        <w:numPr>
          <w:ilvl w:val="0"/>
          <w:numId w:val="2"/>
        </w:numPr>
        <w:rPr>
          <w:rFonts w:ascii="Arial" w:cs="Arial" w:eastAsia="Arial" w:hAnsi="Arial"/>
          <w:sz w:val="21"/>
          <w:szCs w:val="21"/>
          <w:color w:val="auto"/>
        </w:rPr>
      </w:pPr>
      <w:r>
        <w:rPr>
          <w:rFonts w:ascii="Arial" w:cs="Arial" w:eastAsia="Arial" w:hAnsi="Arial"/>
          <w:sz w:val="17"/>
          <w:szCs w:val="17"/>
          <w:color w:val="auto"/>
        </w:rPr>
        <w:t>Generated full-year 2021 Free Cash Flow after Distributions, including $875 million of net asset sales proceeds, of $1.65 billion, or $600 million above initial February 2021 expectations</w:t>
      </w:r>
    </w:p>
    <w:p>
      <w:pPr>
        <w:spacing w:after="0" w:line="258" w:lineRule="exact"/>
        <w:rPr>
          <w:rFonts w:ascii="Arial" w:cs="Arial" w:eastAsia="Arial" w:hAnsi="Arial"/>
          <w:sz w:val="21"/>
          <w:szCs w:val="21"/>
          <w:color w:val="auto"/>
        </w:rPr>
      </w:pPr>
    </w:p>
    <w:p>
      <w:pPr>
        <w:ind w:left="620" w:right="320" w:hanging="307"/>
        <w:spacing w:after="0" w:line="234" w:lineRule="auto"/>
        <w:tabs>
          <w:tab w:leader="none" w:pos="615" w:val="left"/>
        </w:tabs>
        <w:numPr>
          <w:ilvl w:val="0"/>
          <w:numId w:val="2"/>
        </w:numPr>
        <w:rPr>
          <w:rFonts w:ascii="Arial" w:cs="Arial" w:eastAsia="Arial" w:hAnsi="Arial"/>
          <w:sz w:val="21"/>
          <w:szCs w:val="21"/>
          <w:color w:val="auto"/>
        </w:rPr>
      </w:pPr>
      <w:r>
        <w:rPr>
          <w:rFonts w:ascii="Arial" w:cs="Arial" w:eastAsia="Arial" w:hAnsi="Arial"/>
          <w:sz w:val="17"/>
          <w:szCs w:val="17"/>
          <w:color w:val="auto"/>
        </w:rPr>
        <w:t>Reduced total debt by approximately $1 billion and repurchased approximately $175 million of PAA common units (approximately 2.5% of common equity float) during 2021</w:t>
      </w:r>
    </w:p>
    <w:p>
      <w:pPr>
        <w:spacing w:after="0" w:line="248"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16"/>
          <w:szCs w:val="16"/>
          <w:color w:val="auto"/>
        </w:rPr>
        <w:t>Furnished full-year 2022 Adjusted EBITDA attributable to PAA and Free Cash Flow guidance of +/- $2.2 billion and +/- $1.4 billion,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Allocation Update</w:t>
      </w:r>
    </w:p>
    <w:p>
      <w:pPr>
        <w:spacing w:after="0" w:line="250"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Plains remains focused on maximizing Free Cash Flow and allocating it through a balanced approach, with a continued near-team prioritization towards debt reduction while increasing cash returned to our equity holders over time. As a result of meaningful progress reducing debt and an improved business outlook, the company plans to continue increasing cash returned to equity holders through a combination of distribution growth and discretionary common equity repurchases under the $500 million repurchase authorization. Plains has repurchased approximately $228 million of common equity, or 24.3 million common units at an average price of $9.40 since the program was established in November 2020.</w:t>
      </w:r>
    </w:p>
    <w:p>
      <w:pPr>
        <w:spacing w:after="0" w:line="203" w:lineRule="exact"/>
        <w:rPr>
          <w:sz w:val="20"/>
          <w:szCs w:val="20"/>
          <w:color w:val="auto"/>
        </w:rPr>
      </w:pPr>
    </w:p>
    <w:p>
      <w:pPr>
        <w:ind w:right="360" w:firstLine="620"/>
        <w:spacing w:after="0" w:line="320" w:lineRule="auto"/>
        <w:rPr>
          <w:sz w:val="20"/>
          <w:szCs w:val="20"/>
          <w:color w:val="auto"/>
        </w:rPr>
      </w:pPr>
      <w:r>
        <w:rPr>
          <w:rFonts w:ascii="Arial" w:cs="Arial" w:eastAsia="Arial" w:hAnsi="Arial"/>
          <w:sz w:val="15"/>
          <w:szCs w:val="15"/>
          <w:color w:val="auto"/>
        </w:rPr>
        <w:t>For our first quarter 2022 distribution payable in May 2022, management intends to recommend to the Board of Directors of PAA GP Holdings LLC (“the Plains Board”) an increase to PAA’s and PAGP’s annualized distribution from $0.72 to $0.87 per common unit and Class A share. Consistent with past practice, the Plains Board will consider management’s recommendation prior to its approval and declaration of the distribution for the first quarter of 2022.</w:t>
      </w:r>
    </w:p>
    <w:p>
      <w:pPr>
        <w:spacing w:after="0" w:line="163" w:lineRule="exact"/>
        <w:rPr>
          <w:sz w:val="20"/>
          <w:szCs w:val="20"/>
          <w:color w:val="auto"/>
        </w:rPr>
      </w:pPr>
    </w:p>
    <w:p>
      <w:pPr>
        <w:ind w:right="40" w:firstLine="620"/>
        <w:spacing w:after="0" w:line="292" w:lineRule="auto"/>
        <w:rPr>
          <w:sz w:val="20"/>
          <w:szCs w:val="20"/>
          <w:color w:val="auto"/>
        </w:rPr>
      </w:pPr>
      <w:r>
        <w:rPr>
          <w:rFonts w:ascii="Arial" w:cs="Arial" w:eastAsia="Arial" w:hAnsi="Arial"/>
          <w:sz w:val="15"/>
          <w:szCs w:val="15"/>
          <w:color w:val="auto"/>
        </w:rPr>
        <w:t>“2021 was a year of solid execution, maximizing Free Cash Flow, reducing absolute levels of debt, returning cash to our equity holders, optimizing our business and advancing our sustainability efforts,” stated Willie Chiang, Chairman and CEO of Plains. “Looking forward, Plains is well positioned to generate significant cash flow on a multi-year basis. The fundamentals supporting our business have meaningfully improved with the Permian Basin positioned to drive U.S. production growth and Plains is well positioned to service this growth. We remain focused on allocating our cash flow in a balanced manner, prioritizing debt</w:t>
      </w:r>
    </w:p>
    <w:p>
      <w:pPr>
        <w:jc w:val="center"/>
        <w:ind w:right="340"/>
        <w:spacing w:after="0" w:line="230" w:lineRule="auto"/>
        <w:rPr>
          <w:sz w:val="20"/>
          <w:szCs w:val="20"/>
          <w:color w:val="auto"/>
        </w:rPr>
      </w:pPr>
      <w:r>
        <w:rPr>
          <w:rFonts w:ascii="Arial" w:cs="Arial" w:eastAsia="Arial" w:hAnsi="Arial"/>
          <w:sz w:val="17"/>
          <w:szCs w:val="17"/>
          <w:color w:val="auto"/>
        </w:rPr>
        <w:t>reduction in the near-term while increasing cash returned to our equity holders over time. Today’s capital allocation update is a positive step in that direction.”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Twelve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12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Net income/(loss) attributable to PAA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net income/(loss)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(0.11)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0.55</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20" w:hanging="317"/>
        <w:spacing w:after="0"/>
        <w:tabs>
          <w:tab w:leader="none" w:pos="30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Reported results for the twelve months ended December 31, 2021 include aggregate non-cash asset impairments of approximately $695 million related to the sale of our gas storage assets and the write-down of certain crude oil terminal assets. Reported results for the twelve months ended December 31, 2020 include aggregate non-cash goodwill and asset impairments and the write-down of certain of our investments in unconsolidated entities totaling $3.4 billion representing a twelve-month net loss of $4.69 after tax per common unit.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Twelve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8"/>
                <w:szCs w:val="8"/>
                <w:b w:val="1"/>
                <w:bCs w:val="1"/>
                <w:i w:val="1"/>
                <w:iCs w:val="1"/>
                <w:color w:val="auto"/>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0.95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554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2,196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2,546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Free Cash Flow</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136 %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2,369</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53"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47" w:lineRule="exact"/>
        <w:rPr>
          <w:rFonts w:ascii="Arial" w:cs="Arial" w:eastAsia="Arial" w:hAnsi="Arial"/>
          <w:sz w:val="21"/>
          <w:szCs w:val="21"/>
          <w:color w:val="auto"/>
          <w:vertAlign w:val="superscript"/>
        </w:rPr>
      </w:pPr>
    </w:p>
    <w:p>
      <w:pPr>
        <w:ind w:left="300" w:hanging="297"/>
        <w:spacing w:after="0"/>
        <w:tabs>
          <w:tab w:leader="none" w:pos="30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and Red River Pipeline LLC.</w:t>
      </w:r>
    </w:p>
    <w:p>
      <w:pPr>
        <w:spacing w:after="0" w:line="64"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88900</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1"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0"/>
                <w:szCs w:val="20"/>
                <w:b w:val="1"/>
                <w:bCs w:val="1"/>
                <w:color w:val="auto"/>
                <w:vertAlign w:val="superscript"/>
              </w:rPr>
              <w:t>(1) (2)</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December 31, 2021</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December 31, 2020</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465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58 %</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95"/>
              </w:rPr>
              <w:t>Percentage change in Segment Adjusted EBITDA versus 2020 period further adjusted for impact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(5)%</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60 %</w:t>
            </w:r>
          </w:p>
        </w:tc>
        <w:tc>
          <w:tcPr>
            <w:tcW w:w="0" w:type="dxa"/>
            <w:vAlign w:val="bottom"/>
          </w:tcPr>
          <w:p>
            <w:pPr>
              <w:spacing w:after="0"/>
              <w:rPr>
                <w:sz w:val="1"/>
                <w:szCs w:val="1"/>
                <w:color w:val="auto"/>
              </w:rPr>
            </w:pPr>
          </w:p>
        </w:tc>
      </w:tr>
      <w:tr>
        <w:trPr>
          <w:trHeight w:val="194"/>
        </w:trPr>
        <w:tc>
          <w:tcPr>
            <w:tcW w:w="764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divested assets </w:t>
            </w:r>
            <w:r>
              <w:rPr>
                <w:rFonts w:ascii="Arial" w:cs="Arial" w:eastAsia="Arial" w:hAnsi="Arial"/>
                <w:sz w:val="22"/>
                <w:szCs w:val="22"/>
                <w:b w:val="1"/>
                <w:bCs w:val="1"/>
                <w:i w:val="1"/>
                <w:iCs w:val="1"/>
                <w:color w:val="auto"/>
                <w:vertAlign w:val="superscript"/>
              </w:rPr>
              <w:t>(3)</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0"/>
                <w:szCs w:val="20"/>
                <w:b w:val="1"/>
                <w:bCs w:val="1"/>
                <w:color w:val="auto"/>
                <w:vertAlign w:val="superscript"/>
              </w:rPr>
              <w:t>(1) (2)</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Twelve Months Ended December 31, 2021</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Twelve Months Ended December 31, 2020</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2,216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95"/>
              </w:rPr>
              <w:t>Percentage change in Segment Adjusted EBITDA versus 2020 period further adjusted for impact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(12)%</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(11)%</w:t>
            </w:r>
          </w:p>
        </w:tc>
        <w:tc>
          <w:tcPr>
            <w:tcW w:w="0" w:type="dxa"/>
            <w:vAlign w:val="bottom"/>
          </w:tcPr>
          <w:p>
            <w:pPr>
              <w:spacing w:after="0"/>
              <w:rPr>
                <w:sz w:val="1"/>
                <w:szCs w:val="1"/>
                <w:color w:val="auto"/>
              </w:rPr>
            </w:pPr>
          </w:p>
        </w:tc>
      </w:tr>
      <w:tr>
        <w:trPr>
          <w:trHeight w:val="194"/>
        </w:trPr>
        <w:tc>
          <w:tcPr>
            <w:tcW w:w="764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divested assets </w:t>
            </w:r>
            <w:r>
              <w:rPr>
                <w:rFonts w:ascii="Arial" w:cs="Arial" w:eastAsia="Arial" w:hAnsi="Arial"/>
                <w:sz w:val="22"/>
                <w:szCs w:val="22"/>
                <w:b w:val="1"/>
                <w:bCs w:val="1"/>
                <w:i w:val="1"/>
                <w:iCs w:val="1"/>
                <w:color w:val="auto"/>
                <w:vertAlign w:val="superscript"/>
              </w:rPr>
              <w:t>(3)</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80" w:type="dxa"/>
            <w:vAlign w:val="bottom"/>
            <w:tcBorders>
              <w:bottom w:val="single" w:sz="8" w:color="auto"/>
            </w:tcBorders>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300" w:hanging="317"/>
        <w:spacing w:after="0"/>
        <w:tabs>
          <w:tab w:leader="none" w:pos="32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2021, we modified our definition of Segment Adjusted EBITDA to exclude amounts attributable to noncontrolling interests. In connection with the Plains Oryx Permian Basin joint venture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68" w:lineRule="exact"/>
        <w:rPr>
          <w:rFonts w:ascii="Arial" w:cs="Arial" w:eastAsia="Arial" w:hAnsi="Arial"/>
          <w:sz w:val="22"/>
          <w:szCs w:val="22"/>
          <w:color w:val="auto"/>
          <w:vertAlign w:val="superscript"/>
        </w:rPr>
      </w:pPr>
    </w:p>
    <w:p>
      <w:pPr>
        <w:ind w:left="320" w:hanging="317"/>
        <w:spacing w:after="0"/>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reorganized our historical operating segments: Transportation, Facilities and Supply and Logistics into two operating</w:t>
      </w:r>
    </w:p>
    <w:p>
      <w:pPr>
        <w:spacing w:after="0" w:line="1" w:lineRule="exact"/>
        <w:rPr>
          <w:rFonts w:ascii="Arial" w:cs="Arial" w:eastAsia="Arial" w:hAnsi="Arial"/>
          <w:sz w:val="21"/>
          <w:szCs w:val="21"/>
          <w:color w:val="auto"/>
          <w:vertAlign w:val="superscript"/>
        </w:rPr>
      </w:pPr>
    </w:p>
    <w:p>
      <w:pPr>
        <w:ind w:left="320" w:right="80"/>
        <w:spacing w:after="0" w:line="256" w:lineRule="auto"/>
        <w:rPr>
          <w:rFonts w:ascii="Arial" w:cs="Arial" w:eastAsia="Arial" w:hAnsi="Arial"/>
          <w:sz w:val="21"/>
          <w:szCs w:val="21"/>
          <w:color w:val="auto"/>
          <w:vertAlign w:val="superscript"/>
        </w:rPr>
      </w:pPr>
      <w:r>
        <w:rPr>
          <w:rFonts w:ascii="Arial" w:cs="Arial" w:eastAsia="Arial" w:hAnsi="Arial"/>
          <w:sz w:val="17"/>
          <w:szCs w:val="17"/>
          <w:color w:val="auto"/>
        </w:rPr>
        <w:t>segments: Crude Oil and Natural Gas Liquids (“NGL”). The change in our segments stems from several factors including, (i) a multi-year transition in the midstream energy industry driven by increased competition that has reduced the stand alone earnings opportunities of our supply and logistics activities such that those activities now function as a business development effort to help maximize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80" w:lineRule="exact"/>
        <w:rPr>
          <w:rFonts w:ascii="Arial" w:cs="Arial" w:eastAsia="Arial" w:hAnsi="Arial"/>
          <w:sz w:val="21"/>
          <w:szCs w:val="21"/>
          <w:color w:val="auto"/>
          <w:vertAlign w:val="superscript"/>
        </w:rPr>
      </w:pPr>
    </w:p>
    <w:p>
      <w:pPr>
        <w:ind w:left="320" w:right="180" w:hanging="317"/>
        <w:spacing w:after="0" w:line="253" w:lineRule="auto"/>
        <w:tabs>
          <w:tab w:leader="none" w:pos="30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Los Angeles Basin crude oil storage terminals, natural gas storage facilities and the sale of a portion of our interest in a joint venture pipeline, all of which were previously included in our Crude Oil segment, and the sale of certain NGL storage terminals previously reported in our NGL segment.</w:t>
      </w:r>
    </w:p>
    <w:p>
      <w:pPr>
        <w:spacing w:after="0" w:line="200" w:lineRule="exact"/>
        <w:rPr>
          <w:sz w:val="20"/>
          <w:szCs w:val="20"/>
          <w:color w:val="auto"/>
        </w:rPr>
      </w:pPr>
    </w:p>
    <w:p>
      <w:pPr>
        <w:spacing w:after="0" w:line="217" w:lineRule="exact"/>
        <w:rPr>
          <w:sz w:val="20"/>
          <w:szCs w:val="20"/>
          <w:color w:val="auto"/>
        </w:rPr>
      </w:pPr>
    </w:p>
    <w:p>
      <w:pPr>
        <w:ind w:right="40" w:firstLine="620"/>
        <w:spacing w:after="0" w:line="259" w:lineRule="auto"/>
        <w:rPr>
          <w:sz w:val="20"/>
          <w:szCs w:val="20"/>
          <w:color w:val="auto"/>
        </w:rPr>
      </w:pPr>
      <w:r>
        <w:rPr>
          <w:rFonts w:ascii="Arial" w:cs="Arial" w:eastAsia="Arial" w:hAnsi="Arial"/>
          <w:sz w:val="17"/>
          <w:szCs w:val="17"/>
          <w:color w:val="auto"/>
        </w:rPr>
        <w:t>Fourth-quarter 2021 Crude Oil Segment Adjusted EBITDA decreased 9% versus comparable 2020 results primarily due to less favorable market conditions for our merchant activities (the majority associated with contango margins that benefited fourth-quarter 2020, the balance reflecting the continued compression of regional basis differentials). In addition, fourth-quarter 2021 was negatively impacted by the sale of our natural gas storage business, which closed on August 2, 2021 and is reported within our Crude Oil Segment. These impacts were partially offset by higher volumes across our pipeline systems in the 2021 period, particularly in the Permian (largely associated with higher pipeline gathering volumes and higher volumes on certain long-haul systems delivering to Cushing and Corpus Christi).</w:t>
      </w:r>
    </w:p>
    <w:p>
      <w:pPr>
        <w:spacing w:after="0" w:line="207"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Fourth-quarter 2021 NGL Segment Adjusted EBITDA increased 58% versus comparable 2020 results primarily due to improved NGL sales margins versus fourth-quarter 2020. These benefits were partially offset by the impact of an operational incident at our Fort Saskatchewan facility that occurred in late September.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will hold a joint conference call at 4:00 p.m. CT on Wednesday, February 9, 2022 to discuss the following items:</w:t>
      </w:r>
    </w:p>
    <w:p>
      <w:pPr>
        <w:spacing w:after="0" w:line="166" w:lineRule="exact"/>
        <w:rPr>
          <w:sz w:val="20"/>
          <w:szCs w:val="20"/>
          <w:color w:val="auto"/>
        </w:rPr>
      </w:pPr>
    </w:p>
    <w:p>
      <w:pPr>
        <w:ind w:left="1080" w:hanging="301"/>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PAA’s fourth-quarter and full-year 2021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https://edge.media-server.com/mmc/p/69xonydi.</w:t>
      </w:r>
    </w:p>
    <w:p>
      <w:pPr>
        <w:spacing w:after="0" w:line="244" w:lineRule="exact"/>
        <w:rPr>
          <w:sz w:val="20"/>
          <w:szCs w:val="20"/>
          <w:color w:val="auto"/>
        </w:rPr>
      </w:pPr>
    </w:p>
    <w:p>
      <w:pPr>
        <w:ind w:right="100" w:firstLine="620"/>
        <w:spacing w:after="0" w:line="263" w:lineRule="auto"/>
        <w:rPr>
          <w:sz w:val="20"/>
          <w:szCs w:val="20"/>
          <w:color w:val="auto"/>
        </w:rPr>
      </w:pPr>
      <w:r>
        <w:rPr>
          <w:rFonts w:ascii="Arial" w:cs="Arial" w:eastAsia="Arial" w:hAnsi="Arial"/>
          <w:sz w:val="17"/>
          <w:szCs w:val="17"/>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00" w:firstLine="620"/>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198" w:lineRule="exact"/>
        <w:rPr>
          <w:sz w:val="20"/>
          <w:szCs w:val="20"/>
          <w:color w:val="auto"/>
        </w:rPr>
      </w:pPr>
    </w:p>
    <w:p>
      <w:pPr>
        <w:ind w:right="80" w:firstLine="620"/>
        <w:spacing w:after="0" w:line="273" w:lineRule="auto"/>
        <w:rPr>
          <w:sz w:val="20"/>
          <w:szCs w:val="20"/>
          <w:color w:val="auto"/>
        </w:rPr>
      </w:pPr>
      <w:r>
        <w:rPr>
          <w:rFonts w:ascii="Arial" w:cs="Arial" w:eastAsia="Arial" w:hAnsi="Arial"/>
          <w:sz w:val="16"/>
          <w:szCs w:val="16"/>
          <w:color w:val="auto"/>
        </w:rPr>
        <w:t>The primary additional measures used by management are earnings before interest, taxes, depreciation and amortization (including our proportionate share of depreciation and amortization and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Adjusted EBITDA attributable to PAA, Implied Distributable Cash Flow (“DCF”), Free Cash Flow and Free Cash Flow after Distributions.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72"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9"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6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r>
      <w:tr>
        <w:trPr>
          <w:trHeight w:val="174"/>
        </w:trPr>
        <w:tc>
          <w:tcPr>
            <w:tcW w:w="6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23,290</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20,431</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20"/>
        </w:trPr>
        <w:tc>
          <w:tcPr>
            <w:tcW w:w="6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Goodwill impairment losses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12,354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6,028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41,192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25,665</w:t>
            </w:r>
          </w:p>
        </w:tc>
      </w:tr>
      <w:tr>
        <w:trPr>
          <w:trHeight w:val="207"/>
        </w:trPr>
        <w:tc>
          <w:tcPr>
            <w:tcW w:w="6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(2,375)</w:t>
            </w:r>
          </w:p>
        </w:tc>
      </w:tr>
      <w:tr>
        <w:trPr>
          <w:trHeight w:val="207"/>
        </w:trPr>
        <w:tc>
          <w:tcPr>
            <w:tcW w:w="6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r>
      <w:tr>
        <w:trPr>
          <w:trHeight w:val="22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187"/>
        </w:trPr>
        <w:tc>
          <w:tcPr>
            <w:tcW w:w="6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(2,599)</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2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187"/>
        </w:trPr>
        <w:tc>
          <w:tcPr>
            <w:tcW w:w="6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NET INCOME/(LOSS)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(2,580)</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NET INCOME/(LOSS) ATTRIBUTABLE TO PAA</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6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NET INCOME/(LOSS) PER COMMON UNIT: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income/(loss) allocated to common unitholders — Basic and Diluted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r>
      <w:tr>
        <w:trPr>
          <w:trHeight w:val="220"/>
        </w:trPr>
        <w:tc>
          <w:tcPr>
            <w:tcW w:w="6280" w:type="dxa"/>
            <w:vAlign w:val="bottom"/>
          </w:tcPr>
          <w:p>
            <w:pPr>
              <w:ind w:left="140"/>
              <w:spacing w:after="0"/>
              <w:rPr>
                <w:sz w:val="20"/>
                <w:szCs w:val="20"/>
                <w:color w:val="auto"/>
              </w:rPr>
            </w:pPr>
            <w:r>
              <w:rPr>
                <w:rFonts w:ascii="Arial" w:cs="Arial" w:eastAsia="Arial" w:hAnsi="Arial"/>
                <w:sz w:val="17"/>
                <w:szCs w:val="17"/>
                <w:color w:val="auto"/>
              </w:rPr>
              <w:t>Basic and diluted weighted average common units outstanding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45"/>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 and diluted net income/(loss) per common unit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$449 and $22, respectively)</w:t>
            </w:r>
          </w:p>
        </w:tc>
        <w:tc>
          <w:tcPr>
            <w:tcW w:w="164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6,137</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3,805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Linefill and base gas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2,211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28,609</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tcPr>
          <w:p>
            <w:pPr>
              <w:spacing w:after="0"/>
              <w:rPr>
                <w:sz w:val="19"/>
                <w:szCs w:val="19"/>
                <w:color w:val="auto"/>
              </w:rPr>
            </w:pPr>
          </w:p>
        </w:tc>
        <w:tc>
          <w:tcPr>
            <w:tcW w:w="164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6,232</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notes,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830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15,799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2,838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12,810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Pr>
          <w:p>
            <w:pPr>
              <w:spacing w:after="0"/>
              <w:rPr>
                <w:sz w:val="18"/>
                <w:szCs w:val="18"/>
                <w:color w:val="auto"/>
              </w:rPr>
            </w:pPr>
          </w:p>
        </w:tc>
        <w:tc>
          <w:tcPr>
            <w:tcW w:w="164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28,609</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822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8,398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9,220</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10,213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8,398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9,972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9,593</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18,370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460" w:type="dxa"/>
            <w:vAlign w:val="bottom"/>
            <w:gridSpan w:val="2"/>
          </w:tcPr>
          <w:p>
            <w:pPr>
              <w:jc w:val="right"/>
              <w:ind w:right="74"/>
              <w:spacing w:after="0" w:line="191"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4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19,192</w:t>
            </w:r>
          </w:p>
        </w:tc>
        <w:tc>
          <w:tcPr>
            <w:tcW w:w="100" w:type="dxa"/>
            <w:vAlign w:val="bottom"/>
          </w:tcPr>
          <w:p>
            <w:pPr>
              <w:spacing w:after="0"/>
              <w:rPr>
                <w:sz w:val="16"/>
                <w:szCs w:val="16"/>
                <w:color w:val="auto"/>
              </w:rPr>
            </w:pPr>
          </w:p>
        </w:tc>
        <w:tc>
          <w:tcPr>
            <w:tcW w:w="140" w:type="dxa"/>
            <w:vAlign w:val="bottom"/>
            <w:gridSpan w:val="2"/>
          </w:tcPr>
          <w:p>
            <w:pPr>
              <w:jc w:val="right"/>
              <w:ind w:right="40"/>
              <w:spacing w:after="0" w:line="191" w:lineRule="exact"/>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6"/>
                <w:szCs w:val="16"/>
                <w:color w:val="auto"/>
              </w:rPr>
            </w:pPr>
          </w:p>
        </w:tc>
        <w:tc>
          <w:tcPr>
            <w:tcW w:w="120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19,806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4"/>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680" w:type="dxa"/>
            <w:vAlign w:val="bottom"/>
            <w:gridSpan w:val="4"/>
          </w:tcPr>
          <w:p>
            <w:pPr>
              <w:jc w:val="right"/>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740" w:type="dxa"/>
            <w:vAlign w:val="bottom"/>
          </w:tcPr>
          <w:p>
            <w:pPr>
              <w:jc w:val="right"/>
              <w:ind w:right="538"/>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(2,590)</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allocated to common unitholders</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0.56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5"/>
              </w:rPr>
              <w:t>(0.11)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0" w:lineRule="exact"/>
        <w:rPr>
          <w:sz w:val="20"/>
          <w:szCs w:val="20"/>
          <w:color w:val="auto"/>
        </w:rPr>
      </w:pPr>
    </w:p>
    <w:p>
      <w:pPr>
        <w:ind w:left="320" w:right="140" w:hanging="317"/>
        <w:spacing w:after="0"/>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2"/>
          <w:szCs w:val="22"/>
          <w:color w:val="auto"/>
          <w:vertAlign w:val="superscript"/>
        </w:rPr>
      </w:pPr>
    </w:p>
    <w:p>
      <w:pPr>
        <w:ind w:left="320" w:right="140" w:hanging="317"/>
        <w:spacing w:after="0" w:line="235"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twelve months ended December 31, 2021 and 2020 as the effect was antidilutive or did not change the presentation of diluted net income/(loss) per common unit.</w:t>
      </w:r>
    </w:p>
    <w:p>
      <w:pPr>
        <w:spacing w:after="0" w:line="41" w:lineRule="exact"/>
        <w:rPr>
          <w:rFonts w:ascii="Arial" w:cs="Arial" w:eastAsia="Arial" w:hAnsi="Arial"/>
          <w:sz w:val="22"/>
          <w:szCs w:val="22"/>
          <w:color w:val="auto"/>
          <w:vertAlign w:val="superscript"/>
        </w:rPr>
      </w:pPr>
    </w:p>
    <w:p>
      <w:pPr>
        <w:ind w:left="320" w:right="20" w:hanging="317"/>
        <w:spacing w:after="0" w:line="260" w:lineRule="auto"/>
        <w:tabs>
          <w:tab w:leader="none" w:pos="30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2021 and 2020, the effect of equity-indexed compensation plan awards of less than 1 million was antidilutive, or did not change the presentation of diluted net income/(loss) per common unit.</w:t>
      </w:r>
    </w:p>
    <w:p>
      <w:pPr>
        <w:spacing w:after="0" w:line="168" w:lineRule="exact"/>
        <w:rPr>
          <w:rFonts w:ascii="Arial" w:cs="Arial" w:eastAsia="Arial" w:hAnsi="Arial"/>
          <w:sz w:val="21"/>
          <w:szCs w:val="21"/>
          <w:color w:val="auto"/>
          <w:vertAlign w:val="superscript"/>
        </w:rPr>
      </w:pPr>
    </w:p>
    <w:p>
      <w:pPr>
        <w:ind w:left="5440" w:hanging="93"/>
        <w:spacing w:after="0"/>
        <w:tabs>
          <w:tab w:leader="none" w:pos="5440" w:val="left"/>
        </w:tabs>
        <w:numPr>
          <w:ilvl w:val="1"/>
          <w:numId w:val="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(2,590)</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(219)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884</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1,331</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0" w:lineRule="exact"/>
        <w:rPr>
          <w:sz w:val="20"/>
          <w:szCs w:val="20"/>
          <w:color w:val="auto"/>
        </w:rPr>
      </w:pPr>
    </w:p>
    <w:p>
      <w:pPr>
        <w:ind w:left="320" w:right="40" w:hanging="317"/>
        <w:spacing w:after="0"/>
        <w:tabs>
          <w:tab w:leader="none" w:pos="30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table for additional information.</w:t>
      </w:r>
    </w:p>
    <w:p>
      <w:pPr>
        <w:spacing w:after="0" w:line="52" w:lineRule="exact"/>
        <w:rPr>
          <w:rFonts w:ascii="Arial" w:cs="Arial" w:eastAsia="Arial" w:hAnsi="Arial"/>
          <w:sz w:val="22"/>
          <w:szCs w:val="22"/>
          <w:color w:val="auto"/>
          <w:vertAlign w:val="superscript"/>
        </w:rPr>
      </w:pPr>
    </w:p>
    <w:p>
      <w:pPr>
        <w:ind w:left="320" w:right="200" w:hanging="317"/>
        <w:spacing w:after="0" w:line="230" w:lineRule="auto"/>
        <w:tabs>
          <w:tab w:leader="none" w:pos="30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three and twelve months ended December 31, 2021 and 2020 as the effect was antidilutive or did not change the presentation of diluted adjusted net income per common unit.</w:t>
      </w:r>
    </w:p>
    <w:p>
      <w:pPr>
        <w:spacing w:after="0" w:line="40" w:lineRule="exact"/>
        <w:rPr>
          <w:rFonts w:ascii="Arial" w:cs="Arial" w:eastAsia="Arial" w:hAnsi="Arial"/>
          <w:sz w:val="22"/>
          <w:szCs w:val="22"/>
          <w:color w:val="auto"/>
          <w:vertAlign w:val="superscript"/>
        </w:rPr>
      </w:pPr>
    </w:p>
    <w:p>
      <w:pPr>
        <w:ind w:left="320" w:right="20" w:hanging="317"/>
        <w:spacing w:after="0" w:line="246" w:lineRule="auto"/>
        <w:tabs>
          <w:tab w:leader="none" w:pos="30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December 31, 2020, there were no potentially dilutive equity-indexed compensation plan awards and for the three months ended December 31, 2021 and the twelve months ended December 31, 2021 and 2020, the effect of equity-indexed compensation plan awards of less than 1 million was antidilutive or did not change the presentation of diluted net income/(loss) per common unit.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Adjusted Net Income Per Common Unit Reconciliations: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ind w:left="300"/>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w w:val="94"/>
              </w:rPr>
              <w:t>(3.83)</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(0.31)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0.40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8"/>
              <w:spacing w:after="0"/>
              <w:rPr>
                <w:sz w:val="20"/>
                <w:szCs w:val="20"/>
                <w:color w:val="auto"/>
              </w:rPr>
            </w:pPr>
            <w:r>
              <w:rPr>
                <w:rFonts w:ascii="Arial" w:cs="Arial" w:eastAsia="Arial" w:hAnsi="Arial"/>
                <w:sz w:val="17"/>
                <w:szCs w:val="17"/>
                <w:color w:val="auto"/>
                <w:w w:val="90"/>
              </w:rPr>
              <w:t>5.38</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0.95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center"/>
              <w:ind w:left="258"/>
              <w:spacing w:after="0"/>
              <w:rPr>
                <w:sz w:val="20"/>
                <w:szCs w:val="20"/>
                <w:color w:val="auto"/>
              </w:rPr>
            </w:pPr>
            <w:r>
              <w:rPr>
                <w:rFonts w:ascii="Arial" w:cs="Arial" w:eastAsia="Arial" w:hAnsi="Arial"/>
                <w:sz w:val="17"/>
                <w:szCs w:val="17"/>
                <w:color w:val="auto"/>
                <w:w w:val="90"/>
              </w:rPr>
              <w:t>1.55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17" w:lineRule="exact"/>
        <w:rPr>
          <w:sz w:val="20"/>
          <w:szCs w:val="20"/>
          <w:color w:val="auto"/>
        </w:rPr>
      </w:pPr>
    </w:p>
    <w:p>
      <w:pPr>
        <w:ind w:left="320" w:right="100" w:hanging="317"/>
        <w:spacing w:after="0" w:line="228" w:lineRule="auto"/>
        <w:tabs>
          <w:tab w:leader="none" w:pos="30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245"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to Adjusted EBITDA attributable to PAA and Implied DCF Reconciliation: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w w:val="94"/>
              </w:rPr>
              <w:t>December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Income/(Loss)</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Interest expense, net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436</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 expense/(benefit)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Goodwill impairment losses</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0"/>
        </w:trPr>
        <w:tc>
          <w:tcPr>
            <w:tcW w:w="6280" w:type="dxa"/>
            <w:vAlign w:val="bottom"/>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(280)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18"/>
                <w:szCs w:val="18"/>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2,290</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6280" w:type="dxa"/>
            <w:vAlign w:val="bottom"/>
          </w:tcPr>
          <w:p>
            <w:pPr>
              <w:ind w:left="40"/>
              <w:spacing w:after="0"/>
              <w:rPr>
                <w:sz w:val="20"/>
                <w:szCs w:val="20"/>
                <w:color w:val="auto"/>
              </w:rPr>
            </w:pPr>
            <w:r>
              <w:rPr>
                <w:rFonts w:ascii="Arial" w:cs="Arial" w:eastAsia="Arial" w:hAnsi="Arial"/>
                <w:sz w:val="17"/>
                <w:szCs w:val="17"/>
                <w:color w:val="auto"/>
              </w:rPr>
              <w:t>Adjusted EBITDA attributable to PAA</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2,546</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2,290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Maintenance capital</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income tax expense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8"/>
        </w:trPr>
        <w:tc>
          <w:tcPr>
            <w:tcW w:w="6280" w:type="dxa"/>
            <w:vAlign w:val="bottom"/>
          </w:tcPr>
          <w:p>
            <w:pPr>
              <w:ind w:left="180"/>
              <w:spacing w:after="0" w:line="168" w:lineRule="exact"/>
              <w:rPr>
                <w:sz w:val="20"/>
                <w:szCs w:val="20"/>
                <w:color w:val="auto"/>
              </w:rPr>
            </w:pPr>
            <w:r>
              <w:rPr>
                <w:rFonts w:ascii="Arial" w:cs="Arial" w:eastAsia="Arial" w:hAnsi="Arial"/>
                <w:sz w:val="17"/>
                <w:szCs w:val="17"/>
                <w:color w:val="auto"/>
              </w:rPr>
              <w:t>Distributions from unconsolidated entities in excess of/(less than) adjusted equity</w:t>
            </w:r>
          </w:p>
        </w:tc>
        <w:tc>
          <w:tcPr>
            <w:tcW w:w="7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6280" w:type="dxa"/>
            <w:vAlign w:val="bottom"/>
          </w:tcPr>
          <w:p>
            <w:pPr>
              <w:ind w:left="340"/>
              <w:spacing w:after="0" w:line="220"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(4)</w:t>
            </w:r>
          </w:p>
        </w:tc>
        <w:tc>
          <w:tcPr>
            <w:tcW w:w="7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color w:val="auto"/>
              </w:rPr>
              <w:t>Implied DCF</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1,673</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1,881</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Preferred unit cash distributions </w:t>
            </w:r>
            <w:r>
              <w:rPr>
                <w:rFonts w:ascii="Arial" w:cs="Arial" w:eastAsia="Arial" w:hAnsi="Arial"/>
                <w:sz w:val="22"/>
                <w:szCs w:val="22"/>
                <w:color w:val="auto"/>
                <w:vertAlign w:val="superscript"/>
              </w:rPr>
              <w:t>(5)</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Units and Common Unit Equivalent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45"/>
        </w:trPr>
        <w:tc>
          <w:tcPr>
            <w:tcW w:w="6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(6)</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(7)</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45"/>
        </w:trPr>
        <w:tc>
          <w:tcPr>
            <w:tcW w:w="6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Cash Distribution Paid per Common Unit</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0.72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74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Arial" w:cs="Arial" w:eastAsia="Arial" w:hAnsi="Arial"/>
                <w:sz w:val="17"/>
                <w:szCs w:val="17"/>
                <w:color w:val="auto"/>
              </w:rPr>
              <w:t>3.09x</w:t>
            </w:r>
          </w:p>
        </w:tc>
        <w:tc>
          <w:tcPr>
            <w:tcW w:w="74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7"/>
                <w:szCs w:val="17"/>
                <w:color w:val="auto"/>
              </w:rPr>
              <w:t>2.49x</w:t>
            </w:r>
          </w:p>
        </w:tc>
        <w:tc>
          <w:tcPr>
            <w:tcW w:w="260" w:type="dxa"/>
            <w:vAlign w:val="bottom"/>
          </w:tcPr>
          <w:p>
            <w:pPr>
              <w:spacing w:after="0"/>
              <w:rPr>
                <w:sz w:val="19"/>
                <w:szCs w:val="19"/>
                <w:color w:val="auto"/>
              </w:rPr>
            </w:pPr>
          </w:p>
        </w:tc>
        <w:tc>
          <w:tcPr>
            <w:tcW w:w="1000" w:type="dxa"/>
            <w:vAlign w:val="bottom"/>
            <w:gridSpan w:val="2"/>
          </w:tcPr>
          <w:p>
            <w:pPr>
              <w:ind w:left="500"/>
              <w:spacing w:after="0"/>
              <w:rPr>
                <w:sz w:val="20"/>
                <w:szCs w:val="20"/>
                <w:color w:val="auto"/>
              </w:rPr>
            </w:pPr>
            <w:r>
              <w:rPr>
                <w:rFonts w:ascii="Arial" w:cs="Arial" w:eastAsia="Arial" w:hAnsi="Arial"/>
                <w:sz w:val="17"/>
                <w:szCs w:val="17"/>
                <w:color w:val="auto"/>
              </w:rPr>
              <w:t>2.85x</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2.57x</w:t>
            </w:r>
          </w:p>
        </w:tc>
        <w:tc>
          <w:tcPr>
            <w:tcW w:w="0" w:type="dxa"/>
            <w:vAlign w:val="bottom"/>
          </w:tcPr>
          <w:p>
            <w:pPr>
              <w:spacing w:after="0"/>
              <w:rPr>
                <w:sz w:val="1"/>
                <w:szCs w:val="1"/>
                <w:color w:val="auto"/>
              </w:rPr>
            </w:pPr>
          </w:p>
        </w:tc>
      </w:tr>
      <w:tr>
        <w:trPr>
          <w:trHeight w:val="245"/>
        </w:trPr>
        <w:tc>
          <w:tcPr>
            <w:tcW w:w="6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Implied DCF Excess</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9"/>
                <w:szCs w:val="19"/>
                <w:color w:val="auto"/>
              </w:rPr>
            </w:pPr>
          </w:p>
        </w:tc>
        <w:tc>
          <w:tcPr>
            <w:tcW w:w="74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958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24612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71"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Adjustment to exclude our proportionate share of depreciation and amortization expense (including write-downs related to cancelled projects) of unconsolidated entities.</w:t>
      </w:r>
    </w:p>
    <w:p>
      <w:pPr>
        <w:spacing w:after="0" w:line="48" w:lineRule="exact"/>
        <w:rPr>
          <w:rFonts w:ascii="Arial" w:cs="Arial" w:eastAsia="Arial" w:hAnsi="Arial"/>
          <w:sz w:val="18"/>
          <w:szCs w:val="18"/>
          <w:color w:val="auto"/>
          <w:vertAlign w:val="superscript"/>
        </w:rPr>
      </w:pPr>
    </w:p>
    <w:p>
      <w:pPr>
        <w:ind w:left="300" w:hanging="297"/>
        <w:spacing w:after="0" w:line="182" w:lineRule="auto"/>
        <w:tabs>
          <w:tab w:leader="none" w:pos="3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See the “Selected Items Impacting Comparability” table for additional information.</w:t>
      </w:r>
    </w:p>
    <w:p>
      <w:pPr>
        <w:ind w:left="5440" w:hanging="93"/>
        <w:spacing w:after="0"/>
        <w:tabs>
          <w:tab w:leader="none" w:pos="54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ind w:left="100"/>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47" w:lineRule="exact"/>
        <w:rPr>
          <w:sz w:val="20"/>
          <w:szCs w:val="20"/>
          <w:color w:val="auto"/>
        </w:rPr>
      </w:pPr>
    </w:p>
    <w:p>
      <w:pPr>
        <w:ind w:left="400" w:hanging="297"/>
        <w:spacing w:after="0"/>
        <w:tabs>
          <w:tab w:leader="none" w:pos="4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48" w:lineRule="exact"/>
        <w:rPr>
          <w:rFonts w:ascii="Arial" w:cs="Arial" w:eastAsia="Arial" w:hAnsi="Arial"/>
          <w:sz w:val="20"/>
          <w:szCs w:val="20"/>
          <w:color w:val="auto"/>
          <w:vertAlign w:val="superscript"/>
        </w:rPr>
      </w:pPr>
    </w:p>
    <w:p>
      <w:pPr>
        <w:ind w:left="420" w:right="80" w:hanging="317"/>
        <w:spacing w:after="0" w:line="224" w:lineRule="auto"/>
        <w:tabs>
          <w:tab w:leader="none" w:pos="408"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2" w:lineRule="exact"/>
        <w:rPr>
          <w:rFonts w:ascii="Arial" w:cs="Arial" w:eastAsia="Arial" w:hAnsi="Arial"/>
          <w:sz w:val="19"/>
          <w:szCs w:val="19"/>
          <w:color w:val="auto"/>
          <w:vertAlign w:val="superscript"/>
        </w:rPr>
      </w:pPr>
    </w:p>
    <w:p>
      <w:pPr>
        <w:ind w:left="400" w:hanging="297"/>
        <w:spacing w:after="0"/>
        <w:tabs>
          <w:tab w:leader="none" w:pos="4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during the period presented.</w:t>
      </w:r>
    </w:p>
    <w:p>
      <w:pPr>
        <w:spacing w:after="0" w:line="48" w:lineRule="exact"/>
        <w:rPr>
          <w:rFonts w:ascii="Arial" w:cs="Arial" w:eastAsia="Arial" w:hAnsi="Arial"/>
          <w:sz w:val="20"/>
          <w:szCs w:val="20"/>
          <w:color w:val="auto"/>
          <w:vertAlign w:val="superscript"/>
        </w:rPr>
      </w:pPr>
    </w:p>
    <w:p>
      <w:pPr>
        <w:ind w:left="400" w:hanging="297"/>
        <w:spacing w:after="0" w:line="192" w:lineRule="auto"/>
        <w:tabs>
          <w:tab w:leader="none" w:pos="4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20"/>
          <w:szCs w:val="20"/>
          <w:color w:val="auto"/>
          <w:vertAlign w:val="superscript"/>
        </w:rPr>
      </w:pPr>
    </w:p>
    <w:p>
      <w:pPr>
        <w:jc w:val="both"/>
        <w:ind w:left="420" w:hanging="317"/>
        <w:spacing w:after="0" w:line="219" w:lineRule="auto"/>
        <w:tabs>
          <w:tab w:leader="none" w:pos="408"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Implied DCF Available to Common Unitholders for the period, adjusted for Series A preferred unit cash distributions paid, divided by the weighted average common units and common unit equivalent outstanding for the period. Our Series A preferred units are convertible into common units, generally on a one-for-one basis and subject to customary anti-dilution adjustments, in whole or in part, subject to certain minimum conversion amounts.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Income/(Loss) Per Common Unit to Implied DCF Per Common Unit and Common Unit Equivalent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87"/>
              </w:rPr>
              <w:t>December 31,</w:t>
            </w:r>
          </w:p>
        </w:tc>
        <w:tc>
          <w:tcPr>
            <w:tcW w:w="780" w:type="dxa"/>
            <w:vAlign w:val="bottom"/>
            <w:tcBorders>
              <w:bottom w:val="single" w:sz="8" w:color="auto"/>
            </w:tcBorders>
          </w:tcPr>
          <w:p>
            <w:pPr>
              <w:spacing w:after="0"/>
              <w:rPr>
                <w:sz w:val="15"/>
                <w:szCs w:val="15"/>
                <w:color w:val="auto"/>
              </w:rPr>
            </w:pPr>
          </w:p>
        </w:tc>
      </w:tr>
      <w:tr>
        <w:trPr>
          <w:trHeight w:val="173"/>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83"/>
              </w:rPr>
              <w:t>2020</w:t>
            </w:r>
          </w:p>
        </w:tc>
      </w:tr>
      <w:tr>
        <w:trPr>
          <w:trHeight w:val="215"/>
        </w:trPr>
        <w:tc>
          <w:tcPr>
            <w:tcW w:w="5460" w:type="dxa"/>
            <w:vAlign w:val="bottom"/>
            <w:gridSpan w:val="3"/>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0.56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6"/>
              </w:rPr>
              <w:t>(0.11)$</w:t>
            </w:r>
          </w:p>
        </w:tc>
        <w:tc>
          <w:tcPr>
            <w:tcW w:w="1160" w:type="dxa"/>
            <w:vAlign w:val="bottom"/>
          </w:tcPr>
          <w:p>
            <w:pPr>
              <w:ind w:left="780"/>
              <w:spacing w:after="0"/>
              <w:rPr>
                <w:sz w:val="20"/>
                <w:szCs w:val="20"/>
                <w:color w:val="auto"/>
              </w:rPr>
            </w:pPr>
            <w:r>
              <w:rPr>
                <w:rFonts w:ascii="Arial" w:cs="Arial" w:eastAsia="Arial" w:hAnsi="Arial"/>
                <w:sz w:val="17"/>
                <w:szCs w:val="17"/>
                <w:color w:val="auto"/>
              </w:rPr>
              <w:t>0.55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360" w:type="dxa"/>
            <w:vAlign w:val="bottom"/>
          </w:tcPr>
          <w:p>
            <w:pPr>
              <w:spacing w:after="0"/>
              <w:rPr>
                <w:sz w:val="18"/>
                <w:szCs w:val="18"/>
                <w:color w:val="auto"/>
              </w:rPr>
            </w:pPr>
          </w:p>
        </w:tc>
        <w:tc>
          <w:tcPr>
            <w:tcW w:w="780" w:type="dxa"/>
            <w:vAlign w:val="bottom"/>
          </w:tcPr>
          <w:p>
            <w:pPr>
              <w:jc w:val="center"/>
              <w:ind w:left="236"/>
              <w:spacing w:after="0"/>
              <w:rPr>
                <w:sz w:val="20"/>
                <w:szCs w:val="20"/>
                <w:color w:val="auto"/>
              </w:rPr>
            </w:pPr>
            <w:r>
              <w:rPr>
                <w:rFonts w:ascii="Arial" w:cs="Arial" w:eastAsia="Arial" w:hAnsi="Arial"/>
                <w:sz w:val="17"/>
                <w:szCs w:val="17"/>
                <w:color w:val="auto"/>
                <w:w w:val="94"/>
              </w:rPr>
              <w:t>(3.83)</w:t>
            </w:r>
          </w:p>
        </w:tc>
      </w:tr>
      <w:tr>
        <w:trPr>
          <w:trHeight w:val="220"/>
        </w:trPr>
        <w:tc>
          <w:tcPr>
            <w:tcW w:w="5460" w:type="dxa"/>
            <w:vAlign w:val="bottom"/>
            <w:gridSpan w:val="3"/>
          </w:tcPr>
          <w:p>
            <w:pPr>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center"/>
              <w:ind w:left="276"/>
              <w:spacing w:after="0"/>
              <w:rPr>
                <w:sz w:val="20"/>
                <w:szCs w:val="20"/>
                <w:color w:val="auto"/>
              </w:rPr>
            </w:pPr>
            <w:r>
              <w:rPr>
                <w:rFonts w:ascii="Arial" w:cs="Arial" w:eastAsia="Arial" w:hAnsi="Arial"/>
                <w:sz w:val="17"/>
                <w:szCs w:val="17"/>
                <w:color w:val="auto"/>
                <w:w w:val="90"/>
              </w:rPr>
              <w:t>6.14</w:t>
            </w: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mplied DCF per common unit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0"/>
              </w:rPr>
              <w:t>2.31</w:t>
            </w: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5460" w:type="dxa"/>
            <w:vAlign w:val="bottom"/>
            <w:gridSpan w:val="3"/>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0.56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6"/>
              </w:rPr>
              <w:t>(0.11)$</w:t>
            </w:r>
          </w:p>
        </w:tc>
        <w:tc>
          <w:tcPr>
            <w:tcW w:w="1160" w:type="dxa"/>
            <w:vAlign w:val="bottom"/>
          </w:tcPr>
          <w:p>
            <w:pPr>
              <w:ind w:left="780"/>
              <w:spacing w:after="0"/>
              <w:rPr>
                <w:sz w:val="20"/>
                <w:szCs w:val="20"/>
                <w:color w:val="auto"/>
              </w:rPr>
            </w:pPr>
            <w:r>
              <w:rPr>
                <w:rFonts w:ascii="Arial" w:cs="Arial" w:eastAsia="Arial" w:hAnsi="Arial"/>
                <w:sz w:val="17"/>
                <w:szCs w:val="17"/>
                <w:color w:val="auto"/>
              </w:rPr>
              <w:t>0.55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360" w:type="dxa"/>
            <w:vAlign w:val="bottom"/>
          </w:tcPr>
          <w:p>
            <w:pPr>
              <w:spacing w:after="0"/>
              <w:rPr>
                <w:sz w:val="24"/>
                <w:szCs w:val="24"/>
                <w:color w:val="auto"/>
              </w:rPr>
            </w:pPr>
          </w:p>
        </w:tc>
        <w:tc>
          <w:tcPr>
            <w:tcW w:w="780" w:type="dxa"/>
            <w:vAlign w:val="bottom"/>
          </w:tcPr>
          <w:p>
            <w:pPr>
              <w:jc w:val="center"/>
              <w:ind w:left="236"/>
              <w:spacing w:after="0"/>
              <w:rPr>
                <w:sz w:val="20"/>
                <w:szCs w:val="20"/>
                <w:color w:val="auto"/>
              </w:rPr>
            </w:pPr>
            <w:r>
              <w:rPr>
                <w:rFonts w:ascii="Arial" w:cs="Arial" w:eastAsia="Arial" w:hAnsi="Arial"/>
                <w:sz w:val="17"/>
                <w:szCs w:val="17"/>
                <w:color w:val="auto"/>
                <w:w w:val="94"/>
              </w:rPr>
              <w:t>(3.83)</w:t>
            </w:r>
          </w:p>
        </w:tc>
      </w:tr>
      <w:tr>
        <w:trPr>
          <w:trHeight w:val="220"/>
        </w:trPr>
        <w:tc>
          <w:tcPr>
            <w:tcW w:w="5460" w:type="dxa"/>
            <w:vAlign w:val="bottom"/>
            <w:gridSpan w:val="3"/>
          </w:tcPr>
          <w:p>
            <w:pPr>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4"/>
              </w:rPr>
              <w:t>(0.01)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center"/>
              <w:ind w:left="276"/>
              <w:spacing w:after="0"/>
              <w:rPr>
                <w:sz w:val="20"/>
                <w:szCs w:val="20"/>
                <w:color w:val="auto"/>
              </w:rPr>
            </w:pPr>
            <w:r>
              <w:rPr>
                <w:rFonts w:ascii="Arial" w:cs="Arial" w:eastAsia="Arial" w:hAnsi="Arial"/>
                <w:sz w:val="17"/>
                <w:szCs w:val="17"/>
                <w:color w:val="auto"/>
                <w:w w:val="90"/>
              </w:rPr>
              <w:t>6.12</w:t>
            </w: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mplied DCF per common unit and common unit equivalent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0"/>
              </w:rPr>
              <w:t>2.29</w:t>
            </w: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100" w:type="dxa"/>
            <w:vAlign w:val="bottom"/>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-1189355</wp:posOffset>
            </wp:positionV>
            <wp:extent cx="7039610" cy="147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9610"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-606425</wp:posOffset>
            </wp:positionV>
            <wp:extent cx="7039610"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9610" cy="139700"/>
                    </a:xfrm>
                    <a:prstGeom prst="rect">
                      <a:avLst/>
                    </a:prstGeom>
                    <a:noFill/>
                  </pic:spPr>
                </pic:pic>
              </a:graphicData>
            </a:graphic>
          </wp:anchor>
        </w:drawing>
      </w:r>
    </w:p>
    <w:p>
      <w:pPr>
        <w:spacing w:after="0" w:line="97" w:lineRule="exact"/>
        <w:rPr>
          <w:sz w:val="20"/>
          <w:szCs w:val="20"/>
          <w:color w:val="auto"/>
        </w:rPr>
      </w:pPr>
    </w:p>
    <w:p>
      <w:pPr>
        <w:ind w:left="420" w:right="480" w:hanging="317"/>
        <w:spacing w:after="0" w:line="228" w:lineRule="auto"/>
        <w:tabs>
          <w:tab w:leader="none" w:pos="40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Income/(Loss) to Adjusted EBITDA attributable to PAA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709 million, 726 million, 716 million and 728 million, respectively.</w:t>
      </w:r>
    </w:p>
    <w:p>
      <w:pPr>
        <w:spacing w:after="0" w:line="52" w:lineRule="exact"/>
        <w:rPr>
          <w:rFonts w:ascii="Arial" w:cs="Arial" w:eastAsia="Arial" w:hAnsi="Arial"/>
          <w:sz w:val="22"/>
          <w:szCs w:val="22"/>
          <w:color w:val="auto"/>
          <w:vertAlign w:val="superscript"/>
        </w:rPr>
      </w:pPr>
    </w:p>
    <w:p>
      <w:pPr>
        <w:ind w:left="420" w:right="40" w:hanging="317"/>
        <w:spacing w:after="0" w:line="220" w:lineRule="auto"/>
        <w:tabs>
          <w:tab w:leader="none" w:pos="40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60"/>
          </w:cols>
          <w:pgMar w:left="220" w:top="360" w:right="41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9"/>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provided by/(used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8"/>
                <w:szCs w:val="18"/>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2,369</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423</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(190)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8"/>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30" w:lineRule="exact"/>
        <w:rPr>
          <w:sz w:val="20"/>
          <w:szCs w:val="20"/>
          <w:color w:val="auto"/>
        </w:rPr>
      </w:pPr>
    </w:p>
    <w:p>
      <w:pPr>
        <w:ind w:left="320" w:right="320" w:hanging="317"/>
        <w:spacing w:after="0" w:line="228" w:lineRule="auto"/>
        <w:tabs>
          <w:tab w:leader="none" w:pos="30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300" w:hanging="297"/>
        <w:spacing w:after="0" w:line="184" w:lineRule="auto"/>
        <w:tabs>
          <w:tab w:leader="none" w:pos="30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Cash distributions paid to preferred and common unitholders during the period.</w:t>
      </w:r>
    </w:p>
    <w:p>
      <w:pPr>
        <w:ind w:left="5440" w:hanging="93"/>
        <w:spacing w:after="0"/>
        <w:tabs>
          <w:tab w:leader="none" w:pos="54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38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89"/>
              </w:rPr>
              <w:t>2020</w:t>
            </w:r>
          </w:p>
        </w:tc>
      </w:tr>
      <w:tr>
        <w:trPr>
          <w:trHeight w:val="188"/>
        </w:trPr>
        <w:tc>
          <w:tcPr>
            <w:tcW w:w="664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0"/>
                <w:szCs w:val="20"/>
                <w:b w:val="1"/>
                <w:bCs w:val="1"/>
                <w:color w:val="auto"/>
                <w:vertAlign w:val="superscript"/>
              </w:rPr>
              <w:t>(1)</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0"/>
                <w:szCs w:val="20"/>
                <w:color w:val="auto"/>
                <w:vertAlign w:val="superscript"/>
              </w:rPr>
              <w:t>(2)</w:t>
            </w:r>
          </w:p>
        </w:tc>
        <w:tc>
          <w:tcPr>
            <w:tcW w:w="700" w:type="dxa"/>
            <w:vAlign w:val="bottom"/>
          </w:tcPr>
          <w:p>
            <w:pPr>
              <w:jc w:val="right"/>
              <w:ind w:right="526"/>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700" w:type="dxa"/>
            <w:vAlign w:val="bottom"/>
          </w:tcPr>
          <w:p>
            <w:pPr>
              <w:jc w:val="right"/>
              <w:ind w:right="52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5"/>
              </w:rPr>
              <w:t>(258)</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0"/>
                <w:szCs w:val="20"/>
                <w:color w:val="auto"/>
                <w:vertAlign w:val="superscript"/>
              </w:rPr>
              <w:t>(3)</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0"/>
                <w:szCs w:val="20"/>
                <w:color w:val="auto"/>
                <w:vertAlign w:val="superscript"/>
              </w:rPr>
              <w:t>(4)</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0"/>
                <w:szCs w:val="20"/>
                <w:color w:val="auto"/>
                <w:vertAlign w:val="superscript"/>
              </w:rPr>
              <w:t>(5)</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 on foreign currency revaluation </w:t>
            </w:r>
            <w:r>
              <w:rPr>
                <w:rFonts w:ascii="Arial" w:cs="Arial" w:eastAsia="Arial" w:hAnsi="Arial"/>
                <w:sz w:val="20"/>
                <w:szCs w:val="20"/>
                <w:color w:val="auto"/>
                <w:vertAlign w:val="superscript"/>
              </w:rPr>
              <w:t>(6)</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0"/>
                <w:szCs w:val="20"/>
                <w:color w:val="auto"/>
                <w:vertAlign w:val="superscript"/>
              </w:rPr>
              <w:t>(7)</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0"/>
                <w:szCs w:val="20"/>
                <w:color w:val="auto"/>
                <w:vertAlign w:val="superscript"/>
              </w:rPr>
              <w:t>(8)</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0"/>
                <w:szCs w:val="20"/>
                <w:color w:val="auto"/>
                <w:vertAlign w:val="superscript"/>
              </w:rPr>
              <w:t>(9)</w:t>
            </w:r>
          </w:p>
        </w:tc>
        <w:tc>
          <w:tcPr>
            <w:tcW w:w="7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97"/>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Selected items impacting comparability - Adjusted EBITDA</w:t>
            </w:r>
          </w:p>
        </w:tc>
        <w:tc>
          <w:tcPr>
            <w:tcW w:w="700" w:type="dxa"/>
            <w:vAlign w:val="bottom"/>
            <w:tcBorders>
              <w:top w:val="single" w:sz="8" w:color="auto"/>
            </w:tcBorders>
          </w:tcPr>
          <w:p>
            <w:pPr>
              <w:jc w:val="right"/>
              <w:ind w:right="52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ind w:right="525"/>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(219)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w:t>
            </w:r>
          </w:p>
        </w:tc>
      </w:tr>
      <w:tr>
        <w:trPr>
          <w:trHeight w:val="21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04"/>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5"/>
              </w:rPr>
              <w:t>(101)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 impairment losses</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r>
      <w:tr>
        <w:trPr>
          <w:trHeight w:val="204"/>
        </w:trPr>
        <w:tc>
          <w:tcPr>
            <w:tcW w:w="6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27"/>
        </w:trPr>
        <w:tc>
          <w:tcPr>
            <w:tcW w:w="6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70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101"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7" w:lineRule="exact"/>
        <w:rPr>
          <w:rFonts w:ascii="Arial" w:cs="Arial" w:eastAsia="Arial" w:hAnsi="Arial"/>
          <w:sz w:val="17"/>
          <w:szCs w:val="17"/>
          <w:color w:val="auto"/>
          <w:vertAlign w:val="superscript"/>
        </w:rPr>
      </w:pPr>
    </w:p>
    <w:p>
      <w:pPr>
        <w:ind w:left="320" w:right="160" w:hanging="317"/>
        <w:spacing w:after="0" w:line="257" w:lineRule="auto"/>
        <w:tabs>
          <w:tab w:leader="none" w:pos="316"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 We also exclude the impact of corresponding inventory valuation adjustments, as applicable.</w:t>
      </w:r>
    </w:p>
    <w:p>
      <w:pPr>
        <w:spacing w:after="0" w:line="33" w:lineRule="exact"/>
        <w:rPr>
          <w:rFonts w:ascii="Arial" w:cs="Arial" w:eastAsia="Arial" w:hAnsi="Arial"/>
          <w:sz w:val="16"/>
          <w:szCs w:val="16"/>
          <w:color w:val="auto"/>
          <w:vertAlign w:val="superscript"/>
        </w:rPr>
      </w:pPr>
    </w:p>
    <w:p>
      <w:pPr>
        <w:ind w:left="320" w:right="140" w:hanging="317"/>
        <w:spacing w:after="0" w:line="234" w:lineRule="auto"/>
        <w:tabs>
          <w:tab w:leader="none" w:pos="316"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7"/>
          <w:szCs w:val="17"/>
          <w:color w:val="auto"/>
          <w:vertAlign w:val="superscript"/>
        </w:rPr>
      </w:pPr>
    </w:p>
    <w:p>
      <w:pPr>
        <w:ind w:left="320" w:right="20" w:hanging="317"/>
        <w:spacing w:after="0" w:line="263" w:lineRule="auto"/>
        <w:tabs>
          <w:tab w:leader="none" w:pos="316"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16"/>
          <w:szCs w:val="16"/>
          <w:color w:val="auto"/>
          <w:vertAlign w:val="superscript"/>
        </w:rPr>
      </w:pPr>
    </w:p>
    <w:p>
      <w:pPr>
        <w:ind w:left="320" w:right="40" w:hanging="317"/>
        <w:spacing w:after="0" w:line="234" w:lineRule="auto"/>
        <w:tabs>
          <w:tab w:leader="none" w:pos="316"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4" w:lineRule="exact"/>
        <w:rPr>
          <w:rFonts w:ascii="Arial" w:cs="Arial" w:eastAsia="Arial" w:hAnsi="Arial"/>
          <w:sz w:val="17"/>
          <w:szCs w:val="17"/>
          <w:color w:val="auto"/>
          <w:vertAlign w:val="superscript"/>
        </w:rPr>
      </w:pPr>
    </w:p>
    <w:p>
      <w:pPr>
        <w:jc w:val="both"/>
        <w:ind w:left="320" w:right="20" w:hanging="317"/>
        <w:spacing w:after="0" w:line="230" w:lineRule="auto"/>
        <w:tabs>
          <w:tab w:leader="none" w:pos="316"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2"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7" w:lineRule="exact"/>
        <w:rPr>
          <w:rFonts w:ascii="Arial" w:cs="Arial" w:eastAsia="Arial" w:hAnsi="Arial"/>
          <w:sz w:val="17"/>
          <w:szCs w:val="17"/>
          <w:color w:val="auto"/>
          <w:vertAlign w:val="superscript"/>
        </w:rPr>
      </w:pPr>
    </w:p>
    <w:p>
      <w:pPr>
        <w:ind w:left="300" w:hanging="297"/>
        <w:spacing w:after="0" w:line="194" w:lineRule="auto"/>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Plains Oryx Permian Basin joint venture transaction, which closed on October 5, 2021, and the acquisition of Felix Midstream LLC in February 2020.</w:t>
      </w:r>
    </w:p>
    <w:p>
      <w:pPr>
        <w:spacing w:after="0" w:line="48" w:lineRule="exact"/>
        <w:rPr>
          <w:rFonts w:ascii="Arial" w:cs="Arial" w:eastAsia="Arial" w:hAnsi="Arial"/>
          <w:sz w:val="17"/>
          <w:szCs w:val="17"/>
          <w:color w:val="auto"/>
          <w:vertAlign w:val="superscript"/>
        </w:rPr>
      </w:pPr>
    </w:p>
    <w:p>
      <w:pPr>
        <w:ind w:left="300" w:hanging="297"/>
        <w:spacing w:after="0" w:line="182" w:lineRule="auto"/>
        <w:tabs>
          <w:tab w:leader="none" w:pos="30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Includes net gains recognized in connection with the repurchase of our outstanding senior notes on the open market.</w:t>
      </w:r>
    </w:p>
    <w:p>
      <w:pPr>
        <w:ind w:left="5440" w:hanging="93"/>
        <w:spacing w:after="0"/>
        <w:tabs>
          <w:tab w:leader="none" w:pos="54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NGL</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5"/>
                <w:szCs w:val="15"/>
                <w:color w:val="auto"/>
              </w:rPr>
            </w:pPr>
          </w:p>
        </w:tc>
        <w:tc>
          <w:tcPr>
            <w:tcW w:w="840" w:type="dxa"/>
            <w:vAlign w:val="bottom"/>
          </w:tcPr>
          <w:p>
            <w:pPr>
              <w:jc w:val="right"/>
              <w:ind w:right="455"/>
              <w:spacing w:after="0"/>
              <w:rPr>
                <w:sz w:val="20"/>
                <w:szCs w:val="20"/>
                <w:color w:val="auto"/>
              </w:rPr>
            </w:pPr>
            <w:r>
              <w:rPr>
                <w:rFonts w:ascii="Arial" w:cs="Arial" w:eastAsia="Arial" w:hAnsi="Arial"/>
                <w:sz w:val="14"/>
                <w:szCs w:val="14"/>
                <w:b w:val="1"/>
                <w:bCs w:val="1"/>
                <w:color w:val="auto"/>
                <w:w w:val="94"/>
              </w:rPr>
              <w:t>NGL</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5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 of unconsolidated entities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180" w:type="dxa"/>
            <w:vAlign w:val="bottom"/>
            <w:gridSpan w:val="2"/>
            <w:shd w:val="clear" w:color="auto" w:fill="CCEEFF"/>
          </w:tcPr>
          <w:p>
            <w:pPr>
              <w:ind w:left="160"/>
              <w:spacing w:after="0" w:line="168" w:lineRule="exact"/>
              <w:rPr>
                <w:sz w:val="20"/>
                <w:szCs w:val="20"/>
                <w:color w:val="auto"/>
              </w:rPr>
            </w:pPr>
            <w:r>
              <w:rPr>
                <w:rFonts w:ascii="Arial" w:cs="Arial" w:eastAsia="Arial" w:hAnsi="Arial"/>
                <w:sz w:val="17"/>
                <w:szCs w:val="17"/>
                <w:color w:val="auto"/>
              </w:rPr>
              <w:t>(Gains)/losses from derivative activities and inventory valuation</w:t>
            </w: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1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adjustments</w:t>
            </w: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Long-term inventory costing adjustments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Equity-indexed compensation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(gain)/loss on foreign currency revaluation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Line 901 incident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Significant transaction-related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51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0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860"/>
          </w:cols>
          <w:pgMar w:left="320" w:top="360" w:right="419" w:bottom="1440" w:gutter="0" w:footer="0" w:header="0"/>
          <w:type w:val="continuous"/>
        </w:sectPr>
      </w:pPr>
    </w:p>
    <w:p>
      <w:pPr>
        <w:ind w:left="320" w:right="500" w:hanging="317"/>
        <w:spacing w:after="0" w:line="281" w:lineRule="auto"/>
        <w:tabs>
          <w:tab w:leader="none" w:pos="308"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00" w:hanging="317"/>
        <w:spacing w:after="0" w:line="235" w:lineRule="auto"/>
        <w:tabs>
          <w:tab w:leader="none" w:pos="3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Reflects amounts attributable to noncontrolling interests in the Plains Oryx Permian Basin LLC (from October 2021) and Red River Pipeline LLC.</w:t>
      </w:r>
    </w:p>
    <w:p>
      <w:pPr>
        <w:spacing w:after="0" w:line="52" w:lineRule="exact"/>
        <w:rPr>
          <w:rFonts w:ascii="Arial" w:cs="Arial" w:eastAsia="Arial" w:hAnsi="Arial"/>
          <w:sz w:val="21"/>
          <w:szCs w:val="21"/>
          <w:color w:val="auto"/>
          <w:vertAlign w:val="superscript"/>
        </w:rPr>
      </w:pPr>
    </w:p>
    <w:p>
      <w:pPr>
        <w:ind w:left="320" w:right="140" w:hanging="317"/>
        <w:spacing w:after="0" w:line="236" w:lineRule="auto"/>
        <w:tabs>
          <w:tab w:leader="none" w:pos="3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2021, we modified our definition of Segment Adjusted EBITDA to exclude amounts attributable to noncontrolling interests. In connection with the Plains Oryx Permian Basin joint venture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33"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ind w:left="500"/>
              <w:spacing w:after="0"/>
              <w:rPr>
                <w:sz w:val="20"/>
                <w:szCs w:val="20"/>
                <w:color w:val="auto"/>
              </w:rPr>
            </w:pPr>
            <w:r>
              <w:rPr>
                <w:rFonts w:ascii="Arial" w:cs="Arial" w:eastAsia="Arial" w:hAnsi="Arial"/>
                <w:sz w:val="14"/>
                <w:szCs w:val="14"/>
                <w:b w:val="1"/>
                <w:bCs w:val="1"/>
                <w:color w:val="auto"/>
              </w:rPr>
              <w:t>Twelve Months Ended</w:t>
            </w:r>
          </w:p>
        </w:tc>
        <w:tc>
          <w:tcPr>
            <w:tcW w:w="240" w:type="dxa"/>
            <w:vAlign w:val="bottom"/>
          </w:tcPr>
          <w:p>
            <w:pPr>
              <w:spacing w:after="0"/>
              <w:rPr>
                <w:sz w:val="14"/>
                <w:szCs w:val="14"/>
                <w:color w:val="auto"/>
              </w:rPr>
            </w:pPr>
          </w:p>
        </w:tc>
        <w:tc>
          <w:tcPr>
            <w:tcW w:w="26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5"/>
                <w:szCs w:val="15"/>
                <w:color w:val="auto"/>
              </w:rPr>
            </w:pPr>
          </w:p>
        </w:tc>
        <w:tc>
          <w:tcPr>
            <w:tcW w:w="840" w:type="dxa"/>
            <w:vAlign w:val="bottom"/>
          </w:tcPr>
          <w:p>
            <w:pPr>
              <w:jc w:val="right"/>
              <w:ind w:right="435"/>
              <w:spacing w:after="0"/>
              <w:rPr>
                <w:sz w:val="20"/>
                <w:szCs w:val="20"/>
                <w:color w:val="auto"/>
              </w:rPr>
            </w:pPr>
            <w:r>
              <w:rPr>
                <w:rFonts w:ascii="Arial" w:cs="Arial" w:eastAsia="Arial" w:hAnsi="Arial"/>
                <w:sz w:val="14"/>
                <w:szCs w:val="14"/>
                <w:b w:val="1"/>
                <w:bCs w:val="1"/>
                <w:color w:val="auto"/>
              </w:rPr>
              <w:t>NGL</w:t>
            </w:r>
          </w:p>
        </w:tc>
        <w:tc>
          <w:tcPr>
            <w:tcW w:w="2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5"/>
                <w:szCs w:val="15"/>
                <w:color w:val="auto"/>
              </w:rPr>
            </w:pPr>
          </w:p>
        </w:tc>
        <w:tc>
          <w:tcPr>
            <w:tcW w:w="860" w:type="dxa"/>
            <w:vAlign w:val="bottom"/>
          </w:tcPr>
          <w:p>
            <w:pPr>
              <w:jc w:val="right"/>
              <w:ind w:right="455"/>
              <w:spacing w:after="0"/>
              <w:rPr>
                <w:sz w:val="20"/>
                <w:szCs w:val="20"/>
                <w:color w:val="auto"/>
              </w:rPr>
            </w:pPr>
            <w:r>
              <w:rPr>
                <w:rFonts w:ascii="Arial" w:cs="Arial" w:eastAsia="Arial" w:hAnsi="Arial"/>
                <w:sz w:val="14"/>
                <w:szCs w:val="14"/>
                <w:b w:val="1"/>
                <w:bCs w:val="1"/>
                <w:color w:val="auto"/>
              </w:rPr>
              <w:t>NGL</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5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40,435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(37,505)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(1,324)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(19,712)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(988)</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1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 of unconsolidated entities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180" w:type="dxa"/>
            <w:vAlign w:val="bottom"/>
            <w:gridSpan w:val="2"/>
            <w:shd w:val="clear" w:color="auto" w:fill="CCEEFF"/>
          </w:tcPr>
          <w:p>
            <w:pPr>
              <w:ind w:left="160"/>
              <w:spacing w:after="0" w:line="168" w:lineRule="exact"/>
              <w:rPr>
                <w:sz w:val="20"/>
                <w:szCs w:val="20"/>
                <w:color w:val="auto"/>
              </w:rPr>
            </w:pPr>
            <w:r>
              <w:rPr>
                <w:rFonts w:ascii="Arial" w:cs="Arial" w:eastAsia="Arial" w:hAnsi="Arial"/>
                <w:sz w:val="17"/>
                <w:szCs w:val="17"/>
                <w:color w:val="auto"/>
              </w:rPr>
              <w:t>(Gains)/losses from derivative activities and inventory valuation</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1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adjustments</w:t>
            </w: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Long-term inventory costing adjustments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Equity-indexed compensation expense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gain on foreign currency revaluation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rPr>
                <w:sz w:val="20"/>
                <w:szCs w:val="20"/>
                <w:color w:val="auto"/>
              </w:rPr>
            </w:pPr>
            <w:r>
              <w:rPr>
                <w:rFonts w:ascii="Arial" w:cs="Arial" w:eastAsia="Arial" w:hAnsi="Arial"/>
                <w:sz w:val="17"/>
                <w:szCs w:val="17"/>
                <w:color w:val="auto"/>
              </w:rPr>
              <w:t>Line 901 incident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Significant transaction-related expenses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5180" w:type="dxa"/>
            <w:vAlign w:val="bottom"/>
            <w:gridSpan w:val="2"/>
          </w:tcPr>
          <w:p>
            <w:pPr>
              <w:ind w:left="16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51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0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860"/>
          </w:cols>
          <w:pgMar w:left="320" w:top="360" w:right="419" w:bottom="1440" w:gutter="0" w:footer="0" w:header="0"/>
          <w:type w:val="continuous"/>
        </w:sectPr>
      </w:pPr>
    </w:p>
    <w:p>
      <w:pPr>
        <w:ind w:left="320" w:right="500" w:hanging="317"/>
        <w:spacing w:after="0" w:line="281" w:lineRule="auto"/>
        <w:tabs>
          <w:tab w:leader="none" w:pos="308"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00" w:hanging="317"/>
        <w:spacing w:after="0" w:line="235"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9"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Reflects amounts attributable to noncontrolling interests in the Plains Oryx Permian Basin LLC (from October 2021) and Red River Pipeline LLC.</w:t>
      </w:r>
    </w:p>
    <w:p>
      <w:pPr>
        <w:spacing w:after="0" w:line="52" w:lineRule="exact"/>
        <w:rPr>
          <w:rFonts w:ascii="Arial" w:cs="Arial" w:eastAsia="Arial" w:hAnsi="Arial"/>
          <w:sz w:val="21"/>
          <w:szCs w:val="21"/>
          <w:color w:val="auto"/>
          <w:vertAlign w:val="superscript"/>
        </w:rPr>
      </w:pPr>
    </w:p>
    <w:p>
      <w:pPr>
        <w:ind w:left="320" w:right="140" w:hanging="317"/>
        <w:spacing w:after="0" w:line="236"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2021, we modified our definition of Segment Adjusted EBITDA to exclude amounts attributable to noncontrolling interests. In connection with the Plains Oryx Permian Basin joint venture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Twelve Months Ended</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697"/>
              <w:spacing w:after="0"/>
              <w:rPr>
                <w:sz w:val="20"/>
                <w:szCs w:val="20"/>
                <w:color w:val="auto"/>
              </w:rPr>
            </w:pPr>
            <w:r>
              <w:rPr>
                <w:rFonts w:ascii="Arial" w:cs="Arial" w:eastAsia="Arial" w:hAnsi="Arial"/>
                <w:sz w:val="14"/>
                <w:szCs w:val="14"/>
                <w:b w:val="1"/>
                <w:bCs w:val="1"/>
                <w:color w:val="auto"/>
                <w:w w:val="87"/>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Crude oil pipeline tariff volumes (by region)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0" w:type="dxa"/>
            <w:vAlign w:val="bottom"/>
          </w:tcPr>
          <w:p>
            <w:pPr>
              <w:spacing w:after="0"/>
              <w:rPr>
                <w:sz w:val="1"/>
                <w:szCs w:val="1"/>
                <w:color w:val="auto"/>
              </w:rPr>
            </w:pPr>
          </w:p>
        </w:tc>
      </w:tr>
      <w:tr>
        <w:trPr>
          <w:trHeight w:val="220"/>
        </w:trPr>
        <w:tc>
          <w:tcPr>
            <w:tcW w:w="6280" w:type="dxa"/>
            <w:vAlign w:val="bottom"/>
            <w:gridSpan w:val="2"/>
          </w:tcPr>
          <w:p>
            <w:pPr>
              <w:ind w:left="34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20"/>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Gulf Coast</w:t>
            </w:r>
          </w:p>
        </w:tc>
        <w:tc>
          <w:tcPr>
            <w:tcW w:w="116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0"/>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Western</w:t>
            </w:r>
          </w:p>
        </w:tc>
        <w:tc>
          <w:tcPr>
            <w:tcW w:w="116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line="212" w:lineRule="exact"/>
              <w:rPr>
                <w:sz w:val="20"/>
                <w:szCs w:val="20"/>
                <w:color w:val="auto"/>
              </w:rPr>
            </w:pPr>
            <w:r>
              <w:rPr>
                <w:rFonts w:ascii="Arial" w:cs="Arial" w:eastAsia="Arial" w:hAnsi="Arial"/>
                <w:sz w:val="17"/>
                <w:szCs w:val="17"/>
                <w:color w:val="auto"/>
                <w:w w:val="93"/>
              </w:rPr>
              <w:t xml:space="preserve">Crude oil pipeline tariff volumes (average volumes in thousands of barrels per day) </w:t>
            </w:r>
            <w:r>
              <w:rPr>
                <w:rFonts w:ascii="Arial" w:cs="Arial" w:eastAsia="Arial" w:hAnsi="Arial"/>
                <w:sz w:val="22"/>
                <w:szCs w:val="22"/>
                <w:color w:val="auto"/>
                <w:w w:val="93"/>
                <w:vertAlign w:val="superscript"/>
              </w:rPr>
              <w:t>(1) (2)</w:t>
            </w:r>
          </w:p>
        </w:tc>
        <w:tc>
          <w:tcPr>
            <w:tcW w:w="1160" w:type="dxa"/>
            <w:vAlign w:val="bottom"/>
          </w:tcPr>
          <w:p>
            <w:pPr>
              <w:jc w:val="right"/>
              <w:spacing w:after="0"/>
              <w:rPr>
                <w:sz w:val="20"/>
                <w:szCs w:val="20"/>
                <w:color w:val="auto"/>
              </w:rPr>
            </w:pPr>
            <w:r>
              <w:rPr>
                <w:rFonts w:ascii="Arial" w:cs="Arial" w:eastAsia="Arial" w:hAnsi="Arial"/>
                <w:sz w:val="17"/>
                <w:szCs w:val="17"/>
                <w:color w:val="auto"/>
              </w:rPr>
              <w:t>7,202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5,835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6,082</w:t>
            </w: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line="168" w:lineRule="exact"/>
              <w:rPr>
                <w:sz w:val="20"/>
                <w:szCs w:val="20"/>
                <w:color w:val="auto"/>
              </w:rPr>
            </w:pPr>
            <w:r>
              <w:rPr>
                <w:rFonts w:ascii="Arial" w:cs="Arial" w:eastAsia="Arial" w:hAnsi="Arial"/>
                <w:sz w:val="17"/>
                <w:szCs w:val="17"/>
                <w:color w:val="auto"/>
                <w:w w:val="95"/>
              </w:rPr>
              <w:t>Commercial crude oil storage capacity (average monthly volumes in millions of barrels)</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52"/>
        </w:trPr>
        <w:tc>
          <w:tcPr>
            <w:tcW w:w="3880" w:type="dxa"/>
            <w:vAlign w:val="bottom"/>
            <w:vMerge w:val="restart"/>
          </w:tcPr>
          <w:p>
            <w:pPr>
              <w:ind w:left="20"/>
              <w:spacing w:after="0"/>
              <w:rPr>
                <w:sz w:val="20"/>
                <w:szCs w:val="20"/>
                <w:color w:val="auto"/>
              </w:rPr>
            </w:pPr>
            <w:r>
              <w:rPr>
                <w:rFonts w:ascii="Arial" w:cs="Arial" w:eastAsia="Arial" w:hAnsi="Arial"/>
                <w:sz w:val="11"/>
                <w:szCs w:val="11"/>
                <w:color w:val="auto"/>
              </w:rPr>
              <w:t>(2)(3)</w:t>
            </w:r>
          </w:p>
        </w:tc>
        <w:tc>
          <w:tcPr>
            <w:tcW w:w="24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388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88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w w:val="91"/>
              </w:rPr>
              <w:t xml:space="preserve">Crude oil lease gathering purchases (average volumes in thousands of barrels per day) </w:t>
            </w:r>
            <w:r>
              <w:rPr>
                <w:rFonts w:ascii="Arial" w:cs="Arial" w:eastAsia="Arial" w:hAnsi="Arial"/>
                <w:sz w:val="22"/>
                <w:szCs w:val="22"/>
                <w:color w:val="auto"/>
                <w:w w:val="91"/>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1,419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b w:val="1"/>
                <w:bCs w:val="1"/>
                <w:color w:val="auto"/>
              </w:rPr>
              <w:t>NGL Segment Volumes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fractionation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w w:val="99"/>
              </w:rPr>
              <w:t xml:space="preserve">NGL pipeline tariff volumes (average volumes in thousands of barrels per day) </w:t>
            </w:r>
            <w:r>
              <w:rPr>
                <w:rFonts w:ascii="Arial" w:cs="Arial" w:eastAsia="Arial" w:hAnsi="Arial"/>
                <w:sz w:val="22"/>
                <w:szCs w:val="22"/>
                <w:color w:val="auto"/>
                <w:w w:val="99"/>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sales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500" w:hanging="317"/>
        <w:spacing w:after="0" w:line="228"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Average daily volumes calculated as the total volumes for the period divided by the number of days in the period. Volumes associated with acquisitions represent total volumes for the number of days we actually owned the assets divided by the number of days in the period.</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assets owned by unconsolidated entities.</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9" w:name="page20"/>
    <w:bookmarkEnd w:id="19"/>
    <w:p>
      <w:pPr>
        <w:ind w:left="100"/>
        <w:spacing w:after="0"/>
        <w:rPr>
          <w:sz w:val="20"/>
          <w:szCs w:val="20"/>
          <w:color w:val="auto"/>
        </w:rPr>
      </w:pPr>
      <w:r>
        <w:rPr>
          <w:rFonts w:ascii="Arial" w:cs="Arial" w:eastAsia="Arial" w:hAnsi="Arial"/>
          <w:sz w:val="17"/>
          <w:szCs w:val="17"/>
          <w:u w:val="single" w:color="auto"/>
          <w:color w:val="auto"/>
        </w:rPr>
        <w:t>Page 17</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Segment Adjusted EBITDA to Adjusted EBITDA attributable to PAA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Twelve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980" w:type="dxa"/>
            <w:vAlign w:val="bottom"/>
            <w:gridSpan w:val="2"/>
          </w:tcPr>
          <w:p>
            <w:pPr>
              <w:spacing w:after="0"/>
              <w:rPr>
                <w:sz w:val="20"/>
                <w:szCs w:val="20"/>
                <w:color w:val="auto"/>
              </w:rPr>
            </w:pPr>
            <w:r>
              <w:rPr>
                <w:rFonts w:ascii="Arial" w:cs="Arial" w:eastAsia="Arial" w:hAnsi="Arial"/>
                <w:sz w:val="17"/>
                <w:szCs w:val="17"/>
                <w:color w:val="auto"/>
              </w:rPr>
              <w:t>Crude Oil Segment Adjusted EBITDA</w:t>
            </w:r>
          </w:p>
        </w:tc>
        <w:tc>
          <w:tcPr>
            <w:tcW w:w="23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1,909</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2,216</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NGL Segment Adjusted EBITDA</w:t>
            </w:r>
          </w:p>
        </w:tc>
        <w:tc>
          <w:tcPr>
            <w:tcW w:w="2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Segment Adjusted EBITDA</w:t>
            </w:r>
          </w:p>
        </w:tc>
        <w:tc>
          <w:tcPr>
            <w:tcW w:w="2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23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2,194</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2,543</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line="220" w:lineRule="exact"/>
              <w:rPr>
                <w:sz w:val="20"/>
                <w:szCs w:val="20"/>
                <w:color w:val="auto"/>
              </w:rPr>
            </w:pPr>
            <w:r>
              <w:rPr>
                <w:rFonts w:ascii="Arial" w:cs="Arial" w:eastAsia="Arial" w:hAnsi="Arial"/>
                <w:sz w:val="17"/>
                <w:szCs w:val="17"/>
                <w:color w:val="auto"/>
              </w:rPr>
              <w:t xml:space="preserve">Adjusted other income, net </w:t>
            </w:r>
            <w:r>
              <w:rPr>
                <w:rFonts w:ascii="Arial" w:cs="Arial" w:eastAsia="Arial" w:hAnsi="Arial"/>
                <w:sz w:val="22"/>
                <w:szCs w:val="22"/>
                <w:color w:val="auto"/>
                <w:vertAlign w:val="superscript"/>
              </w:rPr>
              <w:t>(1)</w:t>
            </w:r>
          </w:p>
        </w:tc>
        <w:tc>
          <w:tcPr>
            <w:tcW w:w="2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3880" w:type="dxa"/>
            <w:vAlign w:val="bottom"/>
            <w:shd w:val="clear" w:color="auto" w:fill="CCEEFF"/>
          </w:tcPr>
          <w:p>
            <w:pPr>
              <w:spacing w:after="0" w:line="21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2,196</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2,546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-893445</wp:posOffset>
            </wp:positionV>
            <wp:extent cx="7039610" cy="147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9610" cy="147955"/>
                    </a:xfrm>
                    <a:prstGeom prst="rect">
                      <a:avLst/>
                    </a:prstGeom>
                    <a:noFill/>
                  </pic:spPr>
                </pic:pic>
              </a:graphicData>
            </a:graphic>
          </wp:anchor>
        </w:drawing>
      </w:r>
    </w:p>
    <w:p>
      <w:pPr>
        <w:spacing w:after="0" w:line="110" w:lineRule="exact"/>
        <w:rPr>
          <w:sz w:val="20"/>
          <w:szCs w:val="20"/>
          <w:color w:val="auto"/>
        </w:rPr>
      </w:pPr>
    </w:p>
    <w:p>
      <w:pPr>
        <w:ind w:left="420" w:right="80" w:hanging="317"/>
        <w:spacing w:after="0"/>
        <w:tabs>
          <w:tab w:leader="none" w:pos="40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 net” as reported on our Condensed Consolidated Statements of Operations, adjusted for selected items impacting comparability of $(6) million, $(47) million, $(17) million and $(36) million for the three and twelve months ended December 31, 2021 and 2020, respectively. See the “Selected Items Impacting Comparability” table for additional information. Adjusted other income, net attributable to noncontrolling interests is less than $1 million for each of the periods presented.</w:t>
      </w:r>
    </w:p>
    <w:p>
      <w:pPr>
        <w:spacing w:after="0" w:line="17"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See the “Net Income/(Loss) to Adjusted EBITDA attributable to PAA and Implied DCF Reconciliation” table for reconciliation to Net Income/(Loss).</w:t>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3"/>
          </w:tcPr>
          <w:p>
            <w:pPr>
              <w:ind w:left="760"/>
              <w:spacing w:after="0"/>
              <w:rPr>
                <w:sz w:val="20"/>
                <w:szCs w:val="20"/>
                <w:color w:val="auto"/>
              </w:rPr>
            </w:pPr>
            <w:r>
              <w:rPr>
                <w:rFonts w:ascii="Arial" w:cs="Arial" w:eastAsia="Arial" w:hAnsi="Arial"/>
                <w:sz w:val="14"/>
                <w:szCs w:val="14"/>
                <w:b w:val="1"/>
                <w:bCs w:val="1"/>
                <w:color w:val="auto"/>
              </w:rPr>
              <w:t>Three Months Ended</w:t>
            </w:r>
          </w:p>
        </w:tc>
      </w:tr>
      <w:tr>
        <w:trPr>
          <w:trHeight w:val="180"/>
        </w:trPr>
        <w:tc>
          <w:tcPr>
            <w:tcW w:w="1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2021</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December 31, 2020</w:t>
            </w:r>
          </w:p>
        </w:tc>
      </w:tr>
      <w:tr>
        <w:trPr>
          <w:trHeight w:val="173"/>
        </w:trPr>
        <w:tc>
          <w:tcPr>
            <w:tcW w:w="100" w:type="dxa"/>
            <w:vAlign w:val="bottom"/>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Crude Oil</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NGL</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Crude Oil</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NGL</w:t>
            </w:r>
          </w:p>
        </w:tc>
      </w:tr>
      <w:tr>
        <w:trPr>
          <w:trHeight w:val="202"/>
        </w:trPr>
        <w:tc>
          <w:tcPr>
            <w:tcW w:w="10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Segment Adjusted EBITDA</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w w:val="99"/>
              </w:rPr>
              <w:t>465 $</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89</w:t>
            </w:r>
          </w:p>
        </w:tc>
      </w:tr>
      <w:tr>
        <w:trPr>
          <w:trHeight w:val="207"/>
        </w:trPr>
        <w:tc>
          <w:tcPr>
            <w:tcW w:w="100" w:type="dxa"/>
            <w:vAlign w:val="bottom"/>
          </w:tcPr>
          <w:p>
            <w:pPr>
              <w:spacing w:after="0"/>
              <w:rPr>
                <w:sz w:val="17"/>
                <w:szCs w:val="17"/>
                <w:color w:val="auto"/>
              </w:rPr>
            </w:pPr>
          </w:p>
        </w:tc>
        <w:tc>
          <w:tcPr>
            <w:tcW w:w="4800" w:type="dxa"/>
            <w:vAlign w:val="bottom"/>
            <w:tcBorders>
              <w:bottom w:val="single" w:sz="8" w:color="CCEEFF"/>
            </w:tcBorders>
          </w:tcPr>
          <w:p>
            <w:pPr>
              <w:spacing w:after="0" w:line="207" w:lineRule="exact"/>
              <w:rPr>
                <w:sz w:val="20"/>
                <w:szCs w:val="20"/>
                <w:color w:val="auto"/>
              </w:rPr>
            </w:pPr>
            <w:r>
              <w:rPr>
                <w:rFonts w:ascii="Arial" w:cs="Arial" w:eastAsia="Arial" w:hAnsi="Arial"/>
                <w:sz w:val="16"/>
                <w:szCs w:val="16"/>
                <w:color w:val="auto"/>
              </w:rPr>
              <w:t xml:space="preserve">mpact of divested assets </w:t>
            </w:r>
            <w:r>
              <w:rPr>
                <w:rFonts w:ascii="Arial" w:cs="Arial" w:eastAsia="Arial" w:hAnsi="Arial"/>
                <w:sz w:val="21"/>
                <w:szCs w:val="21"/>
                <w:color w:val="auto"/>
                <w:vertAlign w:val="superscript"/>
              </w:rPr>
              <w:t>(1)</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w w:val="98"/>
              </w:rPr>
              <w:t>(20)</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w w:val="91"/>
              </w:rPr>
              <w:t>(1)</w:t>
            </w:r>
          </w:p>
        </w:tc>
      </w:tr>
      <w:tr>
        <w:trPr>
          <w:trHeight w:val="220"/>
        </w:trPr>
        <w:tc>
          <w:tcPr>
            <w:tcW w:w="10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w w:val="92"/>
              </w:rPr>
              <w:t>Segment Adjusted EBITDA further adjusted for impact of divested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w w:val="99"/>
              </w:rPr>
              <w:t>445 $</w:t>
            </w:r>
          </w:p>
        </w:tc>
        <w:tc>
          <w:tcPr>
            <w:tcW w:w="140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88</w:t>
            </w:r>
          </w:p>
        </w:tc>
      </w:tr>
      <w:tr>
        <w:trPr>
          <w:trHeight w:val="20"/>
        </w:trPr>
        <w:tc>
          <w:tcPr>
            <w:tcW w:w="10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-442595</wp:posOffset>
            </wp:positionV>
            <wp:extent cx="8255" cy="42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426720"/>
                    </a:xfrm>
                    <a:prstGeom prst="rect">
                      <a:avLst/>
                    </a:prstGeom>
                    <a:noFill/>
                  </pic:spPr>
                </pic:pic>
              </a:graphicData>
            </a:graphic>
          </wp:anchor>
        </w:drawing>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Twelve Months Ended</w:t>
            </w:r>
          </w:p>
        </w:tc>
      </w:tr>
      <w:tr>
        <w:trPr>
          <w:trHeight w:val="180"/>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5"/>
                <w:szCs w:val="15"/>
                <w:color w:val="auto"/>
              </w:rPr>
            </w:pPr>
          </w:p>
        </w:tc>
      </w:tr>
      <w:tr>
        <w:trPr>
          <w:trHeight w:val="174"/>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980" w:type="dxa"/>
            <w:vAlign w:val="bottom"/>
          </w:tcPr>
          <w:p>
            <w:pPr>
              <w:j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5"/>
                <w:szCs w:val="15"/>
                <w:color w:val="auto"/>
              </w:rPr>
            </w:pPr>
          </w:p>
        </w:tc>
        <w:tc>
          <w:tcPr>
            <w:tcW w:w="900" w:type="dxa"/>
            <w:vAlign w:val="bottom"/>
          </w:tcPr>
          <w:p>
            <w:pPr>
              <w:jc w:val="right"/>
              <w:ind w:right="481"/>
              <w:spacing w:after="0"/>
              <w:rPr>
                <w:sz w:val="20"/>
                <w:szCs w:val="20"/>
                <w:color w:val="auto"/>
              </w:rPr>
            </w:pPr>
            <w:r>
              <w:rPr>
                <w:rFonts w:ascii="Arial" w:cs="Arial" w:eastAsia="Arial" w:hAnsi="Arial"/>
                <w:sz w:val="14"/>
                <w:szCs w:val="14"/>
                <w:b w:val="1"/>
                <w:bCs w:val="1"/>
                <w:color w:val="auto"/>
              </w:rPr>
              <w:t>NGL</w:t>
            </w:r>
          </w:p>
        </w:tc>
      </w:tr>
      <w:tr>
        <w:trPr>
          <w:trHeight w:val="201"/>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07"/>
        </w:trPr>
        <w:tc>
          <w:tcPr>
            <w:tcW w:w="51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5"/>
        </w:trPr>
        <w:tc>
          <w:tcPr>
            <w:tcW w:w="5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8"/>
              </w:rPr>
              <w:t>Segment Adjusted EBITDA further adjusted for impact of divested assets</w:t>
            </w: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78" w:lineRule="exact"/>
        <w:rPr>
          <w:sz w:val="20"/>
          <w:szCs w:val="20"/>
          <w:color w:val="auto"/>
        </w:rPr>
      </w:pPr>
    </w:p>
    <w:p>
      <w:pPr>
        <w:ind w:left="100" w:firstLine="3"/>
        <w:spacing w:after="0" w:line="247" w:lineRule="auto"/>
        <w:tabs>
          <w:tab w:leader="none" w:pos="273"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Los Angeles Basin crude oil storage terminals, natural gas storage facilities and the sale of a portion of our interest in a joint venture pipeline, all of which were</w:t>
      </w:r>
    </w:p>
    <w:p>
      <w:pPr>
        <w:ind w:left="5440" w:right="1960" w:hanging="5342"/>
        <w:spacing w:after="0" w:line="230" w:lineRule="auto"/>
        <w:rPr>
          <w:sz w:val="20"/>
          <w:szCs w:val="20"/>
          <w:color w:val="auto"/>
        </w:rPr>
      </w:pPr>
      <w:r>
        <w:rPr>
          <w:rFonts w:ascii="Arial" w:cs="Arial" w:eastAsia="Arial" w:hAnsi="Arial"/>
          <w:sz w:val="17"/>
          <w:szCs w:val="17"/>
          <w:color w:val="auto"/>
        </w:rPr>
        <w:t>previously included in our Crude Oil segment, and the sale of certain NGL storage terminals previously reported in our NGL segment.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0"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December 31,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w w:val="87"/>
              </w:rPr>
              <w:t>PAA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12,954</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11,725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11,725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5,432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12,354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6,030</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4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entities, net</w:t>
            </w:r>
          </w:p>
        </w:tc>
        <w:tc>
          <w:tcPr>
            <w:tcW w:w="4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68"/>
        </w:trPr>
        <w:tc>
          <w:tcPr>
            <w:tcW w:w="3140" w:type="dxa"/>
            <w:vAlign w:val="bottom"/>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42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noncontrolling interests</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INCOME/(LOSS)</w:t>
            </w:r>
          </w:p>
        </w:tc>
        <w:tc>
          <w:tcPr>
            <w:tcW w:w="42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4"/>
        </w:trPr>
        <w:tc>
          <w:tcPr>
            <w:tcW w:w="3140" w:type="dxa"/>
            <w:vAlign w:val="bottom"/>
            <w:tcBorders>
              <w:bottom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b w:val="1"/>
                <w:bCs w:val="1"/>
                <w:color w:val="auto"/>
              </w:rPr>
              <w:t>ATTRIBUTABLE TO PAGP</w:t>
            </w: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9"/>
              </w:rPr>
              <w:t>Basic weighted average Class A shares outstanding</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w w:val="98"/>
              </w:rPr>
              <w:t>Basic net income/(loss) per Class A share</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80" w:type="dxa"/>
            <w:vAlign w:val="bottom"/>
            <w:gridSpan w:val="5"/>
          </w:tcPr>
          <w:p>
            <w:pPr>
              <w:ind w:left="20"/>
              <w:spacing w:after="0"/>
              <w:rPr>
                <w:sz w:val="20"/>
                <w:szCs w:val="20"/>
                <w:color w:val="auto"/>
              </w:rPr>
            </w:pPr>
            <w:r>
              <w:rPr>
                <w:rFonts w:ascii="Arial" w:cs="Arial" w:eastAsia="Arial" w:hAnsi="Arial"/>
                <w:sz w:val="17"/>
                <w:szCs w:val="17"/>
                <w:color w:val="auto"/>
              </w:rPr>
              <w:t>Diluted weighted average Class A shares outstanding</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45"/>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Diluted net income/(loss) per Class A share</w:t>
            </w: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hanging="297"/>
        <w:spacing w:after="0"/>
        <w:tabs>
          <w:tab w:leader="none" w:pos="30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Twelve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Twelve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December 31,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w w:val="87"/>
              </w:rPr>
              <w:t>PAA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42,043</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23,290</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38,469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38,469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20,431</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42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auto"/>
              </w:rPr>
              <w:t>592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592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4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Arial" w:cs="Arial" w:eastAsia="Arial" w:hAnsi="Arial"/>
                <w:sz w:val="17"/>
                <w:szCs w:val="17"/>
                <w:color w:val="auto"/>
              </w:rPr>
              <w:t>Total costs and expenses</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41,192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25,673</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(2,383)</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42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unconsolidated entities, net</w:t>
            </w:r>
          </w:p>
        </w:tc>
        <w:tc>
          <w:tcPr>
            <w:tcW w:w="4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22"/>
        </w:trPr>
        <w:tc>
          <w:tcPr>
            <w:tcW w:w="31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(2,607)</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(expense)/benefit</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122"/>
        </w:trPr>
        <w:tc>
          <w:tcPr>
            <w:tcW w:w="3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NET INCOME/(LOSS)</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(2,440)</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4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1,872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8" w:lineRule="exact"/>
              <w:rPr>
                <w:sz w:val="20"/>
                <w:szCs w:val="20"/>
                <w:color w:val="auto"/>
              </w:rPr>
            </w:pPr>
            <w:r>
              <w:rPr>
                <w:rFonts w:ascii="Arial" w:cs="Arial" w:eastAsia="Arial" w:hAnsi="Arial"/>
                <w:sz w:val="17"/>
                <w:szCs w:val="17"/>
                <w:b w:val="1"/>
                <w:bCs w:val="1"/>
                <w:color w:val="auto"/>
              </w:rPr>
              <w:t>NET INCOME/(LOSS)</w:t>
            </w:r>
          </w:p>
        </w:tc>
        <w:tc>
          <w:tcPr>
            <w:tcW w:w="420" w:type="dxa"/>
            <w:vAlign w:val="bottom"/>
            <w:vMerge w:val="restart"/>
          </w:tcPr>
          <w:p>
            <w:pPr>
              <w:jc w:val="right"/>
              <w:ind w:right="234"/>
              <w:spacing w:after="0"/>
              <w:rPr>
                <w:sz w:val="20"/>
                <w:szCs w:val="20"/>
                <w:color w:val="auto"/>
              </w:rPr>
            </w:pPr>
            <w:r>
              <w:rPr>
                <w:rFonts w:ascii="Arial" w:cs="Arial" w:eastAsia="Arial" w:hAnsi="Arial"/>
                <w:sz w:val="17"/>
                <w:szCs w:val="17"/>
                <w:color w:val="auto"/>
                <w:w w:val="84"/>
              </w:rPr>
              <w:t>$</w:t>
            </w: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auto"/>
              </w:rPr>
              <w:t>593</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right w:val="single" w:sz="8" w:color="auto"/>
            </w:tcBorders>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(2,590)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194"/>
        </w:trPr>
        <w:tc>
          <w:tcPr>
            <w:tcW w:w="3140" w:type="dxa"/>
            <w:vAlign w:val="bottom"/>
          </w:tcPr>
          <w:p>
            <w:pPr>
              <w:ind w:left="180"/>
              <w:spacing w:after="0" w:line="194" w:lineRule="exact"/>
              <w:rPr>
                <w:sz w:val="20"/>
                <w:szCs w:val="20"/>
                <w:color w:val="auto"/>
              </w:rPr>
            </w:pPr>
            <w:r>
              <w:rPr>
                <w:rFonts w:ascii="Arial" w:cs="Arial" w:eastAsia="Arial" w:hAnsi="Arial"/>
                <w:sz w:val="17"/>
                <w:szCs w:val="17"/>
                <w:b w:val="1"/>
                <w:bCs w:val="1"/>
                <w:color w:val="auto"/>
              </w:rPr>
              <w:t>ATTRIBUTABLE TO PAGP</w:t>
            </w:r>
          </w:p>
        </w:tc>
        <w:tc>
          <w:tcPr>
            <w:tcW w:w="4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gridSpan w:val="2"/>
          </w:tcPr>
          <w:p>
            <w:pPr>
              <w:ind w:left="20"/>
              <w:spacing w:after="0"/>
              <w:rPr>
                <w:sz w:val="20"/>
                <w:szCs w:val="20"/>
                <w:color w:val="auto"/>
              </w:rPr>
            </w:pPr>
            <w:r>
              <w:rPr>
                <w:rFonts w:ascii="Arial" w:cs="Arial" w:eastAsia="Arial" w:hAnsi="Arial"/>
                <w:sz w:val="17"/>
                <w:szCs w:val="17"/>
                <w:color w:val="auto"/>
                <w:w w:val="89"/>
              </w:rPr>
              <w:t>Basic weighted average Class A shares outstanding</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45"/>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Basic net income/(loss) per Class A share</w:t>
            </w: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Diluted weighted average Class A shares outstanding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60"/>
        </w:trPr>
        <w:tc>
          <w:tcPr>
            <w:tcW w:w="3140" w:type="dxa"/>
            <w:vAlign w:val="bottom"/>
          </w:tcPr>
          <w:p>
            <w:pPr>
              <w:ind w:left="20"/>
              <w:spacing w:after="0"/>
              <w:rPr>
                <w:sz w:val="20"/>
                <w:szCs w:val="20"/>
                <w:color w:val="auto"/>
              </w:rPr>
            </w:pPr>
            <w:r>
              <w:rPr>
                <w:rFonts w:ascii="Arial" w:cs="Arial" w:eastAsia="Arial" w:hAnsi="Arial"/>
                <w:sz w:val="17"/>
                <w:szCs w:val="17"/>
                <w:color w:val="auto"/>
                <w:w w:val="94"/>
              </w:rPr>
              <w:t>Diluted net income/(loss) per Class A share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147"/>
        </w:trPr>
        <w:tc>
          <w:tcPr>
            <w:tcW w:w="3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December 31,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6,140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14,620</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Long-term operating lease right-of-use</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 net</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b w:val="1"/>
                <w:bCs w:val="1"/>
                <w:color w:val="auto"/>
              </w:rPr>
              <w:t>LIABILITIES AND PARTNERS’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80"/>
              <w:spacing w:after="0"/>
              <w:rPr>
                <w:sz w:val="20"/>
                <w:szCs w:val="20"/>
                <w:color w:val="auto"/>
              </w:rPr>
            </w:pPr>
            <w:r>
              <w:rPr>
                <w:rFonts w:ascii="Arial" w:cs="Arial" w:eastAsia="Arial" w:hAnsi="Arial"/>
                <w:sz w:val="17"/>
                <w:szCs w:val="17"/>
                <w:b w:val="1"/>
                <w:bCs w:val="1"/>
                <w:color w:val="auto"/>
              </w:rPr>
              <w:t>CAPITAL</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8,329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Other long-term liabilities and deferred</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credits</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15,799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14,761</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auto"/>
              </w:rPr>
              <w:t>9,972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(8,439)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1,533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9,593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(8,129)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1,464</w:t>
            </w:r>
          </w:p>
        </w:tc>
        <w:tc>
          <w:tcPr>
            <w:tcW w:w="0" w:type="dxa"/>
            <w:vAlign w:val="bottom"/>
          </w:tcPr>
          <w:p>
            <w:pPr>
              <w:spacing w:after="0"/>
              <w:rPr>
                <w:sz w:val="1"/>
                <w:szCs w:val="1"/>
                <w:color w:val="auto"/>
              </w:rPr>
            </w:pPr>
          </w:p>
        </w:tc>
      </w:tr>
      <w:tr>
        <w:trPr>
          <w:trHeight w:val="219"/>
        </w:trPr>
        <w:tc>
          <w:tcPr>
            <w:tcW w:w="316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2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12,810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14,177</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right="4280"/>
        <w:spacing w:after="0" w:line="275" w:lineRule="auto"/>
        <w:rPr>
          <w:sz w:val="20"/>
          <w:szCs w:val="20"/>
          <w:color w:val="auto"/>
        </w:rPr>
      </w:pPr>
      <w:r>
        <w:rPr>
          <w:rFonts w:ascii="Arial" w:cs="Arial" w:eastAsia="Arial" w:hAnsi="Arial"/>
          <w:sz w:val="17"/>
          <w:szCs w:val="17"/>
          <w:b w:val="1"/>
          <w:bCs w:val="1"/>
          <w:u w:val="single" w:color="auto"/>
          <w:color w:val="auto"/>
        </w:rPr>
        <w:t xml:space="preserve">COMPUTATION OF BASIC AND DILUTED NET INCOME/(LOSS) PER CLASS A SHARE </w:t>
      </w:r>
      <w:r>
        <w:rPr>
          <w:rFonts w:ascii="Arial" w:cs="Arial" w:eastAsia="Arial" w:hAnsi="Arial"/>
          <w:sz w:val="17"/>
          <w:szCs w:val="17"/>
          <w:color w:val="auto"/>
        </w:rPr>
        <w:t>(in millions, except per share data)</w:t>
      </w:r>
    </w:p>
    <w:tbl>
      <w:tblPr>
        <w:tblLayout w:type="fixed"/>
        <w:tblInd w:w="0" w:type="dxa"/>
        <w:tblCellMar>
          <w:top w:w="0" w:type="dxa"/>
          <w:left w:w="0" w:type="dxa"/>
          <w:bottom w:w="0" w:type="dxa"/>
          <w:right w:w="0" w:type="dxa"/>
        </w:tblCellMar>
      </w:tblPr>
      <w:tr>
        <w:trPr>
          <w:trHeight w:val="139"/>
        </w:trPr>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gridSpan w:val="4"/>
          </w:tcPr>
          <w:p>
            <w:pPr>
              <w:jc w:val="right"/>
              <w:ind w:right="137"/>
              <w:spacing w:after="0" w:line="139"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4"/>
          </w:tcPr>
          <w:p>
            <w:pPr>
              <w:jc w:val="right"/>
              <w:ind w:right="575"/>
              <w:spacing w:after="0" w:line="139" w:lineRule="exact"/>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w w:val="94"/>
              </w:rPr>
              <w:t>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Net Income/(Loss) per Class A Share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ind w:left="80"/>
              <w:spacing w:after="0"/>
              <w:rPr>
                <w:sz w:val="20"/>
                <w:szCs w:val="20"/>
                <w:color w:val="auto"/>
              </w:rPr>
            </w:pPr>
            <w:r>
              <w:rPr>
                <w:rFonts w:ascii="Arial" w:cs="Arial" w:eastAsia="Arial" w:hAnsi="Arial"/>
                <w:sz w:val="17"/>
                <w:szCs w:val="17"/>
                <w:color w:val="auto"/>
              </w:rPr>
              <w:t>Net income/(loss) attributable to PAGP</w:t>
            </w:r>
          </w:p>
        </w:tc>
        <w:tc>
          <w:tcPr>
            <w:tcW w:w="840" w:type="dxa"/>
            <w:vAlign w:val="bottom"/>
          </w:tcPr>
          <w:p>
            <w:pPr>
              <w:jc w:val="right"/>
              <w:ind w:right="639"/>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800" w:type="dxa"/>
            <w:vAlign w:val="bottom"/>
          </w:tcPr>
          <w:p>
            <w:pPr>
              <w:jc w:val="right"/>
              <w:ind w:right="617"/>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20"/>
        </w:trPr>
        <w:tc>
          <w:tcPr>
            <w:tcW w:w="58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Basic weighted average Class A shares outstanding</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Basic net income/(loss) per Class A share</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Diluted Net Income/(Loss) per Class A Share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ind w:left="80"/>
              <w:spacing w:after="0"/>
              <w:rPr>
                <w:sz w:val="20"/>
                <w:szCs w:val="20"/>
                <w:color w:val="auto"/>
              </w:rPr>
            </w:pPr>
            <w:r>
              <w:rPr>
                <w:rFonts w:ascii="Arial" w:cs="Arial" w:eastAsia="Arial" w:hAnsi="Arial"/>
                <w:sz w:val="17"/>
                <w:szCs w:val="17"/>
                <w:color w:val="auto"/>
              </w:rPr>
              <w:t>Net income/(loss) attributable to PAGP</w:t>
            </w:r>
          </w:p>
        </w:tc>
        <w:tc>
          <w:tcPr>
            <w:tcW w:w="840" w:type="dxa"/>
            <w:vAlign w:val="bottom"/>
          </w:tcPr>
          <w:p>
            <w:pPr>
              <w:jc w:val="right"/>
              <w:ind w:right="639"/>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800" w:type="dxa"/>
            <w:vAlign w:val="bottom"/>
          </w:tcPr>
          <w:p>
            <w:pPr>
              <w:jc w:val="right"/>
              <w:ind w:right="617"/>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168"/>
        </w:trPr>
        <w:tc>
          <w:tcPr>
            <w:tcW w:w="5860" w:type="dxa"/>
            <w:vAlign w:val="bottom"/>
            <w:gridSpan w:val="2"/>
            <w:shd w:val="clear" w:color="auto" w:fill="CCEEFF"/>
          </w:tcPr>
          <w:p>
            <w:pPr>
              <w:ind w:left="240"/>
              <w:spacing w:after="0" w:line="168" w:lineRule="exact"/>
              <w:rPr>
                <w:sz w:val="20"/>
                <w:szCs w:val="20"/>
                <w:color w:val="auto"/>
              </w:rPr>
            </w:pPr>
            <w:r>
              <w:rPr>
                <w:rFonts w:ascii="Arial" w:cs="Arial" w:eastAsia="Arial" w:hAnsi="Arial"/>
                <w:sz w:val="17"/>
                <w:szCs w:val="17"/>
                <w:color w:val="auto"/>
                <w:w w:val="99"/>
              </w:rPr>
              <w:t>Incremental net income/(loss) attributable to PAGP resulting from assumed</w:t>
            </w:r>
          </w:p>
        </w:tc>
        <w:tc>
          <w:tcPr>
            <w:tcW w:w="8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exchange of AAP units and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60" w:type="dxa"/>
            <w:vAlign w:val="bottom"/>
            <w:gridSpan w:val="2"/>
          </w:tcPr>
          <w:p>
            <w:pPr>
              <w:ind w:left="80"/>
              <w:spacing w:after="0" w:line="149" w:lineRule="exact"/>
              <w:rPr>
                <w:sz w:val="20"/>
                <w:szCs w:val="20"/>
                <w:color w:val="auto"/>
              </w:rPr>
            </w:pPr>
            <w:r>
              <w:rPr>
                <w:rFonts w:ascii="Arial" w:cs="Arial" w:eastAsia="Arial" w:hAnsi="Arial"/>
                <w:sz w:val="17"/>
                <w:szCs w:val="17"/>
                <w:color w:val="auto"/>
                <w:w w:val="97"/>
              </w:rPr>
              <w:t>Net income/(loss) attributable to PAGP including incremental net income/(loss)</w:t>
            </w:r>
          </w:p>
        </w:tc>
        <w:tc>
          <w:tcPr>
            <w:tcW w:w="840" w:type="dxa"/>
            <w:vAlign w:val="bottom"/>
            <w:tcBorders>
              <w:top w:val="single" w:sz="8" w:color="auto"/>
            </w:tcBorders>
            <w:vMerge w:val="restart"/>
          </w:tcPr>
          <w:p>
            <w:pPr>
              <w:jc w:val="right"/>
              <w:ind w:right="63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2"/>
                <w:szCs w:val="12"/>
                <w:color w:val="auto"/>
              </w:rPr>
            </w:pPr>
          </w:p>
        </w:tc>
        <w:tc>
          <w:tcPr>
            <w:tcW w:w="800" w:type="dxa"/>
            <w:vAlign w:val="bottom"/>
            <w:tcBorders>
              <w:top w:val="single" w:sz="8" w:color="auto"/>
            </w:tcBorders>
            <w:vMerge w:val="restart"/>
          </w:tcPr>
          <w:p>
            <w:pPr>
              <w:jc w:val="right"/>
              <w:ind w:right="617"/>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2"/>
                <w:szCs w:val="12"/>
                <w:color w:val="auto"/>
              </w:rPr>
            </w:pPr>
          </w:p>
        </w:tc>
        <w:tc>
          <w:tcPr>
            <w:tcW w:w="42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198"/>
        </w:trPr>
        <w:tc>
          <w:tcPr>
            <w:tcW w:w="58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from assumed exchange of AAP units and AAP Management Units</w:t>
            </w: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ind w:left="80"/>
              <w:spacing w:after="0"/>
              <w:rPr>
                <w:sz w:val="20"/>
                <w:szCs w:val="20"/>
                <w:color w:val="auto"/>
              </w:rPr>
            </w:pPr>
            <w:r>
              <w:rPr>
                <w:rFonts w:ascii="Arial" w:cs="Arial" w:eastAsia="Arial" w:hAnsi="Arial"/>
                <w:sz w:val="17"/>
                <w:szCs w:val="17"/>
                <w:color w:val="auto"/>
              </w:rPr>
              <w:t>Basic weighted average Class A shares outstanding</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68"/>
        </w:trPr>
        <w:tc>
          <w:tcPr>
            <w:tcW w:w="5860" w:type="dxa"/>
            <w:vAlign w:val="bottom"/>
            <w:gridSpan w:val="2"/>
            <w:shd w:val="clear" w:color="auto" w:fill="CCEEFF"/>
          </w:tcPr>
          <w:p>
            <w:pPr>
              <w:ind w:left="160"/>
              <w:spacing w:after="0" w:line="168" w:lineRule="exact"/>
              <w:rPr>
                <w:sz w:val="20"/>
                <w:szCs w:val="20"/>
                <w:color w:val="auto"/>
              </w:rPr>
            </w:pPr>
            <w:r>
              <w:rPr>
                <w:rFonts w:ascii="Arial" w:cs="Arial" w:eastAsia="Arial" w:hAnsi="Arial"/>
                <w:sz w:val="17"/>
                <w:szCs w:val="17"/>
                <w:color w:val="auto"/>
              </w:rPr>
              <w:t>Dilutive shares resulting from assumed exchange of AAP units and AAP</w:t>
            </w:r>
          </w:p>
        </w:tc>
        <w:tc>
          <w:tcPr>
            <w:tcW w:w="8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gridSpan w:val="2"/>
          </w:tcPr>
          <w:p>
            <w:pPr>
              <w:ind w:left="80"/>
              <w:spacing w:after="0"/>
              <w:rPr>
                <w:sz w:val="20"/>
                <w:szCs w:val="20"/>
                <w:color w:val="auto"/>
              </w:rPr>
            </w:pPr>
            <w:r>
              <w:rPr>
                <w:rFonts w:ascii="Arial" w:cs="Arial" w:eastAsia="Arial" w:hAnsi="Arial"/>
                <w:sz w:val="17"/>
                <w:szCs w:val="17"/>
                <w:color w:val="auto"/>
              </w:rPr>
              <w:t>Diluted weighted average Class A shares outstanding</w:t>
            </w: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60" w:type="dxa"/>
            <w:vAlign w:val="bottom"/>
            <w:gridSpan w:val="2"/>
          </w:tcPr>
          <w:p>
            <w:pPr>
              <w:ind w:left="80"/>
              <w:spacing w:after="0" w:line="220" w:lineRule="exact"/>
              <w:rPr>
                <w:sz w:val="20"/>
                <w:szCs w:val="20"/>
                <w:color w:val="auto"/>
              </w:rPr>
            </w:pPr>
            <w:r>
              <w:rPr>
                <w:rFonts w:ascii="Arial" w:cs="Arial" w:eastAsia="Arial" w:hAnsi="Arial"/>
                <w:sz w:val="17"/>
                <w:szCs w:val="17"/>
                <w:color w:val="auto"/>
              </w:rPr>
              <w:t xml:space="preserve">Diluted net income/(loss) per Class A share </w:t>
            </w:r>
            <w:r>
              <w:rPr>
                <w:rFonts w:ascii="Arial" w:cs="Arial" w:eastAsia="Arial" w:hAnsi="Arial"/>
                <w:sz w:val="22"/>
                <w:szCs w:val="22"/>
                <w:color w:val="auto"/>
                <w:vertAlign w:val="superscript"/>
              </w:rPr>
              <w:t>(1)</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(0.11)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right="40" w:hanging="317"/>
        <w:spacing w:after="0" w:line="234" w:lineRule="auto"/>
        <w:tabs>
          <w:tab w:leader="none" w:pos="315"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For the three and twelve months ended December 31, 2021 and the three months ended December 31, 2020, the possible exchange of AAP units would not have had a dilutive effect on basic net income/(loss) per Class A share. For the three and twelve months ended December 31, 2021 and 2020, the possible exchange of AAP Management Units would not have had a dilutive effect on basic net income/(loss) per Class A share.</w:t>
      </w:r>
    </w:p>
    <w:p>
      <w:pPr>
        <w:spacing w:after="0" w:line="186" w:lineRule="exact"/>
        <w:rPr>
          <w:rFonts w:ascii="Arial" w:cs="Arial" w:eastAsia="Arial" w:hAnsi="Arial"/>
          <w:sz w:val="21"/>
          <w:szCs w:val="21"/>
          <w:color w:val="auto"/>
          <w:vertAlign w:val="superscript"/>
        </w:rPr>
      </w:pPr>
    </w:p>
    <w:p>
      <w:pPr>
        <w:ind w:left="5440" w:hanging="93"/>
        <w:spacing w:after="0"/>
        <w:tabs>
          <w:tab w:leader="none" w:pos="54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44"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198" w:lineRule="exact"/>
        <w:rPr>
          <w:sz w:val="20"/>
          <w:szCs w:val="20"/>
          <w:color w:val="auto"/>
        </w:rPr>
      </w:pPr>
    </w:p>
    <w:p>
      <w:pPr>
        <w:ind w:left="620" w:hanging="307"/>
        <w:spacing w:after="0" w:line="259" w:lineRule="auto"/>
        <w:tabs>
          <w:tab w:leader="none" w:pos="616"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78" w:lineRule="exact"/>
        <w:rPr>
          <w:rFonts w:ascii="Arial" w:cs="Arial" w:eastAsia="Arial" w:hAnsi="Arial"/>
          <w:sz w:val="17"/>
          <w:szCs w:val="17"/>
          <w:i w:val="1"/>
          <w:iCs w:val="1"/>
          <w:color w:val="auto"/>
        </w:rPr>
      </w:pPr>
    </w:p>
    <w:p>
      <w:pPr>
        <w:ind w:left="620" w:right="460" w:hanging="307"/>
        <w:spacing w:after="0" w:line="353" w:lineRule="auto"/>
        <w:tabs>
          <w:tab w:leader="none" w:pos="6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9" w:lineRule="exact"/>
        <w:rPr>
          <w:rFonts w:ascii="Arial" w:cs="Arial" w:eastAsia="Arial" w:hAnsi="Arial"/>
          <w:sz w:val="15"/>
          <w:szCs w:val="15"/>
          <w:color w:val="auto"/>
        </w:rPr>
      </w:pPr>
    </w:p>
    <w:p>
      <w:pPr>
        <w:ind w:left="620" w:right="240" w:hanging="307"/>
        <w:spacing w:after="0" w:line="28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14" w:lineRule="exact"/>
        <w:rPr>
          <w:rFonts w:ascii="Arial" w:cs="Arial" w:eastAsia="Arial" w:hAnsi="Arial"/>
          <w:sz w:val="17"/>
          <w:szCs w:val="17"/>
          <w:color w:val="auto"/>
        </w:rPr>
      </w:pPr>
    </w:p>
    <w:p>
      <w:pPr>
        <w:ind w:left="620" w:right="180" w:hanging="307"/>
        <w:spacing w:after="0" w:line="26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growth, and the timing, pace and extent of economic recovery) that impact demand for crude oil, drilling and production activities and therefore the demand for the midstream services we provide and commercial opportunities available to us;</w:t>
      </w:r>
    </w:p>
    <w:p>
      <w:pPr>
        <w:spacing w:after="0" w:line="73" w:lineRule="exact"/>
        <w:rPr>
          <w:rFonts w:ascii="Arial" w:cs="Arial" w:eastAsia="Arial" w:hAnsi="Arial"/>
          <w:sz w:val="17"/>
          <w:szCs w:val="17"/>
          <w:color w:val="auto"/>
        </w:rPr>
      </w:pPr>
    </w:p>
    <w:p>
      <w:pPr>
        <w:ind w:left="620" w:hanging="307"/>
        <w:spacing w:after="0" w:line="26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7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key personnel and inability to attract and retain new talent;</w:t>
      </w:r>
    </w:p>
    <w:p>
      <w:pPr>
        <w:spacing w:after="0" w:line="114" w:lineRule="exact"/>
        <w:rPr>
          <w:rFonts w:ascii="Arial" w:cs="Arial" w:eastAsia="Arial" w:hAnsi="Arial"/>
          <w:sz w:val="17"/>
          <w:szCs w:val="17"/>
          <w:color w:val="auto"/>
        </w:rPr>
      </w:pPr>
    </w:p>
    <w:p>
      <w:pPr>
        <w:ind w:left="620" w:right="480" w:hanging="307"/>
        <w:spacing w:after="0" w:line="28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14" w:lineRule="exact"/>
        <w:rPr>
          <w:rFonts w:ascii="Arial" w:cs="Arial" w:eastAsia="Arial" w:hAnsi="Arial"/>
          <w:sz w:val="17"/>
          <w:szCs w:val="17"/>
          <w:color w:val="auto"/>
        </w:rPr>
      </w:pPr>
    </w:p>
    <w:p>
      <w:pPr>
        <w:ind w:left="620" w:hanging="307"/>
        <w:spacing w:after="0" w:line="28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14" w:lineRule="exact"/>
        <w:rPr>
          <w:rFonts w:ascii="Arial" w:cs="Arial" w:eastAsia="Arial" w:hAnsi="Arial"/>
          <w:sz w:val="17"/>
          <w:szCs w:val="17"/>
          <w:color w:val="auto"/>
        </w:rPr>
      </w:pPr>
    </w:p>
    <w:p>
      <w:pPr>
        <w:ind w:left="620" w:right="360" w:hanging="307"/>
        <w:spacing w:after="0" w:line="283"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Page 23</w:t>
      </w:r>
    </w:p>
    <w:p>
      <w:pPr>
        <w:spacing w:after="0" w:line="200" w:lineRule="exact"/>
        <w:rPr>
          <w:sz w:val="20"/>
          <w:szCs w:val="20"/>
          <w:color w:val="auto"/>
        </w:rPr>
      </w:pPr>
    </w:p>
    <w:p>
      <w:pPr>
        <w:spacing w:after="0" w:line="225" w:lineRule="exact"/>
        <w:rPr>
          <w:sz w:val="20"/>
          <w:szCs w:val="20"/>
          <w:color w:val="auto"/>
        </w:rPr>
      </w:pPr>
    </w:p>
    <w:p>
      <w:pPr>
        <w:ind w:left="620" w:hanging="307"/>
        <w:spacing w:after="0" w:line="285"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6" w:lineRule="exact"/>
        <w:rPr>
          <w:rFonts w:ascii="Arial" w:cs="Arial" w:eastAsia="Arial" w:hAnsi="Arial"/>
          <w:sz w:val="16"/>
          <w:szCs w:val="16"/>
          <w:color w:val="auto"/>
        </w:rPr>
      </w:pPr>
    </w:p>
    <w:p>
      <w:pPr>
        <w:ind w:left="620" w:right="100" w:hanging="307"/>
        <w:spacing w:after="0" w:line="315"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 or events;</w:t>
      </w:r>
    </w:p>
    <w:p>
      <w:pPr>
        <w:spacing w:after="0" w:line="33"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14" w:lineRule="exact"/>
        <w:rPr>
          <w:rFonts w:ascii="Arial" w:cs="Arial" w:eastAsia="Arial" w:hAnsi="Arial"/>
          <w:sz w:val="17"/>
          <w:szCs w:val="17"/>
          <w:color w:val="auto"/>
        </w:rPr>
      </w:pPr>
    </w:p>
    <w:p>
      <w:pPr>
        <w:ind w:left="620" w:right="400" w:hanging="307"/>
        <w:spacing w:after="0" w:line="28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55" w:lineRule="exact"/>
        <w:rPr>
          <w:rFonts w:ascii="Arial" w:cs="Arial" w:eastAsia="Arial" w:hAnsi="Arial"/>
          <w:sz w:val="17"/>
          <w:szCs w:val="17"/>
          <w:color w:val="auto"/>
        </w:rPr>
      </w:pPr>
    </w:p>
    <w:p>
      <w:pPr>
        <w:ind w:left="620" w:right="80" w:hanging="307"/>
        <w:spacing w:after="0" w:line="28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shortages or cost increases of supplies, materials or labor;</w:t>
      </w:r>
    </w:p>
    <w:p>
      <w:pPr>
        <w:spacing w:after="0" w:line="114" w:lineRule="exact"/>
        <w:rPr>
          <w:rFonts w:ascii="Arial" w:cs="Arial" w:eastAsia="Arial" w:hAnsi="Arial"/>
          <w:sz w:val="17"/>
          <w:szCs w:val="17"/>
          <w:color w:val="auto"/>
        </w:rPr>
      </w:pPr>
    </w:p>
    <w:p>
      <w:pPr>
        <w:ind w:left="620" w:right="280" w:hanging="307"/>
        <w:spacing w:after="0" w:line="315"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3"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currency exchange rate of the Canadian dollar to the United States dollar;</w:t>
      </w:r>
    </w:p>
    <w:p>
      <w:pPr>
        <w:spacing w:after="0" w:line="114" w:lineRule="exact"/>
        <w:rPr>
          <w:rFonts w:ascii="Arial" w:cs="Arial" w:eastAsia="Arial" w:hAnsi="Arial"/>
          <w:sz w:val="17"/>
          <w:szCs w:val="17"/>
          <w:color w:val="auto"/>
        </w:rPr>
      </w:pPr>
    </w:p>
    <w:p>
      <w:pPr>
        <w:ind w:left="620" w:right="620" w:hanging="307"/>
        <w:spacing w:after="0" w:line="28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under-utilization of our assets and facilities;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costs, or lack of availability, of insurance;</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effectiveness of our risk management activities;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and</w:t>
      </w:r>
    </w:p>
    <w:p>
      <w:pPr>
        <w:spacing w:after="0" w:line="114" w:lineRule="exact"/>
        <w:rPr>
          <w:rFonts w:ascii="Arial" w:cs="Arial" w:eastAsia="Arial" w:hAnsi="Arial"/>
          <w:sz w:val="17"/>
          <w:szCs w:val="17"/>
          <w:color w:val="auto"/>
        </w:rPr>
      </w:pPr>
    </w:p>
    <w:p>
      <w:pPr>
        <w:ind w:left="620" w:right="60" w:hanging="307"/>
        <w:spacing w:after="0" w:line="315"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96" w:lineRule="exact"/>
        <w:rPr>
          <w:sz w:val="20"/>
          <w:szCs w:val="20"/>
          <w:color w:val="auto"/>
        </w:rPr>
      </w:pPr>
    </w:p>
    <w:p>
      <w:pPr>
        <w:jc w:val="both"/>
        <w:ind w:right="120" w:firstLine="620"/>
        <w:spacing w:after="0" w:line="285"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6 million barrels per day of crude oil and NGL.</w:t>
      </w:r>
    </w:p>
    <w:p>
      <w:pPr>
        <w:spacing w:after="0" w:line="186"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20"/>
          </w:cols>
          <w:pgMar w:left="320" w:top="360"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Page 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right="4619"/>
        <w:spacing w:after="0" w:line="299" w:lineRule="auto"/>
        <w:rPr>
          <w:sz w:val="20"/>
          <w:szCs w:val="20"/>
          <w:color w:val="auto"/>
        </w:rPr>
      </w:pPr>
      <w:r>
        <w:rPr>
          <w:rFonts w:ascii="Arial" w:cs="Arial" w:eastAsia="Arial" w:hAnsi="Arial"/>
          <w:sz w:val="17"/>
          <w:szCs w:val="17"/>
          <w:color w:val="auto"/>
        </w:rPr>
        <w:t>Vice President, Investor Relations, Communications and Government Relations (866) 809-1291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Brett Magill</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39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jc w:val="right"/>
        <w:ind w:right="559"/>
        <w:spacing w:after="0"/>
        <w:tabs>
          <w:tab w:leader="none" w:pos="4740" w:val="left"/>
          <w:tab w:leader="none" w:pos="206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0139"/>
      </w:cols>
      <w:pgMar w:left="320" w:top="3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lvl w:ilvl="1">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lvl w:ilvl="1">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lvl w:ilvl="1">
      <w:lvlJc w:val="left"/>
      <w:lvlText w:val="-"/>
      <w:numFmt w:val="bullet"/>
      <w:start w:val="1"/>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1"/>
    </w:lvl>
    <w:lvl w:ilvl="1">
      <w:lvlJc w:val="left"/>
      <w:lvlText w:val="-"/>
      <w:numFmt w:val="bullet"/>
      <w:start w:val="1"/>
    </w:lvl>
  </w:abstractNum>
  <w:abstractNum w:abstractNumId="14">
    <w:nsid w:val="62BBD95A"/>
    <w:multiLevelType w:val="hybridMultilevel"/>
    <w:lvl w:ilvl="0">
      <w:lvlJc w:val="left"/>
      <w:lvlText w:val="(%1)"/>
      <w:numFmt w:val="decimal"/>
      <w:start w:val="3"/>
    </w:lvl>
    <w:lvl w:ilvl="1">
      <w:lvlJc w:val="left"/>
      <w:lvlText w:val="-"/>
      <w:numFmt w:val="bullet"/>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2022-02-09T15:39:13Z</dcterms:created>
  <dcterms:modified xsi:type="dcterms:W3CDTF">2022-02-09T15:39:13Z</dcterms:modified>
</cp:coreProperties>
</file>