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Date of Report (Date of earliest event reported) — </w:t>
      </w:r>
      <w:r>
        <w:rPr>
          <w:rFonts w:ascii="Arial" w:cs="Arial" w:eastAsia="Arial" w:hAnsi="Arial"/>
          <w:sz w:val="17"/>
          <w:szCs w:val="17"/>
          <w:b w:val="1"/>
          <w:bCs w:val="1"/>
          <w:color w:val="auto"/>
        </w:rPr>
        <w:t>November 16, 2021</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Plains GP Holdings, L.P.</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83" w:right="339" w:bottom="1440" w:gutter="0" w:footer="0" w:header="0"/>
        </w:sectPr>
      </w:pPr>
    </w:p>
    <w:p>
      <w:pPr>
        <w:spacing w:after="0" w:line="205" w:lineRule="exact"/>
        <w:rPr>
          <w:sz w:val="24"/>
          <w:szCs w:val="24"/>
          <w:color w:val="auto"/>
        </w:rPr>
      </w:pPr>
    </w:p>
    <w:p>
      <w:pPr>
        <w:ind w:left="13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0" w:lineRule="exact"/>
        <w:rPr>
          <w:sz w:val="24"/>
          <w:szCs w:val="24"/>
          <w:color w:val="auto"/>
        </w:rPr>
      </w:pPr>
    </w:p>
    <w:p>
      <w:pPr>
        <w:sectPr>
          <w:pgSz w:w="11900" w:h="16838" w:orient="portrait"/>
          <w:cols w:equalWidth="0" w:num="3">
            <w:col w:w="4620" w:space="720"/>
            <w:col w:w="2900" w:space="720"/>
            <w:col w:w="2280"/>
          </w:cols>
          <w:pgMar w:left="320" w:top="783" w:right="3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920" w:space="720"/>
            <w:col w:w="2800" w:space="720"/>
            <w:col w:w="3080"/>
          </w:cols>
          <w:pgMar w:left="320" w:top="783" w:right="339" w:bottom="1440" w:gutter="0" w:footer="0" w:header="0"/>
          <w:type w:val="continuous"/>
        </w:sectPr>
      </w:pPr>
    </w:p>
    <w:p>
      <w:pPr>
        <w:ind w:left="1260"/>
        <w:spacing w:after="0"/>
        <w:rPr>
          <w:sz w:val="20"/>
          <w:szCs w:val="20"/>
          <w:color w:val="auto"/>
        </w:rPr>
      </w:pPr>
      <w:r>
        <w:rPr>
          <w:rFonts w:ascii="Arial" w:cs="Arial" w:eastAsia="Arial" w:hAnsi="Arial"/>
          <w:sz w:val="18"/>
          <w:szCs w:val="18"/>
          <w:color w:val="auto"/>
        </w:rPr>
        <w:t>of incorporation)</w:t>
      </w:r>
    </w:p>
    <w:p>
      <w:pPr>
        <w:spacing w:after="0" w:line="220"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783" w:right="339" w:bottom="1440" w:gutter="0" w:footer="0" w:header="0"/>
          <w:type w:val="continuous"/>
        </w:sectPr>
      </w:pPr>
    </w:p>
    <w:p>
      <w:pPr>
        <w:spacing w:after="0" w:line="24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0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Representatives from Plains All American Pipeline, L.P. (“PAA”) and Plains GP Holdings, L.P. (“PAGP”) intend to meet with investors and members of the financial community at the Bank of America Securities 2021 Global Energy Virtual Conference to be held from November 17-18, 2021. In conjunction with the event, Plains intends to publish to its website an updated investor presentation that will cover topics including an industry overview, PAA’s commercial and operating activities, financial positioning, forward outlook and other related matters. The presentation materials will be made available for viewing on Wednesday, November 17, 2021, at www.plainsallamerican.com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November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2021-11-16T16:47:44Z</dcterms:created>
  <dcterms:modified xsi:type="dcterms:W3CDTF">2021-11-16T16:47:44Z</dcterms:modified>
</cp:coreProperties>
</file>