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12, 2017 (October 10,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0"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40"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40"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information set forth under Item 5.03 of this Current Report is incorporated by reference into this Item 3.03.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4"/>
          <w:szCs w:val="24"/>
          <w:color w:val="auto"/>
        </w:rPr>
      </w:pPr>
    </w:p>
    <w:p>
      <w:pPr>
        <w:ind w:firstLine="441"/>
        <w:spacing w:after="0" w:line="255" w:lineRule="auto"/>
        <w:rPr>
          <w:sz w:val="20"/>
          <w:szCs w:val="20"/>
          <w:color w:val="auto"/>
        </w:rPr>
      </w:pPr>
      <w:r>
        <w:rPr>
          <w:rFonts w:ascii="Arial" w:cs="Arial" w:eastAsia="Arial" w:hAnsi="Arial"/>
          <w:sz w:val="18"/>
          <w:szCs w:val="18"/>
          <w:color w:val="auto"/>
        </w:rPr>
        <w:t>On October 10, 2017, Plains All American Pipeline, L.P. (the “Partnership”) closed its previously announced underwritten public offering of 800,000 6.125% Series B Fixed-to-Floating Rate Cumulative Redeemable Perpetual Preferred Units representing limited partner interests in the Partnership (the “Series B Preferred Units”) at a price to the public of $1,000 per Series B Preferred Unit. In connection with the issuance of the Series B Preferred Units, on and effective as of October 10, 2017, PAA GP LLC, the general partner of the Partnership executed the Seventh Amended and Restated Agreement of Limited Partnership of the Partnership (the “Seventh A&amp;R Partnership Agreement”) to, among other things, authorize and establish the rights, preferences and privileges of the Series B Preferred Units.</w:t>
      </w:r>
    </w:p>
    <w:p>
      <w:pPr>
        <w:spacing w:after="0" w:line="193" w:lineRule="exact"/>
        <w:rPr>
          <w:sz w:val="24"/>
          <w:szCs w:val="24"/>
          <w:color w:val="auto"/>
        </w:rPr>
      </w:pPr>
    </w:p>
    <w:p>
      <w:pPr>
        <w:ind w:right="140" w:firstLine="486"/>
        <w:spacing w:after="0" w:line="264" w:lineRule="auto"/>
        <w:rPr>
          <w:sz w:val="20"/>
          <w:szCs w:val="20"/>
          <w:color w:val="auto"/>
        </w:rPr>
      </w:pPr>
      <w:r>
        <w:rPr>
          <w:rFonts w:ascii="Arial" w:cs="Arial" w:eastAsia="Arial" w:hAnsi="Arial"/>
          <w:sz w:val="18"/>
          <w:szCs w:val="18"/>
          <w:color w:val="auto"/>
        </w:rPr>
        <w:t>A summary of the rights, preferences and privileges of the Series B Preferred Units and other material terms and conditions of the Seventh A&amp;R Partnership Agreement is set forth in the in the Partnership’s Current Report on Form 8-K filed with the Securities and Exchange Commission on October 6, 2017 (the “Signing 8-K”), and is incorporated into this report by reference.</w:t>
      </w:r>
    </w:p>
    <w:p>
      <w:pPr>
        <w:spacing w:after="0" w:line="181" w:lineRule="exact"/>
        <w:rPr>
          <w:sz w:val="24"/>
          <w:szCs w:val="24"/>
          <w:color w:val="auto"/>
        </w:rPr>
      </w:pPr>
    </w:p>
    <w:p>
      <w:pPr>
        <w:ind w:right="40" w:firstLine="365"/>
        <w:spacing w:after="0" w:line="342" w:lineRule="auto"/>
        <w:rPr>
          <w:sz w:val="20"/>
          <w:szCs w:val="20"/>
          <w:color w:val="auto"/>
        </w:rPr>
      </w:pPr>
      <w:r>
        <w:rPr>
          <w:rFonts w:ascii="Arial" w:cs="Arial" w:eastAsia="Arial" w:hAnsi="Arial"/>
          <w:sz w:val="16"/>
          <w:szCs w:val="16"/>
          <w:color w:val="auto"/>
        </w:rPr>
        <w:t>The foregoing description of the Seventh A&amp;R Partnership Agreement, including the summary of the rights, preferences and privileges of the Series B Preferred Units and other material terms and conditions of the Seventh A&amp;R Partnership Agreement set forth in the Signing 8-K, is qualified in its entirety by</w:t>
      </w:r>
    </w:p>
    <w:p>
      <w:pPr>
        <w:sectPr>
          <w:pgSz w:w="11900" w:h="16840" w:orient="portrait"/>
          <w:cols w:equalWidth="0" w:num="1">
            <w:col w:w="11420"/>
          </w:cols>
          <w:pgMar w:left="240" w:top="544" w:right="239" w:bottom="0" w:gutter="0" w:footer="0" w:header="0"/>
          <w:type w:val="continuous"/>
        </w:sectPr>
      </w:pPr>
    </w:p>
    <w:bookmarkStart w:id="1" w:name="page2"/>
    <w:bookmarkEnd w:id="1"/>
    <w:p>
      <w:pPr>
        <w:ind w:right="360"/>
        <w:spacing w:after="0" w:line="277" w:lineRule="auto"/>
        <w:rPr>
          <w:sz w:val="20"/>
          <w:szCs w:val="20"/>
          <w:color w:val="auto"/>
        </w:rPr>
      </w:pPr>
      <w:r>
        <w:rPr>
          <w:rFonts w:ascii="Arial" w:cs="Arial" w:eastAsia="Arial" w:hAnsi="Arial"/>
          <w:sz w:val="18"/>
          <w:szCs w:val="18"/>
          <w:color w:val="auto"/>
        </w:rPr>
        <w:t>reference to the full text of the Seventh A&amp;R Partnership Agreement, which is filed as Exhibit 3.1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60" w:type="dxa"/>
            <w:vAlign w:val="bottom"/>
            <w:gridSpan w:val="2"/>
            <w:vMerge w:val="restart"/>
          </w:tcPr>
          <w:p>
            <w:pPr>
              <w:ind w:left="40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Borders>
              <w:top w:val="single" w:sz="8" w:color="auto"/>
            </w:tcBorders>
          </w:tcPr>
          <w:p>
            <w:pPr>
              <w:jc w:val="right"/>
              <w:ind w:right="490"/>
              <w:spacing w:after="0" w:line="170" w:lineRule="exact"/>
              <w:rPr>
                <w:sz w:val="20"/>
                <w:szCs w:val="20"/>
                <w:color w:val="auto"/>
              </w:rPr>
            </w:pPr>
            <w:r>
              <w:rPr>
                <w:rFonts w:ascii="Arial" w:cs="Arial" w:eastAsia="Arial" w:hAnsi="Arial"/>
                <w:sz w:val="18"/>
                <w:szCs w:val="18"/>
                <w:color w:val="auto"/>
              </w:rPr>
              <w:t>3.1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3"/>
          </w:tcPr>
          <w:p>
            <w:pPr>
              <w:spacing w:after="0" w:line="170" w:lineRule="exact"/>
              <w:rPr>
                <w:rFonts w:ascii="Arial" w:cs="Arial" w:eastAsia="Arial" w:hAnsi="Arial"/>
                <w:sz w:val="18"/>
                <w:szCs w:val="18"/>
                <w:color w:val="0000EE"/>
                <w:w w:val="94"/>
              </w:rPr>
            </w:pPr>
            <w:hyperlink w:anchor="page2">
              <w:r>
                <w:rPr>
                  <w:rFonts w:ascii="Arial" w:cs="Arial" w:eastAsia="Arial" w:hAnsi="Arial"/>
                  <w:sz w:val="18"/>
                  <w:szCs w:val="18"/>
                  <w:color w:val="0000EE"/>
                  <w:w w:val="94"/>
                </w:rPr>
                <w:t>Seventh Amended and Restated Agreement of Limited Partnership of Plains All American Pipeline, L.P., dated as of October 10,</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8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60" w:type="dxa"/>
            <w:vAlign w:val="bottom"/>
            <w:gridSpan w:val="4"/>
          </w:tcPr>
          <w:p>
            <w:pPr>
              <w:ind w:left="380"/>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2017.</w:t>
              </w:r>
            </w:hyperlink>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880" w:type="dxa"/>
            <w:vAlign w:val="bottom"/>
          </w:tcPr>
          <w:p>
            <w:pPr>
              <w:jc w:val="right"/>
              <w:ind w:right="5199"/>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8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59" w:lineRule="exact"/>
        <w:rPr>
          <w:sz w:val="20"/>
          <w:szCs w:val="20"/>
          <w:color w:val="auto"/>
        </w:rPr>
      </w:pPr>
    </w:p>
    <w:p>
      <w:pPr>
        <w:ind w:left="10580"/>
        <w:spacing w:after="0"/>
        <w:rPr>
          <w:sz w:val="20"/>
          <w:szCs w:val="20"/>
          <w:color w:val="auto"/>
        </w:rPr>
      </w:pPr>
      <w:r>
        <w:rPr>
          <w:rFonts w:ascii="Arial" w:cs="Arial" w:eastAsia="Arial" w:hAnsi="Arial"/>
          <w:sz w:val="17"/>
          <w:szCs w:val="17"/>
          <w:b w:val="1"/>
          <w:bCs w:val="1"/>
          <w:color w:val="auto"/>
        </w:rPr>
        <w:t>Exhibit 3.1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b w:val="1"/>
                <w:bCs w:val="1"/>
                <w:color w:val="auto"/>
                <w:w w:val="99"/>
              </w:rPr>
              <w:t>SEVENTH AMENDED AND RESTATED</w:t>
            </w:r>
          </w:p>
        </w:tc>
        <w:tc>
          <w:tcPr>
            <w:tcW w:w="740" w:type="dxa"/>
            <w:vAlign w:val="bottom"/>
          </w:tcPr>
          <w:p>
            <w:pPr>
              <w:spacing w:after="0"/>
              <w:rPr>
                <w:sz w:val="20"/>
                <w:szCs w:val="20"/>
                <w:color w:val="auto"/>
              </w:rPr>
            </w:pP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AGREEMENT OF LIMITED PARTNERSHIP</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b w:val="1"/>
                <w:bCs w:val="1"/>
                <w:color w:val="auto"/>
              </w:rPr>
              <w:t>OF</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b w:val="1"/>
                <w:bCs w:val="1"/>
                <w:color w:val="auto"/>
              </w:rPr>
              <w:t>PLAINS ALL AMERICAN PIPELINE, L.P.</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24"/>
                <w:szCs w:val="24"/>
                <w:color w:val="auto"/>
              </w:rPr>
            </w:pPr>
          </w:p>
        </w:tc>
      </w:tr>
      <w:tr>
        <w:trPr>
          <w:trHeight w:val="132"/>
        </w:trPr>
        <w:tc>
          <w:tcPr>
            <w:tcW w:w="1460" w:type="dxa"/>
            <w:vAlign w:val="bottom"/>
            <w:tcBorders>
              <w:bottom w:val="single" w:sz="8" w:color="808080"/>
            </w:tcBorders>
          </w:tcPr>
          <w:p>
            <w:pPr>
              <w:spacing w:after="0"/>
              <w:rPr>
                <w:sz w:val="11"/>
                <w:szCs w:val="11"/>
                <w:color w:val="auto"/>
              </w:rPr>
            </w:pPr>
          </w:p>
        </w:tc>
        <w:tc>
          <w:tcPr>
            <w:tcW w:w="9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r>
      <w:tr>
        <w:trPr>
          <w:trHeight w:val="780"/>
        </w:trPr>
        <w:tc>
          <w:tcPr>
            <w:tcW w:w="1460" w:type="dxa"/>
            <w:vAlign w:val="bottom"/>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color w:val="auto"/>
                <w:w w:val="99"/>
              </w:rPr>
              <w:t>ARTICLE I</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DEFINITIONS</w:t>
            </w:r>
          </w:p>
        </w:tc>
        <w:tc>
          <w:tcPr>
            <w:tcW w:w="9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460" w:type="dxa"/>
            <w:vAlign w:val="bottom"/>
          </w:tcPr>
          <w:p>
            <w:pPr>
              <w:ind w:left="80"/>
              <w:spacing w:after="0"/>
              <w:rPr>
                <w:sz w:val="20"/>
                <w:szCs w:val="20"/>
                <w:color w:val="auto"/>
              </w:rPr>
            </w:pPr>
            <w:r>
              <w:rPr>
                <w:rFonts w:ascii="Arial" w:cs="Arial" w:eastAsia="Arial" w:hAnsi="Arial"/>
                <w:sz w:val="18"/>
                <w:szCs w:val="18"/>
                <w:color w:val="auto"/>
              </w:rPr>
              <w:t>Section 1.1</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Definitions</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1.2</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Construction</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color w:val="auto"/>
              </w:rPr>
              <w:t>ARTICLE II</w:t>
            </w:r>
          </w:p>
        </w:tc>
        <w:tc>
          <w:tcPr>
            <w:tcW w:w="740" w:type="dxa"/>
            <w:vAlign w:val="bottom"/>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ORGANIZATION</w:t>
            </w:r>
          </w:p>
        </w:tc>
        <w:tc>
          <w:tcPr>
            <w:tcW w:w="9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460" w:type="dxa"/>
            <w:vAlign w:val="bottom"/>
          </w:tcPr>
          <w:p>
            <w:pPr>
              <w:ind w:left="80"/>
              <w:spacing w:after="0"/>
              <w:rPr>
                <w:sz w:val="20"/>
                <w:szCs w:val="20"/>
                <w:color w:val="auto"/>
              </w:rPr>
            </w:pPr>
            <w:r>
              <w:rPr>
                <w:rFonts w:ascii="Arial" w:cs="Arial" w:eastAsia="Arial" w:hAnsi="Arial"/>
                <w:sz w:val="18"/>
                <w:szCs w:val="18"/>
                <w:color w:val="auto"/>
              </w:rPr>
              <w:t>Section 2.1</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2.2</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Name</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2.3</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Registered Office; Registered Agent; Principal Office; Other Offices</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2.4</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Purpose and Business</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2.5</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Powers</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2.6</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Power of Attorney</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2.7</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Term</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2.8</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Title to Partnership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color w:val="auto"/>
              </w:rPr>
              <w:t>ARTICLE III</w:t>
            </w:r>
          </w:p>
        </w:tc>
        <w:tc>
          <w:tcPr>
            <w:tcW w:w="740" w:type="dxa"/>
            <w:vAlign w:val="bottom"/>
          </w:tcPr>
          <w:p>
            <w:pPr>
              <w:spacing w:after="0"/>
              <w:rPr>
                <w:sz w:val="24"/>
                <w:szCs w:val="24"/>
                <w:color w:val="auto"/>
              </w:rPr>
            </w:pPr>
          </w:p>
        </w:tc>
      </w:tr>
      <w:tr>
        <w:trPr>
          <w:trHeight w:val="432"/>
        </w:trPr>
        <w:tc>
          <w:tcPr>
            <w:tcW w:w="10720" w:type="dxa"/>
            <w:vAlign w:val="bottom"/>
            <w:gridSpan w:val="2"/>
          </w:tcPr>
          <w:p>
            <w:pPr>
              <w:spacing w:after="0"/>
              <w:rPr>
                <w:sz w:val="20"/>
                <w:szCs w:val="20"/>
                <w:color w:val="auto"/>
              </w:rPr>
            </w:pPr>
            <w:r>
              <w:rPr>
                <w:rFonts w:ascii="Arial" w:cs="Arial" w:eastAsia="Arial" w:hAnsi="Arial"/>
                <w:sz w:val="18"/>
                <w:szCs w:val="18"/>
                <w:color w:val="auto"/>
              </w:rPr>
              <w:t>RIGHTS OF LIMITED PARTNERS</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460" w:type="dxa"/>
            <w:vAlign w:val="bottom"/>
          </w:tcPr>
          <w:p>
            <w:pPr>
              <w:ind w:left="80"/>
              <w:spacing w:after="0"/>
              <w:rPr>
                <w:sz w:val="20"/>
                <w:szCs w:val="20"/>
                <w:color w:val="auto"/>
              </w:rPr>
            </w:pPr>
            <w:r>
              <w:rPr>
                <w:rFonts w:ascii="Arial" w:cs="Arial" w:eastAsia="Arial" w:hAnsi="Arial"/>
                <w:sz w:val="18"/>
                <w:szCs w:val="18"/>
                <w:color w:val="auto"/>
              </w:rPr>
              <w:t>Section 3.1</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Limitation of Liability</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3.2</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Management of Business</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3.3</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Outside Activities of the Limited Partners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3.4</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Rights of Limited Partners</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color w:val="auto"/>
                <w:w w:val="99"/>
              </w:rPr>
              <w:t>ARTICLE IV</w:t>
            </w:r>
          </w:p>
        </w:tc>
        <w:tc>
          <w:tcPr>
            <w:tcW w:w="740" w:type="dxa"/>
            <w:vAlign w:val="bottom"/>
          </w:tcPr>
          <w:p>
            <w:pPr>
              <w:spacing w:after="0"/>
              <w:rPr>
                <w:sz w:val="24"/>
                <w:szCs w:val="24"/>
                <w:color w:val="auto"/>
              </w:rPr>
            </w:pPr>
          </w:p>
        </w:tc>
      </w:tr>
      <w:tr>
        <w:trPr>
          <w:trHeight w:val="432"/>
        </w:trPr>
        <w:tc>
          <w:tcPr>
            <w:tcW w:w="10720" w:type="dxa"/>
            <w:vAlign w:val="bottom"/>
            <w:gridSpan w:val="2"/>
          </w:tcPr>
          <w:p>
            <w:pPr>
              <w:spacing w:after="0"/>
              <w:rPr>
                <w:sz w:val="20"/>
                <w:szCs w:val="20"/>
                <w:color w:val="auto"/>
              </w:rPr>
            </w:pPr>
            <w:r>
              <w:rPr>
                <w:rFonts w:ascii="Arial" w:cs="Arial" w:eastAsia="Arial" w:hAnsi="Arial"/>
                <w:sz w:val="18"/>
                <w:szCs w:val="18"/>
                <w:color w:val="auto"/>
                <w:w w:val="98"/>
              </w:rPr>
              <w:t>CERTIFICATES; RECORD HOLDERS; TRANSFER OF PARTNERSHIP INTERESTS; REDEMPTION OF PARTNERSHIP INTERESTS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460" w:type="dxa"/>
            <w:vAlign w:val="bottom"/>
          </w:tcPr>
          <w:p>
            <w:pPr>
              <w:ind w:left="80"/>
              <w:spacing w:after="0"/>
              <w:rPr>
                <w:sz w:val="20"/>
                <w:szCs w:val="20"/>
                <w:color w:val="auto"/>
              </w:rPr>
            </w:pPr>
            <w:r>
              <w:rPr>
                <w:rFonts w:ascii="Arial" w:cs="Arial" w:eastAsia="Arial" w:hAnsi="Arial"/>
                <w:sz w:val="18"/>
                <w:szCs w:val="18"/>
                <w:color w:val="auto"/>
              </w:rPr>
              <w:t>Section 4.1</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Certificates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4.2</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Mutilated, Destroyed, Lost or Stolen Certificates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4.3</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Record Holders</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4.4</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Transfer Generally</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4.5</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Registration and Transfer of Limited Partner Interests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4.6</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Transfer of the General Partner’s General Partner 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4.7</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4.8</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Restrictions on Transfers</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4.9</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Citizenship Certificates; Non-citizen Assignees</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4.10</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Redemption of Partnership Interests of Non-citizen Assignees</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color w:val="auto"/>
                <w:w w:val="98"/>
              </w:rPr>
              <w:t>ARTICLE V</w:t>
            </w:r>
          </w:p>
        </w:tc>
        <w:tc>
          <w:tcPr>
            <w:tcW w:w="740" w:type="dxa"/>
            <w:vAlign w:val="bottom"/>
          </w:tcPr>
          <w:p>
            <w:pPr>
              <w:spacing w:after="0"/>
              <w:rPr>
                <w:sz w:val="24"/>
                <w:szCs w:val="24"/>
                <w:color w:val="auto"/>
              </w:rPr>
            </w:pPr>
          </w:p>
        </w:tc>
      </w:tr>
      <w:tr>
        <w:trPr>
          <w:trHeight w:val="432"/>
        </w:trPr>
        <w:tc>
          <w:tcPr>
            <w:tcW w:w="10720" w:type="dxa"/>
            <w:vAlign w:val="bottom"/>
            <w:gridSpan w:val="2"/>
          </w:tcPr>
          <w:p>
            <w:pPr>
              <w:spacing w:after="0"/>
              <w:rPr>
                <w:sz w:val="20"/>
                <w:szCs w:val="20"/>
                <w:color w:val="auto"/>
              </w:rPr>
            </w:pPr>
            <w:r>
              <w:rPr>
                <w:rFonts w:ascii="Arial" w:cs="Arial" w:eastAsia="Arial" w:hAnsi="Arial"/>
                <w:sz w:val="18"/>
                <w:szCs w:val="18"/>
                <w:color w:val="auto"/>
              </w:rPr>
              <w:t>CAPITAL CONTRIBUTIONS AND ISSUANCE OF PARTNERSHIP INTERESTS</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460" w:type="dxa"/>
            <w:vAlign w:val="bottom"/>
          </w:tcPr>
          <w:p>
            <w:pPr>
              <w:ind w:left="80"/>
              <w:spacing w:after="0"/>
              <w:rPr>
                <w:sz w:val="20"/>
                <w:szCs w:val="20"/>
                <w:color w:val="auto"/>
              </w:rPr>
            </w:pPr>
            <w:r>
              <w:rPr>
                <w:rFonts w:ascii="Arial" w:cs="Arial" w:eastAsia="Arial" w:hAnsi="Arial"/>
                <w:sz w:val="18"/>
                <w:szCs w:val="18"/>
                <w:color w:val="auto"/>
              </w:rPr>
              <w:t>Section 5.1</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5.2</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Contributions by the General Partner</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5.3</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5.4</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Interest and Withdrawal</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460" w:type="dxa"/>
            <w:vAlign w:val="bottom"/>
          </w:tcPr>
          <w:p>
            <w:pPr>
              <w:spacing w:after="0"/>
              <w:rPr>
                <w:sz w:val="24"/>
                <w:szCs w:val="24"/>
                <w:color w:val="auto"/>
              </w:rPr>
            </w:pPr>
          </w:p>
        </w:tc>
        <w:tc>
          <w:tcPr>
            <w:tcW w:w="9260" w:type="dxa"/>
            <w:vAlign w:val="bottom"/>
          </w:tcPr>
          <w:p>
            <w:pPr>
              <w:jc w:val="center"/>
              <w:ind w:right="670"/>
              <w:spacing w:after="0"/>
              <w:rPr>
                <w:sz w:val="20"/>
                <w:szCs w:val="20"/>
                <w:color w:val="auto"/>
              </w:rPr>
            </w:pPr>
            <w:r>
              <w:rPr>
                <w:rFonts w:ascii="Arial" w:cs="Arial" w:eastAsia="Arial" w:hAnsi="Arial"/>
                <w:sz w:val="18"/>
                <w:szCs w:val="18"/>
                <w:color w:val="auto"/>
              </w:rPr>
              <w:t>ii</w:t>
            </w:r>
          </w:p>
        </w:tc>
        <w:tc>
          <w:tcPr>
            <w:tcW w:w="740" w:type="dxa"/>
            <w:vAlign w:val="bottom"/>
          </w:tcPr>
          <w:p>
            <w:pPr>
              <w:spacing w:after="0"/>
              <w:rPr>
                <w:sz w:val="24"/>
                <w:szCs w:val="24"/>
                <w:color w:val="auto"/>
              </w:rPr>
            </w:pPr>
          </w:p>
        </w:tc>
      </w:tr>
      <w:tr>
        <w:trPr>
          <w:trHeight w:val="132"/>
        </w:trPr>
        <w:tc>
          <w:tcPr>
            <w:tcW w:w="1460" w:type="dxa"/>
            <w:vAlign w:val="bottom"/>
            <w:tcBorders>
              <w:bottom w:val="single" w:sz="8" w:color="808080"/>
            </w:tcBorders>
          </w:tcPr>
          <w:p>
            <w:pPr>
              <w:spacing w:after="0"/>
              <w:rPr>
                <w:sz w:val="11"/>
                <w:szCs w:val="11"/>
                <w:color w:val="auto"/>
              </w:rPr>
            </w:pPr>
          </w:p>
        </w:tc>
        <w:tc>
          <w:tcPr>
            <w:tcW w:w="9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r>
      <w:tr>
        <w:trPr>
          <w:trHeight w:val="766"/>
        </w:trPr>
        <w:tc>
          <w:tcPr>
            <w:tcW w:w="1460" w:type="dxa"/>
            <w:vAlign w:val="bottom"/>
          </w:tcPr>
          <w:p>
            <w:pPr>
              <w:ind w:left="80"/>
              <w:spacing w:after="0"/>
              <w:rPr>
                <w:sz w:val="20"/>
                <w:szCs w:val="20"/>
                <w:color w:val="auto"/>
              </w:rPr>
            </w:pPr>
            <w:r>
              <w:rPr>
                <w:rFonts w:ascii="Arial" w:cs="Arial" w:eastAsia="Arial" w:hAnsi="Arial"/>
                <w:sz w:val="18"/>
                <w:szCs w:val="18"/>
                <w:color w:val="auto"/>
              </w:rPr>
              <w:t>Section 5.5</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Capital Accounts</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80"/>
              <w:spacing w:after="0"/>
              <w:rPr>
                <w:sz w:val="20"/>
                <w:szCs w:val="20"/>
                <w:color w:val="auto"/>
              </w:rPr>
            </w:pPr>
            <w:r>
              <w:rPr>
                <w:rFonts w:ascii="Arial" w:cs="Arial" w:eastAsia="Arial" w:hAnsi="Arial"/>
                <w:sz w:val="18"/>
                <w:szCs w:val="18"/>
                <w:color w:val="auto"/>
              </w:rPr>
              <w:t>Section 5.6</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Issuances of Additional Partnership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60" w:type="dxa"/>
            <w:vAlign w:val="bottom"/>
          </w:tcPr>
          <w:p>
            <w:pPr>
              <w:ind w:left="80"/>
              <w:spacing w:after="0"/>
              <w:rPr>
                <w:sz w:val="20"/>
                <w:szCs w:val="20"/>
                <w:color w:val="auto"/>
              </w:rPr>
            </w:pPr>
            <w:r>
              <w:rPr>
                <w:rFonts w:ascii="Arial" w:cs="Arial" w:eastAsia="Arial" w:hAnsi="Arial"/>
                <w:sz w:val="18"/>
                <w:szCs w:val="18"/>
                <w:color w:val="auto"/>
              </w:rPr>
              <w:t>Section 5.7</w:t>
            </w:r>
          </w:p>
        </w:tc>
        <w:tc>
          <w:tcPr>
            <w:tcW w:w="9260" w:type="dxa"/>
            <w:vAlign w:val="bottom"/>
          </w:tcPr>
          <w:p>
            <w:pPr>
              <w:ind w:left="120"/>
              <w:spacing w:after="0"/>
              <w:rPr>
                <w:sz w:val="20"/>
                <w:szCs w:val="20"/>
                <w:color w:val="auto"/>
              </w:rPr>
            </w:pPr>
            <w:r>
              <w:rPr>
                <w:rFonts w:ascii="Arial" w:cs="Arial" w:eastAsia="Arial" w:hAnsi="Arial"/>
                <w:sz w:val="18"/>
                <w:szCs w:val="18"/>
                <w:i w:val="1"/>
                <w:iCs w:val="1"/>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-8937625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-8937625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5.8</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5.9</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No Preemptive Right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5.10</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Splits and Combinations</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5.11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Fully Paid and Non-Assessable Nature of Limited Partner Interests</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5.12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5.13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5.14</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Establishment of Series A Preferred Units</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5.15</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Establishment of Series B Preferred Units</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90"/>
              <w:spacing w:after="0"/>
              <w:rPr>
                <w:sz w:val="20"/>
                <w:szCs w:val="20"/>
                <w:color w:val="auto"/>
              </w:rPr>
            </w:pPr>
            <w:r>
              <w:rPr>
                <w:rFonts w:ascii="Arial" w:cs="Arial" w:eastAsia="Arial" w:hAnsi="Arial"/>
                <w:sz w:val="18"/>
                <w:szCs w:val="18"/>
                <w:color w:val="auto"/>
                <w:w w:val="99"/>
              </w:rPr>
              <w:t>ARTICLE VI</w:t>
            </w:r>
          </w:p>
        </w:tc>
        <w:tc>
          <w:tcPr>
            <w:tcW w:w="960" w:type="dxa"/>
            <w:vAlign w:val="bottom"/>
          </w:tcPr>
          <w:p>
            <w:pPr>
              <w:spacing w:after="0"/>
              <w:rPr>
                <w:sz w:val="24"/>
                <w:szCs w:val="24"/>
                <w:color w:val="auto"/>
              </w:rPr>
            </w:pPr>
          </w:p>
        </w:tc>
      </w:tr>
      <w:tr>
        <w:trPr>
          <w:trHeight w:val="432"/>
        </w:trPr>
        <w:tc>
          <w:tcPr>
            <w:tcW w:w="10500" w:type="dxa"/>
            <w:vAlign w:val="bottom"/>
            <w:gridSpan w:val="2"/>
          </w:tcPr>
          <w:p>
            <w:pPr>
              <w:spacing w:after="0"/>
              <w:rPr>
                <w:sz w:val="20"/>
                <w:szCs w:val="20"/>
                <w:color w:val="auto"/>
              </w:rPr>
            </w:pPr>
            <w:r>
              <w:rPr>
                <w:rFonts w:ascii="Arial" w:cs="Arial" w:eastAsia="Arial" w:hAnsi="Arial"/>
                <w:sz w:val="18"/>
                <w:szCs w:val="18"/>
                <w:color w:val="auto"/>
              </w:rPr>
              <w:t>ALLOCATIONS AND DISTRIBUTIONS</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400" w:type="dxa"/>
            <w:vAlign w:val="bottom"/>
          </w:tcPr>
          <w:p>
            <w:pPr>
              <w:ind w:left="80"/>
              <w:spacing w:after="0"/>
              <w:rPr>
                <w:sz w:val="20"/>
                <w:szCs w:val="20"/>
                <w:color w:val="auto"/>
              </w:rPr>
            </w:pPr>
            <w:r>
              <w:rPr>
                <w:rFonts w:ascii="Arial" w:cs="Arial" w:eastAsia="Arial" w:hAnsi="Arial"/>
                <w:sz w:val="18"/>
                <w:szCs w:val="18"/>
                <w:color w:val="auto"/>
              </w:rPr>
              <w:t>Section 6.1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Allocations for Capital Account Purposes</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6.2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Allocations for Tax Purposes</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6.3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Requirement for and Characterization of Distributions; Distributions to Record 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70"/>
              <w:spacing w:after="0"/>
              <w:rPr>
                <w:sz w:val="20"/>
                <w:szCs w:val="20"/>
                <w:color w:val="auto"/>
              </w:rPr>
            </w:pPr>
            <w:r>
              <w:rPr>
                <w:rFonts w:ascii="Arial" w:cs="Arial" w:eastAsia="Arial" w:hAnsi="Arial"/>
                <w:sz w:val="18"/>
                <w:szCs w:val="18"/>
                <w:color w:val="auto"/>
              </w:rPr>
              <w:t>ARTICLE VII</w:t>
            </w:r>
          </w:p>
        </w:tc>
        <w:tc>
          <w:tcPr>
            <w:tcW w:w="960" w:type="dxa"/>
            <w:vAlign w:val="bottom"/>
          </w:tcPr>
          <w:p>
            <w:pPr>
              <w:spacing w:after="0"/>
              <w:rPr>
                <w:sz w:val="24"/>
                <w:szCs w:val="24"/>
                <w:color w:val="auto"/>
              </w:rPr>
            </w:pPr>
          </w:p>
        </w:tc>
      </w:tr>
      <w:tr>
        <w:trPr>
          <w:trHeight w:val="432"/>
        </w:trPr>
        <w:tc>
          <w:tcPr>
            <w:tcW w:w="10500" w:type="dxa"/>
            <w:vAlign w:val="bottom"/>
            <w:gridSpan w:val="2"/>
          </w:tcPr>
          <w:p>
            <w:pPr>
              <w:spacing w:after="0"/>
              <w:rPr>
                <w:sz w:val="20"/>
                <w:szCs w:val="20"/>
                <w:color w:val="auto"/>
              </w:rPr>
            </w:pPr>
            <w:r>
              <w:rPr>
                <w:rFonts w:ascii="Arial" w:cs="Arial" w:eastAsia="Arial" w:hAnsi="Arial"/>
                <w:sz w:val="18"/>
                <w:szCs w:val="18"/>
                <w:color w:val="auto"/>
              </w:rPr>
              <w:t>MANAGEMENT AND OPERATION OF BUSINESS</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8"/>
        </w:trPr>
        <w:tc>
          <w:tcPr>
            <w:tcW w:w="1400" w:type="dxa"/>
            <w:vAlign w:val="bottom"/>
          </w:tcPr>
          <w:p>
            <w:pPr>
              <w:ind w:left="80"/>
              <w:spacing w:after="0"/>
              <w:rPr>
                <w:sz w:val="20"/>
                <w:szCs w:val="20"/>
                <w:color w:val="auto"/>
              </w:rPr>
            </w:pPr>
            <w:r>
              <w:rPr>
                <w:rFonts w:ascii="Arial" w:cs="Arial" w:eastAsia="Arial" w:hAnsi="Arial"/>
                <w:sz w:val="18"/>
                <w:szCs w:val="18"/>
                <w:color w:val="auto"/>
              </w:rPr>
              <w:t>Section 7.1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Management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Certificate of Limited Partnership</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Restrictions on General Partner’s Authority</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7.4</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Reimbursement of the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7.5</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Outside 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7.6</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Loans from the General Partner; Loans or Contributions from the Partnership; Contracts with Affiliates; Certain</w:t>
            </w:r>
          </w:p>
        </w:tc>
        <w:tc>
          <w:tcPr>
            <w:tcW w:w="9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Restrictions on the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7.7</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Indemnification</w:t>
            </w: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7.8</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Liability of lndemnitees</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7.9</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Resolution of Conflicts of Interest</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7.10</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Other Matters Concerning the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7.11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Purchase or Sale of Partnership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7.12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Registration Rights of the General Partner and its Affiliates</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7.13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Reliance by Third Parties</w:t>
            </w: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90"/>
              <w:spacing w:after="0"/>
              <w:rPr>
                <w:sz w:val="20"/>
                <w:szCs w:val="20"/>
                <w:color w:val="auto"/>
              </w:rPr>
            </w:pPr>
            <w:r>
              <w:rPr>
                <w:rFonts w:ascii="Arial" w:cs="Arial" w:eastAsia="Arial" w:hAnsi="Arial"/>
                <w:sz w:val="18"/>
                <w:szCs w:val="18"/>
                <w:color w:val="auto"/>
              </w:rPr>
              <w:t>ARTICLE VIII</w:t>
            </w:r>
          </w:p>
        </w:tc>
        <w:tc>
          <w:tcPr>
            <w:tcW w:w="960" w:type="dxa"/>
            <w:vAlign w:val="bottom"/>
          </w:tcPr>
          <w:p>
            <w:pPr>
              <w:spacing w:after="0"/>
              <w:rPr>
                <w:sz w:val="24"/>
                <w:szCs w:val="24"/>
                <w:color w:val="auto"/>
              </w:rPr>
            </w:pPr>
          </w:p>
        </w:tc>
      </w:tr>
      <w:tr>
        <w:trPr>
          <w:trHeight w:val="432"/>
        </w:trPr>
        <w:tc>
          <w:tcPr>
            <w:tcW w:w="10500" w:type="dxa"/>
            <w:vAlign w:val="bottom"/>
            <w:gridSpan w:val="2"/>
          </w:tcPr>
          <w:p>
            <w:pPr>
              <w:spacing w:after="0"/>
              <w:rPr>
                <w:sz w:val="20"/>
                <w:szCs w:val="20"/>
                <w:color w:val="auto"/>
              </w:rPr>
            </w:pPr>
            <w:r>
              <w:rPr>
                <w:rFonts w:ascii="Arial" w:cs="Arial" w:eastAsia="Arial" w:hAnsi="Arial"/>
                <w:sz w:val="18"/>
                <w:szCs w:val="18"/>
                <w:color w:val="auto"/>
              </w:rPr>
              <w:t>BOOKS, RECORDS, ACCOUNTING AND REPORTS</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18"/>
        </w:trPr>
        <w:tc>
          <w:tcPr>
            <w:tcW w:w="1400" w:type="dxa"/>
            <w:vAlign w:val="bottom"/>
          </w:tcPr>
          <w:p>
            <w:pPr>
              <w:ind w:left="80"/>
              <w:spacing w:after="0"/>
              <w:rPr>
                <w:sz w:val="20"/>
                <w:szCs w:val="20"/>
                <w:color w:val="auto"/>
              </w:rPr>
            </w:pPr>
            <w:r>
              <w:rPr>
                <w:rFonts w:ascii="Arial" w:cs="Arial" w:eastAsia="Arial" w:hAnsi="Arial"/>
                <w:sz w:val="18"/>
                <w:szCs w:val="18"/>
                <w:color w:val="auto"/>
              </w:rPr>
              <w:t>Section 8.1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Records and Accounting</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8.2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Fiscal Year</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8.3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Reports</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90"/>
              <w:spacing w:after="0"/>
              <w:rPr>
                <w:sz w:val="20"/>
                <w:szCs w:val="20"/>
                <w:color w:val="auto"/>
              </w:rPr>
            </w:pPr>
            <w:r>
              <w:rPr>
                <w:rFonts w:ascii="Arial" w:cs="Arial" w:eastAsia="Arial" w:hAnsi="Arial"/>
                <w:sz w:val="18"/>
                <w:szCs w:val="18"/>
                <w:color w:val="auto"/>
                <w:w w:val="99"/>
              </w:rPr>
              <w:t>ARTICLE IX</w:t>
            </w:r>
          </w:p>
        </w:tc>
        <w:tc>
          <w:tcPr>
            <w:tcW w:w="960" w:type="dxa"/>
            <w:vAlign w:val="bottom"/>
          </w:tcPr>
          <w:p>
            <w:pPr>
              <w:spacing w:after="0"/>
              <w:rPr>
                <w:sz w:val="24"/>
                <w:szCs w:val="24"/>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TAX MATTERS</w:t>
            </w:r>
          </w:p>
        </w:tc>
        <w:tc>
          <w:tcPr>
            <w:tcW w:w="9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400" w:type="dxa"/>
            <w:vAlign w:val="bottom"/>
          </w:tcPr>
          <w:p>
            <w:pPr>
              <w:ind w:left="80"/>
              <w:spacing w:after="0"/>
              <w:rPr>
                <w:sz w:val="20"/>
                <w:szCs w:val="20"/>
                <w:color w:val="auto"/>
              </w:rPr>
            </w:pPr>
            <w:r>
              <w:rPr>
                <w:rFonts w:ascii="Arial" w:cs="Arial" w:eastAsia="Arial" w:hAnsi="Arial"/>
                <w:sz w:val="18"/>
                <w:szCs w:val="18"/>
                <w:color w:val="auto"/>
              </w:rPr>
              <w:t>Section 9.1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Tax Returns and Information</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90"/>
              <w:spacing w:after="0"/>
              <w:rPr>
                <w:sz w:val="20"/>
                <w:szCs w:val="20"/>
                <w:color w:val="auto"/>
              </w:rPr>
            </w:pPr>
            <w:r>
              <w:rPr>
                <w:rFonts w:ascii="Arial" w:cs="Arial" w:eastAsia="Arial" w:hAnsi="Arial"/>
                <w:sz w:val="18"/>
                <w:szCs w:val="18"/>
                <w:color w:val="auto"/>
              </w:rPr>
              <w:t>iii</w:t>
            </w:r>
          </w:p>
        </w:tc>
        <w:tc>
          <w:tcPr>
            <w:tcW w:w="960" w:type="dxa"/>
            <w:vAlign w:val="bottom"/>
          </w:tcPr>
          <w:p>
            <w:pPr>
              <w:spacing w:after="0"/>
              <w:rPr>
                <w:sz w:val="24"/>
                <w:szCs w:val="24"/>
                <w:color w:val="auto"/>
              </w:rPr>
            </w:pPr>
          </w:p>
        </w:tc>
      </w:tr>
      <w:tr>
        <w:trPr>
          <w:trHeight w:val="132"/>
        </w:trPr>
        <w:tc>
          <w:tcPr>
            <w:tcW w:w="1400" w:type="dxa"/>
            <w:vAlign w:val="bottom"/>
            <w:tcBorders>
              <w:bottom w:val="single" w:sz="8" w:color="808080"/>
            </w:tcBorders>
          </w:tcPr>
          <w:p>
            <w:pPr>
              <w:spacing w:after="0"/>
              <w:rPr>
                <w:sz w:val="11"/>
                <w:szCs w:val="11"/>
                <w:color w:val="auto"/>
              </w:rPr>
            </w:pPr>
          </w:p>
        </w:tc>
        <w:tc>
          <w:tcPr>
            <w:tcW w:w="9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r>
      <w:tr>
        <w:trPr>
          <w:trHeight w:val="766"/>
        </w:trPr>
        <w:tc>
          <w:tcPr>
            <w:tcW w:w="1400" w:type="dxa"/>
            <w:vAlign w:val="bottom"/>
          </w:tcPr>
          <w:p>
            <w:pPr>
              <w:ind w:left="80"/>
              <w:spacing w:after="0"/>
              <w:rPr>
                <w:sz w:val="20"/>
                <w:szCs w:val="20"/>
                <w:color w:val="auto"/>
              </w:rPr>
            </w:pPr>
            <w:r>
              <w:rPr>
                <w:rFonts w:ascii="Arial" w:cs="Arial" w:eastAsia="Arial" w:hAnsi="Arial"/>
                <w:sz w:val="18"/>
                <w:szCs w:val="18"/>
                <w:color w:val="auto"/>
              </w:rPr>
              <w:t>Section 9.2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Tax Elections</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9.3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Tax Controversies</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9.4</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Withholding</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70"/>
              <w:spacing w:after="0"/>
              <w:rPr>
                <w:sz w:val="20"/>
                <w:szCs w:val="20"/>
                <w:color w:val="auto"/>
              </w:rPr>
            </w:pPr>
            <w:r>
              <w:rPr>
                <w:rFonts w:ascii="Arial" w:cs="Arial" w:eastAsia="Arial" w:hAnsi="Arial"/>
                <w:sz w:val="18"/>
                <w:szCs w:val="18"/>
                <w:color w:val="auto"/>
                <w:w w:val="98"/>
              </w:rPr>
              <w:t>ARTICLE X</w:t>
            </w:r>
          </w:p>
        </w:tc>
        <w:tc>
          <w:tcPr>
            <w:tcW w:w="960" w:type="dxa"/>
            <w:vAlign w:val="bottom"/>
          </w:tcPr>
          <w:p>
            <w:pPr>
              <w:spacing w:after="0"/>
              <w:rPr>
                <w:sz w:val="24"/>
                <w:szCs w:val="24"/>
                <w:color w:val="auto"/>
              </w:rPr>
            </w:pPr>
          </w:p>
        </w:tc>
      </w:tr>
      <w:tr>
        <w:trPr>
          <w:trHeight w:val="432"/>
        </w:trPr>
        <w:tc>
          <w:tcPr>
            <w:tcW w:w="10500" w:type="dxa"/>
            <w:vAlign w:val="bottom"/>
            <w:gridSpan w:val="2"/>
          </w:tcPr>
          <w:p>
            <w:pPr>
              <w:spacing w:after="0"/>
              <w:rPr>
                <w:sz w:val="20"/>
                <w:szCs w:val="20"/>
                <w:color w:val="auto"/>
              </w:rPr>
            </w:pPr>
            <w:r>
              <w:rPr>
                <w:rFonts w:ascii="Arial" w:cs="Arial" w:eastAsia="Arial" w:hAnsi="Arial"/>
                <w:sz w:val="18"/>
                <w:szCs w:val="18"/>
                <w:color w:val="auto"/>
              </w:rPr>
              <w:t>ADMISSION OF PARTNERS</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8"/>
        </w:trPr>
        <w:tc>
          <w:tcPr>
            <w:tcW w:w="1400" w:type="dxa"/>
            <w:vAlign w:val="bottom"/>
          </w:tcPr>
          <w:p>
            <w:pPr>
              <w:ind w:left="80"/>
              <w:spacing w:after="0"/>
              <w:rPr>
                <w:sz w:val="20"/>
                <w:szCs w:val="20"/>
                <w:color w:val="auto"/>
              </w:rPr>
            </w:pPr>
            <w:r>
              <w:rPr>
                <w:rFonts w:ascii="Arial" w:cs="Arial" w:eastAsia="Arial" w:hAnsi="Arial"/>
                <w:sz w:val="18"/>
                <w:szCs w:val="18"/>
                <w:color w:val="auto"/>
              </w:rPr>
              <w:t>Section 10.1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10.2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Admission of Substituted 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10.3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Admission of Successor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10.4</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Admission of Additional Limited Partners</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10.5</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Amendment of Agreement and Certificate of Limited Partnership</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32"/>
        </w:trPr>
        <w:tc>
          <w:tcPr>
            <w:tcW w:w="1400" w:type="dxa"/>
            <w:vAlign w:val="bottom"/>
          </w:tcPr>
          <w:p>
            <w:pPr>
              <w:spacing w:after="0"/>
              <w:rPr>
                <w:sz w:val="24"/>
                <w:szCs w:val="24"/>
                <w:color w:val="auto"/>
              </w:rPr>
            </w:pPr>
          </w:p>
        </w:tc>
        <w:tc>
          <w:tcPr>
            <w:tcW w:w="9100" w:type="dxa"/>
            <w:vAlign w:val="bottom"/>
          </w:tcPr>
          <w:p>
            <w:pPr>
              <w:jc w:val="center"/>
              <w:ind w:right="390"/>
              <w:spacing w:after="0"/>
              <w:rPr>
                <w:sz w:val="20"/>
                <w:szCs w:val="20"/>
                <w:color w:val="auto"/>
              </w:rPr>
            </w:pPr>
            <w:r>
              <w:rPr>
                <w:rFonts w:ascii="Arial" w:cs="Arial" w:eastAsia="Arial" w:hAnsi="Arial"/>
                <w:sz w:val="18"/>
                <w:szCs w:val="18"/>
                <w:color w:val="auto"/>
                <w:w w:val="99"/>
              </w:rPr>
              <w:t>ARTICLE XI</w:t>
            </w:r>
          </w:p>
        </w:tc>
        <w:tc>
          <w:tcPr>
            <w:tcW w:w="960" w:type="dxa"/>
            <w:vAlign w:val="bottom"/>
          </w:tcPr>
          <w:p>
            <w:pPr>
              <w:spacing w:after="0"/>
              <w:rPr>
                <w:sz w:val="24"/>
                <w:szCs w:val="24"/>
                <w:color w:val="auto"/>
              </w:rPr>
            </w:pPr>
          </w:p>
        </w:tc>
      </w:tr>
      <w:tr>
        <w:trPr>
          <w:trHeight w:val="432"/>
        </w:trPr>
        <w:tc>
          <w:tcPr>
            <w:tcW w:w="10500" w:type="dxa"/>
            <w:vAlign w:val="bottom"/>
            <w:gridSpan w:val="2"/>
          </w:tcPr>
          <w:p>
            <w:pPr>
              <w:spacing w:after="0"/>
              <w:rPr>
                <w:sz w:val="20"/>
                <w:szCs w:val="20"/>
                <w:color w:val="auto"/>
              </w:rPr>
            </w:pPr>
            <w:r>
              <w:rPr>
                <w:rFonts w:ascii="Arial" w:cs="Arial" w:eastAsia="Arial" w:hAnsi="Arial"/>
                <w:sz w:val="18"/>
                <w:szCs w:val="18"/>
                <w:color w:val="auto"/>
              </w:rPr>
              <w:t>WITHDRAWAL OR REMOVAL OF PARTNERS</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8"/>
        </w:trPr>
        <w:tc>
          <w:tcPr>
            <w:tcW w:w="1400" w:type="dxa"/>
            <w:vAlign w:val="bottom"/>
          </w:tcPr>
          <w:p>
            <w:pPr>
              <w:ind w:left="80"/>
              <w:spacing w:after="0"/>
              <w:rPr>
                <w:sz w:val="20"/>
                <w:szCs w:val="20"/>
                <w:color w:val="auto"/>
              </w:rPr>
            </w:pPr>
            <w:r>
              <w:rPr>
                <w:rFonts w:ascii="Arial" w:cs="Arial" w:eastAsia="Arial" w:hAnsi="Arial"/>
                <w:sz w:val="18"/>
                <w:szCs w:val="18"/>
                <w:color w:val="auto"/>
              </w:rPr>
              <w:t>Section 11.1</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Withdrawal of the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11.2</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Removal of the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00" w:type="dxa"/>
            <w:vAlign w:val="bottom"/>
          </w:tcPr>
          <w:p>
            <w:pPr>
              <w:ind w:left="80"/>
              <w:spacing w:after="0"/>
              <w:rPr>
                <w:sz w:val="20"/>
                <w:szCs w:val="20"/>
                <w:color w:val="auto"/>
              </w:rPr>
            </w:pPr>
            <w:r>
              <w:rPr>
                <w:rFonts w:ascii="Arial" w:cs="Arial" w:eastAsia="Arial" w:hAnsi="Arial"/>
                <w:sz w:val="18"/>
                <w:szCs w:val="18"/>
                <w:color w:val="auto"/>
              </w:rPr>
              <w:t>Section 11.3</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Interest of Departing Partner and Successor 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400" w:type="dxa"/>
            <w:vAlign w:val="bottom"/>
          </w:tcPr>
          <w:p>
            <w:pPr>
              <w:ind w:left="80"/>
              <w:spacing w:after="0"/>
              <w:rPr>
                <w:sz w:val="20"/>
                <w:szCs w:val="20"/>
                <w:color w:val="auto"/>
              </w:rPr>
            </w:pPr>
            <w:r>
              <w:rPr>
                <w:rFonts w:ascii="Arial" w:cs="Arial" w:eastAsia="Arial" w:hAnsi="Arial"/>
                <w:sz w:val="18"/>
                <w:szCs w:val="18"/>
                <w:color w:val="auto"/>
              </w:rPr>
              <w:t>Section 11.4</w:t>
            </w:r>
          </w:p>
        </w:tc>
        <w:tc>
          <w:tcPr>
            <w:tcW w:w="9100" w:type="dxa"/>
            <w:vAlign w:val="bottom"/>
          </w:tcPr>
          <w:p>
            <w:pPr>
              <w:ind w:left="180"/>
              <w:spacing w:after="0"/>
              <w:rPr>
                <w:sz w:val="20"/>
                <w:szCs w:val="20"/>
                <w:color w:val="auto"/>
              </w:rPr>
            </w:pPr>
            <w:r>
              <w:rPr>
                <w:rFonts w:ascii="Arial" w:cs="Arial" w:eastAsia="Arial" w:hAnsi="Arial"/>
                <w:sz w:val="18"/>
                <w:szCs w:val="18"/>
                <w:i w:val="1"/>
                <w:iCs w:val="1"/>
                <w:color w:val="auto"/>
              </w:rPr>
              <w:t>[Reserved]</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320" w:type="dxa"/>
            <w:vAlign w:val="bottom"/>
          </w:tcPr>
          <w:p>
            <w:pPr>
              <w:ind w:left="80"/>
              <w:spacing w:after="0"/>
              <w:rPr>
                <w:sz w:val="20"/>
                <w:szCs w:val="20"/>
                <w:color w:val="auto"/>
              </w:rPr>
            </w:pPr>
            <w:r>
              <w:rPr>
                <w:rFonts w:ascii="Arial" w:cs="Arial" w:eastAsia="Arial" w:hAnsi="Arial"/>
                <w:sz w:val="18"/>
                <w:szCs w:val="18"/>
                <w:color w:val="auto"/>
              </w:rPr>
              <w:t>Section 11.5</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Withdrawal of Limited Partners</w:t>
            </w: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30"/>
              <w:spacing w:after="0"/>
              <w:rPr>
                <w:sz w:val="20"/>
                <w:szCs w:val="20"/>
                <w:color w:val="auto"/>
              </w:rPr>
            </w:pPr>
            <w:r>
              <w:rPr>
                <w:rFonts w:ascii="Arial" w:cs="Arial" w:eastAsia="Arial" w:hAnsi="Arial"/>
                <w:sz w:val="18"/>
                <w:szCs w:val="18"/>
                <w:color w:val="auto"/>
              </w:rPr>
              <w:t>ARTICLE XII</w:t>
            </w:r>
          </w:p>
        </w:tc>
        <w:tc>
          <w:tcPr>
            <w:tcW w:w="2060" w:type="dxa"/>
            <w:vAlign w:val="bottom"/>
          </w:tcPr>
          <w:p>
            <w:pPr>
              <w:spacing w:after="0"/>
              <w:rPr>
                <w:sz w:val="24"/>
                <w:szCs w:val="24"/>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DISSOLUTION AND LIQUIDATION</w:t>
            </w: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1320" w:type="dxa"/>
            <w:vAlign w:val="bottom"/>
          </w:tcPr>
          <w:p>
            <w:pPr>
              <w:ind w:left="80"/>
              <w:spacing w:after="0"/>
              <w:rPr>
                <w:sz w:val="20"/>
                <w:szCs w:val="20"/>
                <w:color w:val="auto"/>
              </w:rPr>
            </w:pPr>
            <w:r>
              <w:rPr>
                <w:rFonts w:ascii="Arial" w:cs="Arial" w:eastAsia="Arial" w:hAnsi="Arial"/>
                <w:sz w:val="18"/>
                <w:szCs w:val="18"/>
                <w:color w:val="auto"/>
              </w:rPr>
              <w:t>Section 12.1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Dissolution</w:t>
            </w: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12.2</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Continuation of the Business of the Partnership After Dissolution</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12.3</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Liquidator</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12.4</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Liquidation</w:t>
            </w:r>
          </w:p>
        </w:tc>
        <w:tc>
          <w:tcPr>
            <w:tcW w:w="2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12.5</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Cancellation of Certificate of Limited Partnership</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12.6</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Return of Contributions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12.7</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Waiver of Partition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color w:val="auto"/>
              </w:rPr>
              <w:t>Section 12.8</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Capital Account Restoration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10"/>
              <w:spacing w:after="0"/>
              <w:rPr>
                <w:sz w:val="20"/>
                <w:szCs w:val="20"/>
                <w:color w:val="auto"/>
              </w:rPr>
            </w:pPr>
            <w:r>
              <w:rPr>
                <w:rFonts w:ascii="Arial" w:cs="Arial" w:eastAsia="Arial" w:hAnsi="Arial"/>
                <w:sz w:val="18"/>
                <w:szCs w:val="18"/>
                <w:color w:val="auto"/>
              </w:rPr>
              <w:t>ARTICLE XIII</w:t>
            </w:r>
          </w:p>
        </w:tc>
        <w:tc>
          <w:tcPr>
            <w:tcW w:w="206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10"/>
              <w:spacing w:after="0"/>
              <w:rPr>
                <w:sz w:val="20"/>
                <w:szCs w:val="20"/>
                <w:color w:val="auto"/>
              </w:rPr>
            </w:pPr>
            <w:r>
              <w:rPr>
                <w:rFonts w:ascii="Arial" w:cs="Arial" w:eastAsia="Arial" w:hAnsi="Arial"/>
                <w:sz w:val="18"/>
                <w:szCs w:val="18"/>
                <w:color w:val="auto"/>
                <w:w w:val="95"/>
              </w:rPr>
              <w:t>AMENDMENT OF PARTNERSHIP AGREEMENT;</w:t>
            </w:r>
          </w:p>
        </w:tc>
        <w:tc>
          <w:tcPr>
            <w:tcW w:w="2060" w:type="dxa"/>
            <w:vAlign w:val="bottom"/>
          </w:tcPr>
          <w:p>
            <w:pPr>
              <w:spacing w:after="0"/>
              <w:rPr>
                <w:sz w:val="24"/>
                <w:szCs w:val="24"/>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MEETINGS; RECORD DATE</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8"/>
        </w:trPr>
        <w:tc>
          <w:tcPr>
            <w:tcW w:w="1320" w:type="dxa"/>
            <w:vAlign w:val="bottom"/>
          </w:tcPr>
          <w:p>
            <w:pPr>
              <w:ind w:left="80"/>
              <w:spacing w:after="0"/>
              <w:rPr>
                <w:sz w:val="20"/>
                <w:szCs w:val="20"/>
                <w:color w:val="auto"/>
              </w:rPr>
            </w:pPr>
            <w:r>
              <w:rPr>
                <w:rFonts w:ascii="Arial" w:cs="Arial" w:eastAsia="Arial" w:hAnsi="Arial"/>
                <w:sz w:val="18"/>
                <w:szCs w:val="18"/>
                <w:color w:val="auto"/>
              </w:rPr>
              <w:t>Section 13.1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Amendment to be Adopted Solely by the General Partner</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13.2</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Amendment Procedures</w:t>
            </w:r>
          </w:p>
        </w:tc>
        <w:tc>
          <w:tcPr>
            <w:tcW w:w="2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13.3</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Amendment Requirements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13.4</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13.5</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Notice of a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13.6</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Record Date</w:t>
            </w:r>
          </w:p>
        </w:tc>
        <w:tc>
          <w:tcPr>
            <w:tcW w:w="20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13.7</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Adjournment</w:t>
            </w: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13.8</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Waiver of Notice; Approval of Meeting; Approval of Minutes</w:t>
            </w: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13.9</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Quorum; Required Vote for Limited Partner Action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13.10</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Conduct of a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13.11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Action Without a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color w:val="auto"/>
              </w:rPr>
              <w:t>Section 13.12</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Voting and Other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10"/>
              <w:spacing w:after="0"/>
              <w:rPr>
                <w:sz w:val="20"/>
                <w:szCs w:val="20"/>
                <w:color w:val="auto"/>
              </w:rPr>
            </w:pPr>
            <w:r>
              <w:rPr>
                <w:rFonts w:ascii="Arial" w:cs="Arial" w:eastAsia="Arial" w:hAnsi="Arial"/>
                <w:sz w:val="18"/>
                <w:szCs w:val="18"/>
                <w:color w:val="auto"/>
              </w:rPr>
              <w:t>iv</w:t>
            </w:r>
          </w:p>
        </w:tc>
        <w:tc>
          <w:tcPr>
            <w:tcW w:w="2060" w:type="dxa"/>
            <w:vAlign w:val="bottom"/>
          </w:tcPr>
          <w:p>
            <w:pPr>
              <w:spacing w:after="0"/>
              <w:rPr>
                <w:sz w:val="24"/>
                <w:szCs w:val="24"/>
                <w:color w:val="auto"/>
              </w:rPr>
            </w:pPr>
          </w:p>
        </w:tc>
      </w:tr>
      <w:tr>
        <w:trPr>
          <w:trHeight w:val="132"/>
        </w:trPr>
        <w:tc>
          <w:tcPr>
            <w:tcW w:w="13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r>
      <w:tr>
        <w:trPr>
          <w:trHeight w:val="780"/>
        </w:trPr>
        <w:tc>
          <w:tcPr>
            <w:tcW w:w="1320" w:type="dxa"/>
            <w:vAlign w:val="bottom"/>
          </w:tcPr>
          <w:p>
            <w:pPr>
              <w:ind w:left="80"/>
              <w:spacing w:after="0"/>
              <w:rPr>
                <w:sz w:val="20"/>
                <w:szCs w:val="20"/>
                <w:color w:val="auto"/>
              </w:rPr>
            </w:pPr>
            <w:r>
              <w:rPr>
                <w:rFonts w:ascii="Arial" w:cs="Arial" w:eastAsia="Arial" w:hAnsi="Arial"/>
                <w:sz w:val="18"/>
                <w:szCs w:val="18"/>
                <w:color w:val="auto"/>
              </w:rPr>
              <w:t>Section 13.13</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Pass-Through Nominations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30"/>
              <w:spacing w:after="0"/>
              <w:rPr>
                <w:sz w:val="20"/>
                <w:szCs w:val="20"/>
                <w:color w:val="auto"/>
              </w:rPr>
            </w:pPr>
            <w:r>
              <w:rPr>
                <w:rFonts w:ascii="Arial" w:cs="Arial" w:eastAsia="Arial" w:hAnsi="Arial"/>
                <w:sz w:val="18"/>
                <w:szCs w:val="18"/>
                <w:color w:val="auto"/>
              </w:rPr>
              <w:t>ARTICLE XIV</w:t>
            </w:r>
          </w:p>
        </w:tc>
        <w:tc>
          <w:tcPr>
            <w:tcW w:w="206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MERGER</w:t>
            </w:r>
          </w:p>
        </w:tc>
        <w:tc>
          <w:tcPr>
            <w:tcW w:w="80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18"/>
        </w:trPr>
        <w:tc>
          <w:tcPr>
            <w:tcW w:w="1320" w:type="dxa"/>
            <w:vAlign w:val="bottom"/>
          </w:tcPr>
          <w:p>
            <w:pPr>
              <w:ind w:left="80"/>
              <w:spacing w:after="0"/>
              <w:rPr>
                <w:sz w:val="20"/>
                <w:szCs w:val="20"/>
                <w:color w:val="auto"/>
              </w:rPr>
            </w:pPr>
            <w:r>
              <w:rPr>
                <w:rFonts w:ascii="Arial" w:cs="Arial" w:eastAsia="Arial" w:hAnsi="Arial"/>
                <w:sz w:val="18"/>
                <w:szCs w:val="18"/>
                <w:color w:val="auto"/>
              </w:rPr>
              <w:t>Section 14.1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Authority</w:t>
            </w:r>
          </w:p>
        </w:tc>
        <w:tc>
          <w:tcPr>
            <w:tcW w:w="2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14.2</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Procedure for Merger or Consolidation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14.3</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Approval by Limited Partners of Merger or Consolidation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14.4</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Certificate of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color w:val="auto"/>
              </w:rPr>
              <w:t>Section 14.5</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Effect of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10"/>
              <w:spacing w:after="0"/>
              <w:rPr>
                <w:sz w:val="20"/>
                <w:szCs w:val="20"/>
                <w:color w:val="auto"/>
              </w:rPr>
            </w:pPr>
            <w:r>
              <w:rPr>
                <w:rFonts w:ascii="Arial" w:cs="Arial" w:eastAsia="Arial" w:hAnsi="Arial"/>
                <w:sz w:val="18"/>
                <w:szCs w:val="18"/>
                <w:color w:val="auto"/>
              </w:rPr>
              <w:t>ARTICLE XV</w:t>
            </w:r>
          </w:p>
        </w:tc>
        <w:tc>
          <w:tcPr>
            <w:tcW w:w="2060" w:type="dxa"/>
            <w:vAlign w:val="bottom"/>
          </w:tcPr>
          <w:p>
            <w:pPr>
              <w:spacing w:after="0"/>
              <w:rPr>
                <w:sz w:val="24"/>
                <w:szCs w:val="24"/>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RIGHT TO ACQUIRE LIMITED PARTNER INTERESTS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1320" w:type="dxa"/>
            <w:vAlign w:val="bottom"/>
          </w:tcPr>
          <w:p>
            <w:pPr>
              <w:ind w:left="80"/>
              <w:spacing w:after="0"/>
              <w:rPr>
                <w:sz w:val="20"/>
                <w:szCs w:val="20"/>
                <w:color w:val="auto"/>
              </w:rPr>
            </w:pPr>
            <w:r>
              <w:rPr>
                <w:rFonts w:ascii="Arial" w:cs="Arial" w:eastAsia="Arial" w:hAnsi="Arial"/>
                <w:sz w:val="18"/>
                <w:szCs w:val="18"/>
                <w:color w:val="auto"/>
              </w:rPr>
              <w:t>Section 15.1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Right to Acquire Limited Partner Interests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1320" w:type="dxa"/>
            <w:vAlign w:val="bottom"/>
          </w:tcPr>
          <w:p>
            <w:pPr>
              <w:spacing w:after="0"/>
              <w:rPr>
                <w:sz w:val="24"/>
                <w:szCs w:val="24"/>
                <w:color w:val="auto"/>
              </w:rPr>
            </w:pPr>
          </w:p>
        </w:tc>
        <w:tc>
          <w:tcPr>
            <w:tcW w:w="8080" w:type="dxa"/>
            <w:vAlign w:val="bottom"/>
          </w:tcPr>
          <w:p>
            <w:pPr>
              <w:jc w:val="center"/>
              <w:ind w:left="630"/>
              <w:spacing w:after="0"/>
              <w:rPr>
                <w:sz w:val="20"/>
                <w:szCs w:val="20"/>
                <w:color w:val="auto"/>
              </w:rPr>
            </w:pPr>
            <w:r>
              <w:rPr>
                <w:rFonts w:ascii="Arial" w:cs="Arial" w:eastAsia="Arial" w:hAnsi="Arial"/>
                <w:sz w:val="18"/>
                <w:szCs w:val="18"/>
                <w:color w:val="auto"/>
              </w:rPr>
              <w:t>ARTICLE XVI</w:t>
            </w:r>
          </w:p>
        </w:tc>
        <w:tc>
          <w:tcPr>
            <w:tcW w:w="2060" w:type="dxa"/>
            <w:vAlign w:val="bottom"/>
          </w:tcPr>
          <w:p>
            <w:pPr>
              <w:spacing w:after="0"/>
              <w:rPr>
                <w:sz w:val="24"/>
                <w:szCs w:val="24"/>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GENERAL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8"/>
        </w:trPr>
        <w:tc>
          <w:tcPr>
            <w:tcW w:w="1320" w:type="dxa"/>
            <w:vAlign w:val="bottom"/>
          </w:tcPr>
          <w:p>
            <w:pPr>
              <w:ind w:left="80"/>
              <w:spacing w:after="0"/>
              <w:rPr>
                <w:sz w:val="20"/>
                <w:szCs w:val="20"/>
                <w:color w:val="auto"/>
              </w:rPr>
            </w:pPr>
            <w:r>
              <w:rPr>
                <w:rFonts w:ascii="Arial" w:cs="Arial" w:eastAsia="Arial" w:hAnsi="Arial"/>
                <w:sz w:val="18"/>
                <w:szCs w:val="18"/>
                <w:color w:val="auto"/>
              </w:rPr>
              <w:t>Section 16.1</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Addresses and 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16.2</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Further Action</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16.3</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Binding Effect</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16.4</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Integration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16.5</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Creditors</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16.6</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Waiver</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16.7</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Counterparts</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16.8</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Applicable Law; Forum; Venue and Jurisdiction</w:t>
            </w:r>
          </w:p>
        </w:tc>
        <w:tc>
          <w:tcPr>
            <w:tcW w:w="2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320" w:type="dxa"/>
            <w:vAlign w:val="bottom"/>
          </w:tcPr>
          <w:p>
            <w:pPr>
              <w:ind w:left="80"/>
              <w:spacing w:after="0"/>
              <w:rPr>
                <w:sz w:val="20"/>
                <w:szCs w:val="20"/>
                <w:color w:val="auto"/>
              </w:rPr>
            </w:pPr>
            <w:r>
              <w:rPr>
                <w:rFonts w:ascii="Arial" w:cs="Arial" w:eastAsia="Arial" w:hAnsi="Arial"/>
                <w:sz w:val="18"/>
                <w:szCs w:val="18"/>
                <w:color w:val="auto"/>
              </w:rPr>
              <w:t>Section 16.9</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Invalidity of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color w:val="auto"/>
              </w:rPr>
              <w:t>Section 16.10</w:t>
            </w:r>
          </w:p>
        </w:tc>
        <w:tc>
          <w:tcPr>
            <w:tcW w:w="8080" w:type="dxa"/>
            <w:vAlign w:val="bottom"/>
          </w:tcPr>
          <w:p>
            <w:pPr>
              <w:ind w:left="260"/>
              <w:spacing w:after="0"/>
              <w:rPr>
                <w:sz w:val="20"/>
                <w:szCs w:val="20"/>
                <w:color w:val="auto"/>
              </w:rPr>
            </w:pPr>
            <w:r>
              <w:rPr>
                <w:rFonts w:ascii="Arial" w:cs="Arial" w:eastAsia="Arial" w:hAnsi="Arial"/>
                <w:sz w:val="18"/>
                <w:szCs w:val="18"/>
                <w:i w:val="1"/>
                <w:iCs w:val="1"/>
                <w:color w:val="auto"/>
              </w:rPr>
              <w:t>Consent of Partners</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-4778375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-4778375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532"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SEVENTH AMENDED AND RESTATED AGREEMENT OF LIMITED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THIS SEVENTH AMENDED AND RESTATED AGREEMENT OF LIMITED PARTNERSHIP OF PLAINS ALL AMERICAN PIPELINE, L.P. dated as of October 10, 2017, effective on the date hereof, except with respect to Section 6.1(d)(xii), which is effective as of January 1, 2016, is entered into by and among PAA GP LLC, a Delaware limited liability company, as the General Partner, and the additional Persons that are or become Partners of the Partnership as provided herein.</w:t>
      </w:r>
    </w:p>
    <w:p>
      <w:pPr>
        <w:spacing w:after="0" w:line="187"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 xml:space="preserve">WHEREAS, the General Partner and the other parties thereto entered into that certain Sixth Amended and Restated Agreement of Limited Partnership of the Partnership dated as of November 15, 2016 (as subsequently amended, the </w:t>
      </w:r>
      <w:r>
        <w:rPr>
          <w:rFonts w:ascii="Arial" w:cs="Arial" w:eastAsia="Arial" w:hAnsi="Arial"/>
          <w:sz w:val="17"/>
          <w:szCs w:val="17"/>
          <w:i w:val="1"/>
          <w:iCs w:val="1"/>
          <w:color w:val="auto"/>
        </w:rPr>
        <w:t>“Sixth A&amp;R LP Agreement”</w:t>
      </w:r>
      <w:r>
        <w:rPr>
          <w:rFonts w:ascii="Arial" w:cs="Arial" w:eastAsia="Arial" w:hAnsi="Arial"/>
          <w:sz w:val="17"/>
          <w:szCs w:val="17"/>
          <w:color w:val="auto"/>
        </w:rPr>
        <w:t>);</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the General Partner desires to amend and restate the Sixth A&amp;R LP Agreement in its entirety in accordance with Section 13.1 of the Sixth A&amp;R LP Agreement to establish a new class of limited partner interests, the Series B Preferred Units.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NOW, THEREFORE, the General Partner does hereby amend and restate the Sixth A&amp;R LP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pacing w:after="0" w:line="2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“2001 GP Transfer Agreement” </w:t>
      </w:r>
      <w:r>
        <w:rPr>
          <w:rFonts w:ascii="Arial" w:cs="Arial" w:eastAsia="Arial" w:hAnsi="Arial"/>
          <w:sz w:val="18"/>
          <w:szCs w:val="18"/>
          <w:color w:val="auto"/>
        </w:rPr>
        <w:t>means the Contribution, Assignment and Amendment Agreement, dated as of June 8, 2001, among the 2001</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the 2007 Predecessor General Partner and Plains All American GP LLC.</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“2001 Predecessor General Partner” </w:t>
      </w:r>
      <w:r>
        <w:rPr>
          <w:rFonts w:ascii="Arial" w:cs="Arial" w:eastAsia="Arial" w:hAnsi="Arial"/>
          <w:sz w:val="18"/>
          <w:szCs w:val="18"/>
          <w:color w:val="auto"/>
        </w:rPr>
        <w:t>means Plains All American Inc., in its capacity as the general partner of the Partnership prior to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Interest to the 2007 Predecessor General Partner pursuant to the 2001 GP Transfer Agreement.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“2007 GP Transfer Agreement” </w:t>
      </w:r>
      <w:r>
        <w:rPr>
          <w:rFonts w:ascii="Arial" w:cs="Arial" w:eastAsia="Arial" w:hAnsi="Arial"/>
          <w:sz w:val="18"/>
          <w:szCs w:val="18"/>
          <w:color w:val="auto"/>
        </w:rPr>
        <w:t>means the Contribution and Assumption Agreement, dated as of December 28, 2007, by and between the 2007</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and the General Partner.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“2007 Predecessor General Partner” </w:t>
      </w:r>
      <w:r>
        <w:rPr>
          <w:rFonts w:ascii="Arial" w:cs="Arial" w:eastAsia="Arial" w:hAnsi="Arial"/>
          <w:sz w:val="18"/>
          <w:szCs w:val="18"/>
          <w:color w:val="auto"/>
        </w:rPr>
        <w:t>means Plains AAP, in its capacity as the general partner of the Partnership (i) after the transfer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by the 2001 Predecessor General Partner pursuant to the 2001 GP Transfer Agreement and (ii) prior to the transfer of the General Partner Interest to the General Partner pursuant to the 2007 GP Transfer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Common Units</w:t>
      </w:r>
      <w:r>
        <w:rPr>
          <w:rFonts w:ascii="Arial" w:cs="Arial" w:eastAsia="Arial" w:hAnsi="Arial"/>
          <w:sz w:val="18"/>
          <w:szCs w:val="18"/>
          <w:color w:val="auto"/>
        </w:rPr>
        <w:t>” means Common Units held by Plains AAP or any Affiliate of Plains AAP.</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“Acquisition” </w:t>
      </w:r>
      <w:r>
        <w:rPr>
          <w:rFonts w:ascii="Arial" w:cs="Arial" w:eastAsia="Arial" w:hAnsi="Arial"/>
          <w:sz w:val="17"/>
          <w:szCs w:val="17"/>
          <w:color w:val="auto"/>
        </w:rPr>
        <w:t>means any transaction in which any Group Member acquires (through an asset acquisition, merger, stock acquisition or other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Limited Partner” </w:t>
      </w:r>
      <w:r>
        <w:rPr>
          <w:rFonts w:ascii="Arial" w:cs="Arial" w:eastAsia="Arial" w:hAnsi="Arial"/>
          <w:sz w:val="18"/>
          <w:szCs w:val="18"/>
          <w:color w:val="auto"/>
        </w:rPr>
        <w:t>means a Person admitted to the Partnership as a Limited Partner pursuant to Section 10.4 and who is shown as such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books and records of the Partnership.</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“Adjusted Capital Account” </w:t>
      </w:r>
      <w:r>
        <w:rPr>
          <w:rFonts w:ascii="Arial" w:cs="Arial" w:eastAsia="Arial" w:hAnsi="Arial"/>
          <w:sz w:val="16"/>
          <w:szCs w:val="16"/>
          <w:color w:val="auto"/>
        </w:rPr>
        <w:t>means the Capital Account maintained for each Partner as of the end of each fiscal year of the Partnership, (a)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Arial" w:cs="Arial" w:eastAsia="Arial" w:hAnsi="Arial"/>
          <w:sz w:val="16"/>
          <w:szCs w:val="16"/>
          <w:i w:val="1"/>
          <w:iCs w:val="1"/>
          <w:color w:val="auto"/>
        </w:rPr>
        <w:t>“Adjusted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Account” </w:t>
      </w:r>
      <w:r>
        <w:rPr>
          <w:rFonts w:ascii="Arial" w:cs="Arial" w:eastAsia="Arial" w:hAnsi="Arial"/>
          <w:sz w:val="16"/>
          <w:szCs w:val="16"/>
          <w:color w:val="auto"/>
        </w:rPr>
        <w:t>of a Partner in respect of the General Partner Interest, a Common Unit, a Series A Preferred Unit or any other specified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shall be the amount which such Adjusted Capital Account would be if the General Partner Interest or such Common Unit, Series A Preferred Unit or other interest in the Partnership were the only interest in the Partnership held by a Partner from and after the date on which the General Partner Interest or such Common Unit, Series A Preferred Unit or other interest was first issued.</w:t>
      </w:r>
    </w:p>
    <w:p>
      <w:pPr>
        <w:spacing w:after="0" w:line="17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“Adjusted Property” </w:t>
      </w:r>
      <w:r>
        <w:rPr>
          <w:rFonts w:ascii="Arial" w:cs="Arial" w:eastAsia="Arial" w:hAnsi="Arial"/>
          <w:sz w:val="17"/>
          <w:szCs w:val="17"/>
          <w:color w:val="auto"/>
        </w:rPr>
        <w:t>means any property the Carrying Value of which has been adjusted pursuant to Section 5.5(d)(i) or 5.5(d)(ii). Once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any Person, any other Person that directly or indirectly through one or more intermediaries controls, is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or is under common control with, the Person in question. As used herein, the term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means the possession, direct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“Agreed Allocation” </w:t>
      </w:r>
      <w:r>
        <w:rPr>
          <w:rFonts w:ascii="Arial" w:cs="Arial" w:eastAsia="Arial" w:hAnsi="Arial"/>
          <w:sz w:val="17"/>
          <w:szCs w:val="17"/>
          <w:color w:val="auto"/>
        </w:rPr>
        <w:t>means any allocation, other than a Required Allocation, of an item of income, gain, loss or deduction pursuant to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Section 6.1, including, without limitation, a Curative Allocation (if appropriate to the context in which the term </w:t>
      </w:r>
      <w:r>
        <w:rPr>
          <w:rFonts w:ascii="Arial" w:cs="Arial" w:eastAsia="Arial" w:hAnsi="Arial"/>
          <w:sz w:val="17"/>
          <w:szCs w:val="17"/>
          <w:i w:val="1"/>
          <w:iCs w:val="1"/>
          <w:color w:val="auto"/>
        </w:rPr>
        <w:t>“Agreed Allocation”</w:t>
      </w:r>
      <w:r>
        <w:rPr>
          <w:rFonts w:ascii="Arial" w:cs="Arial" w:eastAsia="Arial" w:hAnsi="Arial"/>
          <w:sz w:val="17"/>
          <w:szCs w:val="17"/>
          <w:color w:val="auto"/>
        </w:rPr>
        <w:t xml:space="preserve"> is used).</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“Agreed Value” </w:t>
      </w:r>
      <w:r>
        <w:rPr>
          <w:rFonts w:ascii="Arial" w:cs="Arial" w:eastAsia="Arial" w:hAnsi="Arial"/>
          <w:sz w:val="17"/>
          <w:szCs w:val="17"/>
          <w:color w:val="auto"/>
        </w:rPr>
        <w:t>of any Contributed Property means the fair market value of such property or other consideration at the time of contribution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Seventh Amended and Restated Agreement of Limited Partnership of Plains All American Pipeline, L.P.,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supplemented or restated from time to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“Assignee” </w:t>
      </w:r>
      <w:r>
        <w:rPr>
          <w:rFonts w:ascii="Arial" w:cs="Arial" w:eastAsia="Arial" w:hAnsi="Arial"/>
          <w:sz w:val="18"/>
          <w:szCs w:val="18"/>
          <w:color w:val="auto"/>
        </w:rPr>
        <w:t>means a Non-citizen Assignee or a Person to whom one or more Limited Partner Interests have been transferred in a manner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but who has not been admitted as a Substituted Limited Partner.</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“Associate” </w:t>
      </w:r>
      <w:r>
        <w:rPr>
          <w:rFonts w:ascii="Arial" w:cs="Arial" w:eastAsia="Arial" w:hAnsi="Arial"/>
          <w:sz w:val="17"/>
          <w:szCs w:val="17"/>
          <w:color w:val="auto"/>
        </w:rPr>
        <w:t>means, when used to indicate a relationship with any Person, (a) any corporation or organization of which such Person is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“Available Cash” </w:t>
      </w:r>
      <w:r>
        <w:rPr>
          <w:rFonts w:ascii="Arial" w:cs="Arial" w:eastAsia="Arial" w:hAnsi="Arial"/>
          <w:sz w:val="18"/>
          <w:szCs w:val="18"/>
          <w:color w:val="auto"/>
        </w:rPr>
        <w:t>means, with respect to any Quarter ending prior to the Liquidation Date,</w:t>
      </w:r>
    </w:p>
    <w:p>
      <w:pPr>
        <w:spacing w:after="0" w:line="225" w:lineRule="exact"/>
        <w:rPr>
          <w:sz w:val="20"/>
          <w:szCs w:val="20"/>
          <w:color w:val="auto"/>
        </w:rPr>
      </w:pPr>
    </w:p>
    <w:p>
      <w:pPr>
        <w:ind w:firstLine="656"/>
        <w:spacing w:after="0" w:line="264" w:lineRule="auto"/>
        <w:tabs>
          <w:tab w:leader="none" w:pos="1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81" w:lineRule="exact"/>
        <w:rPr>
          <w:rFonts w:ascii="Arial" w:cs="Arial" w:eastAsia="Arial" w:hAnsi="Arial"/>
          <w:sz w:val="18"/>
          <w:szCs w:val="18"/>
          <w:color w:val="auto"/>
        </w:rPr>
      </w:pPr>
    </w:p>
    <w:p>
      <w:pPr>
        <w:ind w:right="260" w:firstLine="656"/>
        <w:spacing w:after="0" w:line="297" w:lineRule="auto"/>
        <w:tabs>
          <w:tab w:leader="none" w:pos="1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and Section 5.15(c)(i) or distributions to the holders of the Common Units in respect of any one or more of the next four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Quarters;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“Available Cash”</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PAGP GP (or the comparable governing body of any successor to the General Partner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entity to PAGP GP that controls the General Partner).</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“Book-Tax Disparity” </w:t>
      </w:r>
      <w:r>
        <w:rPr>
          <w:rFonts w:ascii="Arial" w:cs="Arial" w:eastAsia="Arial" w:hAnsi="Arial"/>
          <w:sz w:val="17"/>
          <w:szCs w:val="17"/>
          <w:color w:val="auto"/>
        </w:rPr>
        <w:t>means with respect to any item of Contributed Property or Adjusted Property, as of the date of any determination,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Monday through Friday of each week, except that a legal holiday recognized as such by the government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or the states of New York or Texas shall not be regarded as a Business Day.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Calculation Agent</w:t>
      </w:r>
      <w:r>
        <w:rPr>
          <w:rFonts w:ascii="Arial" w:cs="Arial" w:eastAsia="Arial" w:hAnsi="Arial"/>
          <w:sz w:val="18"/>
          <w:szCs w:val="18"/>
          <w:color w:val="auto"/>
        </w:rPr>
        <w:t>” means Wells Fargo Bank, National Association, acting in its capacity as calculation agent for the Series B Preferred Units, and its successors and assigns or any other calculation agent appointed by the General Partner.</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“Capital Account” </w:t>
      </w:r>
      <w:r>
        <w:rPr>
          <w:rFonts w:ascii="Arial" w:cs="Arial" w:eastAsia="Arial" w:hAnsi="Arial"/>
          <w:sz w:val="17"/>
          <w:szCs w:val="17"/>
          <w:color w:val="auto"/>
        </w:rPr>
        <w:t>means the capital account maintained for a Partner pursuant to Section 5.5. The</w:t>
      </w:r>
      <w:r>
        <w:rPr>
          <w:rFonts w:ascii="Arial" w:cs="Arial" w:eastAsia="Arial" w:hAnsi="Arial"/>
          <w:sz w:val="17"/>
          <w:szCs w:val="17"/>
          <w:i w:val="1"/>
          <w:iCs w:val="1"/>
          <w:color w:val="auto"/>
        </w:rPr>
        <w:t xml:space="preserve"> “Capital Account” </w:t>
      </w:r>
      <w:r>
        <w:rPr>
          <w:rFonts w:ascii="Arial" w:cs="Arial" w:eastAsia="Arial" w:hAnsi="Arial"/>
          <w:sz w:val="17"/>
          <w:szCs w:val="17"/>
          <w:color w:val="auto"/>
        </w:rPr>
        <w:t>of a Partner in respect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Interest or a Common Unit, a Series A Preferred Unit, a Series B Preferred Unit or any other Partnership Interest shall be the amount which such Capital Account would be if the General Partner Interest or such Common Unit, Series A Preferred Unit, a Series B Preferred Unit or other Partnership Interest were the only interest in the Partnership held by a Partner from and after the date on which the General Partner Interest or such Common Unit, Series A Preferred Unit, a Series B Preferred Unit or other Partnership Interest was first issued.</w:t>
      </w:r>
    </w:p>
    <w:p>
      <w:pPr>
        <w:spacing w:after="0" w:line="17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“Capital Contribution” </w:t>
      </w:r>
      <w:r>
        <w:rPr>
          <w:rFonts w:ascii="Arial" w:cs="Arial" w:eastAsia="Arial" w:hAnsi="Arial"/>
          <w:sz w:val="18"/>
          <w:szCs w:val="18"/>
          <w:color w:val="auto"/>
        </w:rPr>
        <w:t>means any cash, cash equivalents or the Net Agreed Value of Contributed Property that a Partner contributes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pursuant to this Agreement or the Contribution and Conveyance Agreement.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“Capital Improvement” </w:t>
      </w:r>
      <w:r>
        <w:rPr>
          <w:rFonts w:ascii="Arial" w:cs="Arial" w:eastAsia="Arial" w:hAnsi="Arial"/>
          <w:sz w:val="18"/>
          <w:szCs w:val="18"/>
          <w:color w:val="auto"/>
        </w:rPr>
        <w:t>means any (a) addition or improvement to the capital assets owned by any Group Member or (b) acquisition of existing,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construction of new, capital assets (including, without limitation, pipeline systems, terminalling and storage facilities and related assets), in each case made to increase the operating capacity or revenues of the</w:t>
      </w:r>
    </w:p>
    <w:p>
      <w:pPr>
        <w:sectPr>
          <w:pgSz w:w="11900" w:h="16838" w:orient="portrait"/>
          <w:cols w:equalWidth="0" w:num="1">
            <w:col w:w="11400"/>
          </w:cols>
          <w:pgMar w:left="240" w:top="125" w:right="259" w:bottom="111"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Partnership Group from the operating capacity or revenues of the Partnership Group existing immediately prior to such addition, improvement, acquisition or construction.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Surplus” </w:t>
      </w:r>
      <w:r>
        <w:rPr>
          <w:rFonts w:ascii="Arial" w:cs="Arial" w:eastAsia="Arial" w:hAnsi="Arial"/>
          <w:sz w:val="18"/>
          <w:szCs w:val="18"/>
          <w:color w:val="auto"/>
        </w:rPr>
        <w:t>has the meaning assigned to such term in Section 6.3(a).</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“Carrying Value” </w:t>
      </w:r>
      <w:r>
        <w:rPr>
          <w:rFonts w:ascii="Arial" w:cs="Arial" w:eastAsia="Arial" w:hAnsi="Arial"/>
          <w:sz w:val="16"/>
          <w:szCs w:val="16"/>
          <w:color w:val="auto"/>
        </w:rPr>
        <w:t>means (a) with respect to a Contributed Property, the Agreed Value of such property reduced (but not below zero) by all</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a court of competent jurisdiction has entered a final, non-appealable judgment finding the General Partner liable for actual fraud,</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or willful or wanton misconduct in its capacity as general partner of the Partnership.</w:t>
      </w:r>
    </w:p>
    <w:p>
      <w:pPr>
        <w:spacing w:after="0" w:line="170"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i w:val="1"/>
          <w:iCs w:val="1"/>
          <w:color w:val="auto"/>
        </w:rPr>
        <w:t xml:space="preserve">“Certificate” </w:t>
      </w:r>
      <w:r>
        <w:rPr>
          <w:rFonts w:ascii="Arial" w:cs="Arial" w:eastAsia="Arial" w:hAnsi="Arial"/>
          <w:sz w:val="17"/>
          <w:szCs w:val="17"/>
          <w:color w:val="auto"/>
        </w:rPr>
        <w:t>means a certificate (i) substantially in the form of Exhibit A to this Agreement with respect to the Common Units, or Exhibit B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respect to the Series A Preferred Units, or Exhibit C to this Agreement with respect to the Series B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“Certificate of Limited Partnership” </w:t>
      </w:r>
      <w:r>
        <w:rPr>
          <w:rFonts w:ascii="Arial" w:cs="Arial" w:eastAsia="Arial" w:hAnsi="Arial"/>
          <w:sz w:val="16"/>
          <w:szCs w:val="16"/>
          <w:color w:val="auto"/>
        </w:rPr>
        <w:t>means the Certificate of Limited Partnership of the Partnership filed with the Secretary of State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as referenced in Section 2.1, as such Certificate of Limited Partnership may be amended, supplemented or restated from time to time.</w:t>
      </w:r>
    </w:p>
    <w:p>
      <w:pPr>
        <w:spacing w:after="0" w:line="12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“Citizenship Certification” </w:t>
      </w:r>
      <w:r>
        <w:rPr>
          <w:rFonts w:ascii="Arial" w:cs="Arial" w:eastAsia="Arial" w:hAnsi="Arial"/>
          <w:sz w:val="18"/>
          <w:szCs w:val="18"/>
          <w:color w:val="auto"/>
        </w:rPr>
        <w:t>means a properly completed certificate in such form as may be specified by the General Partner by which an Assignee or</w:t>
      </w:r>
      <w:r>
        <w:rPr>
          <w:rFonts w:ascii="Arial" w:cs="Arial" w:eastAsia="Arial" w:hAnsi="Arial"/>
          <w:sz w:val="18"/>
          <w:szCs w:val="18"/>
          <w:i w:val="1"/>
          <w:iCs w:val="1"/>
          <w:color w:val="auto"/>
        </w:rPr>
        <w:t xml:space="preserve"> </w:t>
      </w:r>
      <w:r>
        <w:rPr>
          <w:rFonts w:ascii="Arial" w:cs="Arial" w:eastAsia="Arial" w:hAnsi="Arial"/>
          <w:sz w:val="18"/>
          <w:szCs w:val="18"/>
          <w:color w:val="auto"/>
        </w:rPr>
        <w:t>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“Claim”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in effect from time to time. Any reference herein to a specific section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of the Code shall be deemed to include a reference to any corresponding provision of successor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“Combined Interest” </w:t>
      </w:r>
      <w:r>
        <w:rPr>
          <w:rFonts w:ascii="Arial" w:cs="Arial" w:eastAsia="Arial" w:hAnsi="Arial"/>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means the United States Securities and Exchange Commission.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“Common Unit” </w:t>
      </w:r>
      <w:r>
        <w:rPr>
          <w:rFonts w:ascii="Arial" w:cs="Arial" w:eastAsia="Arial" w:hAnsi="Arial"/>
          <w:sz w:val="18"/>
          <w:szCs w:val="18"/>
          <w:color w:val="auto"/>
        </w:rPr>
        <w:t>means a Partnership Security representing a fractional part of the Partnership Interests of all Limited Partners and Assignees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the rights and obligations specified with respect to Common Units in this Agreement. The term “Common Unit” does not include a Series A Preferred Unit prior to its conversion into a Common Unit pursuant to the terms hereof.</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means a committee of the board of directors of the General Partner (or if the General Partner has no board of directors,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established by the Board of Directors, directly or pursuant to the governing documents of one of its controlled Affiliates), which committee shall be composed entirely of two or more directors, each of whom (a) except as provided below, is not a director, officer or employee of the General Partner or any of its Affiliates (collectively, the “Designated GP Affiliates”), (b) is not the holder of any ownership interest in the General Partner or any of the Designated GP Affiliates (other than (i) Common Units or (ii) other awards of Partnership Interests that are granted to such director under a long-term incentive plan), except that an individual shall not be precluded from serving on the Conflicts Committee due to the ownership of interests in any of the Designated GP Affiliates, including PAGP, unless the Board of Directors determines, after taking into account the totality of the specific circumstances involving such individual, that such ownership will likely have an adverse impact on the ability of such individual to act in an independent manner with respect to the matter submitted to the Conflicts Committee and (c) is determined by the Board of Directors to be independent under the independence standards for individuals who serve on an audit committee of a board of directors as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 Notwithstanding the foregoing, an individual shall not be disqualified from serving on the Conflicts Committee by virtue of such individual serving as a member of the board of directors of PAGP GP or Plains All American GP LLC (or the governing body of any successor of such entities).</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“Contributed Property” </w:t>
      </w:r>
      <w:r>
        <w:rPr>
          <w:rFonts w:ascii="Arial" w:cs="Arial" w:eastAsia="Arial" w:hAnsi="Arial"/>
          <w:sz w:val="18"/>
          <w:szCs w:val="18"/>
          <w:color w:val="auto"/>
        </w:rPr>
        <w:t>means each property or other asset, in such form as may be permitted by the Delaware Act, but excluding cash,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“Contribution and Conveyance Agreement” </w:t>
      </w:r>
      <w:r>
        <w:rPr>
          <w:rFonts w:ascii="Arial" w:cs="Arial" w:eastAsia="Arial" w:hAnsi="Arial"/>
          <w:sz w:val="18"/>
          <w:szCs w:val="18"/>
          <w:color w:val="auto"/>
        </w:rPr>
        <w:t>means that certain Contribution, Conveyance and Assumption Agreement, dated as of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8" w:name="page9"/>
    <w:bookmarkEnd w:id="8"/>
    <w:p>
      <w:pPr>
        <w:spacing w:after="0" w:line="6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“Curative Allocation” </w:t>
      </w:r>
      <w:r>
        <w:rPr>
          <w:rFonts w:ascii="Arial" w:cs="Arial" w:eastAsia="Arial" w:hAnsi="Arial"/>
          <w:sz w:val="17"/>
          <w:szCs w:val="17"/>
          <w:color w:val="auto"/>
        </w:rPr>
        <w:t>means any allocation of an item of income, gain, deduction, loss or credit pursuant to the provisions of Section 6.1(d)(xi).</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“Current Market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“Delaware Act” </w:t>
      </w:r>
      <w:r>
        <w:rPr>
          <w:rFonts w:ascii="Arial" w:cs="Arial" w:eastAsia="Arial" w:hAnsi="Arial"/>
          <w:sz w:val="18"/>
          <w:szCs w:val="18"/>
          <w:color w:val="auto"/>
        </w:rPr>
        <w:t>means the Delaware Revised Uniform Limited Partnership Act, 6 Del C. § 17-101, et seq., as amended, supplemented or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and any successor to such statute.</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i w:val="1"/>
          <w:iCs w:val="1"/>
          <w:color w:val="auto"/>
        </w:rPr>
        <w:t xml:space="preserve">“Departing Partner” </w:t>
      </w:r>
      <w:r>
        <w:rPr>
          <w:rFonts w:ascii="Arial" w:cs="Arial" w:eastAsia="Arial" w:hAnsi="Arial"/>
          <w:sz w:val="18"/>
          <w:szCs w:val="18"/>
          <w:color w:val="auto"/>
        </w:rPr>
        <w:t>means a former General Partner from and after the effective date of any withdrawal or removal of such former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11.1 or 11.2.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“Depositary” </w:t>
      </w:r>
      <w:r>
        <w:rPr>
          <w:rFonts w:ascii="Arial" w:cs="Arial" w:eastAsia="Arial" w:hAnsi="Arial"/>
          <w:sz w:val="17"/>
          <w:szCs w:val="17"/>
          <w:color w:val="auto"/>
        </w:rPr>
        <w:t>means, with respect to any Units issued in global form, The Depository Trust Company and its successors and permitted assigns.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Risk of Loss” </w:t>
      </w:r>
      <w:r>
        <w:rPr>
          <w:rFonts w:ascii="Arial" w:cs="Arial" w:eastAsia="Arial" w:hAnsi="Arial"/>
          <w:sz w:val="18"/>
          <w:szCs w:val="18"/>
          <w:color w:val="auto"/>
        </w:rPr>
        <w:t>has the meaning set forth in Treasury Regulation Section 1.752-2(a).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“Eligible Citizen” </w:t>
      </w:r>
      <w:r>
        <w:rPr>
          <w:rFonts w:ascii="Arial" w:cs="Arial" w:eastAsia="Arial" w:hAnsi="Arial"/>
          <w:sz w:val="18"/>
          <w:szCs w:val="18"/>
          <w:color w:val="auto"/>
        </w:rPr>
        <w:t>means a Person qualified to own interests in real property in jurisdictions in which any Group Member does business or proposes</w:t>
      </w:r>
      <w:r>
        <w:rPr>
          <w:rFonts w:ascii="Arial" w:cs="Arial" w:eastAsia="Arial" w:hAnsi="Arial"/>
          <w:sz w:val="18"/>
          <w:szCs w:val="18"/>
          <w:i w:val="1"/>
          <w:iCs w:val="1"/>
          <w:color w:val="auto"/>
        </w:rPr>
        <w:t xml:space="preserve"> </w:t>
      </w:r>
      <w:r>
        <w:rPr>
          <w:rFonts w:ascii="Arial" w:cs="Arial" w:eastAsia="Arial" w:hAnsi="Arial"/>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“Eligible Limited Partners” </w:t>
      </w:r>
      <w:r>
        <w:rPr>
          <w:rFonts w:ascii="Arial" w:cs="Arial" w:eastAsia="Arial" w:hAnsi="Arial"/>
          <w:sz w:val="18"/>
          <w:szCs w:val="18"/>
          <w:color w:val="auto"/>
        </w:rPr>
        <w:t>has the meaning assigned to such term in Section 13.4(c).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Withdrawal” </w:t>
      </w:r>
      <w:r>
        <w:rPr>
          <w:rFonts w:ascii="Arial" w:cs="Arial" w:eastAsia="Arial" w:hAnsi="Arial"/>
          <w:sz w:val="18"/>
          <w:szCs w:val="18"/>
          <w:color w:val="auto"/>
        </w:rPr>
        <w:t>has the meaning assigned to such term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“Existing Owner” </w:t>
      </w:r>
      <w:r>
        <w:rPr>
          <w:rFonts w:ascii="Arial" w:cs="Arial" w:eastAsia="Arial" w:hAnsi="Arial"/>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A&amp;R LP Agreement</w:t>
      </w:r>
      <w:r>
        <w:rPr>
          <w:rFonts w:ascii="Arial" w:cs="Arial" w:eastAsia="Arial" w:hAnsi="Arial"/>
          <w:sz w:val="18"/>
          <w:szCs w:val="18"/>
          <w:color w:val="auto"/>
        </w:rPr>
        <w:t>” means the Fifth Amended and Restated Agreement of Limited Partnership dated as of January 28, 2016.</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means PAA GP LLC, as the successor to the 2007 Predecessor General Partner, its successors and permitted assigns 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the Partnership and, if the context otherwise requires, its predecessor in interest.</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“General Partner Interest” </w:t>
      </w:r>
      <w:r>
        <w:rPr>
          <w:rFonts w:ascii="Arial" w:cs="Arial" w:eastAsia="Arial" w:hAnsi="Arial"/>
          <w:sz w:val="17"/>
          <w:szCs w:val="17"/>
          <w:color w:val="auto"/>
        </w:rPr>
        <w:t>means the non-economic ownership interest of the General Partner in the Partnership (in its capacity as a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reference to any Limited Partner Interest held by it), and includes any and all benefits to which the General Partner is entitled as provided in this Agreement, together with all obligations of the General Partner to comply with the terms and provisions of this Agreement. The General Partner Interest does not include any rights to receive distributions from operations or upon the liquidation or winding up of the Partnership.</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“Group” </w:t>
      </w:r>
      <w:r>
        <w:rPr>
          <w:rFonts w:ascii="Arial" w:cs="Arial" w:eastAsia="Arial" w:hAnsi="Arial"/>
          <w:sz w:val="18"/>
          <w:szCs w:val="18"/>
          <w:color w:val="auto"/>
        </w:rPr>
        <w:t>means a Person that with or through any of its Affiliates or Associates has any agreement, arrangement or understanding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holding, voting (except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“Group Member” </w:t>
      </w:r>
      <w:r>
        <w:rPr>
          <w:rFonts w:ascii="Arial" w:cs="Arial" w:eastAsia="Arial" w:hAnsi="Arial"/>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as used in Section 7.12, has the meaning assigned to such term in Section 7.12(a).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“Indemnified Persons”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“Indemnitee” </w:t>
      </w:r>
      <w:r>
        <w:rPr>
          <w:rFonts w:ascii="Arial" w:cs="Arial" w:eastAsia="Arial" w:hAnsi="Arial"/>
          <w:sz w:val="17"/>
          <w:szCs w:val="17"/>
          <w:color w:val="auto"/>
        </w:rPr>
        <w:t>means (a) the General Partner, (b) any Departing Partner, (c) any Person who is or was an Affiliate of the General Partner or any</w:t>
      </w:r>
      <w:r>
        <w:rPr>
          <w:rFonts w:ascii="Arial" w:cs="Arial" w:eastAsia="Arial" w:hAnsi="Arial"/>
          <w:sz w:val="17"/>
          <w:szCs w:val="17"/>
          <w:i w:val="1"/>
          <w:iCs w:val="1"/>
          <w:color w:val="auto"/>
        </w:rPr>
        <w:t xml:space="preserve"> </w:t>
      </w:r>
      <w:r>
        <w:rPr>
          <w:rFonts w:ascii="Arial" w:cs="Arial" w:eastAsia="Arial" w:hAnsi="Arial"/>
          <w:sz w:val="17"/>
          <w:szCs w:val="17"/>
          <w:color w:val="auto"/>
        </w:rPr>
        <w:t>Departing Partner, (d) any Person who is or was a member, partner, officer, director, employee, agent or trustee of any Group Member, the General Partner, the Operating General Partner,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Common Units” </w:t>
      </w:r>
      <w:r>
        <w:rPr>
          <w:rFonts w:ascii="Arial" w:cs="Arial" w:eastAsia="Arial" w:hAnsi="Arial"/>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Distribution Period” </w:t>
      </w:r>
      <w:r>
        <w:rPr>
          <w:rFonts w:ascii="Arial" w:cs="Arial" w:eastAsia="Arial" w:hAnsi="Arial"/>
          <w:sz w:val="18"/>
          <w:szCs w:val="18"/>
          <w:color w:val="auto"/>
        </w:rPr>
        <w:t>has the meaning assigned such term in Section 5.14(b)(i)(A).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“Initial Limited Partners” </w:t>
      </w:r>
      <w:r>
        <w:rPr>
          <w:rFonts w:ascii="Arial" w:cs="Arial" w:eastAsia="Arial" w:hAnsi="Arial"/>
          <w:sz w:val="18"/>
          <w:szCs w:val="18"/>
          <w:color w:val="auto"/>
        </w:rPr>
        <w:t>means the 2001 Predecessor General Partner and the Underwriters, in each case upon being admitted to the Partnership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Underwriting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Offering” </w:t>
      </w:r>
      <w:r>
        <w:rPr>
          <w:rFonts w:ascii="Arial" w:cs="Arial" w:eastAsia="Arial" w:hAnsi="Arial"/>
          <w:sz w:val="18"/>
          <w:szCs w:val="18"/>
          <w:color w:val="auto"/>
        </w:rPr>
        <w:t>means the initial offering and sale of Common Units to the public, as described in the Registration Statement.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“Initial Unit Price” </w:t>
      </w:r>
      <w:r>
        <w:rPr>
          <w:rFonts w:ascii="Arial" w:cs="Arial" w:eastAsia="Arial" w:hAnsi="Arial"/>
          <w:sz w:val="17"/>
          <w:szCs w:val="17"/>
          <w:color w:val="auto"/>
        </w:rPr>
        <w:t>means (a) $20.00 or (b) with respect to any other class or series of Units, the price per Unit at which such class or series of Units</w:t>
      </w:r>
      <w:r>
        <w:rPr>
          <w:rFonts w:ascii="Arial" w:cs="Arial" w:eastAsia="Arial" w:hAnsi="Arial"/>
          <w:sz w:val="17"/>
          <w:szCs w:val="17"/>
          <w:i w:val="1"/>
          <w:iCs w:val="1"/>
          <w:color w:val="auto"/>
        </w:rPr>
        <w:t xml:space="preserve"> </w:t>
      </w:r>
      <w:r>
        <w:rPr>
          <w:rFonts w:ascii="Arial" w:cs="Arial" w:eastAsia="Arial" w:hAnsi="Arial"/>
          <w:sz w:val="17"/>
          <w:szCs w:val="17"/>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on October 1, 2012, each such price was reduced by one-half to give effect to the two-for-one split of the Common Units effected on October 1, 2012 by way of a dividend and distribution of one Common Unit for each Common Unit outstanding to Record Holders as of September 17, 2012.</w:t>
      </w:r>
    </w:p>
    <w:p>
      <w:pPr>
        <w:spacing w:after="0" w:line="17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i w:val="1"/>
          <w:iCs w:val="1"/>
          <w:color w:val="auto"/>
        </w:rPr>
        <w:t xml:space="preserve">“Interim Capital Transactions” </w:t>
      </w:r>
      <w:r>
        <w:rPr>
          <w:rFonts w:ascii="Arial" w:cs="Arial" w:eastAsia="Arial" w:hAnsi="Arial"/>
          <w:sz w:val="16"/>
          <w:szCs w:val="16"/>
          <w:color w:val="auto"/>
        </w:rPr>
        <w:t>means the following transactions if they occur prior to the Liquidation Date: (a) borrowings, refinancings or</w:t>
      </w:r>
      <w:r>
        <w:rPr>
          <w:rFonts w:ascii="Arial" w:cs="Arial" w:eastAsia="Arial" w:hAnsi="Arial"/>
          <w:sz w:val="16"/>
          <w:szCs w:val="16"/>
          <w:i w:val="1"/>
          <w:iCs w:val="1"/>
          <w:color w:val="auto"/>
        </w:rPr>
        <w:t xml:space="preserve"> </w:t>
      </w:r>
      <w:r>
        <w:rPr>
          <w:rFonts w:ascii="Arial" w:cs="Arial" w:eastAsia="Arial" w:hAnsi="Arial"/>
          <w:sz w:val="16"/>
          <w:szCs w:val="16"/>
          <w:color w:val="auto"/>
        </w:rPr>
        <w:t>refundings of indebtedness and sales of debt securities (other than Working Capital Borrowings and other than for items purchased on open account in the</w:t>
      </w:r>
    </w:p>
    <w:p>
      <w:pPr>
        <w:sectPr>
          <w:pgSz w:w="11900" w:h="16908" w:orient="portrait"/>
          <w:cols w:equalWidth="0" w:num="1">
            <w:col w:w="11400"/>
          </w:cols>
          <w:pgMar w:left="240" w:top="341"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ordinary course of business) by any Group Member; (b) sales of equity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interests by any Group Member (other than the Common Units sold to the Underwriters pursuant to the exercise of their Over-Allotment Option); and</w:t>
      </w:r>
    </w:p>
    <w:p>
      <w:pPr>
        <w:spacing w:after="0" w:line="35" w:lineRule="exact"/>
        <w:rPr>
          <w:sz w:val="20"/>
          <w:szCs w:val="20"/>
          <w:color w:val="auto"/>
        </w:rPr>
      </w:pPr>
    </w:p>
    <w:p>
      <w:pPr>
        <w:ind w:right="300" w:firstLine="8"/>
        <w:spacing w:after="0" w:line="323"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pacing w:after="0" w:line="13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“Junior Interests” </w:t>
      </w:r>
      <w:r>
        <w:rPr>
          <w:rFonts w:ascii="Arial" w:cs="Arial" w:eastAsia="Arial" w:hAnsi="Arial"/>
          <w:sz w:val="18"/>
          <w:szCs w:val="18"/>
          <w:color w:val="auto"/>
        </w:rPr>
        <w:t>means any class or series of Partnership Securities that, with respect to distributions on such Partnership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upon liquidation of the Partnership, ranks junior to the Preferred Units, including but not limited to Common Units, but excluding any Preferred Parity Securities and Preferred Senior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Determination Date</w:t>
      </w:r>
      <w:r>
        <w:rPr>
          <w:rFonts w:ascii="Arial" w:cs="Arial" w:eastAsia="Arial" w:hAnsi="Arial"/>
          <w:sz w:val="18"/>
          <w:szCs w:val="18"/>
          <w:color w:val="auto"/>
        </w:rPr>
        <w:t>” means the second London Business Day immediately preceding the first day of each relevant Quarter.</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“Limited Partner” </w:t>
      </w:r>
      <w:r>
        <w:rPr>
          <w:rFonts w:ascii="Arial" w:cs="Arial" w:eastAsia="Arial" w:hAnsi="Arial"/>
          <w:sz w:val="16"/>
          <w:szCs w:val="16"/>
          <w:color w:val="auto"/>
        </w:rPr>
        <w:t>means, unless the context otherwise requires, (a) the Organizational Limited Partner prior to its withdrawal from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“Limited Partner Interest” </w:t>
      </w:r>
      <w:r>
        <w:rPr>
          <w:rFonts w:ascii="Arial" w:cs="Arial" w:eastAsia="Arial" w:hAnsi="Arial"/>
          <w:sz w:val="18"/>
          <w:szCs w:val="18"/>
          <w:color w:val="auto"/>
        </w:rPr>
        <w:t>means the ownership interest of a Limited Partner or Assignee in the Partnership, which may be evidenced by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Series A Preferred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“Liquidation Date” </w:t>
      </w:r>
      <w:r>
        <w:rPr>
          <w:rFonts w:ascii="Arial" w:cs="Arial" w:eastAsia="Arial" w:hAnsi="Arial"/>
          <w:sz w:val="18"/>
          <w:szCs w:val="18"/>
          <w:color w:val="auto"/>
        </w:rPr>
        <w:t>means (a) in the case of an event giving rise to the dissolution of the Partnership of the type described in clauses (a) and (b)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“Liquidator” </w:t>
      </w:r>
      <w:r>
        <w:rPr>
          <w:rFonts w:ascii="Arial" w:cs="Arial" w:eastAsia="Arial" w:hAnsi="Arial"/>
          <w:sz w:val="18"/>
          <w:szCs w:val="18"/>
          <w:color w:val="auto"/>
        </w:rPr>
        <w:t>means one or more Persons selected by the General Partner to perform the functions described in Section 12.3 as liquidating trustee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within the meaning of the Delaware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“National Securities Exchange” </w:t>
      </w:r>
      <w:r>
        <w:rPr>
          <w:rFonts w:ascii="Arial" w:cs="Arial" w:eastAsia="Arial" w:hAnsi="Arial"/>
          <w:sz w:val="17"/>
          <w:szCs w:val="17"/>
          <w:color w:val="auto"/>
        </w:rPr>
        <w:t>means an exchange registered with the Commission under Section 6(a) of the Securities Exchange Act.</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“Net Agreed Value” </w:t>
      </w:r>
      <w:r>
        <w:rPr>
          <w:rFonts w:ascii="Arial" w:cs="Arial" w:eastAsia="Arial" w:hAnsi="Arial"/>
          <w:sz w:val="18"/>
          <w:szCs w:val="18"/>
          <w:color w:val="auto"/>
        </w:rPr>
        <w:t>means, (a) in the case of any Contributed Property, the Agreed Value of such property reduced by any liabilities either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upon such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means, for any taxable year, the excess, if any, of the Partnership’s items of income and gain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loss and deduction for such taxable year. The items included in the calculation of Net Income shall be determined in accordance with Section 5.5(b) and shall not include any items specially allocated under Section 6.1(d).</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means, for any taxable year, the excess, if any, of the Partnership’s items of loss and deduction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income and gain for such taxable year. The items included in the calculation of Net Loss shall be determined in accordance with Section 5.5(b) and shall not include any items specially allocated under Section 6.1(d).</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“Non-citizen Assignee” </w:t>
      </w:r>
      <w:r>
        <w:rPr>
          <w:rFonts w:ascii="Arial" w:cs="Arial" w:eastAsia="Arial" w:hAnsi="Arial"/>
          <w:sz w:val="18"/>
          <w:szCs w:val="18"/>
          <w:color w:val="auto"/>
        </w:rPr>
        <w:t>means a Person whom the General Partner has determined in its discretion does not constitute an Eligible Citizen and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whose Partnership Interest the General Partner has become the Substituted Limited Partner, pursuant to Section 4.9.</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i w:val="1"/>
          <w:iCs w:val="1"/>
          <w:color w:val="auto"/>
        </w:rPr>
        <w:t xml:space="preserve">“Nonrecourse Built-in Gain” </w:t>
      </w:r>
      <w:r>
        <w:rPr>
          <w:rFonts w:ascii="Arial" w:cs="Arial" w:eastAsia="Arial" w:hAnsi="Arial"/>
          <w:sz w:val="16"/>
          <w:szCs w:val="16"/>
          <w:color w:val="auto"/>
        </w:rPr>
        <w:t>means with respect to any Contributed Properties or Adjusted Properties that are subject to a mortgage or pledge</w:t>
      </w:r>
      <w:r>
        <w:rPr>
          <w:rFonts w:ascii="Arial" w:cs="Arial" w:eastAsia="Arial" w:hAnsi="Arial"/>
          <w:sz w:val="16"/>
          <w:szCs w:val="16"/>
          <w:i w:val="1"/>
          <w:iCs w:val="1"/>
          <w:color w:val="auto"/>
        </w:rPr>
        <w:t xml:space="preserve"> </w:t>
      </w:r>
      <w:r>
        <w:rPr>
          <w:rFonts w:ascii="Arial" w:cs="Arial" w:eastAsia="Arial" w:hAnsi="Arial"/>
          <w:sz w:val="16"/>
          <w:szCs w:val="16"/>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“Nonrecourse Deductions” </w:t>
      </w:r>
      <w:r>
        <w:rPr>
          <w:rFonts w:ascii="Arial" w:cs="Arial" w:eastAsia="Arial" w:hAnsi="Arial"/>
          <w:sz w:val="18"/>
          <w:szCs w:val="18"/>
          <w:color w:val="auto"/>
        </w:rPr>
        <w:t>means any and all items of loss, deduction or expenditures (described in Section 705(a)(2)(B) of the Code)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principles of Treasury Regulation Section 1.704-2(b), are attributable to a Nonrecourse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“Nonrecourse Liability” </w:t>
      </w:r>
      <w:r>
        <w:rPr>
          <w:rFonts w:ascii="Arial" w:cs="Arial" w:eastAsia="Arial" w:hAnsi="Arial"/>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“Notice of Election to Purchase” </w:t>
      </w:r>
      <w:r>
        <w:rPr>
          <w:rFonts w:ascii="Arial" w:cs="Arial" w:eastAsia="Arial" w:hAnsi="Arial"/>
          <w:sz w:val="18"/>
          <w:szCs w:val="18"/>
          <w:color w:val="auto"/>
        </w:rPr>
        <w:t>has the meaning assigned to such term in Section 15.1(b).</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means that certain Omnibus Agreement, dated as of November 15, 2016, among the Partnership, the General Partner, Plains</w:t>
      </w:r>
      <w:r>
        <w:rPr>
          <w:rFonts w:ascii="Arial" w:cs="Arial" w:eastAsia="Arial" w:hAnsi="Arial"/>
          <w:sz w:val="18"/>
          <w:szCs w:val="18"/>
          <w:i w:val="1"/>
          <w:iCs w:val="1"/>
          <w:color w:val="auto"/>
        </w:rPr>
        <w:t xml:space="preserve"> </w:t>
      </w:r>
      <w:r>
        <w:rPr>
          <w:rFonts w:ascii="Arial" w:cs="Arial" w:eastAsia="Arial" w:hAnsi="Arial"/>
          <w:sz w:val="18"/>
          <w:szCs w:val="18"/>
          <w:color w:val="auto"/>
        </w:rPr>
        <w:t>AAP, Plains All American GP LLC, PAGP and PAGP GP.</w:t>
      </w:r>
    </w:p>
    <w:p>
      <w:pPr>
        <w:sectPr>
          <w:pgSz w:w="11900" w:h="16838" w:orient="portrait"/>
          <w:cols w:equalWidth="0" w:num="1">
            <w:col w:w="11380"/>
          </w:cols>
          <w:pgMar w:left="240" w:top="125" w:right="279" w:bottom="0" w:gutter="0" w:footer="0" w:header="0"/>
        </w:sectPr>
      </w:pPr>
    </w:p>
    <w:bookmarkStart w:id="10" w:name="page11"/>
    <w:bookmarkEnd w:id="10"/>
    <w:p>
      <w:pPr>
        <w:spacing w:after="0" w:line="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“Operating Expenditures” </w:t>
      </w:r>
      <w:r>
        <w:rPr>
          <w:rFonts w:ascii="Arial" w:cs="Arial" w:eastAsia="Arial" w:hAnsi="Arial"/>
          <w:sz w:val="18"/>
          <w:szCs w:val="18"/>
          <w:color w:val="auto"/>
        </w:rPr>
        <w:t>means all Partnership Group expenditures, including, but not limited to, taxes, reimbursements of the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debt service payments, and capital expenditures, subject to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Payments (including prepayments) of principal of and premium on indebtedness shall not be an Operating Expenditure if the payment is</w:t>
      </w:r>
    </w:p>
    <w:p>
      <w:pPr>
        <w:spacing w:after="0" w:line="46" w:lineRule="exact"/>
        <w:rPr>
          <w:rFonts w:ascii="Arial" w:cs="Arial" w:eastAsia="Arial" w:hAnsi="Arial"/>
          <w:sz w:val="16"/>
          <w:szCs w:val="16"/>
          <w:color w:val="auto"/>
        </w:rPr>
      </w:pPr>
    </w:p>
    <w:p>
      <w:pPr>
        <w:jc w:val="both"/>
        <w:ind w:right="340" w:firstLine="8"/>
        <w:spacing w:after="0" w:line="273"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76" w:lineRule="exact"/>
        <w:rPr>
          <w:rFonts w:ascii="Arial" w:cs="Arial" w:eastAsia="Arial" w:hAnsi="Arial"/>
          <w:sz w:val="17"/>
          <w:szCs w:val="17"/>
          <w:color w:val="auto"/>
        </w:rPr>
      </w:pPr>
    </w:p>
    <w:p>
      <w:pPr>
        <w:ind w:right="100" w:firstLine="656"/>
        <w:spacing w:after="0" w:line="312" w:lineRule="auto"/>
        <w:tabs>
          <w:tab w:leader="none" w:pos="1304"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“Operating General Partner” </w:t>
      </w:r>
      <w:r>
        <w:rPr>
          <w:rFonts w:ascii="Arial" w:cs="Arial" w:eastAsia="Arial" w:hAnsi="Arial"/>
          <w:sz w:val="18"/>
          <w:szCs w:val="18"/>
          <w:color w:val="auto"/>
        </w:rPr>
        <w:t>means Plains Marketing GP Inc., a Texas corporation and wholly owned subsidiary of the Partnership,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 as the general partner of the Operating Partnerships.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“Operating Partnerships” </w:t>
      </w:r>
      <w:r>
        <w:rPr>
          <w:rFonts w:ascii="Arial" w:cs="Arial" w:eastAsia="Arial" w:hAnsi="Arial"/>
          <w:sz w:val="18"/>
          <w:szCs w:val="18"/>
          <w:color w:val="auto"/>
        </w:rPr>
        <w:t>means Plains Marketing, L.P., a Texas limited partnership, Plains Pipeline, L.P., a Texas limited partnership,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“Operating Partnership Agreements” </w:t>
      </w:r>
      <w:r>
        <w:rPr>
          <w:rFonts w:ascii="Arial" w:cs="Arial" w:eastAsia="Arial" w:hAnsi="Arial"/>
          <w:sz w:val="18"/>
          <w:szCs w:val="18"/>
          <w:color w:val="auto"/>
        </w:rPr>
        <w:t>means the agreements of limited partnership of any Operating Partnerships that are limited partnerships,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“Operating Surplus” </w:t>
      </w:r>
      <w:r>
        <w:rPr>
          <w:rFonts w:ascii="Arial" w:cs="Arial" w:eastAsia="Arial" w:hAnsi="Arial"/>
          <w:sz w:val="18"/>
          <w:szCs w:val="18"/>
          <w:color w:val="auto"/>
        </w:rPr>
        <w:t>means, with respect to any period ending prior to the Liquidation Date, on a cumulative basis and without duplication,</w:t>
      </w:r>
    </w:p>
    <w:p>
      <w:pPr>
        <w:spacing w:after="0" w:line="225" w:lineRule="exact"/>
        <w:rPr>
          <w:sz w:val="20"/>
          <w:szCs w:val="20"/>
          <w:color w:val="auto"/>
        </w:rPr>
      </w:pPr>
    </w:p>
    <w:p>
      <w:pPr>
        <w:ind w:right="140" w:firstLine="656"/>
        <w:spacing w:after="0" w:line="279" w:lineRule="auto"/>
        <w:tabs>
          <w:tab w:leader="none" w:pos="129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and (iii) all cash receipts of the Partnership Group after the end of such period but on or before the date of determination of Operating Surplus with respect to such period resulting from Working Capital Borrowings, less</w:t>
      </w:r>
    </w:p>
    <w:p>
      <w:pPr>
        <w:spacing w:after="0" w:line="171" w:lineRule="exact"/>
        <w:rPr>
          <w:rFonts w:ascii="Arial" w:cs="Arial" w:eastAsia="Arial" w:hAnsi="Arial"/>
          <w:sz w:val="17"/>
          <w:szCs w:val="17"/>
          <w:color w:val="auto"/>
        </w:rPr>
      </w:pPr>
    </w:p>
    <w:p>
      <w:pPr>
        <w:jc w:val="both"/>
        <w:ind w:right="12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“Operating Surplus”</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 written opinion of counsel (who may be regular counsel to the Partnership or the General Partner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acceptable to the General Partner in its reasonable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“Organizational Limited Partner” </w:t>
      </w:r>
      <w:r>
        <w:rPr>
          <w:rFonts w:ascii="Arial" w:cs="Arial" w:eastAsia="Arial" w:hAnsi="Arial"/>
          <w:sz w:val="18"/>
          <w:szCs w:val="18"/>
          <w:color w:val="auto"/>
        </w:rPr>
        <w:t>means Michael R. Patterson in his capacity as the organizational limited partner of the Partnership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“Outstanding” </w:t>
      </w:r>
      <w:r>
        <w:rPr>
          <w:rFonts w:ascii="Arial" w:cs="Arial" w:eastAsia="Arial" w:hAnsi="Arial"/>
          <w:sz w:val="16"/>
          <w:szCs w:val="16"/>
          <w:color w:val="auto"/>
        </w:rPr>
        <w:t>means, with respect to Partnership Securities, all Partnership Securities that are issued by the Partnership and reflected as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the Partnership’s books and records as of the date of determination; provided, however, that if at any time any Person or Group (other than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 or its Affiliates) beneficially owns 20% or more of any Outstanding Partnership Securities of any class then Outstanding, all Partnership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by such Person or Group shall not be voted on any matter and shall not be considered to be Outstanding when sending notices of a meeting of Limited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to vote on any matter (unless otherwise required by law), calculating required votes, determining the presence of a quorum or for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purposes under this Agreement, except that Common Units so owned shall be considered to be Outstanding for purposes of Section 5.14(b)(iv)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11.1(b)(iv) (such Common Units shall not, however, be treated as a separate class of Partnership Securities for purposes of this Agreement);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further, that the foregoing limitation shall not apply to (i) any Person or Group who acquired 20% or more of any Outstanding Partnership Securities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then Outstanding directly from the General Partner or its Affiliates; (ii) any Person or Group who acquired 20% or more of any Outstanding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any class then Outstanding directly or indirectly from a Person or Group described in clause (i) provided that the General Partner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notified such Person or Group in writing that such limitation shall not apply; (iii) the initial Series A Purchasers (but not their permitted assigns)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their ownership (beneficially or of record) of the Series A Preferred Units, Series A PIK Preferred Units or Series A Conversion Units; (iv) any Series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Unitholder in connection with any vote, consent or approval of the Series A Unitholders as a separate class or (v) any Series B Preferred Unitholder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vote, consent or approval of the Series B Preferred Unitholders pursuant to Section 5.15(c)(ii); and provided, further, that if any time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or Group (other than the General Partner or its Affiliates) beneficially owns 20% or more of the Outstanding Partnership Interests of any class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all of the Partnership Interests owned by such Person or Group shall be deemed Outstanding solely for purposes of nominating persons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election as PAGP Eligible Directors in accordance with Section 13.13, and the Partnership Interests held by such Person or Group constituting a number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 of the PAGP Outstanding Shares, taken together as a single class, shall be considered Outstanding with respect to voting on the election of persons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serve as PAGP Eligible Directors in accordance with Section 13.4(c) and be considered to be Outstanding when sending notices of a meeting of</w:t>
      </w:r>
    </w:p>
    <w:p>
      <w:pPr>
        <w:sectPr>
          <w:pgSz w:w="11900" w:h="16877" w:orient="portrait"/>
          <w:cols w:equalWidth="0" w:num="1">
            <w:col w:w="11420"/>
          </w:cols>
          <w:pgMar w:left="240" w:top="125" w:right="239" w:bottom="0" w:gutter="0" w:footer="0" w:header="0"/>
        </w:sectPr>
      </w:pPr>
    </w:p>
    <w:bookmarkStart w:id="11" w:name="page12"/>
    <w:bookmarkEnd w:id="11"/>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“Over-Allotment Option” </w:t>
      </w:r>
      <w:r>
        <w:rPr>
          <w:rFonts w:ascii="Arial" w:cs="Arial" w:eastAsia="Arial" w:hAnsi="Arial"/>
          <w:sz w:val="16"/>
          <w:szCs w:val="16"/>
          <w:color w:val="auto"/>
        </w:rPr>
        <w:t>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means Plains GP Holdings, L.P., a Delaware limited partnership,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means PAA GP Holdings LLC, a Delaware limited liability company, and any successor thereto.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C Shares</w:t>
      </w:r>
      <w:r>
        <w:rPr>
          <w:rFonts w:ascii="Arial" w:cs="Arial" w:eastAsia="Arial" w:hAnsi="Arial"/>
          <w:sz w:val="18"/>
          <w:szCs w:val="18"/>
          <w:color w:val="auto"/>
        </w:rPr>
        <w:t>” means Class C shares representing limited partner interests in PAGP, or any interest of PAGP into which or for which such Class C shares may be reclassified, converted, changed or exchanged.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Eligible Directors</w:t>
      </w:r>
      <w:r>
        <w:rPr>
          <w:rFonts w:ascii="Arial" w:cs="Arial" w:eastAsia="Arial" w:hAnsi="Arial"/>
          <w:sz w:val="18"/>
          <w:szCs w:val="18"/>
          <w:color w:val="auto"/>
        </w:rPr>
        <w:t>” has the meaning assigned to the term “Eligible Directors” in the PAGP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 LLC Agreement</w:t>
      </w:r>
      <w:r>
        <w:rPr>
          <w:rFonts w:ascii="Arial" w:cs="Arial" w:eastAsia="Arial" w:hAnsi="Arial"/>
          <w:sz w:val="18"/>
          <w:szCs w:val="18"/>
          <w:color w:val="auto"/>
        </w:rPr>
        <w:t>” means the limited liability company agreement of PAGP GP,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LP Agreement</w:t>
      </w:r>
      <w:r>
        <w:rPr>
          <w:rFonts w:ascii="Arial" w:cs="Arial" w:eastAsia="Arial" w:hAnsi="Arial"/>
          <w:sz w:val="18"/>
          <w:szCs w:val="18"/>
          <w:color w:val="auto"/>
        </w:rPr>
        <w:t>” means the agreement of limited partnership of PAGP, as it may be amended from time to time.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Outstanding Shares</w:t>
      </w:r>
      <w:r>
        <w:rPr>
          <w:rFonts w:ascii="Arial" w:cs="Arial" w:eastAsia="Arial" w:hAnsi="Arial"/>
          <w:sz w:val="18"/>
          <w:szCs w:val="18"/>
          <w:color w:val="auto"/>
        </w:rPr>
        <w:t>” means the number of outstanding Class A Shares, Class B Shares and Class C Shares, each as defined in the PAGP LP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“Parity Units” </w:t>
      </w:r>
      <w:r>
        <w:rPr>
          <w:rFonts w:ascii="Arial" w:cs="Arial" w:eastAsia="Arial" w:hAnsi="Arial"/>
          <w:sz w:val="16"/>
          <w:szCs w:val="16"/>
          <w:color w:val="auto"/>
        </w:rPr>
        <w:t>means Common Units and all other Units having rights to distributions or in liquidation ranking on a parity with the Common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w:t>
      </w:r>
      <w:r>
        <w:rPr>
          <w:rFonts w:ascii="Arial" w:cs="Arial" w:eastAsia="Arial" w:hAnsi="Arial"/>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Minimum Gain” </w:t>
      </w:r>
      <w:r>
        <w:rPr>
          <w:rFonts w:ascii="Arial" w:cs="Arial" w:eastAsia="Arial" w:hAnsi="Arial"/>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“Partner Nonrecourse Deductions” </w:t>
      </w:r>
      <w:r>
        <w:rPr>
          <w:rFonts w:ascii="Arial" w:cs="Arial" w:eastAsia="Arial" w:hAnsi="Arial"/>
          <w:sz w:val="18"/>
          <w:szCs w:val="18"/>
          <w:color w:val="auto"/>
        </w:rPr>
        <w:t>means any and all items of loss, deduction or expenditure (including, without limitation, any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705(a)(2)(B) of the Code) that, in accordance with the principles of Treasury Regulation Section 1.704-2(i), are attributable to a Partner Nonrecourse Debt.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“Partners” </w:t>
      </w:r>
      <w:r>
        <w:rPr>
          <w:rFonts w:ascii="Arial" w:cs="Arial" w:eastAsia="Arial" w:hAnsi="Arial"/>
          <w:sz w:val="18"/>
          <w:szCs w:val="18"/>
          <w:color w:val="auto"/>
        </w:rPr>
        <w:t>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“Partnership” </w:t>
      </w:r>
      <w:r>
        <w:rPr>
          <w:rFonts w:ascii="Arial" w:cs="Arial" w:eastAsia="Arial" w:hAnsi="Arial"/>
          <w:sz w:val="18"/>
          <w:szCs w:val="18"/>
          <w:color w:val="auto"/>
        </w:rPr>
        <w:t>means Plains All American Pipeline, L.P., a Delaware limited partnership, and any successors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“Partnership Group” </w:t>
      </w:r>
      <w:r>
        <w:rPr>
          <w:rFonts w:ascii="Arial" w:cs="Arial" w:eastAsia="Arial" w:hAnsi="Arial"/>
          <w:sz w:val="18"/>
          <w:szCs w:val="18"/>
          <w:color w:val="auto"/>
        </w:rPr>
        <w:t>means the Partnership, the Operating Partnerships and any Subsidiary of any such entity, including the Operating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treated as a single consolidated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Interest” </w:t>
      </w:r>
      <w:r>
        <w:rPr>
          <w:rFonts w:ascii="Arial" w:cs="Arial" w:eastAsia="Arial" w:hAnsi="Arial"/>
          <w:sz w:val="17"/>
          <w:szCs w:val="17"/>
          <w:color w:val="auto"/>
        </w:rPr>
        <w:t>means an interest in the Partnership, which shall include the General Partner Interest and Limited Partner Interests.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Minimum Gain” </w:t>
      </w:r>
      <w:r>
        <w:rPr>
          <w:rFonts w:ascii="Arial" w:cs="Arial" w:eastAsia="Arial" w:hAnsi="Arial"/>
          <w:sz w:val="17"/>
          <w:szCs w:val="17"/>
          <w:color w:val="auto"/>
        </w:rPr>
        <w:t>means that amount determined in accordance with the principles of Treasury Regulation Section 1.704-2(d).</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Restructuring Event</w:t>
      </w:r>
      <w:r>
        <w:rPr>
          <w:rFonts w:ascii="Arial" w:cs="Arial" w:eastAsia="Arial" w:hAnsi="Arial"/>
          <w:sz w:val="18"/>
          <w:szCs w:val="18"/>
          <w:color w:val="auto"/>
        </w:rPr>
        <w:t>” means any restructuring, simplification or similar transaction or series of transactions that modifies, eliminates or otherwise restructures the General Partner Interest, the Incentive Distribution Rights (as defined in the Fifth A&amp;R LP Agreement) or the equity interests of the General Partner or its Affiliates, provided that the principal parties thereto are the Partnership, the Existing Owners, the Series A Purchasers and/or their respective Affiliates.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“Partnership Security” </w:t>
      </w:r>
      <w:r>
        <w:rPr>
          <w:rFonts w:ascii="Arial" w:cs="Arial" w:eastAsia="Arial" w:hAnsi="Arial"/>
          <w:sz w:val="18"/>
          <w:szCs w:val="18"/>
          <w:color w:val="auto"/>
        </w:rPr>
        <w:t>means any class or series of equity interest in the Partnership (but excluding any options, rights, warrants and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relating to an equity interest in the Partnership), including without limitation, Common Units and Series A Preferred Units.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“Per Unit Capital Amount</w:t>
      </w:r>
      <w:r>
        <w:rPr>
          <w:rFonts w:ascii="Arial" w:cs="Arial" w:eastAsia="Arial" w:hAnsi="Arial"/>
          <w:sz w:val="18"/>
          <w:szCs w:val="18"/>
          <w:color w:val="auto"/>
        </w:rPr>
        <w:t>” means, as of any date of determination, the Capital Account, stated on a per Unit basis, underlying any Unit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an AAP Common Unit.</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“Percentage Interest” </w:t>
      </w:r>
      <w:r>
        <w:rPr>
          <w:rFonts w:ascii="Arial" w:cs="Arial" w:eastAsia="Arial" w:hAnsi="Arial"/>
          <w:sz w:val="17"/>
          <w:szCs w:val="17"/>
          <w:color w:val="auto"/>
        </w:rPr>
        <w:t>means as of any date of determination (a) as to any Unitholder (other than in respect of Series A Preferred Units or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or Assignee, with respect to its Units (other than in respect of Series A Preferred Units or Series B Preferred Units), the product obtained by multiplying (i) 100% less the percentage applicable to paragraph (b) by (ii) the quotient obtained by dividing (A) the number of Units held by such Unitholder (other than in respect of Series A Preferred Units or Series B Preferred Units) or Assignee by (B) the total number of all Outstanding Units (other than in respect of Series A Preferred Units or Series B Preferred Units) and (b) as to the holders of additional Partnership Securities issued by the Partnership in accordance with Section 5.6, the percentage established as a part of such issuance. The Percentage Interest with respect to a Series A Preferred Unit, a Series B Preferred Unit or the General Partner Interest shall at all times be zero.</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or a corporation, limited liability company, partnership, joint venture, trust, unincorporated organization,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“Plains All American GP LLC” </w:t>
      </w:r>
      <w:r>
        <w:rPr>
          <w:rFonts w:ascii="Arial" w:cs="Arial" w:eastAsia="Arial" w:hAnsi="Arial"/>
          <w:sz w:val="18"/>
          <w:szCs w:val="18"/>
          <w:color w:val="auto"/>
        </w:rPr>
        <w:t>means Plains All American GP LLC, a Delaware limited liability company.</w:t>
      </w:r>
    </w:p>
    <w:p>
      <w:pPr>
        <w:sectPr>
          <w:pgSz w:w="11900" w:h="16874" w:orient="portrait"/>
          <w:cols w:equalWidth="0" w:num="1">
            <w:col w:w="11420"/>
          </w:cols>
          <w:pgMar w:left="240" w:top="341" w:right="239" w:bottom="0" w:gutter="0" w:footer="0" w:header="0"/>
        </w:sectPr>
      </w:pPr>
    </w:p>
    <w:bookmarkStart w:id="12" w:name="page13"/>
    <w:bookmarkEnd w:id="12"/>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i w:val="1"/>
          <w:iCs w:val="1"/>
          <w:color w:val="auto"/>
        </w:rPr>
        <w:t xml:space="preserve">“Preference Excess” </w:t>
      </w:r>
      <w:r>
        <w:rPr>
          <w:rFonts w:ascii="Arial" w:cs="Arial" w:eastAsia="Arial" w:hAnsi="Arial"/>
          <w:sz w:val="18"/>
          <w:szCs w:val="18"/>
          <w:color w:val="auto"/>
        </w:rPr>
        <w:t>means, with respect to any holder of Preferred Units, the amount by which the holder’s Capital Account would need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in order for its Relative Preference Percentage to equal the Relative Preference Percentage of the Preferred Unitholder with the lowest Relative Preference Percentage.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Parity Securities</w:t>
      </w:r>
      <w:r>
        <w:rPr>
          <w:rFonts w:ascii="Arial" w:cs="Arial" w:eastAsia="Arial" w:hAnsi="Arial"/>
          <w:sz w:val="18"/>
          <w:szCs w:val="18"/>
          <w:color w:val="auto"/>
        </w:rPr>
        <w:t>” means any class or series of Partnership Securities that, with respect to distributions on such Partnership Securities and distributions upon liquidation of the Partnership, ranks pari passu to the Preferred Units.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Senior Securities</w:t>
      </w:r>
      <w:r>
        <w:rPr>
          <w:rFonts w:ascii="Arial" w:cs="Arial" w:eastAsia="Arial" w:hAnsi="Arial"/>
          <w:sz w:val="18"/>
          <w:szCs w:val="18"/>
          <w:color w:val="auto"/>
        </w:rPr>
        <w:t>” means any class or series of Partnership Securities that, with respect to distributions on such Partnership Securities and distributions upon liquidation of the Partnership, ranks senior to the Preferred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Units</w:t>
      </w:r>
      <w:r>
        <w:rPr>
          <w:rFonts w:ascii="Arial" w:cs="Arial" w:eastAsia="Arial" w:hAnsi="Arial"/>
          <w:sz w:val="18"/>
          <w:szCs w:val="18"/>
          <w:color w:val="auto"/>
        </w:rPr>
        <w:t>” means the Series A Preferred Units and Series B Preferred Units, collectively.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means (a) when modifying Units or any class thereof, apportioned equally among all designated Units in accordance with their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Interests, (b) when modifying Partners and Assignees, apportioned among all Partners and Assignees in accordance with their relative Percentage Interests, (c) when modifying Series A Preferred Unitholders, apportioned equally among all Series A Preferred Unitholders in accordance with the relative number or percentage of Series A Preferred Units held by each such Series A Preferred Unitholder and (d) when modifying Series B Preferred Unitholders, apportioned equally among all Series B Preferred Unitholders in accordance with the relative number or percentage of Series B Preferred Units held by each such Series B Preferred Unitholder.</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date determined by the General Partner as the date for purchase of all Outstanding Units of a certain class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Units owned by the General Partner and its Affiliates) pursuant to Article XV.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“Quarter” </w:t>
      </w:r>
      <w:r>
        <w:rPr>
          <w:rFonts w:ascii="Arial" w:cs="Arial" w:eastAsia="Arial" w:hAnsi="Arial"/>
          <w:sz w:val="18"/>
          <w:szCs w:val="18"/>
          <w:color w:val="auto"/>
        </w:rPr>
        <w:t>means, unless the context requires otherwise, a fiscal quarter of the Partnership.</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any nationally recognized statistical rating organization (within the meaning of Section 3(a)(62) of the Exchange Act) that publishes a rating for the Partnership.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 xml:space="preserve">“Recapture Income” </w:t>
      </w:r>
      <w:r>
        <w:rPr>
          <w:rFonts w:ascii="Arial" w:cs="Arial" w:eastAsia="Arial" w:hAnsi="Arial"/>
          <w:sz w:val="18"/>
          <w:szCs w:val="18"/>
          <w:color w:val="auto"/>
        </w:rPr>
        <w:t>means any gain recognized by the Partnership (computed without regard to any adjustment required by Section 734 or</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means the date established by the General Partner for determining (a) the identity of the Record Holders entitled to notice of, or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“Record Holder” </w:t>
      </w:r>
      <w:r>
        <w:rPr>
          <w:rFonts w:ascii="Arial" w:cs="Arial" w:eastAsia="Arial" w:hAnsi="Arial"/>
          <w:sz w:val="17"/>
          <w:szCs w:val="17"/>
          <w:color w:val="auto"/>
        </w:rPr>
        <w:t>means the Person in whose name a Common Unit is registered on the books of the Transfer Agent as of the opening of business on</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“Redeemable Interests” </w:t>
      </w:r>
      <w:r>
        <w:rPr>
          <w:rFonts w:ascii="Arial" w:cs="Arial" w:eastAsia="Arial" w:hAnsi="Arial"/>
          <w:sz w:val="18"/>
          <w:szCs w:val="18"/>
          <w:color w:val="auto"/>
        </w:rPr>
        <w:t>means any Partnership Interests for which a redemption notice has been given, and has not been withdrawn,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4.10.</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means the Registration Statement on Form S-1 (Registration No. 333-64107) as it has been amended or supplemented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filed by the Partnership with the Commission under the Securities Act to register the offering and sale of the Common Units in the Initial Offering.</w:t>
      </w:r>
    </w:p>
    <w:p>
      <w:pPr>
        <w:spacing w:after="0" w:line="181"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i w:val="1"/>
          <w:iCs w:val="1"/>
          <w:color w:val="auto"/>
        </w:rPr>
        <w:t xml:space="preserve">“Relative Preference Percentage” </w:t>
      </w:r>
      <w:r>
        <w:rPr>
          <w:rFonts w:ascii="Arial" w:cs="Arial" w:eastAsia="Arial" w:hAnsi="Arial"/>
          <w:sz w:val="18"/>
          <w:szCs w:val="18"/>
          <w:color w:val="auto"/>
        </w:rPr>
        <w:t>means, with respect to a Series A Preferred Unit or a Series B Preferred Unit, the quotient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then-current Per Unit Capital Amount of such unit divided by the Series A Liquidation Value or the Series B Liquidation Value, as applicable.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 Amount</w:t>
      </w:r>
      <w:r>
        <w:rPr>
          <w:rFonts w:ascii="Arial" w:cs="Arial" w:eastAsia="Arial" w:hAnsi="Arial"/>
          <w:sz w:val="18"/>
          <w:szCs w:val="18"/>
          <w:color w:val="auto"/>
        </w:rPr>
        <w:t>” shall have the meaning set forth in Section 5.15(c)(i)(F)(3).</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“Required Allocations” </w:t>
      </w:r>
      <w:r>
        <w:rPr>
          <w:rFonts w:ascii="Arial" w:cs="Arial" w:eastAsia="Arial" w:hAnsi="Arial"/>
          <w:sz w:val="18"/>
          <w:szCs w:val="18"/>
          <w:color w:val="auto"/>
        </w:rPr>
        <w:t>means any allocation of an item of income, gain, loss or deduction pursuant to Section 6.1(d)(i), 6.1(d)(ii), 6.1(d)(iv), 6.1(d)</w:t>
      </w:r>
      <w:r>
        <w:rPr>
          <w:rFonts w:ascii="Arial" w:cs="Arial" w:eastAsia="Arial" w:hAnsi="Arial"/>
          <w:sz w:val="18"/>
          <w:szCs w:val="18"/>
          <w:i w:val="1"/>
          <w:iCs w:val="1"/>
          <w:color w:val="auto"/>
        </w:rPr>
        <w:t xml:space="preserve"> </w:t>
      </w:r>
      <w:r>
        <w:rPr>
          <w:rFonts w:ascii="Arial" w:cs="Arial" w:eastAsia="Arial" w:hAnsi="Arial"/>
          <w:sz w:val="18"/>
          <w:szCs w:val="18"/>
          <w:color w:val="auto"/>
        </w:rPr>
        <w:t>(vii) or 6.1(d)(ix).</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“Residual Gain” </w:t>
      </w:r>
      <w:r>
        <w:rPr>
          <w:rFonts w:ascii="Arial" w:cs="Arial" w:eastAsia="Arial" w:hAnsi="Arial"/>
          <w:sz w:val="18"/>
          <w:szCs w:val="18"/>
          <w:color w:val="auto"/>
        </w:rPr>
        <w:t>or</w:t>
      </w:r>
      <w:r>
        <w:rPr>
          <w:rFonts w:ascii="Arial" w:cs="Arial" w:eastAsia="Arial" w:hAnsi="Arial"/>
          <w:sz w:val="18"/>
          <w:szCs w:val="18"/>
          <w:i w:val="1"/>
          <w:iCs w:val="1"/>
          <w:color w:val="auto"/>
        </w:rPr>
        <w:t xml:space="preserve"> “Residual Loss” </w:t>
      </w:r>
      <w:r>
        <w:rPr>
          <w:rFonts w:ascii="Arial" w:cs="Arial" w:eastAsia="Arial" w:hAnsi="Arial"/>
          <w:sz w:val="18"/>
          <w:szCs w:val="18"/>
          <w:color w:val="auto"/>
        </w:rPr>
        <w:t>means any item of gain or loss; as the case may be, of the Partnership recognized for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resulting from a sale, exchange or other disposition of a Contributed Property or Adjusted Property, to the extent such item of gain or loss is not allocated pursuant to Section 6.2(b)(i)(A) or 6.2(b)(ii)(A), respectively, to eliminate Book-Tax Disparities.</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the British Bankers’ Association for the purpose of displaying London interbank offered rates for U.S. dollar deposits).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Revaluation Event</w:t>
      </w:r>
      <w:r>
        <w:rPr>
          <w:rFonts w:ascii="Arial" w:cs="Arial" w:eastAsia="Arial" w:hAnsi="Arial"/>
          <w:sz w:val="17"/>
          <w:szCs w:val="17"/>
          <w:color w:val="auto"/>
        </w:rPr>
        <w:t>” means an event that results in adjustment of the Carrying Value of each Partnership property pursuant to Section 5.5(d).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“Securities Act” </w:t>
      </w:r>
      <w:r>
        <w:rPr>
          <w:rFonts w:ascii="Arial" w:cs="Arial" w:eastAsia="Arial" w:hAnsi="Arial"/>
          <w:sz w:val="17"/>
          <w:szCs w:val="17"/>
          <w:color w:val="auto"/>
        </w:rPr>
        <w:t>means the Securities Act of 1933, as amended, supplemented or restated from time to time and any successor to such statute.</w:t>
      </w:r>
    </w:p>
    <w:p>
      <w:pPr>
        <w:sectPr>
          <w:pgSz w:w="11900" w:h="16862" w:orient="portrait"/>
          <w:cols w:equalWidth="0" w:num="1">
            <w:col w:w="11400"/>
          </w:cols>
          <w:pgMar w:left="240" w:top="341" w:right="259" w:bottom="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i w:val="1"/>
          <w:iCs w:val="1"/>
          <w:color w:val="auto"/>
        </w:rPr>
        <w:t>“Series A Cash COC Conversion Premium</w:t>
      </w:r>
      <w:r>
        <w:rPr>
          <w:rFonts w:ascii="Arial" w:cs="Arial" w:eastAsia="Arial" w:hAnsi="Arial"/>
          <w:sz w:val="17"/>
          <w:szCs w:val="17"/>
          <w:color w:val="auto"/>
        </w:rPr>
        <w:t>” means (i) on or prior to the first anniversary of the Series A Issuance Date, 115%, (ii) after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Series A Issuance Date but on or prior to the second anniversary of the Series A Issuance Date, 110%, (iii) after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second anniversary of the Series A Issuance Date but on or prior to the third anniversary of the Series A Issuance Date, 105%, and (iv) thereafter, 101%.</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Cash COC Event</w:t>
      </w:r>
      <w:r>
        <w:rPr>
          <w:rFonts w:ascii="Arial" w:cs="Arial" w:eastAsia="Arial" w:hAnsi="Arial"/>
          <w:sz w:val="18"/>
          <w:szCs w:val="18"/>
          <w:color w:val="auto"/>
        </w:rPr>
        <w:t>” means a Series A Change of Control of the Partnership that involves a payment of consideration directly to the Common Unitholders, and more than 90% of such consideration is cash.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Change of Control</w:t>
      </w:r>
      <w:r>
        <w:rPr>
          <w:rFonts w:ascii="Arial" w:cs="Arial" w:eastAsia="Arial" w:hAnsi="Arial"/>
          <w:sz w:val="18"/>
          <w:szCs w:val="18"/>
          <w:color w:val="auto"/>
        </w:rPr>
        <w:t>” means:</w:t>
      </w:r>
    </w:p>
    <w:p>
      <w:pPr>
        <w:spacing w:after="0" w:line="225" w:lineRule="exact"/>
        <w:rPr>
          <w:sz w:val="20"/>
          <w:szCs w:val="20"/>
          <w:color w:val="auto"/>
        </w:rPr>
      </w:pPr>
    </w:p>
    <w:p>
      <w:pPr>
        <w:ind w:right="140" w:firstLine="656"/>
        <w:spacing w:after="0" w:line="264" w:lineRule="auto"/>
        <w:tabs>
          <w:tab w:leader="none" w:pos="1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81"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70" w:lineRule="exact"/>
        <w:rPr>
          <w:rFonts w:ascii="Arial" w:cs="Arial" w:eastAsia="Arial" w:hAnsi="Arial"/>
          <w:sz w:val="18"/>
          <w:szCs w:val="18"/>
          <w:color w:val="auto"/>
        </w:rPr>
      </w:pPr>
    </w:p>
    <w:p>
      <w:pPr>
        <w:ind w:right="40" w:firstLine="656"/>
        <w:spacing w:after="0" w:line="277" w:lineRule="auto"/>
        <w:tabs>
          <w:tab w:leader="none" w:pos="1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however, that for the sake of clarity, no Partnership Restructuring Event shall constitute a Series A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Date</w:t>
      </w:r>
      <w:r>
        <w:rPr>
          <w:rFonts w:ascii="Arial" w:cs="Arial" w:eastAsia="Arial" w:hAnsi="Arial"/>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Rate</w:t>
      </w:r>
      <w:r>
        <w:rPr>
          <w:rFonts w:ascii="Arial" w:cs="Arial" w:eastAsia="Arial" w:hAnsi="Arial"/>
          <w:sz w:val="18"/>
          <w:szCs w:val="18"/>
          <w:color w:val="auto"/>
        </w:rPr>
        <w:t>” means the number of Common Units issuable upon the conversion of each Series A Preferred Unit, which shall be 1.0 unless and until such rate is adjusted as set forth in Section 5.14(b)(vi)(E).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Unit</w:t>
      </w:r>
      <w:r>
        <w:rPr>
          <w:rFonts w:ascii="Arial" w:cs="Arial" w:eastAsia="Arial" w:hAnsi="Arial"/>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Converting Unitholder</w:t>
      </w:r>
      <w:r>
        <w:rPr>
          <w:rFonts w:ascii="Arial" w:cs="Arial" w:eastAsia="Arial" w:hAnsi="Arial"/>
          <w:sz w:val="18"/>
          <w:szCs w:val="18"/>
          <w:color w:val="auto"/>
        </w:rPr>
        <w:t>” means a Person entitled to receive Common Units upon conversion of any Series A Preferred Units.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Distribution Amount</w:t>
      </w:r>
      <w:r>
        <w:rPr>
          <w:rFonts w:ascii="Arial" w:cs="Arial" w:eastAsia="Arial" w:hAnsi="Arial"/>
          <w:sz w:val="18"/>
          <w:szCs w:val="18"/>
          <w:color w:val="auto"/>
        </w:rPr>
        <w:t>” means, subject to adjustment in accordance with Section 5.14(b)(ix), an amount per Quarter per Series A Preferred Unit equal to $0.525, which amount may be paid in additional Series A Preferred Units, cash or a combination thereof during the Initial Distribution Period as provided in Section 5.14(b)(1)(A).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Issuance Date</w:t>
      </w:r>
      <w:r>
        <w:rPr>
          <w:rFonts w:ascii="Arial" w:cs="Arial" w:eastAsia="Arial" w:hAnsi="Arial"/>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Issue Price</w:t>
      </w:r>
      <w:r>
        <w:rPr>
          <w:rFonts w:ascii="Arial" w:cs="Arial" w:eastAsia="Arial" w:hAnsi="Arial"/>
          <w:sz w:val="18"/>
          <w:szCs w:val="18"/>
          <w:color w:val="auto"/>
        </w:rPr>
        <w:t>” means $26.25 per Series A Preferred Unit.</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Liquidation Value</w:t>
      </w:r>
      <w:r>
        <w:rPr>
          <w:rFonts w:ascii="Arial" w:cs="Arial" w:eastAsia="Arial" w:hAnsi="Arial"/>
          <w:sz w:val="16"/>
          <w:szCs w:val="16"/>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 (iii) all accrued but unpaid distributions on such Series A Preferred Unit with respect to the Quarter in which the liquidation occurs.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Parity Equivalent Units</w:t>
      </w:r>
      <w:r>
        <w:rPr>
          <w:rFonts w:ascii="Arial" w:cs="Arial" w:eastAsia="Arial" w:hAnsi="Arial"/>
          <w:sz w:val="18"/>
          <w:szCs w:val="18"/>
          <w:color w:val="auto"/>
        </w:rPr>
        <w:t>” has the meaning assigned to such term in Section 5.14(b)(iv).</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Parity Securities</w:t>
      </w:r>
      <w:r>
        <w:rPr>
          <w:rFonts w:ascii="Arial" w:cs="Arial" w:eastAsia="Arial" w:hAnsi="Arial"/>
          <w:sz w:val="16"/>
          <w:szCs w:val="16"/>
          <w:color w:val="auto"/>
        </w:rPr>
        <w:t>” means any class or series of Partnership Interests that, with respect to distributions on such Partnership Interests or distributions upon liquidation of the Partnership, ranks pari passu with the Series A Preferred Units, including the Series B Preferred Units.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“Series A PIK Payment Date” </w:t>
      </w:r>
      <w:r>
        <w:rPr>
          <w:rFonts w:ascii="Arial" w:cs="Arial" w:eastAsia="Arial" w:hAnsi="Arial"/>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“Series A PIK Units” </w:t>
      </w:r>
      <w:r>
        <w:rPr>
          <w:rFonts w:ascii="Arial" w:cs="Arial" w:eastAsia="Arial" w:hAnsi="Arial"/>
          <w:sz w:val="16"/>
          <w:szCs w:val="16"/>
          <w:color w:val="auto"/>
        </w:rPr>
        <w:t>means any Series A Preferred Units issued pursuant to a Series A Quarterly Distribution in accordance with Section 5.14(b)(i)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Unitholder</w:t>
      </w:r>
      <w:r>
        <w:rPr>
          <w:rFonts w:ascii="Arial" w:cs="Arial" w:eastAsia="Arial" w:hAnsi="Arial"/>
          <w:sz w:val="18"/>
          <w:szCs w:val="18"/>
          <w:color w:val="auto"/>
        </w:rPr>
        <w:t>” means a Record Holder of Series A Preferred Units.</w:t>
      </w:r>
    </w:p>
    <w:p>
      <w:pPr>
        <w:sectPr>
          <w:pgSz w:w="11900" w:h="16838" w:orient="portrait"/>
          <w:cols w:equalWidth="0" w:num="1">
            <w:col w:w="11420"/>
          </w:cols>
          <w:pgMar w:left="240" w:top="341" w:right="239" w:bottom="0" w:gutter="0" w:footer="0" w:header="0"/>
        </w:sectPr>
      </w:pPr>
    </w:p>
    <w:bookmarkStart w:id="14" w:name="page15"/>
    <w:bookmarkEnd w:id="14"/>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Units</w:t>
      </w:r>
      <w:r>
        <w:rPr>
          <w:rFonts w:ascii="Arial" w:cs="Arial" w:eastAsia="Arial" w:hAnsi="Arial"/>
          <w:sz w:val="18"/>
          <w:szCs w:val="18"/>
          <w:color w:val="auto"/>
        </w:rPr>
        <w:t>” has the meaning assigned to such term in Section 5.14(a).</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 Agreement</w:t>
      </w:r>
      <w:r>
        <w:rPr>
          <w:rFonts w:ascii="Arial" w:cs="Arial" w:eastAsia="Arial" w:hAnsi="Arial"/>
          <w:sz w:val="18"/>
          <w:szCs w:val="18"/>
          <w:color w:val="auto"/>
        </w:rPr>
        <w:t>” means the Series A Preferred Unit Purchase Agreement, dated as of January 12, 2016, by and among the Partnership and the Series A Purchasers, as amended.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Purchasers</w:t>
      </w:r>
      <w:r>
        <w:rPr>
          <w:rFonts w:ascii="Arial" w:cs="Arial" w:eastAsia="Arial" w:hAnsi="Arial"/>
          <w:sz w:val="18"/>
          <w:szCs w:val="18"/>
          <w:color w:val="auto"/>
        </w:rPr>
        <w:t>” means those Persons set forth on Schedule A to the Series A Purchase Agreement, and their permitted assigns in accordance with the Series A Purchase Agreement and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Quarterly Distribution</w:t>
      </w:r>
      <w:r>
        <w:rPr>
          <w:rFonts w:ascii="Arial" w:cs="Arial" w:eastAsia="Arial" w:hAnsi="Arial"/>
          <w:sz w:val="18"/>
          <w:szCs w:val="18"/>
          <w:color w:val="auto"/>
        </w:rPr>
        <w:t>” has the meaning assigned to such term in Section 5.14(b)(i)(A).</w:t>
      </w:r>
    </w:p>
    <w:p>
      <w:pPr>
        <w:spacing w:after="0" w:line="225" w:lineRule="exact"/>
        <w:rPr>
          <w:sz w:val="20"/>
          <w:szCs w:val="20"/>
          <w:color w:val="auto"/>
        </w:rPr>
      </w:pPr>
    </w:p>
    <w:p>
      <w:pPr>
        <w:ind w:right="4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Required Voting Percentage</w:t>
      </w:r>
      <w:r>
        <w:rPr>
          <w:rFonts w:ascii="Arial" w:cs="Arial" w:eastAsia="Arial" w:hAnsi="Arial"/>
          <w:sz w:val="18"/>
          <w:szCs w:val="18"/>
          <w:color w:val="auto"/>
        </w:rPr>
        <w:t>” means 75% or more of the Outstanding Series A Preferred Units, voting separately as a class based upon one vote per Series A Preferred Unit.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Reset Amount</w:t>
      </w:r>
      <w:r>
        <w:rPr>
          <w:rFonts w:ascii="Arial" w:cs="Arial" w:eastAsia="Arial" w:hAnsi="Arial"/>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Senior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senior to the Series A Preferred Units.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Trigger Event</w:t>
      </w:r>
      <w:r>
        <w:rPr>
          <w:rFonts w:ascii="Arial" w:cs="Arial" w:eastAsia="Arial" w:hAnsi="Arial"/>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True-Up Amount</w:t>
      </w:r>
      <w:r>
        <w:rPr>
          <w:rFonts w:ascii="Arial" w:cs="Arial" w:eastAsia="Arial" w:hAnsi="Arial"/>
          <w:sz w:val="18"/>
          <w:szCs w:val="18"/>
          <w:color w:val="auto"/>
        </w:rPr>
        <w:t>” means the amount, if any, by which the Series A Liquidation Value of a Series A Preferred Unit exceeds the Per Unit Capital Amount of such Series A Preferred Unit.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Unpaid Cash Distributions</w:t>
      </w:r>
      <w:r>
        <w:rPr>
          <w:rFonts w:ascii="Arial" w:cs="Arial" w:eastAsia="Arial" w:hAnsi="Arial"/>
          <w:sz w:val="18"/>
          <w:szCs w:val="18"/>
          <w:color w:val="auto"/>
        </w:rPr>
        <w:t>” has the meaning assigned to such term in Section 5.14(b)(i)(B).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Current Criteria</w:t>
      </w:r>
      <w:r>
        <w:rPr>
          <w:rFonts w:ascii="Arial" w:cs="Arial" w:eastAsia="Arial" w:hAnsi="Arial"/>
          <w:sz w:val="18"/>
          <w:szCs w:val="18"/>
          <w:color w:val="auto"/>
        </w:rPr>
        <w:t>” means the equity credit criteria of a Rating Agency for securities such as the Series B Preferred Units, as such criteria are in effect as of the Series B Original Issue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Distribution</w:t>
      </w:r>
      <w:r>
        <w:rPr>
          <w:rFonts w:ascii="Arial" w:cs="Arial" w:eastAsia="Arial" w:hAnsi="Arial"/>
          <w:sz w:val="18"/>
          <w:szCs w:val="18"/>
          <w:color w:val="auto"/>
        </w:rPr>
        <w:t>” means distributions with respect to Series B Preferred Units pursuant to Section 5.15(c)(i).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Distribution Payment Date</w:t>
      </w:r>
      <w:r>
        <w:rPr>
          <w:rFonts w:ascii="Arial" w:cs="Arial" w:eastAsia="Arial" w:hAnsi="Arial"/>
          <w:sz w:val="18"/>
          <w:szCs w:val="18"/>
          <w:color w:val="auto"/>
        </w:rPr>
        <w:t>” has the meaning given to such term in Section 5.15(c)(i)(A).</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Distribution Period</w:t>
      </w:r>
      <w:r>
        <w:rPr>
          <w:rFonts w:ascii="Arial" w:cs="Arial" w:eastAsia="Arial" w:hAnsi="Arial"/>
          <w:sz w:val="18"/>
          <w:szCs w:val="18"/>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Distribution Rate</w:t>
      </w:r>
      <w:r>
        <w:rPr>
          <w:rFonts w:ascii="Arial" w:cs="Arial" w:eastAsia="Arial" w:hAnsi="Arial"/>
          <w:sz w:val="18"/>
          <w:szCs w:val="18"/>
          <w:color w:val="auto"/>
        </w:rPr>
        <w:t>” means an annual rate equal to (i) during the Series B Fixed Rate Period, 6.125% of the Series B Liquidation Preference and (ii) during the Series B Floating Rate Period, a percentage of the Series B Liquidation Preference equal to the sum of (a) the Series B Three-Month LIBOR, as calculated on each applicable LIBOR Determination Date, and (b) 4.11%.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B Fixed Rate Period</w:t>
      </w:r>
      <w:r>
        <w:rPr>
          <w:rFonts w:ascii="Arial" w:cs="Arial" w:eastAsia="Arial" w:hAnsi="Arial"/>
          <w:sz w:val="17"/>
          <w:szCs w:val="17"/>
          <w:color w:val="auto"/>
        </w:rPr>
        <w:t>” means the period from and including the Series B Original Issue Date to, but not including, November 15, 2022.</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Floating Rate Period</w:t>
      </w:r>
      <w:r>
        <w:rPr>
          <w:rFonts w:ascii="Arial" w:cs="Arial" w:eastAsia="Arial" w:hAnsi="Arial"/>
          <w:sz w:val="18"/>
          <w:szCs w:val="18"/>
          <w:color w:val="auto"/>
        </w:rPr>
        <w:t>” means the period from and including November 15, 2022 and thereafter until such time as all of the Outstanding Series B Preferred Units are redeemed in accordance with Section 5.15(c)(iii).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Liquidation Preference</w:t>
      </w:r>
      <w:r>
        <w:rPr>
          <w:rFonts w:ascii="Arial" w:cs="Arial" w:eastAsia="Arial" w:hAnsi="Arial"/>
          <w:sz w:val="18"/>
          <w:szCs w:val="18"/>
          <w:color w:val="auto"/>
        </w:rPr>
        <w:t>” means a liquidation preference for each Series B Preferred Unit initially equal to $1,000 per unit (subject to adjustment for any splits, combinations or similar adjustments to the Series B Preferred Units).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Liquidation Value</w:t>
      </w:r>
      <w:r>
        <w:rPr>
          <w:rFonts w:ascii="Arial" w:cs="Arial" w:eastAsia="Arial" w:hAnsi="Arial"/>
          <w:sz w:val="18"/>
          <w:szCs w:val="18"/>
          <w:color w:val="auto"/>
        </w:rPr>
        <w:t>” means, with respect to each Series B Preferred Unit Outstanding as of the date of such determination, an amount equal to the sum of (i) the Series B Liquidation Preference, plus (ii) all Series B Unpaid Cash Distributions, plus (iii) all accrued but unpaid distributions on such Series B Preferred Unit with respect to the Quarter in which the liquidation occurs.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Original Issue Date</w:t>
      </w:r>
      <w:r>
        <w:rPr>
          <w:rFonts w:ascii="Arial" w:cs="Arial" w:eastAsia="Arial" w:hAnsi="Arial"/>
          <w:sz w:val="18"/>
          <w:szCs w:val="18"/>
          <w:color w:val="auto"/>
        </w:rPr>
        <w:t>” means October 10, 2017.</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Parity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pari passu with the Series B Preferred Units, including the Series A Preferred Units. For the avoidance of doubt, classes or series of Partnership Interests may qualify as Series B Parity Securities irrespective of whether or not the record date, distribution payment date, distribution rate or distribution periods of such class or series of Partnership Interests match those of the Series B Preferred Units or any other class or series of Series B Parity Securities.</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Paying Agent</w:t>
      </w:r>
      <w:r>
        <w:rPr>
          <w:rFonts w:ascii="Arial" w:cs="Arial" w:eastAsia="Arial" w:hAnsi="Arial"/>
          <w:sz w:val="18"/>
          <w:szCs w:val="18"/>
          <w:color w:val="auto"/>
        </w:rPr>
        <w:t>” means the Transfer Agent, acting in its capacity as paying agent for the Series B Preferred Units, and its respective successors and assigns or any other paying agent appointed by the General Partner; provided, however, that if no paying agent is specifically designated for the Series B Preferred Units, the General Partner shall act in such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Preferred Unitholder</w:t>
      </w:r>
      <w:r>
        <w:rPr>
          <w:rFonts w:ascii="Arial" w:cs="Arial" w:eastAsia="Arial" w:hAnsi="Arial"/>
          <w:sz w:val="18"/>
          <w:szCs w:val="18"/>
          <w:color w:val="auto"/>
        </w:rPr>
        <w:t>” means a Record Holder of Series B Preferred Units.</w:t>
      </w:r>
    </w:p>
    <w:p>
      <w:pPr>
        <w:sectPr>
          <w:pgSz w:w="11900" w:h="16874" w:orient="portrait"/>
          <w:cols w:equalWidth="0" w:num="1">
            <w:col w:w="11420"/>
          </w:cols>
          <w:pgMar w:left="240" w:top="125" w:right="239" w:bottom="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Preferred Units</w:t>
      </w:r>
      <w:r>
        <w:rPr>
          <w:rFonts w:ascii="Arial" w:cs="Arial" w:eastAsia="Arial" w:hAnsi="Arial"/>
          <w:sz w:val="18"/>
          <w:szCs w:val="18"/>
          <w:color w:val="auto"/>
        </w:rPr>
        <w:t>” has the meaning assigned to such term in Section 5.15(a).</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Rating Event</w:t>
      </w:r>
      <w:r>
        <w:rPr>
          <w:rFonts w:ascii="Arial" w:cs="Arial" w:eastAsia="Arial" w:hAnsi="Arial"/>
          <w:sz w:val="18"/>
          <w:szCs w:val="18"/>
          <w:color w:val="auto"/>
        </w:rPr>
        <w:t>” means a change by any Rating Agency to the Series B Current Criteria, which change results in (i) any shortening of the length of time for which the Series B Current Criteria are scheduled to be in effect with respect to the Series B Preferred Units, or (ii) a lower equity credit being given to the Series B Preferred Units than the equity credit that would have been assigned to the Series B Preferred Units by such Rating Agency pursuant to its Series B Current Criteria.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Record Date</w:t>
      </w:r>
      <w:r>
        <w:rPr>
          <w:rFonts w:ascii="Arial" w:cs="Arial" w:eastAsia="Arial" w:hAnsi="Arial"/>
          <w:sz w:val="18"/>
          <w:szCs w:val="18"/>
          <w:color w:val="auto"/>
        </w:rPr>
        <w:t>” has the meaning assigned to such term in Section 5.15(c)(i)(B).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Redemption Date</w:t>
      </w:r>
      <w:r>
        <w:rPr>
          <w:rFonts w:ascii="Arial" w:cs="Arial" w:eastAsia="Arial" w:hAnsi="Arial"/>
          <w:sz w:val="18"/>
          <w:szCs w:val="18"/>
          <w:color w:val="auto"/>
        </w:rPr>
        <w:t>” has the meaning given to such term in Section 5.15(c)(iii)(A).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Redemption Notice</w:t>
      </w:r>
      <w:r>
        <w:rPr>
          <w:rFonts w:ascii="Arial" w:cs="Arial" w:eastAsia="Arial" w:hAnsi="Arial"/>
          <w:sz w:val="18"/>
          <w:szCs w:val="18"/>
          <w:color w:val="auto"/>
        </w:rPr>
        <w:t>” has the meaning given to such term in Section 5.15(c)(iii)(C).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Redemption Price</w:t>
      </w:r>
      <w:r>
        <w:rPr>
          <w:rFonts w:ascii="Arial" w:cs="Arial" w:eastAsia="Arial" w:hAnsi="Arial"/>
          <w:sz w:val="18"/>
          <w:szCs w:val="18"/>
          <w:color w:val="auto"/>
        </w:rPr>
        <w:t>” has the meaning given to such term in Section 5.15(c)(iii)(B).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Senior Securities</w:t>
      </w:r>
      <w:r>
        <w:rPr>
          <w:rFonts w:ascii="Arial" w:cs="Arial" w:eastAsia="Arial" w:hAnsi="Arial"/>
          <w:sz w:val="18"/>
          <w:szCs w:val="18"/>
          <w:color w:val="auto"/>
        </w:rPr>
        <w:t>” means any class or series of Partnership Securities that, with respect to distributions on such Partnership Securities or distributions upon liquidation of the Partnership, ranks senior to the Series B Preferred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B Three-Month LIBOR</w:t>
      </w:r>
      <w:r>
        <w:rPr>
          <w:rFonts w:ascii="Arial" w:cs="Arial" w:eastAsia="Arial" w:hAnsi="Arial"/>
          <w:sz w:val="18"/>
          <w:szCs w:val="18"/>
          <w:color w:val="auto"/>
        </w:rPr>
        <w:t>” has the meaning given to such term in Section 5.15(c)(i)(F).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“Series B Unpaid Cash Distribution” </w:t>
      </w:r>
      <w:r>
        <w:rPr>
          <w:rFonts w:ascii="Arial" w:cs="Arial" w:eastAsia="Arial" w:hAnsi="Arial"/>
          <w:sz w:val="18"/>
          <w:szCs w:val="18"/>
          <w:color w:val="auto"/>
        </w:rPr>
        <w:t>has the meaning given to such term in Section 5.15(c)(i)(C).</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Simplification Agreement</w:t>
      </w:r>
      <w:r>
        <w:rPr>
          <w:rFonts w:ascii="Arial" w:cs="Arial" w:eastAsia="Arial" w:hAnsi="Arial"/>
          <w:sz w:val="16"/>
          <w:szCs w:val="16"/>
          <w:color w:val="auto"/>
        </w:rPr>
        <w:t>” means that certain Simplification Agreement, dated as of July 11, 2016, by and among the Partnership, the General Partner, PAGP GP, Plains AAP and certain other parties thereto, pursuant to which, among other things, the Partnership issued Common Units to Plains AAP and assumed the outstanding debt under Plains AAP’s credit facility in exchange for (i) Plains AAP’s direct interest in the incentive distribution rights of the Partnership and (ii) Plains AAP’s indirect interest in the 2.0% economic rights associated with the General Partner’s interest in the Partnership.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“Sixth A&amp;R LP Agreement” </w:t>
      </w:r>
      <w:r>
        <w:rPr>
          <w:rFonts w:ascii="Arial" w:cs="Arial" w:eastAsia="Arial" w:hAnsi="Arial"/>
          <w:sz w:val="18"/>
          <w:szCs w:val="18"/>
          <w:color w:val="auto"/>
        </w:rPr>
        <w:t>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Approval” </w:t>
      </w:r>
      <w:r>
        <w:rPr>
          <w:rFonts w:ascii="Arial" w:cs="Arial" w:eastAsia="Arial" w:hAnsi="Arial"/>
          <w:sz w:val="18"/>
          <w:szCs w:val="18"/>
          <w:color w:val="auto"/>
        </w:rPr>
        <w:t>means approval by a majority of the members of the Conflicts Committee.</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Person, (a) a corporation of which more than 50% of the voting power of shares entitled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Substantially Equivalent Unit</w:t>
      </w:r>
      <w:r>
        <w:rPr>
          <w:rFonts w:ascii="Arial" w:cs="Arial" w:eastAsia="Arial" w:hAnsi="Arial"/>
          <w:sz w:val="18"/>
          <w:szCs w:val="18"/>
          <w:color w:val="auto"/>
        </w:rPr>
        <w:t>” has the meaning assigned to such term in Section 5.14(b)(vii)(B)(2).</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“Substituted Limited Partner” </w:t>
      </w:r>
      <w:r>
        <w:rPr>
          <w:rFonts w:ascii="Arial" w:cs="Arial" w:eastAsia="Arial" w:hAnsi="Arial"/>
          <w:sz w:val="18"/>
          <w:szCs w:val="18"/>
          <w:color w:val="auto"/>
        </w:rPr>
        <w:t>means a Person who is admitted as a Limited Partner to the Partnership pursuant to Section 10.2 in place of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rights of a Limited Partner and who is shown as a Limited Partner on the books and records of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“Surviving Business Entity” </w:t>
      </w:r>
      <w:r>
        <w:rPr>
          <w:rFonts w:ascii="Arial" w:cs="Arial" w:eastAsia="Arial" w:hAnsi="Arial"/>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“Trading Day”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has the meaning assigned to such term in Section 4.4(a).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“Transfer Agent” </w:t>
      </w:r>
      <w:r>
        <w:rPr>
          <w:rFonts w:ascii="Arial" w:cs="Arial" w:eastAsia="Arial" w:hAnsi="Arial"/>
          <w:sz w:val="17"/>
          <w:szCs w:val="17"/>
          <w:color w:val="auto"/>
        </w:rPr>
        <w:t>means such bank, trust company or other Person (including the General Partner or one of its Affiliates) as shall be appointed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“Underwriter” </w:t>
      </w:r>
      <w:r>
        <w:rPr>
          <w:rFonts w:ascii="Arial" w:cs="Arial" w:eastAsia="Arial" w:hAnsi="Arial"/>
          <w:sz w:val="16"/>
          <w:szCs w:val="16"/>
          <w:color w:val="auto"/>
        </w:rPr>
        <w:t>means each Person named as an underwriter in Schedule I to the Underwriting Agreement who purchased Common Units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means the Underwriting Agreement dated November 17, 1998 among the Underwriters, the Partnership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providing for the purchase of Common Units by such Underwriters.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“Unit” </w:t>
      </w:r>
      <w:r>
        <w:rPr>
          <w:rFonts w:ascii="Arial" w:cs="Arial" w:eastAsia="Arial" w:hAnsi="Arial"/>
          <w:sz w:val="18"/>
          <w:szCs w:val="18"/>
          <w:color w:val="auto"/>
        </w:rPr>
        <w:t>means a Partnership Security that is designated as a</w:t>
      </w:r>
      <w:r>
        <w:rPr>
          <w:rFonts w:ascii="Arial" w:cs="Arial" w:eastAsia="Arial" w:hAnsi="Arial"/>
          <w:sz w:val="18"/>
          <w:szCs w:val="18"/>
          <w:i w:val="1"/>
          <w:iCs w:val="1"/>
          <w:color w:val="auto"/>
        </w:rPr>
        <w:t xml:space="preserve"> “Unit” </w:t>
      </w:r>
      <w:r>
        <w:rPr>
          <w:rFonts w:ascii="Arial" w:cs="Arial" w:eastAsia="Arial" w:hAnsi="Arial"/>
          <w:sz w:val="18"/>
          <w:szCs w:val="18"/>
          <w:color w:val="auto"/>
        </w:rPr>
        <w:t>and shall include Common Units and Series A Preferred Units and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Units but shall not include the General Partner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“Unitholders” </w:t>
      </w:r>
      <w:r>
        <w:rPr>
          <w:rFonts w:ascii="Arial" w:cs="Arial" w:eastAsia="Arial" w:hAnsi="Arial"/>
          <w:sz w:val="18"/>
          <w:szCs w:val="18"/>
          <w:color w:val="auto"/>
        </w:rPr>
        <w:t>means the holders of Units.</w:t>
      </w:r>
    </w:p>
    <w:p>
      <w:pPr>
        <w:sectPr>
          <w:pgSz w:w="11900" w:h="16838" w:orient="portrait"/>
          <w:cols w:equalWidth="0" w:num="1">
            <w:col w:w="11420"/>
          </w:cols>
          <w:pgMar w:left="240" w:top="341" w:right="239" w:bottom="0" w:gutter="0" w:footer="0" w:header="0"/>
        </w:sectPr>
      </w:pPr>
    </w:p>
    <w:bookmarkStart w:id="16" w:name="page17"/>
    <w:bookmarkEnd w:id="16"/>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“Unit Majority” </w:t>
      </w:r>
      <w:r>
        <w:rPr>
          <w:rFonts w:ascii="Arial" w:cs="Arial" w:eastAsia="Arial" w:hAnsi="Arial"/>
          <w:sz w:val="18"/>
          <w:szCs w:val="18"/>
          <w:color w:val="auto"/>
        </w:rPr>
        <w:t>means at least a majority of the Outstanding Common Units, including the Series A Preferred Units as described in Section 5.14(b)</w:t>
      </w:r>
      <w:r>
        <w:rPr>
          <w:rFonts w:ascii="Arial" w:cs="Arial" w:eastAsia="Arial" w:hAnsi="Arial"/>
          <w:sz w:val="18"/>
          <w:szCs w:val="18"/>
          <w:i w:val="1"/>
          <w:iCs w:val="1"/>
          <w:color w:val="auto"/>
        </w:rPr>
        <w:t xml:space="preserve"> </w:t>
      </w:r>
      <w:r>
        <w:rPr>
          <w:rFonts w:ascii="Arial" w:cs="Arial" w:eastAsia="Arial" w:hAnsi="Arial"/>
          <w:sz w:val="18"/>
          <w:szCs w:val="18"/>
          <w:color w:val="auto"/>
        </w:rPr>
        <w:t>(iii)(A), but excluding the Series B Preferred Units.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“Unrealized Gain” </w:t>
      </w:r>
      <w:r>
        <w:rPr>
          <w:rFonts w:ascii="Arial" w:cs="Arial" w:eastAsia="Arial" w:hAnsi="Arial"/>
          <w:sz w:val="18"/>
          <w:szCs w:val="18"/>
          <w:color w:val="auto"/>
        </w:rPr>
        <w:t>attributable to any item of Partnership property means, as of any date of determination, the excess, if any, of (a)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“Unrealized Loss” </w:t>
      </w:r>
      <w:r>
        <w:rPr>
          <w:rFonts w:ascii="Arial" w:cs="Arial" w:eastAsia="Arial" w:hAnsi="Arial"/>
          <w:sz w:val="18"/>
          <w:szCs w:val="18"/>
          <w:color w:val="auto"/>
        </w:rPr>
        <w:t>attributable to any item of Partnership property means, as of any date of determination, the excess, if any, of (a)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GAAP” </w:t>
      </w:r>
      <w:r>
        <w:rPr>
          <w:rFonts w:ascii="Arial" w:cs="Arial" w:eastAsia="Arial" w:hAnsi="Arial"/>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“Withdrawal Opinion of Counsel” </w:t>
      </w:r>
      <w:r>
        <w:rPr>
          <w:rFonts w:ascii="Arial" w:cs="Arial" w:eastAsia="Arial" w:hAnsi="Arial"/>
          <w:sz w:val="18"/>
          <w:szCs w:val="18"/>
          <w:color w:val="auto"/>
        </w:rPr>
        <w:t>has the meaning assigned to such term in Section 11.1(b).</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“Working Capital Borrowings” </w:t>
      </w:r>
      <w:r>
        <w:rPr>
          <w:rFonts w:ascii="Arial" w:cs="Arial" w:eastAsia="Arial" w:hAnsi="Arial"/>
          <w:sz w:val="16"/>
          <w:szCs w:val="16"/>
          <w:color w:val="auto"/>
        </w:rPr>
        <w:t>means borrowings exclusively for working capital purposes made pursuant to a credit facility or other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all such borrowings thereunder to be reduced to a relatively small amount each year for an economically meaningful period of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Arial" w:cs="Arial" w:eastAsia="Arial" w:hAnsi="Arial"/>
          <w:sz w:val="18"/>
          <w:szCs w:val="18"/>
          <w:i w:val="1"/>
          <w:iCs w:val="1"/>
          <w:color w:val="auto"/>
        </w:rPr>
        <w:t>“include”</w:t>
      </w:r>
      <w:r>
        <w:rPr>
          <w:rFonts w:ascii="Arial" w:cs="Arial" w:eastAsia="Arial" w:hAnsi="Arial"/>
          <w:sz w:val="18"/>
          <w:szCs w:val="18"/>
          <w:color w:val="auto"/>
        </w:rPr>
        <w:t xml:space="preserve"> or </w:t>
      </w:r>
      <w:r>
        <w:rPr>
          <w:rFonts w:ascii="Arial" w:cs="Arial" w:eastAsia="Arial" w:hAnsi="Arial"/>
          <w:sz w:val="18"/>
          <w:szCs w:val="18"/>
          <w:i w:val="1"/>
          <w:iCs w:val="1"/>
          <w:color w:val="auto"/>
        </w:rPr>
        <w:t>“includes”</w:t>
      </w:r>
      <w:r>
        <w:rPr>
          <w:rFonts w:ascii="Arial" w:cs="Arial" w:eastAsia="Arial" w:hAnsi="Arial"/>
          <w:sz w:val="18"/>
          <w:szCs w:val="18"/>
          <w:color w:val="auto"/>
        </w:rPr>
        <w:t xml:space="preserve"> means includes, without limitation, and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means including, without limitation.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2001 Predecessor General Partner and the Organizational Limited Partner have previously formed the Partnership as a limited partnership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Name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i w:val="1"/>
          <w:iCs w:val="1"/>
          <w:color w:val="auto"/>
        </w:rPr>
        <w:t>Purpose and Business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Purpose and nature of the business to be conducted by the Partnership shall be to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Powers</w:t>
      </w:r>
      <w:r>
        <w:rPr>
          <w:rFonts w:ascii="Arial" w:cs="Arial" w:eastAsia="Arial" w:hAnsi="Arial"/>
          <w:sz w:val="16"/>
          <w:szCs w:val="16"/>
          <w:color w:val="auto"/>
        </w:rPr>
        <w:t>.</w:t>
      </w:r>
    </w:p>
    <w:p>
      <w:pPr>
        <w:sectPr>
          <w:pgSz w:w="11900" w:h="16838" w:orient="portrait"/>
          <w:cols w:equalWidth="0" w:num="1">
            <w:col w:w="11400"/>
          </w:cols>
          <w:pgMar w:left="240" w:top="125" w:right="259" w:bottom="32" w:gutter="0" w:footer="0" w:header="0"/>
        </w:sectPr>
      </w:pPr>
    </w:p>
    <w:bookmarkStart w:id="17" w:name="page18"/>
    <w:bookmarkEnd w:id="17"/>
    <w:p>
      <w:pPr>
        <w:spacing w:after="0" w:line="8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Power of Attorney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6" w:lineRule="exact"/>
        <w:rPr>
          <w:rFonts w:ascii="Arial" w:cs="Arial" w:eastAsia="Arial" w:hAnsi="Arial"/>
          <w:sz w:val="18"/>
          <w:szCs w:val="18"/>
          <w:color w:val="auto"/>
        </w:rPr>
      </w:pPr>
    </w:p>
    <w:p>
      <w:pPr>
        <w:ind w:left="1300" w:right="40" w:firstLine="653"/>
        <w:spacing w:after="0" w:line="290" w:lineRule="auto"/>
        <w:tabs>
          <w:tab w:leader="none" w:pos="2618" w:val="left"/>
        </w:tabs>
        <w:numPr>
          <w:ilvl w:val="1"/>
          <w:numId w:val="8"/>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97" w:lineRule="auto"/>
        <w:rPr>
          <w:sz w:val="20"/>
          <w:szCs w:val="20"/>
          <w:color w:val="auto"/>
        </w:rPr>
      </w:pPr>
      <w:r>
        <w:rPr>
          <w:rFonts w:ascii="Arial" w:cs="Arial" w:eastAsia="Arial" w:hAnsi="Arial"/>
          <w:sz w:val="16"/>
          <w:szCs w:val="16"/>
          <w:color w:val="auto"/>
        </w:rPr>
        <w:t>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58" w:lineRule="exact"/>
        <w:rPr>
          <w:sz w:val="20"/>
          <w:szCs w:val="20"/>
          <w:color w:val="auto"/>
        </w:rPr>
      </w:pPr>
    </w:p>
    <w:p>
      <w:pPr>
        <w:ind w:left="1300" w:right="140" w:firstLine="653"/>
        <w:spacing w:after="0" w:line="290" w:lineRule="auto"/>
        <w:tabs>
          <w:tab w:leader="none" w:pos="2627"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70" w:lineRule="exact"/>
        <w:rPr>
          <w:sz w:val="20"/>
          <w:szCs w:val="20"/>
          <w:color w:val="auto"/>
        </w:rPr>
      </w:pPr>
    </w:p>
    <w:p>
      <w:pPr>
        <w:ind w:firstLine="1305"/>
        <w:spacing w:after="0" w:line="289"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i w:val="1"/>
          <w:iCs w:val="1"/>
          <w:color w:val="auto"/>
        </w:rPr>
        <w:t>Term</w:t>
      </w:r>
      <w:r>
        <w:rPr>
          <w:rFonts w:ascii="Arial" w:cs="Arial" w:eastAsia="Arial" w:hAnsi="Arial"/>
          <w:sz w:val="15"/>
          <w:szCs w:val="15"/>
          <w:color w:val="auto"/>
        </w:rPr>
        <w: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Title to Partnership Assets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ectPr>
          <w:pgSz w:w="11900" w:h="16919" w:orient="portrait"/>
          <w:cols w:equalWidth="0" w:num="1">
            <w:col w:w="11420"/>
          </w:cols>
          <w:pgMar w:left="240" w:top="125" w:right="239" w:bottom="0" w:gutter="0" w:footer="0" w:header="0"/>
        </w:sectPr>
      </w:pPr>
    </w:p>
    <w:bookmarkStart w:id="18" w:name="page19"/>
    <w:bookmarkEnd w:id="18"/>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OF LIMITED PARTNERS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Limitation of Liability</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Limited Partners and the Assignees shall have no liability under this Agreement except as expressly provided in this Agreement or the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i w:val="1"/>
          <w:iCs w:val="1"/>
          <w:color w:val="auto"/>
        </w:rPr>
        <w:t>Management of Business</w:t>
      </w:r>
      <w:r>
        <w:rPr>
          <w:rFonts w:ascii="Arial" w:cs="Arial" w:eastAsia="Arial" w:hAnsi="Arial"/>
          <w:sz w:val="15"/>
          <w:szCs w:val="15"/>
          <w:color w:val="auto"/>
        </w:rPr>
        <w:t>.</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i w:val="1"/>
          <w:iCs w:val="1"/>
          <w:color w:val="auto"/>
        </w:rPr>
        <w:t>Outside Activities of the Limited Partners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obtain true and full information regarding the status of the business and financial condition of the Partnership;</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promptly after becoming available, to obtain a copy of the Partnership’s federal, state and local income tax returns for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each year;</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have furnished to him a current list of the name and last known business, residence or mailing address of each Partner;</w:t>
      </w:r>
    </w:p>
    <w:p>
      <w:pPr>
        <w:spacing w:after="0" w:line="248" w:lineRule="exact"/>
        <w:rPr>
          <w:rFonts w:ascii="Arial" w:cs="Arial" w:eastAsia="Arial" w:hAnsi="Arial"/>
          <w:sz w:val="16"/>
          <w:szCs w:val="16"/>
          <w:color w:val="auto"/>
        </w:rPr>
      </w:pPr>
    </w:p>
    <w:p>
      <w:pPr>
        <w:ind w:left="1300" w:right="20" w:firstLine="653"/>
        <w:spacing w:after="0" w:line="264" w:lineRule="auto"/>
        <w:tabs>
          <w:tab w:leader="none" w:pos="26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81" w:lineRule="exact"/>
        <w:rPr>
          <w:rFonts w:ascii="Arial" w:cs="Arial" w:eastAsia="Arial" w:hAnsi="Arial"/>
          <w:sz w:val="18"/>
          <w:szCs w:val="18"/>
          <w:color w:val="auto"/>
        </w:rPr>
      </w:pPr>
    </w:p>
    <w:p>
      <w:pPr>
        <w:jc w:val="both"/>
        <w:ind w:left="1300" w:right="40" w:firstLine="653"/>
        <w:spacing w:after="0" w:line="264" w:lineRule="auto"/>
        <w:tabs>
          <w:tab w:leader="none" w:pos="26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obtain such other information regarding the affairs of the Partnership as is just and reasonable.</w:t>
      </w:r>
    </w:p>
    <w:p>
      <w:pPr>
        <w:spacing w:after="0" w:line="225" w:lineRule="exact"/>
        <w:rPr>
          <w:rFonts w:ascii="Arial" w:cs="Arial" w:eastAsia="Arial" w:hAnsi="Arial"/>
          <w:sz w:val="18"/>
          <w:szCs w:val="18"/>
          <w:color w:val="auto"/>
        </w:rPr>
      </w:pPr>
    </w:p>
    <w:p>
      <w:pPr>
        <w:ind w:right="520" w:firstLine="1305"/>
        <w:spacing w:after="0" w:line="342" w:lineRule="auto"/>
        <w:tabs>
          <w:tab w:leader="none" w:pos="19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CERTIFICATES; RECORD HOLDERS; TRANSFER OF PARTNERSHIP INTERESTS; REDEMPTION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Certificates</w:t>
      </w:r>
      <w:r>
        <w:rPr>
          <w:rFonts w:ascii="Arial" w:cs="Arial" w:eastAsia="Arial" w:hAnsi="Arial"/>
          <w:sz w:val="16"/>
          <w:szCs w:val="16"/>
          <w:color w:val="auto"/>
        </w:rPr>
        <w:t>.</w:t>
      </w:r>
    </w:p>
    <w:p>
      <w:pPr>
        <w:spacing w:after="0" w:line="225"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any Partnership Securities other than Common Units, the Partnership shall issue to such Person one or more certificates evidencing such Partnership Securities other than Common Units. Certificates shall be executed on behalf of the Partnership by the President or any Executive Vice President or Vice President and the</w:t>
      </w:r>
    </w:p>
    <w:p>
      <w:pPr>
        <w:sectPr>
          <w:pgSz w:w="11900" w:h="16941" w:orient="portrait"/>
          <w:cols w:equalWidth="0" w:num="1">
            <w:col w:w="11380"/>
          </w:cols>
          <w:pgMar w:left="240" w:top="337" w:right="279" w:bottom="0" w:gutter="0" w:footer="0" w:header="0"/>
        </w:sectPr>
      </w:pPr>
    </w:p>
    <w:bookmarkStart w:id="19" w:name="page20"/>
    <w:bookmarkEnd w:id="19"/>
    <w:p>
      <w:pPr>
        <w:spacing w:after="0" w:line="1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Secretary or any Assistant Secretary of the General Partner or one of its Affiliates.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or one of its Affiliates on behalf of the Partnership may provide that some or all Common Units may be uncertificated; however, Certificates will be provided to any Unitholder upon such Unitholder’s request.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360" w:firstLine="1305"/>
        <w:spacing w:after="0" w:line="259" w:lineRule="auto"/>
        <w:tabs>
          <w:tab w:leader="none" w:pos="19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mutilated Certificate is surrendered to the Transfer Agent, the appropriate officers of the General Partner or one of its Affiliates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86" w:lineRule="exact"/>
        <w:rPr>
          <w:rFonts w:ascii="Arial" w:cs="Arial" w:eastAsia="Arial" w:hAnsi="Arial"/>
          <w:sz w:val="18"/>
          <w:szCs w:val="18"/>
          <w:color w:val="auto"/>
        </w:rPr>
      </w:pPr>
    </w:p>
    <w:p>
      <w:pPr>
        <w:ind w:right="220" w:firstLine="1305"/>
        <w:spacing w:after="0" w:line="264"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appropriate officers of the General Partner or one of its Affiliates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81" w:lineRule="exact"/>
        <w:rPr>
          <w:rFonts w:ascii="Arial" w:cs="Arial" w:eastAsia="Arial" w:hAnsi="Arial"/>
          <w:sz w:val="18"/>
          <w:szCs w:val="18"/>
          <w:color w:val="auto"/>
        </w:rPr>
      </w:pPr>
    </w:p>
    <w:p>
      <w:pPr>
        <w:ind w:left="1300" w:right="260" w:firstLine="653"/>
        <w:spacing w:after="0" w:line="277" w:lineRule="auto"/>
        <w:tabs>
          <w:tab w:leader="none" w:pos="2618"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Partnership, that a previously issued Certificate has been lost, destroyed or stolen;</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requests the issuance of a new Certificate, or other evidence of the issuance of uncertificated Units, before the Partnership</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has notice that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Certificate has been acquired by a purchaser for value in good faith and without notice of an adverse claim;</w:t>
      </w:r>
    </w:p>
    <w:p>
      <w:pPr>
        <w:spacing w:after="0" w:line="225" w:lineRule="exact"/>
        <w:rPr>
          <w:sz w:val="20"/>
          <w:szCs w:val="20"/>
          <w:color w:val="auto"/>
        </w:rPr>
      </w:pPr>
    </w:p>
    <w:p>
      <w:pPr>
        <w:ind w:left="1300" w:right="140" w:firstLine="653"/>
        <w:spacing w:after="0" w:line="259" w:lineRule="auto"/>
        <w:tabs>
          <w:tab w:leader="none" w:pos="26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Partnership.</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54" w:lineRule="exact"/>
        <w:rPr>
          <w:sz w:val="20"/>
          <w:szCs w:val="20"/>
          <w:color w:val="auto"/>
        </w:rPr>
      </w:pPr>
    </w:p>
    <w:p>
      <w:pPr>
        <w:ind w:right="500" w:firstLine="1305"/>
        <w:spacing w:after="0" w:line="286" w:lineRule="auto"/>
        <w:tabs>
          <w:tab w:leader="none" w:pos="19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Record Holders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term “transfer,” when used in this Agreement with respect to a Partnership Interest, shall be deemed to refer to a transaction</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which the 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71" w:lineRule="exact"/>
        <w:rPr>
          <w:sz w:val="20"/>
          <w:szCs w:val="20"/>
          <w:color w:val="auto"/>
        </w:rPr>
      </w:pPr>
    </w:p>
    <w:p>
      <w:pPr>
        <w:ind w:right="20" w:firstLine="1305"/>
        <w:spacing w:after="0" w:line="308" w:lineRule="auto"/>
        <w:tabs>
          <w:tab w:leader="none" w:pos="19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46" w:lineRule="exact"/>
        <w:rPr>
          <w:rFonts w:ascii="Arial" w:cs="Arial" w:eastAsia="Arial" w:hAnsi="Arial"/>
          <w:sz w:val="17"/>
          <w:szCs w:val="17"/>
          <w:color w:val="auto"/>
        </w:rPr>
      </w:pPr>
    </w:p>
    <w:p>
      <w:pPr>
        <w:ind w:right="20" w:firstLine="1305"/>
        <w:spacing w:after="0" w:line="342" w:lineRule="auto"/>
        <w:tabs>
          <w:tab w:leader="none" w:pos="19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w:t>
      </w:r>
    </w:p>
    <w:p>
      <w:pPr>
        <w:sectPr>
          <w:pgSz w:w="11900" w:h="16975" w:orient="portrait"/>
          <w:cols w:equalWidth="0" w:num="1">
            <w:col w:w="11400"/>
          </w:cols>
          <w:pgMar w:left="240" w:top="125"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General Partner.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or one of its Affiliates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66" w:lineRule="exact"/>
        <w:rPr>
          <w:rFonts w:ascii="Arial" w:cs="Arial" w:eastAsia="Arial" w:hAnsi="Arial"/>
          <w:sz w:val="16"/>
          <w:szCs w:val="16"/>
          <w:color w:val="auto"/>
        </w:rPr>
      </w:pPr>
    </w:p>
    <w:p>
      <w:pPr>
        <w:ind w:right="120" w:firstLine="1305"/>
        <w:spacing w:after="0" w:line="257"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8" w:lineRule="exact"/>
        <w:rPr>
          <w:rFonts w:ascii="Arial" w:cs="Arial" w:eastAsia="Arial" w:hAnsi="Arial"/>
          <w:sz w:val="18"/>
          <w:szCs w:val="18"/>
          <w:color w:val="auto"/>
        </w:rPr>
      </w:pPr>
    </w:p>
    <w:p>
      <w:pPr>
        <w:ind w:right="520" w:firstLine="1305"/>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Partner Interests may be transferred only in the manner described in this Section 4.5 or, with respect to the Series A Preferred Units, subject to 5.14(b)(viii).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transfer of any Limited Partner Interests and the admission of any new Limited Partner shall not constitute an amendment to this Agreement.</w:t>
      </w:r>
    </w:p>
    <w:p>
      <w:pPr>
        <w:spacing w:after="0" w:line="225" w:lineRule="exact"/>
        <w:rPr>
          <w:sz w:val="20"/>
          <w:szCs w:val="20"/>
          <w:color w:val="auto"/>
        </w:rPr>
      </w:pPr>
    </w:p>
    <w:p>
      <w:pPr>
        <w:ind w:firstLine="1305"/>
        <w:spacing w:after="0" w:line="264" w:lineRule="auto"/>
        <w:tabs>
          <w:tab w:leader="none" w:pos="19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General Partner and its Affiliates shall have the right at any time to transfer their Common Units to one or more Persons.</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4.6</w:t>
      </w:r>
      <w:r>
        <w:rPr>
          <w:rFonts w:ascii="Arial" w:cs="Arial" w:eastAsia="Arial" w:hAnsi="Arial"/>
          <w:sz w:val="16"/>
          <w:szCs w:val="16"/>
          <w:i w:val="1"/>
          <w:iCs w:val="1"/>
          <w:color w:val="auto"/>
        </w:rPr>
        <w:t>Transfer of the General Partner’s General Partner Interest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Section 4.6(b), the General Partner may transfer all or any part of its General Partner Interest without Unitholder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approval.</w:t>
      </w:r>
    </w:p>
    <w:p>
      <w:pPr>
        <w:spacing w:after="0" w:line="211" w:lineRule="exact"/>
        <w:rPr>
          <w:sz w:val="20"/>
          <w:szCs w:val="20"/>
          <w:color w:val="auto"/>
        </w:rPr>
      </w:pPr>
    </w:p>
    <w:p>
      <w:pPr>
        <w:ind w:right="40" w:firstLine="1305"/>
        <w:spacing w:after="0" w:line="285" w:lineRule="auto"/>
        <w:tabs>
          <w:tab w:leader="none" w:pos="1952"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2" w:lineRule="exact"/>
        <w:rPr>
          <w:rFonts w:ascii="Arial" w:cs="Arial" w:eastAsia="Arial" w:hAnsi="Arial"/>
          <w:sz w:val="16"/>
          <w:szCs w:val="16"/>
          <w:color w:val="auto"/>
        </w:rPr>
      </w:pPr>
    </w:p>
    <w:p>
      <w:pPr>
        <w:ind w:firstLine="8"/>
        <w:spacing w:after="0" w:line="295"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55"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2"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ectPr>
          <w:pgSz w:w="11900" w:h="16838" w:orient="portrait"/>
          <w:cols w:equalWidth="0" w:num="1">
            <w:col w:w="11400"/>
          </w:cols>
          <w:pgMar w:left="240" w:top="125" w:right="259" w:bottom="0" w:gutter="0" w:footer="0" w:header="0"/>
        </w:sectPr>
      </w:pPr>
    </w:p>
    <w:bookmarkStart w:id="21" w:name="page22"/>
    <w:bookmarkEnd w:id="21"/>
    <w:p>
      <w:pPr>
        <w:ind w:right="260" w:firstLine="1305"/>
        <w:spacing w:after="0" w:line="342" w:lineRule="auto"/>
        <w:tabs>
          <w:tab w:leader="none" w:pos="19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Citizenship Certificates; Non-citizen Assignees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7" w:lineRule="auto"/>
        <w:tabs>
          <w:tab w:leader="none" w:pos="19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 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72" w:lineRule="exact"/>
        <w:rPr>
          <w:rFonts w:ascii="Arial" w:cs="Arial" w:eastAsia="Arial" w:hAnsi="Arial"/>
          <w:sz w:val="16"/>
          <w:szCs w:val="16"/>
          <w:color w:val="auto"/>
        </w:rPr>
      </w:pPr>
    </w:p>
    <w:p>
      <w:pPr>
        <w:ind w:right="340" w:firstLine="1305"/>
        <w:spacing w:after="0" w:line="264"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600" w:firstLine="1305"/>
        <w:spacing w:after="0" w:line="342" w:lineRule="auto"/>
        <w:tabs>
          <w:tab w:leader="none" w:pos="19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24" w:lineRule="exact"/>
        <w:rPr>
          <w:sz w:val="20"/>
          <w:szCs w:val="20"/>
          <w:color w:val="auto"/>
        </w:rPr>
      </w:pPr>
    </w:p>
    <w:p>
      <w:pPr>
        <w:ind w:right="20" w:firstLine="1305"/>
        <w:spacing w:after="0" w:line="302" w:lineRule="auto"/>
        <w:tabs>
          <w:tab w:leader="none" w:pos="19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Redemption of Partnership Interests of Non-citizen Assignees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5" w:lineRule="auto"/>
        <w:tabs>
          <w:tab w:leader="none" w:pos="1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93" w:lineRule="exact"/>
        <w:rPr>
          <w:rFonts w:ascii="Arial" w:cs="Arial" w:eastAsia="Arial" w:hAnsi="Arial"/>
          <w:sz w:val="18"/>
          <w:szCs w:val="18"/>
          <w:color w:val="auto"/>
        </w:rPr>
      </w:pPr>
    </w:p>
    <w:p>
      <w:pPr>
        <w:ind w:left="1300" w:right="40" w:firstLine="653"/>
        <w:spacing w:after="0" w:line="272" w:lineRule="auto"/>
        <w:tabs>
          <w:tab w:leader="none" w:pos="26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77" w:lineRule="exact"/>
        <w:rPr>
          <w:rFonts w:ascii="Arial" w:cs="Arial" w:eastAsia="Arial" w:hAnsi="Arial"/>
          <w:sz w:val="17"/>
          <w:szCs w:val="17"/>
          <w:color w:val="auto"/>
        </w:rPr>
      </w:pPr>
    </w:p>
    <w:p>
      <w:pPr>
        <w:ind w:left="1300" w:firstLine="653"/>
        <w:spacing w:after="0" w:line="276" w:lineRule="auto"/>
        <w:tabs>
          <w:tab w:leader="none" w:pos="26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annual installments of principal together with accrued interest, commencing one year after the redemption date.</w:t>
      </w:r>
    </w:p>
    <w:p>
      <w:pPr>
        <w:spacing w:after="0" w:line="225" w:lineRule="exact"/>
        <w:rPr>
          <w:sz w:val="20"/>
          <w:szCs w:val="20"/>
          <w:color w:val="auto"/>
        </w:rPr>
      </w:pPr>
    </w:p>
    <w:p>
      <w:pPr>
        <w:ind w:left="1300" w:right="40" w:firstLine="653"/>
        <w:spacing w:after="0" w:line="259" w:lineRule="auto"/>
        <w:tabs>
          <w:tab w:leader="none" w:pos="2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Interests.</w:t>
      </w:r>
    </w:p>
    <w:p>
      <w:pPr>
        <w:spacing w:after="0" w:line="210" w:lineRule="exact"/>
        <w:rPr>
          <w:rFonts w:ascii="Arial" w:cs="Arial" w:eastAsia="Arial" w:hAnsi="Arial"/>
          <w:sz w:val="17"/>
          <w:szCs w:val="17"/>
          <w:color w:val="auto"/>
        </w:rPr>
      </w:pPr>
    </w:p>
    <w:p>
      <w:pPr>
        <w:ind w:right="220" w:firstLine="1305"/>
        <w:spacing w:after="0" w:line="277"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of this Section 4.10 shall also be applicable to Limited Partner Interests held by a Limited Partner or Assignee as nominee of a Person determined to be other than an Eligible Citizen.</w:t>
      </w:r>
    </w:p>
    <w:p>
      <w:pPr>
        <w:sectPr>
          <w:pgSz w:w="11900" w:h="16838" w:orient="portrait"/>
          <w:cols w:equalWidth="0" w:num="1">
            <w:col w:w="11420"/>
          </w:cols>
          <w:pgMar w:left="240" w:top="125" w:right="239" w:bottom="0" w:gutter="0" w:footer="0" w:header="0"/>
        </w:sectPr>
      </w:pPr>
    </w:p>
    <w:bookmarkStart w:id="22" w:name="page23"/>
    <w:bookmarkEnd w:id="22"/>
    <w:p>
      <w:pPr>
        <w:spacing w:after="0" w:line="103" w:lineRule="exact"/>
        <w:rPr>
          <w:sz w:val="20"/>
          <w:szCs w:val="20"/>
          <w:color w:val="auto"/>
        </w:rPr>
      </w:pPr>
    </w:p>
    <w:p>
      <w:pPr>
        <w:ind w:right="80" w:firstLine="1305"/>
        <w:spacing w:after="0" w:line="25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that he is an Eligible Citizen. If the transferee fails to make such certification, such redemption shall be effected from the transferee on the original redemption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AND ISSUANCE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Contributions by the General Partner.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Article XII, the General Partner shall not be obligated to make any additional Capital Contributions to the Partnership.</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Interest and Withdrawal</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4" w:lineRule="auto"/>
        <w:tabs>
          <w:tab w:leader="none" w:pos="194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Except as described below with respect to guaranteed payments with respect to Series B Preferred Units,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 the avoidance of doubt, the Series A Preferred Units will be treated as a partnership interest in the Partnership that is “convertible equity” within the meaning of Treasury Regulation Section 1.721-2(g)(3) and the Series B Preferred Units will be treated as a partnership interest in the Partnership, and, therefore, each holder of a Series A Preferred Unit or a Series B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reimbursable under the Series A Purchase Agreement. The initial Capital Account balance in respect of each Series B Preferred Unit shall be $1,000. The Capital Account balance of each holder of Series A Preferred Units in respect of its Series A Preferred Units shall not be increased or decreased as a result of the accrual and accumulation of an unpaid distribution pursuant to Section 5.14(b)(i)(B) or Section 5.14(b)(i)(C) in respect of such Series A Preferred Units except as otherwise provided in this Agreement. The Series B Preferred Units are entitled to a guaranteed payment for the use of capital under Section 707(c) of the Code, and therefore the Capital Account balance of each holder of Series B Preferred Units in respect of its Series B Preferred Units shall not be increased or decreased as a result of the accrual or payment of a distribution pursuant to Section 5.15(c)(i) in respect of such Series B Preferred Units, except (i) on any relevant date, the Capital Account of any Series B Preferred Unit shall also be deemed to include the amount of any Series B Unpaid Cash Distributions with respect to such Series B Preferred Unit as of such date or (ii) as otherwise provided in this Agreement.</w:t>
      </w:r>
    </w:p>
    <w:p>
      <w:pPr>
        <w:spacing w:after="0" w:line="180" w:lineRule="exact"/>
        <w:rPr>
          <w:rFonts w:ascii="Arial" w:cs="Arial" w:eastAsia="Arial" w:hAnsi="Arial"/>
          <w:sz w:val="16"/>
          <w:szCs w:val="16"/>
          <w:color w:val="auto"/>
        </w:rPr>
      </w:pPr>
    </w:p>
    <w:p>
      <w:pPr>
        <w:ind w:left="1960" w:hanging="655"/>
        <w:spacing w:after="0"/>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purposes of computing the amount of any item of income, gain, loss or deduction which is to be allocated pursuant to</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40" w:firstLine="653"/>
        <w:spacing w:after="0" w:line="312" w:lineRule="auto"/>
        <w:tabs>
          <w:tab w:leader="none" w:pos="2618" w:val="left"/>
        </w:tabs>
        <w:numPr>
          <w:ilvl w:val="0"/>
          <w:numId w:val="33"/>
        </w:numPr>
        <w:rPr>
          <w:rFonts w:ascii="Arial" w:cs="Arial" w:eastAsia="Arial" w:hAnsi="Arial"/>
          <w:sz w:val="16"/>
          <w:szCs w:val="16"/>
          <w:color w:val="auto"/>
        </w:rPr>
      </w:pPr>
      <w:r>
        <w:rPr>
          <w:rFonts w:ascii="Arial" w:cs="Arial" w:eastAsia="Arial" w:hAnsi="Arial"/>
          <w:sz w:val="16"/>
          <w:szCs w:val="16"/>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46" w:lineRule="exact"/>
        <w:rPr>
          <w:rFonts w:ascii="Arial" w:cs="Arial" w:eastAsia="Arial" w:hAnsi="Arial"/>
          <w:sz w:val="16"/>
          <w:szCs w:val="16"/>
          <w:color w:val="auto"/>
        </w:rPr>
      </w:pPr>
    </w:p>
    <w:p>
      <w:pPr>
        <w:ind w:left="1300" w:firstLine="653"/>
        <w:spacing w:after="0" w:line="312" w:lineRule="auto"/>
        <w:tabs>
          <w:tab w:leader="none" w:pos="262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46" w:lineRule="exact"/>
        <w:rPr>
          <w:rFonts w:ascii="Arial" w:cs="Arial" w:eastAsia="Arial" w:hAnsi="Arial"/>
          <w:sz w:val="16"/>
          <w:szCs w:val="16"/>
          <w:color w:val="auto"/>
        </w:rPr>
      </w:pPr>
    </w:p>
    <w:p>
      <w:pPr>
        <w:ind w:left="1300" w:right="160" w:firstLine="653"/>
        <w:spacing w:after="0" w:line="297" w:lineRule="auto"/>
        <w:tabs>
          <w:tab w:leader="none" w:pos="2637"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w:t>
      </w:r>
    </w:p>
    <w:p>
      <w:pPr>
        <w:sectPr>
          <w:pgSz w:w="11900" w:h="16941" w:orient="portrait"/>
          <w:cols w:equalWidth="0" w:num="1">
            <w:col w:w="11420"/>
          </w:cols>
          <w:pgMar w:left="240" w:top="125" w:right="239" w:bottom="0" w:gutter="0" w:footer="0" w:header="0"/>
        </w:sectPr>
      </w:pPr>
    </w:p>
    <w:bookmarkStart w:id="23" w:name="page24"/>
    <w:bookmarkEnd w:id="23"/>
    <w:p>
      <w:pPr>
        <w:spacing w:after="0" w:line="114" w:lineRule="exact"/>
        <w:rPr>
          <w:sz w:val="20"/>
          <w:szCs w:val="20"/>
          <w:color w:val="auto"/>
        </w:rPr>
      </w:pPr>
    </w:p>
    <w:p>
      <w:pPr>
        <w:ind w:left="1260"/>
        <w:spacing w:after="0" w:line="277" w:lineRule="auto"/>
        <w:rPr>
          <w:sz w:val="20"/>
          <w:szCs w:val="20"/>
          <w:color w:val="auto"/>
        </w:rPr>
      </w:pPr>
      <w:r>
        <w:rPr>
          <w:rFonts w:ascii="Arial" w:cs="Arial" w:eastAsia="Arial" w:hAnsi="Arial"/>
          <w:sz w:val="18"/>
          <w:szCs w:val="18"/>
          <w:color w:val="auto"/>
        </w:rPr>
        <w:t>Treasury Regulation Section 1.704-1(b)(2)(iv)(m), to be taken into account in determining Capital Accounts, the amount of such adjustment in the Capital Accounts shall be treated as an item of gain or loss.</w:t>
      </w:r>
    </w:p>
    <w:p>
      <w:pPr>
        <w:spacing w:after="0" w:line="170" w:lineRule="exact"/>
        <w:rPr>
          <w:sz w:val="20"/>
          <w:szCs w:val="20"/>
          <w:color w:val="auto"/>
        </w:rPr>
      </w:pPr>
    </w:p>
    <w:p>
      <w:pPr>
        <w:ind w:left="1260" w:right="80" w:firstLine="653"/>
        <w:spacing w:after="0" w:line="264" w:lineRule="auto"/>
        <w:tabs>
          <w:tab w:leader="none" w:pos="25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81" w:lineRule="exact"/>
        <w:rPr>
          <w:rFonts w:ascii="Arial" w:cs="Arial" w:eastAsia="Arial" w:hAnsi="Arial"/>
          <w:sz w:val="18"/>
          <w:szCs w:val="18"/>
          <w:color w:val="auto"/>
        </w:rPr>
      </w:pPr>
    </w:p>
    <w:p>
      <w:pPr>
        <w:ind w:left="1260" w:right="120" w:firstLine="653"/>
        <w:spacing w:after="0" w:line="289" w:lineRule="auto"/>
        <w:tabs>
          <w:tab w:leader="none" w:pos="25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100" w:firstLine="653"/>
        <w:spacing w:after="0" w:line="276" w:lineRule="auto"/>
        <w:tabs>
          <w:tab w:leader="none" w:pos="2573"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72" w:lineRule="exact"/>
        <w:rPr>
          <w:rFonts w:ascii="Arial" w:cs="Arial" w:eastAsia="Arial" w:hAnsi="Arial"/>
          <w:sz w:val="17"/>
          <w:szCs w:val="17"/>
          <w:color w:val="auto"/>
        </w:rPr>
      </w:pPr>
    </w:p>
    <w:p>
      <w:pPr>
        <w:ind w:left="-40" w:firstLine="1305"/>
        <w:spacing w:after="0" w:line="271" w:lineRule="auto"/>
        <w:tabs>
          <w:tab w:leader="none" w:pos="19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otherwise provided in this Section 5.5(c), a transferee of a Partnership Interest shall succeed to a pro rata portion of the Capital Account of the transferor relating to the Partnership Interest so transferred. Immediately prior to the transfer of an AAP Common Unit (other than a transfer to an Affiliate unless the General Partner elects to have this subparagraph 5.5(c) apply), the Capital Account maintained for such AAP Common Unit will (A) first, be allocated to the Units to be transferred in an amount equal to the product of (x) the number of such Units to be transferred and (y) the Per Unit Capital Amount for an Initial Common Unit, and (B) second, any remaining balance in such Capital Account will be retained by the transferor, regardless of whether it has retained any Units. Following any such allocation, the transferor’s Capital Account, if any, maintained with respect to the retained AAP Common Units, if any, will have a balance equal to the amount allocated under clause (B) above, and the transferee’s Capital Account established with respect to the transferred Units will have a balance equal to the amount allocated under clause (A) above.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1260" w:right="20" w:firstLine="653"/>
        <w:spacing w:after="0" w:line="286" w:lineRule="auto"/>
        <w:tabs>
          <w:tab w:leader="none" w:pos="25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on an issuance of additional Partnership Interests for cash or Contributed Property (including a deemed issuance of Series A Preferred Units for cash pursuant to Section 5.14(b)(i)(F)), the PAA/AAP Interest Restructuring (as such term is defined in the Simplification Agreement) or the conversion of the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260"/>
        <w:spacing w:after="0" w:line="259" w:lineRule="auto"/>
        <w:rPr>
          <w:sz w:val="20"/>
          <w:szCs w:val="20"/>
          <w:color w:val="auto"/>
        </w:rPr>
      </w:pPr>
      <w:r>
        <w:rPr>
          <w:rFonts w:ascii="Arial" w:cs="Arial" w:eastAsia="Arial" w:hAnsi="Arial"/>
          <w:sz w:val="18"/>
          <w:szCs w:val="18"/>
          <w:color w:val="auto"/>
        </w:rPr>
        <w:t>Unrealized Gain or Unrealized Loss that has not been reflected in the Partners’ Capital Accounts previously, consistent with the methodology of Treasury Regulation Section 1.704-1(b)(2)(iv)(h)(2). The General Partner shall allocate such aggregate value among the assets of the Partnership (in such manner as it determines in its discretion to be reasonable) to arrive at a fair market value for individual properties.</w:t>
      </w:r>
    </w:p>
    <w:p>
      <w:pPr>
        <w:spacing w:after="0" w:line="187" w:lineRule="exact"/>
        <w:rPr>
          <w:sz w:val="20"/>
          <w:szCs w:val="20"/>
          <w:color w:val="auto"/>
        </w:rPr>
      </w:pPr>
    </w:p>
    <w:p>
      <w:pPr>
        <w:ind w:left="1260" w:right="20" w:firstLine="653"/>
        <w:spacing w:after="0" w:line="283" w:lineRule="auto"/>
        <w:tabs>
          <w:tab w:leader="none" w:pos="25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 been recognized on an actual sale of each such property immediately prior to such distribution for an amount equal to its fair market value.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w:t>
      </w:r>
    </w:p>
    <w:p>
      <w:pPr>
        <w:spacing w:after="0" w:line="6" w:lineRule="exact"/>
        <w:rPr>
          <w:rFonts w:ascii="Arial" w:cs="Arial" w:eastAsia="Arial" w:hAnsi="Arial"/>
          <w:sz w:val="16"/>
          <w:szCs w:val="16"/>
          <w:color w:val="auto"/>
        </w:rPr>
      </w:pPr>
    </w:p>
    <w:p>
      <w:pPr>
        <w:ind w:left="1260" w:right="600" w:firstLine="5"/>
        <w:spacing w:after="0" w:line="261" w:lineRule="auto"/>
        <w:tabs>
          <w:tab w:leader="none" w:pos="14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(B) in the case of a liquidating distribution pursuant to Section 12.4, be determined and allocated by the Liquidator using such reasonable method of valuation as it may adopt.</w:t>
      </w:r>
    </w:p>
    <w:p>
      <w:pPr>
        <w:spacing w:after="0" w:line="183" w:lineRule="exact"/>
        <w:rPr>
          <w:rFonts w:ascii="Arial" w:cs="Arial" w:eastAsia="Arial" w:hAnsi="Arial"/>
          <w:sz w:val="18"/>
          <w:szCs w:val="18"/>
          <w:color w:val="auto"/>
        </w:rPr>
      </w:pPr>
    </w:p>
    <w:p>
      <w:pPr>
        <w:ind w:left="1260" w:right="40" w:firstLine="653"/>
        <w:spacing w:after="0" w:line="312" w:lineRule="auto"/>
        <w:tabs>
          <w:tab w:leader="none" w:pos="25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w:t>
      </w:r>
    </w:p>
    <w:p>
      <w:pPr>
        <w:sectPr>
          <w:pgSz w:w="11900" w:h="16952" w:orient="portrait"/>
          <w:cols w:equalWidth="0" w:num="1">
            <w:col w:w="11360"/>
          </w:cols>
          <w:pgMar w:left="280" w:top="125" w:right="259" w:bottom="0" w:gutter="0" w:footer="0" w:header="0"/>
        </w:sectPr>
      </w:pPr>
    </w:p>
    <w:bookmarkStart w:id="24" w:name="page25"/>
    <w:bookmarkEnd w:id="24"/>
    <w:p>
      <w:pPr>
        <w:ind w:left="1300"/>
        <w:spacing w:after="0" w:line="253" w:lineRule="auto"/>
        <w:rPr>
          <w:sz w:val="20"/>
          <w:szCs w:val="20"/>
          <w:color w:val="auto"/>
        </w:rPr>
      </w:pPr>
      <w:r>
        <w:rPr>
          <w:rFonts w:ascii="Arial" w:cs="Arial" w:eastAsia="Arial" w:hAnsi="Arial"/>
          <w:sz w:val="18"/>
          <w:szCs w:val="18"/>
          <w:color w:val="auto"/>
        </w:rPr>
        <w:t>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Pro Rata to each Partner holding Series A Conversion Units received upon such conversion until the Capital Account of each such Series A Conversion Unit is equal to the Per Unit Capital Amount for a then Outstanding Initial Common Unit; and (B) second, any remaining Unrealized Gain or Unrealized Loss had been allocated to the Partners at such time pursuant to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0" w:lineRule="auto"/>
        <w:rPr>
          <w:sz w:val="20"/>
          <w:szCs w:val="20"/>
          <w:color w:val="auto"/>
        </w:rPr>
      </w:pPr>
      <w:r>
        <w:rPr>
          <w:rFonts w:ascii="Arial" w:cs="Arial" w:eastAsia="Arial" w:hAnsi="Arial"/>
          <w:sz w:val="17"/>
          <w:szCs w:val="17"/>
          <w:color w:val="auto"/>
        </w:rPr>
        <w:t xml:space="preserve">reasonable method of valuation as it may adopt;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1.704-1(b)(2)(iv)(h)(2). The General Partner shall allocate such aggregate value among the assets of the Partnership in such manner as it determines in its discretion to be reasonable. If, after making the allocations of Unrealized Gain and Unrealized Loss as set forth above in this Section 5.5(d)(iii),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 respect to each such Series A Conversion Unit, the Per Unit Capital Amount for a then Outstanding Initial Common Unit.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i w:val="1"/>
          <w:iCs w:val="1"/>
          <w:color w:val="auto"/>
        </w:rPr>
        <w:t>Issuances of Additional Partnership Securities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Section 5.6(d) below and subject to any approvals required by Section 5.14(b)(iv) and Section 5.15(c)(ii),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6" w:lineRule="exact"/>
        <w:rPr>
          <w:rFonts w:ascii="Arial" w:cs="Arial" w:eastAsia="Arial" w:hAnsi="Arial"/>
          <w:sz w:val="18"/>
          <w:szCs w:val="18"/>
          <w:color w:val="auto"/>
        </w:rPr>
      </w:pPr>
    </w:p>
    <w:p>
      <w:pPr>
        <w:ind w:right="100" w:firstLine="1305"/>
        <w:spacing w:after="0" w:line="290" w:lineRule="auto"/>
        <w:tabs>
          <w:tab w:leader="none" w:pos="19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General Partner is hereby authorized and directed to take all actions that it deems necessary or appropriate in connection with</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issuance of Partnership Securities and options, rights, warrants and appreciation rights relating to Partnership Securities pursuant to this Section 5.6,</w:t>
      </w:r>
    </w:p>
    <w:p>
      <w:pPr>
        <w:spacing w:after="0" w:line="32" w:lineRule="exact"/>
        <w:rPr>
          <w:rFonts w:ascii="Arial" w:cs="Arial" w:eastAsia="Arial" w:hAnsi="Arial"/>
          <w:sz w:val="16"/>
          <w:szCs w:val="16"/>
          <w:color w:val="auto"/>
        </w:rPr>
      </w:pPr>
    </w:p>
    <w:p>
      <w:pPr>
        <w:ind w:right="80"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conversion of the Combined Interest into Units pursuant to the terms of this Agreement, (iii) the admission of Additional Limited Partners and (iv) all additional issuances of Partnership Securities. The General Partner is further authorized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Combined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73" w:lineRule="exact"/>
        <w:rPr>
          <w:sz w:val="20"/>
          <w:szCs w:val="20"/>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fractional Units shall be issued by the Partnership.</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Right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 Person shall have any preemptive, preferential or other similar right with respect to the issuance of any Partnership Security, whether unissued, held in the treasury or hereafter created.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i w:val="1"/>
          <w:iCs w:val="1"/>
          <w:color w:val="auto"/>
        </w:rPr>
        <w:t>Splits and Combinations</w:t>
      </w:r>
      <w:r>
        <w:rPr>
          <w:rFonts w:ascii="Arial" w:cs="Arial" w:eastAsia="Arial" w:hAnsi="Arial"/>
          <w:sz w:val="16"/>
          <w:szCs w:val="16"/>
          <w:color w:val="auto"/>
        </w:rPr>
        <w:t>.</w:t>
      </w:r>
    </w:p>
    <w:p>
      <w:pPr>
        <w:spacing w:after="0" w:line="225" w:lineRule="exact"/>
        <w:rPr>
          <w:sz w:val="20"/>
          <w:szCs w:val="20"/>
          <w:color w:val="auto"/>
        </w:rPr>
      </w:pPr>
    </w:p>
    <w:p>
      <w:pPr>
        <w:ind w:right="280" w:firstLine="1305"/>
        <w:spacing w:after="0" w:line="257" w:lineRule="auto"/>
        <w:tabs>
          <w:tab w:leader="none" w:pos="19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Sections 5.10(d) and 5.14(b)(vi)(E),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 additional Parity Units that may be issued pursuant to Section 5.6(d) without a Unitholder vote) are proportionately adjusted retroactive to the beginning of the Partnership.</w:t>
      </w:r>
    </w:p>
    <w:p>
      <w:pPr>
        <w:sectPr>
          <w:pgSz w:w="11900" w:h="16838" w:orient="portrait"/>
          <w:cols w:equalWidth="0" w:num="1">
            <w:col w:w="11400"/>
          </w:cols>
          <w:pgMar w:left="240" w:top="125" w:right="259" w:bottom="0" w:gutter="0" w:footer="0" w:header="0"/>
          <w:type w:val="continuous"/>
        </w:sectPr>
      </w:pPr>
    </w:p>
    <w:bookmarkStart w:id="25" w:name="page26"/>
    <w:bookmarkEnd w:id="25"/>
    <w:p>
      <w:pPr>
        <w:ind w:firstLine="1305"/>
        <w:spacing w:after="0" w:line="255"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more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93" w:lineRule="exact"/>
        <w:rPr>
          <w:rFonts w:ascii="Arial" w:cs="Arial" w:eastAsia="Arial" w:hAnsi="Arial"/>
          <w:sz w:val="18"/>
          <w:szCs w:val="18"/>
          <w:color w:val="auto"/>
        </w:rPr>
      </w:pPr>
    </w:p>
    <w:p>
      <w:pPr>
        <w:ind w:right="80" w:firstLine="1305"/>
        <w:spacing w:after="0" w:line="257"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Certificate, or other evidence of the issuance of uncertificated Units, the surrender of any Certificate, or other evidence of the issuance of uncertificated Units, held by such Record Holder immediately prior to such Record Date.</w:t>
      </w:r>
    </w:p>
    <w:p>
      <w:pPr>
        <w:spacing w:after="0" w:line="170" w:lineRule="exact"/>
        <w:rPr>
          <w:sz w:val="20"/>
          <w:szCs w:val="20"/>
          <w:color w:val="auto"/>
        </w:rPr>
      </w:pPr>
    </w:p>
    <w:p>
      <w:pPr>
        <w:ind w:right="360" w:firstLine="1305"/>
        <w:spacing w:after="0" w:line="286" w:lineRule="auto"/>
        <w:tabs>
          <w:tab w:leader="none" w:pos="19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i w:val="1"/>
          <w:iCs w:val="1"/>
          <w:color w:val="auto"/>
        </w:rPr>
        <w:t>Fully Paid and Non-Assessable Nature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Establishment of Series A Preferred Units.</w:t>
      </w:r>
    </w:p>
    <w:p>
      <w:pPr>
        <w:spacing w:after="0" w:line="200" w:lineRule="exact"/>
        <w:rPr>
          <w:sz w:val="20"/>
          <w:szCs w:val="20"/>
          <w:color w:val="auto"/>
        </w:rPr>
      </w:pPr>
    </w:p>
    <w:p>
      <w:pPr>
        <w:sectPr>
          <w:pgSz w:w="11900" w:h="168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right="80" w:firstLine="1305"/>
        <w:spacing w:after="0" w:line="273" w:lineRule="auto"/>
        <w:tabs>
          <w:tab w:leader="none" w:pos="1942"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Partnership hereby designates and creates a series of Units to be designated as “Series A Convertible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Units” (such Series A Convertible Preferred Units, together with any Series A PIK Units, the “</w:t>
      </w:r>
      <w:r>
        <w:rPr>
          <w:rFonts w:ascii="Arial" w:cs="Arial" w:eastAsia="Arial" w:hAnsi="Arial"/>
          <w:sz w:val="17"/>
          <w:szCs w:val="17"/>
          <w:i w:val="1"/>
          <w:iCs w:val="1"/>
          <w:color w:val="auto"/>
        </w:rPr>
        <w:t>Series A Preferred Units</w:t>
      </w:r>
      <w:r>
        <w:rPr>
          <w:rFonts w:ascii="Arial" w:cs="Arial" w:eastAsia="Arial" w:hAnsi="Arial"/>
          <w:sz w:val="17"/>
          <w:szCs w:val="17"/>
          <w:color w:val="auto"/>
        </w:rPr>
        <w:t>”), having the same rights, preferences and privileges, and subject to the same duties and obligations, as the Common Units, except as set forth in this Section 5.14 and in Sections 5.5, 6.1 and 12.4. However, in the 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78" w:lineRule="exact"/>
        <w:rPr>
          <w:rFonts w:ascii="Arial" w:cs="Arial" w:eastAsia="Arial" w:hAnsi="Arial"/>
          <w:sz w:val="17"/>
          <w:szCs w:val="17"/>
          <w:color w:val="auto"/>
        </w:rPr>
      </w:pPr>
    </w:p>
    <w:p>
      <w:pPr>
        <w:ind w:right="60" w:firstLine="1305"/>
        <w:spacing w:after="0" w:line="27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Rights of Series A Preferred Units</w:t>
      </w:r>
      <w:r>
        <w:rPr>
          <w:rFonts w:ascii="Arial" w:cs="Arial" w:eastAsia="Arial" w:hAnsi="Arial"/>
          <w:sz w:val="18"/>
          <w:szCs w:val="18"/>
          <w:color w:val="auto"/>
        </w:rPr>
        <w:t>. The Series A Preferred Units shall have the following rights, preferences and privileges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Unitholders shall be subject to the following duties and obligations: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160" w:firstLine="641"/>
        <w:spacing w:after="0" w:line="255" w:lineRule="auto"/>
        <w:tabs>
          <w:tab w:leader="none" w:pos="3277"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Commencing with the Quarter ending on March 31, 2016, the holders of the Series A Preferred Units as of an applicable Record Date shall be entitled to receive cumulative distributions (each, a “</w:t>
      </w:r>
      <w:r>
        <w:rPr>
          <w:rFonts w:ascii="Arial" w:cs="Arial" w:eastAsia="Arial" w:hAnsi="Arial"/>
          <w:sz w:val="18"/>
          <w:szCs w:val="18"/>
          <w:i w:val="1"/>
          <w:iCs w:val="1"/>
          <w:color w:val="auto"/>
        </w:rPr>
        <w:t>Series A Quarterly Distribution</w:t>
      </w:r>
      <w:r>
        <w:rPr>
          <w:rFonts w:ascii="Arial" w:cs="Arial" w:eastAsia="Arial" w:hAnsi="Arial"/>
          <w:sz w:val="18"/>
          <w:szCs w:val="18"/>
          <w:color w:val="auto"/>
        </w:rPr>
        <w:t>”), prior to any other distributions made in respect of any other Partnership Interests pursuant to Section 6.3, in the amount set forth in this Section 5.14(b)(i)(A) in respect of each Outstanding Series A Preferred Unit. With respect to any Quarter (or portion thereof for which a Series A Quarterly Distribution is due) ending on or prior to December 31, 2017 (the “</w:t>
      </w:r>
      <w:r>
        <w:rPr>
          <w:rFonts w:ascii="Arial" w:cs="Arial" w:eastAsia="Arial" w:hAnsi="Arial"/>
          <w:sz w:val="18"/>
          <w:szCs w:val="18"/>
          <w:i w:val="1"/>
          <w:iCs w:val="1"/>
          <w:color w:val="auto"/>
        </w:rPr>
        <w:t>Initial Distribution Period</w:t>
      </w:r>
      <w:r>
        <w:rPr>
          <w:rFonts w:ascii="Arial" w:cs="Arial" w:eastAsia="Arial" w:hAnsi="Arial"/>
          <w:sz w:val="18"/>
          <w:szCs w:val="18"/>
          <w:color w:val="auto"/>
        </w:rPr>
        <w:t>”), such Series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20"/>
        <w:spacing w:after="0" w:line="284" w:lineRule="auto"/>
        <w:rPr>
          <w:sz w:val="20"/>
          <w:szCs w:val="20"/>
          <w:color w:val="auto"/>
        </w:rPr>
      </w:pPr>
      <w:r>
        <w:rPr>
          <w:rFonts w:ascii="Arial" w:cs="Arial" w:eastAsia="Arial" w:hAnsi="Arial"/>
          <w:sz w:val="16"/>
          <w:szCs w:val="16"/>
          <w:color w:val="auto"/>
        </w:rPr>
        <w:t>Quarterly Distribution may be paid, in the sole discretion of the General Partner, in Series A PIK Units, in cash, or in a combination of Series A PIK Units and cash. For any Quarter ending after the Initial Distribution Period, all Series A Quarterly Distributions shall be paid in cash. The Series A Distribution Amount for the Quarter ending March 31, 2016 shall be prorated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w:t>
      </w:r>
    </w:p>
    <w:p>
      <w:pPr>
        <w:spacing w:after="0" w:line="5" w:lineRule="exact"/>
        <w:rPr>
          <w:sz w:val="20"/>
          <w:szCs w:val="20"/>
          <w:color w:val="auto"/>
        </w:rPr>
      </w:pPr>
    </w:p>
    <w:p>
      <w:pPr>
        <w:ind w:left="1960" w:right="20" w:hanging="7"/>
        <w:spacing w:after="0" w:line="286" w:lineRule="auto"/>
        <w:tabs>
          <w:tab w:leader="none" w:pos="2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applicable Series A Distribution Amount (or portion thereof to be paid in Series A PIK Units) divided by (B) the Series A Issue Price;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 which shall in turn be based on the value of a comparable fraction of the number of Series A Conversion Units into which such Series A PIK Unit would be convertible at the applicable Series A Conversion Rate on the Record Date for such Series A Quarterly Distribution). All such distributions shall be paid quarterly within forty-five (45) days after the end of each Quarter. The Series A Quarterly Distribution on each Outstanding Series A Preferred Unit shall be equal to the sum of (i) the Series A Distribution Amount, and (ii) any unpaid Series A Unpaid Cash Distributions. If the Partnership establishes a Record Date for any distribution to be made by the Partnership on other Partnership Interests pursuant to Section 6.3 in respect of any Quarter, then the Record Date established pursuant to this Section 5.14(b)(i) for a Series A Quarterly Distribution in respect of such Quarter shall be the same</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line="95" w:lineRule="exact"/>
        <w:rPr>
          <w:sz w:val="20"/>
          <w:szCs w:val="20"/>
          <w:color w:val="auto"/>
        </w:rPr>
      </w:pPr>
    </w:p>
    <w:p>
      <w:pPr>
        <w:ind w:left="760" w:right="500"/>
        <w:spacing w:after="0" w:line="277" w:lineRule="auto"/>
        <w:rPr>
          <w:sz w:val="20"/>
          <w:szCs w:val="20"/>
          <w:color w:val="auto"/>
        </w:rPr>
      </w:pPr>
      <w:r>
        <w:rPr>
          <w:rFonts w:ascii="Arial" w:cs="Arial" w:eastAsia="Arial" w:hAnsi="Arial"/>
          <w:sz w:val="18"/>
          <w:szCs w:val="18"/>
          <w:color w:val="auto"/>
        </w:rPr>
        <w:t>Record Date. Unless otherwise expressly provided, references in this Agreement to Series A Preferred Units shall include all Series A PIK Units Outstanding as of any date of such determination.</w:t>
      </w:r>
    </w:p>
    <w:p>
      <w:pPr>
        <w:spacing w:after="0" w:line="170" w:lineRule="exact"/>
        <w:rPr>
          <w:sz w:val="20"/>
          <w:szCs w:val="20"/>
          <w:color w:val="auto"/>
        </w:rPr>
      </w:pPr>
    </w:p>
    <w:p>
      <w:pPr>
        <w:ind w:left="760" w:right="40" w:firstLine="641"/>
        <w:spacing w:after="0" w:line="288" w:lineRule="auto"/>
        <w:tabs>
          <w:tab w:leader="none" w:pos="206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ind w:left="760" w:hanging="7"/>
        <w:spacing w:after="0" w:line="254" w:lineRule="auto"/>
        <w:tabs>
          <w:tab w:leader="none" w:pos="10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receive Series A Quarterly Distributions in subsequent Quarters on such unpaid Series A PIK Units, (III) receive the liquidation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w:t>
      </w:r>
    </w:p>
    <w:p>
      <w:pPr>
        <w:spacing w:after="0" w:line="1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spacing w:after="0" w:line="272" w:lineRule="auto"/>
        <w:rPr>
          <w:sz w:val="20"/>
          <w:szCs w:val="20"/>
          <w:color w:val="auto"/>
        </w:rPr>
      </w:pPr>
      <w:r>
        <w:rPr>
          <w:rFonts w:ascii="Arial" w:cs="Arial" w:eastAsia="Arial" w:hAnsi="Arial"/>
          <w:sz w:val="17"/>
          <w:szCs w:val="17"/>
          <w:color w:val="auto"/>
        </w:rPr>
        <w:t>Distribution in cash when due for any Quarter following the Initial Distribution Period, then from and after the first date of such failure and continuing until such failure is cured by payment in full in cash of all such arrearages, (y) the amount of such unpaid cash distributions (“</w:t>
      </w:r>
      <w:r>
        <w:rPr>
          <w:rFonts w:ascii="Arial" w:cs="Arial" w:eastAsia="Arial" w:hAnsi="Arial"/>
          <w:sz w:val="17"/>
          <w:szCs w:val="17"/>
          <w:i w:val="1"/>
          <w:iCs w:val="1"/>
          <w:color w:val="auto"/>
        </w:rPr>
        <w:t>Series A Unpaid Cash Distributions</w:t>
      </w:r>
      <w:r>
        <w:rPr>
          <w:rFonts w:ascii="Arial" w:cs="Arial" w:eastAsia="Arial" w:hAnsi="Arial"/>
          <w:sz w:val="17"/>
          <w:szCs w:val="17"/>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78" w:lineRule="exact"/>
        <w:rPr>
          <w:sz w:val="20"/>
          <w:szCs w:val="20"/>
          <w:color w:val="auto"/>
        </w:rPr>
      </w:pPr>
    </w:p>
    <w:p>
      <w:pPr>
        <w:ind w:left="760" w:right="60" w:firstLine="641"/>
        <w:spacing w:after="0" w:line="291" w:lineRule="auto"/>
        <w:tabs>
          <w:tab w:leader="none" w:pos="206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aggregate Series A Distribution Amount (excluding any portion paid in kind)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 6.3. To the extent that any portion of a Series A Quarterly Distribution to be paid in cash with respect to any Quarter exceeds the amount of Available Cash for such Quarter, an amount of cash equal to the Available Cash for such Quarter will be paid to the Series A Preferred Unitholders Pro Rata and the balance of such Series A Quarterly Distribution shall be unpaid and shall constitute an arrearage and shall accrue and accumulate as set forth in Section 5.14(b)(i)(B).</w:t>
      </w:r>
    </w:p>
    <w:p>
      <w:pPr>
        <w:spacing w:after="0" w:line="167" w:lineRule="exact"/>
        <w:rPr>
          <w:rFonts w:ascii="Arial" w:cs="Arial" w:eastAsia="Arial" w:hAnsi="Arial"/>
          <w:sz w:val="16"/>
          <w:szCs w:val="16"/>
          <w:color w:val="auto"/>
        </w:rPr>
      </w:pPr>
    </w:p>
    <w:p>
      <w:pPr>
        <w:ind w:left="760" w:right="60" w:firstLine="641"/>
        <w:spacing w:after="0" w:line="254" w:lineRule="auto"/>
        <w:tabs>
          <w:tab w:leader="none" w:pos="20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 Preferred Units that have converted into Common Units, only the distribution in respect of such Common Units with respect to such period.</w:t>
      </w:r>
    </w:p>
    <w:p>
      <w:pPr>
        <w:spacing w:after="0" w:line="192" w:lineRule="exact"/>
        <w:rPr>
          <w:rFonts w:ascii="Arial" w:cs="Arial" w:eastAsia="Arial" w:hAnsi="Arial"/>
          <w:sz w:val="18"/>
          <w:szCs w:val="18"/>
          <w:color w:val="auto"/>
        </w:rPr>
      </w:pPr>
    </w:p>
    <w:p>
      <w:pPr>
        <w:ind w:left="760" w:firstLine="641"/>
        <w:spacing w:after="0" w:line="288" w:lineRule="auto"/>
        <w:tabs>
          <w:tab w:leader="none" w:pos="2070" w:val="left"/>
        </w:tabs>
        <w:numPr>
          <w:ilvl w:val="1"/>
          <w:numId w:val="50"/>
        </w:numPr>
        <w:rPr>
          <w:rFonts w:ascii="Arial" w:cs="Arial" w:eastAsia="Arial" w:hAnsi="Arial"/>
          <w:sz w:val="16"/>
          <w:szCs w:val="16"/>
          <w:color w:val="auto"/>
        </w:rPr>
      </w:pPr>
      <w:r>
        <w:rPr>
          <w:rFonts w:ascii="Arial" w:cs="Arial" w:eastAsia="Arial" w:hAnsi="Arial"/>
          <w:sz w:val="16"/>
          <w:szCs w:val="16"/>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Arial" w:cs="Arial" w:eastAsia="Arial" w:hAnsi="Arial"/>
          <w:sz w:val="16"/>
          <w:szCs w:val="16"/>
          <w:i w:val="1"/>
          <w:iCs w:val="1"/>
          <w:color w:val="auto"/>
        </w:rPr>
        <w:t>Series A PIK Payment Date</w:t>
      </w:r>
      <w:r>
        <w:rPr>
          <w:rFonts w:ascii="Arial" w:cs="Arial" w:eastAsia="Arial" w:hAnsi="Arial"/>
          <w:sz w:val="16"/>
          <w:szCs w:val="16"/>
          <w:color w:val="auto"/>
        </w:rPr>
        <w:t>”). On the Series A PIK Payment Date, the Partnership shall have the option to</w:t>
      </w:r>
    </w:p>
    <w:p>
      <w:pPr>
        <w:ind w:left="960" w:hanging="207"/>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to such Series A Preferred</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spacing w:after="0" w:line="276" w:lineRule="auto"/>
        <w:rPr>
          <w:sz w:val="20"/>
          <w:szCs w:val="20"/>
          <w:color w:val="auto"/>
        </w:rPr>
      </w:pPr>
      <w:r>
        <w:rPr>
          <w:rFonts w:ascii="Arial" w:cs="Arial" w:eastAsia="Arial" w:hAnsi="Arial"/>
          <w:sz w:val="17"/>
          <w:szCs w:val="17"/>
          <w:color w:val="auto"/>
        </w:rPr>
        <w:t>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73" w:lineRule="exact"/>
        <w:rPr>
          <w:sz w:val="20"/>
          <w:szCs w:val="20"/>
          <w:color w:val="auto"/>
        </w:rPr>
      </w:pPr>
    </w:p>
    <w:p>
      <w:pPr>
        <w:ind w:left="760" w:right="60" w:firstLine="641"/>
        <w:spacing w:after="0" w:line="255" w:lineRule="auto"/>
        <w:tabs>
          <w:tab w:leader="none" w:pos="20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purposes of maintaining Capital Accounts, if the Partnership issues one or more Series A PIK Units with respect to a Series A Preferred Unit, (i) the Partnership shall be treated as distributing cash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w:t>
      </w:r>
    </w:p>
    <w:p>
      <w:pPr>
        <w:spacing w:after="0" w:line="189" w:lineRule="exact"/>
        <w:rPr>
          <w:rFonts w:ascii="Arial" w:cs="Arial" w:eastAsia="Arial" w:hAnsi="Arial"/>
          <w:sz w:val="18"/>
          <w:szCs w:val="18"/>
          <w:color w:val="auto"/>
        </w:rPr>
      </w:pPr>
    </w:p>
    <w:p>
      <w:pPr>
        <w:ind w:left="100" w:right="20" w:firstLine="653"/>
        <w:spacing w:after="0" w:line="277" w:lineRule="auto"/>
        <w:tabs>
          <w:tab w:leader="none" w:pos="1427"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Issuance of the Series A Preferred Units. </w:t>
      </w:r>
      <w:r>
        <w:rPr>
          <w:rFonts w:ascii="Arial" w:cs="Arial" w:eastAsia="Arial" w:hAnsi="Arial"/>
          <w:sz w:val="18"/>
          <w:szCs w:val="18"/>
          <w:color w:val="auto"/>
        </w:rPr>
        <w:t>The Series A Preferred Units (other than the Series A PIK Units) shall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pursuant to the terms and conditions of the Series A Purchase Agreement.</w:t>
      </w:r>
    </w:p>
    <w:p>
      <w:pPr>
        <w:spacing w:after="0" w:line="170" w:lineRule="exact"/>
        <w:rPr>
          <w:rFonts w:ascii="Arial" w:cs="Arial" w:eastAsia="Arial" w:hAnsi="Arial"/>
          <w:sz w:val="18"/>
          <w:szCs w:val="18"/>
          <w:color w:val="auto"/>
        </w:rPr>
      </w:pPr>
    </w:p>
    <w:p>
      <w:pPr>
        <w:ind w:left="1440" w:hanging="687"/>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140" w:firstLine="641"/>
        <w:spacing w:after="0" w:line="290" w:lineRule="auto"/>
        <w:tabs>
          <w:tab w:leader="none" w:pos="20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 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w:t>
      </w:r>
    </w:p>
    <w:p>
      <w:pPr>
        <w:sectPr>
          <w:pgSz w:w="11900" w:h="16933" w:orient="portrait"/>
          <w:cols w:equalWidth="0" w:num="1">
            <w:col w:w="10220"/>
          </w:cols>
          <w:pgMar w:left="1440" w:top="125" w:right="239" w:bottom="0" w:gutter="0" w:footer="0" w:header="0"/>
        </w:sectPr>
      </w:pPr>
    </w:p>
    <w:bookmarkStart w:id="27" w:name="page28"/>
    <w:bookmarkEnd w:id="27"/>
    <w:p>
      <w:pPr>
        <w:ind w:left="760" w:right="140"/>
        <w:spacing w:after="0" w:line="277" w:lineRule="auto"/>
        <w:rPr>
          <w:sz w:val="20"/>
          <w:szCs w:val="20"/>
          <w:color w:val="auto"/>
        </w:rPr>
      </w:pPr>
      <w:r>
        <w:rPr>
          <w:rFonts w:ascii="Arial" w:cs="Arial" w:eastAsia="Arial" w:hAnsi="Arial"/>
          <w:sz w:val="18"/>
          <w:szCs w:val="18"/>
          <w:color w:val="auto"/>
        </w:rPr>
        <w:t>Common Units and the Series A Preferred Units, on an “as if” converted basis, voting together as a single class during any period in which any Series A Preferred Units are Outstanding.</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firstLine="641"/>
        <w:spacing w:after="0" w:line="293" w:lineRule="auto"/>
        <w:tabs>
          <w:tab w:leader="none" w:pos="2067"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64" w:lineRule="exact"/>
        <w:rPr>
          <w:rFonts w:ascii="Arial" w:cs="Arial" w:eastAsia="Arial" w:hAnsi="Arial"/>
          <w:sz w:val="16"/>
          <w:szCs w:val="16"/>
          <w:color w:val="auto"/>
        </w:rPr>
      </w:pPr>
    </w:p>
    <w:p>
      <w:pPr>
        <w:ind w:left="1400" w:right="80" w:firstLine="649"/>
        <w:spacing w:after="0" w:line="255" w:lineRule="auto"/>
        <w:tabs>
          <w:tab w:leader="none" w:pos="2704"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93" w:lineRule="exact"/>
        <w:rPr>
          <w:rFonts w:ascii="Arial" w:cs="Arial" w:eastAsia="Arial" w:hAnsi="Arial"/>
          <w:sz w:val="18"/>
          <w:szCs w:val="18"/>
          <w:color w:val="auto"/>
        </w:rPr>
      </w:pPr>
    </w:p>
    <w:p>
      <w:pPr>
        <w:ind w:left="1400" w:right="20" w:firstLine="649"/>
        <w:spacing w:after="0" w:line="279" w:lineRule="auto"/>
        <w:tabs>
          <w:tab w:leader="none" w:pos="27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reduce the amount payable or change the form of payment to the holders of the Series A Preferred Units upon the voluntary or involuntary liquidation, dissolution or winding up, or sale of all or substantially all of the assets, of the Partnership, or change the seniority of the liquidation preferences of the holders of the Series A Preferred Units in relation to the rights upon liquidation of the holders of any other class or series of Units; or</w:t>
      </w:r>
    </w:p>
    <w:p>
      <w:pPr>
        <w:spacing w:after="0" w:line="171" w:lineRule="exact"/>
        <w:rPr>
          <w:rFonts w:ascii="Arial" w:cs="Arial" w:eastAsia="Arial" w:hAnsi="Arial"/>
          <w:sz w:val="17"/>
          <w:szCs w:val="17"/>
          <w:color w:val="auto"/>
        </w:rPr>
      </w:pPr>
    </w:p>
    <w:p>
      <w:pPr>
        <w:ind w:left="1400" w:right="100" w:firstLine="649"/>
        <w:spacing w:after="0" w:line="277" w:lineRule="auto"/>
        <w:tabs>
          <w:tab w:leader="none" w:pos="2704"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 the Series A Preferred Units redeemable or convertible at the option of the Partnership other than as set forth herein.</w:t>
      </w:r>
    </w:p>
    <w:p>
      <w:pPr>
        <w:spacing w:after="0" w:line="170" w:lineRule="exact"/>
        <w:rPr>
          <w:rFonts w:ascii="Arial" w:cs="Arial" w:eastAsia="Arial" w:hAnsi="Arial"/>
          <w:sz w:val="18"/>
          <w:szCs w:val="18"/>
          <w:color w:val="auto"/>
        </w:rPr>
      </w:pPr>
    </w:p>
    <w:p>
      <w:pPr>
        <w:ind w:left="760" w:right="100" w:firstLine="641"/>
        <w:spacing w:after="0" w:line="257" w:lineRule="auto"/>
        <w:tabs>
          <w:tab w:leader="none" w:pos="20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 the avoidance of doubt, the foregoing shall not limit the voting rights of any Series A Preferred Unitholder in connection with the vote of holders of Common Units and Series A Preferred Units together as a single class.</w:t>
      </w:r>
    </w:p>
    <w:p>
      <w:pPr>
        <w:spacing w:after="0" w:line="188" w:lineRule="exact"/>
        <w:rPr>
          <w:rFonts w:ascii="Arial" w:cs="Arial" w:eastAsia="Arial" w:hAnsi="Arial"/>
          <w:sz w:val="18"/>
          <w:szCs w:val="18"/>
          <w:color w:val="auto"/>
        </w:rPr>
      </w:pPr>
    </w:p>
    <w:p>
      <w:pPr>
        <w:ind w:left="760" w:right="40" w:firstLine="641"/>
        <w:spacing w:after="0" w:line="264" w:lineRule="auto"/>
        <w:tabs>
          <w:tab w:leader="none" w:pos="20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occurrence of a Series A Trigger Event, the General Partner shall notify the Series A Preferred Unitholders of the occurrence thereof, whereupon the Series A Preferred Unitholders, acting as a group and by majority vote of the Outstanding Series A Preferred</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spacing w:after="0" w:line="293" w:lineRule="auto"/>
        <w:rPr>
          <w:sz w:val="20"/>
          <w:szCs w:val="20"/>
          <w:color w:val="auto"/>
        </w:rPr>
      </w:pPr>
      <w:r>
        <w:rPr>
          <w:rFonts w:ascii="Arial" w:cs="Arial" w:eastAsia="Arial" w:hAnsi="Arial"/>
          <w:sz w:val="16"/>
          <w:szCs w:val="16"/>
          <w:color w:val="auto"/>
        </w:rPr>
        <w:t xml:space="preserve">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PAGP GP LLC Agreement subject to the limitations and procedures set forth in the PAGP GP LLC Agreement; </w:t>
      </w:r>
      <w:r>
        <w:rPr>
          <w:rFonts w:ascii="Arial" w:cs="Arial" w:eastAsia="Arial" w:hAnsi="Arial"/>
          <w:sz w:val="16"/>
          <w:szCs w:val="16"/>
          <w:i w:val="1"/>
          <w:iCs w:val="1"/>
          <w:color w:val="auto"/>
        </w:rPr>
        <w:t>provided</w:t>
      </w:r>
      <w:r>
        <w:rPr>
          <w:rFonts w:ascii="Arial" w:cs="Arial" w:eastAsia="Arial" w:hAnsi="Arial"/>
          <w:sz w:val="16"/>
          <w:szCs w:val="16"/>
          <w:color w:val="auto"/>
        </w:rPr>
        <w:t>, upon payment of all Series A Unpaid Cash Distributions, any such representative shall tender his resignation from the Board of Directors immediately upon the request of the Board of Directors and the appointment right contemplated by this Section 5.14(b)(iii)(D) shall cease unless and until a subsequent Series A Trigger Event occurs.</w:t>
      </w:r>
    </w:p>
    <w:p>
      <w:pPr>
        <w:spacing w:after="0" w:line="165" w:lineRule="exact"/>
        <w:rPr>
          <w:sz w:val="20"/>
          <w:szCs w:val="20"/>
          <w:color w:val="auto"/>
        </w:rPr>
      </w:pPr>
    </w:p>
    <w:p>
      <w:pPr>
        <w:ind w:left="760" w:right="180" w:firstLine="641"/>
        <w:spacing w:after="0" w:line="264" w:lineRule="auto"/>
        <w:tabs>
          <w:tab w:leader="none" w:pos="207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81" w:lineRule="exact"/>
        <w:rPr>
          <w:rFonts w:ascii="Arial" w:cs="Arial" w:eastAsia="Arial" w:hAnsi="Arial"/>
          <w:sz w:val="18"/>
          <w:szCs w:val="18"/>
          <w:color w:val="auto"/>
        </w:rPr>
      </w:pPr>
    </w:p>
    <w:p>
      <w:pPr>
        <w:ind w:left="100" w:firstLine="653"/>
        <w:spacing w:after="0" w:line="285" w:lineRule="auto"/>
        <w:tabs>
          <w:tab w:leader="none" w:pos="1413"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No Series A Senior Securities; Series A Parity Securities</w:t>
      </w:r>
      <w:r>
        <w:rPr>
          <w:rFonts w:ascii="Arial" w:cs="Arial" w:eastAsia="Arial" w:hAnsi="Arial"/>
          <w:sz w:val="16"/>
          <w:szCs w:val="16"/>
          <w:color w:val="auto"/>
        </w:rPr>
        <w:t>. Other than issuances contemplated by the Series A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 Partnership may issue (1) up to an aggregate $500,000,000 of non-convertible 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 $10,000,000,000, a number of Series A Parity Securities such that, as of the date of the issuance of the Series A Parity 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 immediately prior to such issuance (such Common Units, the “</w:t>
      </w:r>
      <w:r>
        <w:rPr>
          <w:rFonts w:ascii="Arial" w:cs="Arial" w:eastAsia="Arial" w:hAnsi="Arial"/>
          <w:sz w:val="16"/>
          <w:szCs w:val="16"/>
          <w:i w:val="1"/>
          <w:iCs w:val="1"/>
          <w:color w:val="auto"/>
        </w:rPr>
        <w:t>Series A Parity Equivalent Units</w:t>
      </w:r>
      <w:r>
        <w:rPr>
          <w:rFonts w:ascii="Arial" w:cs="Arial" w:eastAsia="Arial" w:hAnsi="Arial"/>
          <w:sz w:val="16"/>
          <w:szCs w:val="16"/>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w:t>
      </w:r>
    </w:p>
    <w:p>
      <w:pPr>
        <w:sectPr>
          <w:pgSz w:w="11900" w:h="16838" w:orient="portrait"/>
          <w:cols w:equalWidth="0" w:num="1">
            <w:col w:w="10220"/>
          </w:cols>
          <w:pgMar w:left="1440" w:top="125" w:right="239" w:bottom="271" w:gutter="0" w:footer="0" w:header="0"/>
        </w:sectPr>
      </w:pP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271" w:gutter="0" w:footer="0" w:header="0"/>
          <w:type w:val="continuous"/>
        </w:sectPr>
      </w:pPr>
    </w:p>
    <w:bookmarkStart w:id="28" w:name="page29"/>
    <w:bookmarkEnd w:id="28"/>
    <w:p>
      <w:pPr>
        <w:ind w:left="100" w:right="20"/>
        <w:spacing w:after="0" w:line="257" w:lineRule="auto"/>
        <w:rPr>
          <w:sz w:val="20"/>
          <w:szCs w:val="20"/>
          <w:color w:val="auto"/>
        </w:rPr>
      </w:pPr>
      <w:r>
        <w:rPr>
          <w:rFonts w:ascii="Arial" w:cs="Arial" w:eastAsia="Arial" w:hAnsi="Arial"/>
          <w:sz w:val="18"/>
          <w:szCs w:val="18"/>
          <w:color w:val="auto"/>
        </w:rPr>
        <w:t>Securities at the initial or then applicable conversion rate, as applicable, and (iii) any Series A Parity Equivalent Units), or (3) 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Interests in an unlimited amount.</w:t>
      </w:r>
    </w:p>
    <w:p>
      <w:pPr>
        <w:spacing w:after="0" w:line="188" w:lineRule="exact"/>
        <w:rPr>
          <w:sz w:val="20"/>
          <w:szCs w:val="20"/>
          <w:color w:val="auto"/>
        </w:rPr>
      </w:pPr>
    </w:p>
    <w:p>
      <w:pPr>
        <w:ind w:left="1400" w:hanging="647"/>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40" w:firstLine="641"/>
        <w:spacing w:after="0" w:line="273" w:lineRule="auto"/>
        <w:tabs>
          <w:tab w:leader="none" w:pos="2077"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78" w:lineRule="exact"/>
        <w:rPr>
          <w:rFonts w:ascii="Arial" w:cs="Arial" w:eastAsia="Arial" w:hAnsi="Arial"/>
          <w:sz w:val="17"/>
          <w:szCs w:val="17"/>
          <w:color w:val="auto"/>
        </w:rPr>
      </w:pPr>
    </w:p>
    <w:p>
      <w:pPr>
        <w:ind w:left="2060" w:hanging="659"/>
        <w:spacing w:after="0"/>
        <w:tabs>
          <w:tab w:leader="none" w:pos="20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certificate(s) representing the Series A Preferred Units may be imprinted with a legend in substantially the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left="1400" w:right="100"/>
        <w:spacing w:after="0" w:line="253" w:lineRule="auto"/>
        <w:rPr>
          <w:sz w:val="20"/>
          <w:szCs w:val="20"/>
          <w:color w:val="auto"/>
        </w:rPr>
      </w:pPr>
      <w:r>
        <w:rPr>
          <w:rFonts w:ascii="Arial" w:cs="Arial" w:eastAsia="Arial" w:hAnsi="Arial"/>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667"/>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225" w:lineRule="exact"/>
        <w:rPr>
          <w:rFonts w:ascii="Arial" w:cs="Arial" w:eastAsia="Arial" w:hAnsi="Arial"/>
          <w:sz w:val="18"/>
          <w:szCs w:val="18"/>
          <w:color w:val="auto"/>
        </w:rPr>
      </w:pPr>
    </w:p>
    <w:p>
      <w:pPr>
        <w:ind w:left="760" w:firstLine="641"/>
        <w:spacing w:after="0" w:line="285" w:lineRule="auto"/>
        <w:tabs>
          <w:tab w:leader="none" w:pos="2077"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At the Option of the Series A Preferred Unitholders</w:t>
      </w:r>
      <w:r>
        <w:rPr>
          <w:rFonts w:ascii="Arial" w:cs="Arial" w:eastAsia="Arial" w:hAnsi="Arial"/>
          <w:sz w:val="16"/>
          <w:szCs w:val="16"/>
          <w:color w:val="auto"/>
        </w:rPr>
        <w:t>. Beginning with the earlier of (i) the Business Day</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 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w:t>
      </w:r>
    </w:p>
    <w:p>
      <w:pPr>
        <w:spacing w:after="0" w:line="175" w:lineRule="exact"/>
        <w:rPr>
          <w:rFonts w:ascii="Arial" w:cs="Arial" w:eastAsia="Arial" w:hAnsi="Arial"/>
          <w:sz w:val="16"/>
          <w:szCs w:val="16"/>
          <w:color w:val="auto"/>
        </w:rPr>
      </w:pPr>
    </w:p>
    <w:p>
      <w:pPr>
        <w:ind w:left="760" w:firstLine="641"/>
        <w:spacing w:after="0" w:line="290" w:lineRule="auto"/>
        <w:tabs>
          <w:tab w:leader="none" w:pos="2067"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At the Option of the Partnership. </w:t>
      </w:r>
      <w:r>
        <w:rPr>
          <w:rFonts w:ascii="Arial" w:cs="Arial" w:eastAsia="Arial" w:hAnsi="Arial"/>
          <w:sz w:val="16"/>
          <w:szCs w:val="16"/>
          <w:color w:val="auto"/>
        </w:rPr>
        <w:t>At any time following the third anniversary of the Series A Issuance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 shall not be issued to any person pursuant to this Section 5.14(b)(vi)(B)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120" w:firstLine="649"/>
        <w:spacing w:after="0" w:line="259" w:lineRule="auto"/>
        <w:tabs>
          <w:tab w:leader="none" w:pos="27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Partnership furnishes the Series A Forced Conversion Notice,</w:t>
      </w:r>
    </w:p>
    <w:p>
      <w:pPr>
        <w:spacing w:after="0" w:line="186" w:lineRule="exact"/>
        <w:rPr>
          <w:rFonts w:ascii="Arial" w:cs="Arial" w:eastAsia="Arial" w:hAnsi="Arial"/>
          <w:sz w:val="18"/>
          <w:szCs w:val="18"/>
          <w:color w:val="auto"/>
        </w:rPr>
      </w:pPr>
    </w:p>
    <w:p>
      <w:pPr>
        <w:ind w:left="1400" w:right="100" w:firstLine="649"/>
        <w:spacing w:after="0" w:line="342" w:lineRule="auto"/>
        <w:tabs>
          <w:tab w:leader="none" w:pos="270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average daily trading volume of the Common Units on the National Securities Exchange on which the Common Units are then listed or admitted to trading must have exceeded 1,000,000 (as such amount may be adjusted</w:t>
      </w:r>
    </w:p>
    <w:p>
      <w:pPr>
        <w:sectPr>
          <w:pgSz w:w="11900" w:h="16838" w:orient="portrait"/>
          <w:cols w:equalWidth="0" w:num="1">
            <w:col w:w="10220"/>
          </w:cols>
          <w:pgMar w:left="1440" w:top="341" w:right="239" w:bottom="0" w:gutter="0" w:footer="0" w:header="0"/>
        </w:sectPr>
      </w:pPr>
    </w:p>
    <w:bookmarkStart w:id="29" w:name="page30"/>
    <w:bookmarkEnd w:id="29"/>
    <w:p>
      <w:pPr>
        <w:spacing w:after="0" w:line="89" w:lineRule="exact"/>
        <w:rPr>
          <w:sz w:val="20"/>
          <w:szCs w:val="20"/>
          <w:color w:val="auto"/>
        </w:rPr>
      </w:pPr>
    </w:p>
    <w:p>
      <w:pPr>
        <w:ind w:left="2600" w:right="80"/>
        <w:spacing w:after="0" w:line="277" w:lineRule="auto"/>
        <w:rPr>
          <w:sz w:val="20"/>
          <w:szCs w:val="20"/>
          <w:color w:val="auto"/>
        </w:rPr>
      </w:pPr>
      <w:r>
        <w:rPr>
          <w:rFonts w:ascii="Arial" w:cs="Arial" w:eastAsia="Arial" w:hAnsi="Arial"/>
          <w:sz w:val="18"/>
          <w:szCs w:val="18"/>
          <w:color w:val="auto"/>
        </w:rPr>
        <w:t>to reflect any Unit split, combination or similar event) for the twenty (20) Trading Day period immediately preceding the date the Partnership furnishes the Series A Forced Conversion Notice;</w:t>
      </w:r>
    </w:p>
    <w:p>
      <w:pPr>
        <w:spacing w:after="0" w:line="170" w:lineRule="exact"/>
        <w:rPr>
          <w:sz w:val="20"/>
          <w:szCs w:val="20"/>
          <w:color w:val="auto"/>
        </w:rPr>
      </w:pPr>
    </w:p>
    <w:p>
      <w:pPr>
        <w:ind w:left="2600" w:right="380" w:firstLine="649"/>
        <w:spacing w:after="0" w:line="277" w:lineRule="auto"/>
        <w:tabs>
          <w:tab w:leader="none" w:pos="39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Partnership must have an effective registration statement on file with the Commission covering resales of the underlying Common Units to be received upon any such conversion, and</w:t>
      </w:r>
    </w:p>
    <w:p>
      <w:pPr>
        <w:spacing w:after="0" w:line="170" w:lineRule="exact"/>
        <w:rPr>
          <w:rFonts w:ascii="Arial" w:cs="Arial" w:eastAsia="Arial" w:hAnsi="Arial"/>
          <w:sz w:val="18"/>
          <w:szCs w:val="18"/>
          <w:color w:val="auto"/>
        </w:rPr>
      </w:pPr>
    </w:p>
    <w:p>
      <w:pPr>
        <w:ind w:left="3900" w:hanging="651"/>
        <w:spacing w:after="0"/>
        <w:tabs>
          <w:tab w:leader="none" w:pos="3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Series A Trigger Event shall have occurred that is continuing;</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in each case, that each such conversion by the Partnership shall be for an aggregate amount of Series A Preferred Units (including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PIK Units) involving an underlying value of Common Units of at least $500,000,000 based on the closing trading price of Common Units on the trading day immediately preceding the date of such conversion on the 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2600" w:firstLine="649"/>
        <w:spacing w:after="0" w:line="254" w:lineRule="auto"/>
        <w:tabs>
          <w:tab w:leader="none" w:pos="390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Conversion Notice</w:t>
      </w:r>
      <w:r>
        <w:rPr>
          <w:rFonts w:ascii="Arial" w:cs="Arial" w:eastAsia="Arial" w:hAnsi="Arial"/>
          <w:sz w:val="18"/>
          <w:szCs w:val="18"/>
          <w:color w:val="auto"/>
        </w:rPr>
        <w:t>. To convert Series A Preferred Units into Common Units pursuant to Section 5.14(b)</w:t>
      </w:r>
      <w:r>
        <w:rPr>
          <w:rFonts w:ascii="Arial" w:cs="Arial" w:eastAsia="Arial" w:hAnsi="Arial"/>
          <w:sz w:val="18"/>
          <w:szCs w:val="18"/>
          <w:i w:val="1"/>
          <w:iCs w:val="1"/>
          <w:color w:val="auto"/>
        </w:rPr>
        <w:t xml:space="preserve"> </w:t>
      </w:r>
      <w:r>
        <w:rPr>
          <w:rFonts w:ascii="Arial" w:cs="Arial" w:eastAsia="Arial" w:hAnsi="Arial"/>
          <w:sz w:val="18"/>
          <w:szCs w:val="18"/>
          <w:color w:val="auto"/>
        </w:rPr>
        <w:t>(vi)(A), the Series A Converting Unitholder shall give written notice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to the Partnership stating that such Series A Unitholder elects to so convert Series A Preferred Units and shall 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 The date any Series A Conversion Notice is received by the Partnership shall be hereinafter be referred to as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160" w:firstLine="649"/>
        <w:spacing w:after="0" w:line="276" w:lineRule="auto"/>
        <w:tabs>
          <w:tab w:leader="none" w:pos="3904" w:val="left"/>
        </w:tabs>
        <w:numPr>
          <w:ilvl w:val="2"/>
          <w:numId w:val="62"/>
        </w:numPr>
        <w:rPr>
          <w:rFonts w:ascii="Arial" w:cs="Arial" w:eastAsia="Arial" w:hAnsi="Arial"/>
          <w:sz w:val="17"/>
          <w:szCs w:val="17"/>
          <w:color w:val="auto"/>
        </w:rPr>
      </w:pPr>
      <w:r>
        <w:rPr>
          <w:rFonts w:ascii="Arial" w:cs="Arial" w:eastAsia="Arial" w:hAnsi="Arial"/>
          <w:sz w:val="17"/>
          <w:szCs w:val="17"/>
          <w:color w:val="auto"/>
        </w:rPr>
        <w:t>To convert Series A Preferred Units into Common Units pursuant to Section 5.14(b)(vi)(B), the Partnership shall give written notice (a “</w:t>
      </w:r>
      <w:r>
        <w:rPr>
          <w:rFonts w:ascii="Arial" w:cs="Arial" w:eastAsia="Arial" w:hAnsi="Arial"/>
          <w:sz w:val="17"/>
          <w:szCs w:val="17"/>
          <w:i w:val="1"/>
          <w:iCs w:val="1"/>
          <w:color w:val="auto"/>
        </w:rPr>
        <w:t>Series A Forced Conversion Notice</w:t>
      </w:r>
      <w:r>
        <w:rPr>
          <w:rFonts w:ascii="Arial" w:cs="Arial" w:eastAsia="Arial" w:hAnsi="Arial"/>
          <w:sz w:val="17"/>
          <w:szCs w:val="17"/>
          <w:color w:val="auto"/>
        </w:rPr>
        <w:t>,” and the date such notice is received, a “</w:t>
      </w:r>
      <w:r>
        <w:rPr>
          <w:rFonts w:ascii="Arial" w:cs="Arial" w:eastAsia="Arial" w:hAnsi="Arial"/>
          <w:sz w:val="17"/>
          <w:szCs w:val="17"/>
          <w:i w:val="1"/>
          <w:iCs w:val="1"/>
          <w:color w:val="auto"/>
        </w:rPr>
        <w:t>Series A Forced Conversion Notice Date</w:t>
      </w:r>
      <w:r>
        <w:rPr>
          <w:rFonts w:ascii="Arial" w:cs="Arial" w:eastAsia="Arial" w:hAnsi="Arial"/>
          <w:sz w:val="17"/>
          <w:szCs w:val="17"/>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72" w:lineRule="exact"/>
        <w:rPr>
          <w:rFonts w:ascii="Arial" w:cs="Arial" w:eastAsia="Arial" w:hAnsi="Arial"/>
          <w:sz w:val="17"/>
          <w:szCs w:val="17"/>
          <w:color w:val="auto"/>
        </w:rPr>
      </w:pPr>
    </w:p>
    <w:p>
      <w:pPr>
        <w:ind w:left="1960" w:right="100" w:firstLine="641"/>
        <w:spacing w:after="0" w:line="288" w:lineRule="auto"/>
        <w:tabs>
          <w:tab w:leader="none" w:pos="327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Timing; Certificates</w:t>
      </w:r>
      <w:r>
        <w:rPr>
          <w:rFonts w:ascii="Arial" w:cs="Arial" w:eastAsia="Arial" w:hAnsi="Arial"/>
          <w:sz w:val="16"/>
          <w:szCs w:val="16"/>
          <w:color w:val="auto"/>
        </w:rPr>
        <w:t>. If a Series A Conversion Notice is delivered by a Series A Unitholder to the Partnership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5.14(b)(vi)(C) or a Series A Forced Conversion Notice is delivered by the Partnership to a Series A Unitholder pursuant to Section 5.14(b)(vi)(C), the Partnership shall issue the Series A Conversion Units no later than seven</w:t>
      </w:r>
    </w:p>
    <w:p>
      <w:pPr>
        <w:ind w:left="1960" w:hanging="7"/>
        <w:spacing w:after="0" w:line="285" w:lineRule="auto"/>
        <w:tabs>
          <w:tab w:leader="none" w:pos="22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days after the Series A Conversion Notice Date or the Series A Forced Conversion Notice Date, as the case may be, occurs (any date of issuance of such Common Units, a “</w:t>
      </w:r>
      <w:r>
        <w:rPr>
          <w:rFonts w:ascii="Arial" w:cs="Arial" w:eastAsia="Arial" w:hAnsi="Arial"/>
          <w:sz w:val="16"/>
          <w:szCs w:val="16"/>
          <w:i w:val="1"/>
          <w:iCs w:val="1"/>
          <w:color w:val="auto"/>
        </w:rPr>
        <w:t>Series A Conversion Date</w:t>
      </w:r>
      <w:r>
        <w:rPr>
          <w:rFonts w:ascii="Arial" w:cs="Arial" w:eastAsia="Arial" w:hAnsi="Arial"/>
          <w:sz w:val="16"/>
          <w:szCs w:val="16"/>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Depositary’s Fast Automated Securities Transfer program, upon request of the Series A Unitholder, the Partnership shall use its 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Depositary through its Deposit Withdrawal Agent Commission system. The parties agree to coordinate with the Depositary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72" w:lineRule="exact"/>
        <w:rPr>
          <w:rFonts w:ascii="Arial" w:cs="Arial" w:eastAsia="Arial" w:hAnsi="Arial"/>
          <w:sz w:val="16"/>
          <w:szCs w:val="16"/>
          <w:color w:val="auto"/>
        </w:rPr>
      </w:pPr>
    </w:p>
    <w:p>
      <w:pPr>
        <w:ind w:left="1960" w:right="120" w:firstLine="641"/>
        <w:spacing w:after="0" w:line="255" w:lineRule="auto"/>
        <w:tabs>
          <w:tab w:leader="none" w:pos="3270"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Distributions, Combinations, Subdivisions and Reclassifications by the Partnership</w:t>
      </w:r>
      <w:r>
        <w:rPr>
          <w:rFonts w:ascii="Arial" w:cs="Arial" w:eastAsia="Arial" w:hAnsi="Arial"/>
          <w:sz w:val="18"/>
          <w:szCs w:val="18"/>
          <w:color w:val="auto"/>
        </w:rPr>
        <w:t>. If, after the Series A</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 the Partnership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line="286" w:lineRule="auto"/>
        <w:rPr>
          <w:sz w:val="20"/>
          <w:szCs w:val="20"/>
          <w:color w:val="auto"/>
        </w:rPr>
      </w:pPr>
      <w:r>
        <w:rPr>
          <w:rFonts w:ascii="Arial" w:cs="Arial" w:eastAsia="Arial" w:hAnsi="Arial"/>
          <w:sz w:val="16"/>
          <w:szCs w:val="16"/>
          <w:color w:val="auto"/>
        </w:rPr>
        <w:t>the surviving Person), in each case other than in connection with a Series A Change of Control (which shall be governed by Section 5.14(b)(vii)), then the Series A Conversion Rate in effect at the time of the Record Date for such distribution 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w:t>
      </w:r>
    </w:p>
    <w:p>
      <w:pPr>
        <w:sectPr>
          <w:pgSz w:w="11900" w:h="16927" w:orient="portrait"/>
          <w:cols w:equalWidth="0" w:num="1">
            <w:col w:w="11400"/>
          </w:cols>
          <w:pgMar w:left="240" w:top="125" w:right="259" w:bottom="0" w:gutter="0" w:footer="0" w:header="0"/>
        </w:sectPr>
      </w:pPr>
    </w:p>
    <w:bookmarkStart w:id="30" w:name="page31"/>
    <w:bookmarkEnd w:id="30"/>
    <w:p>
      <w:pPr>
        <w:spacing w:after="0" w:line="88" w:lineRule="exact"/>
        <w:rPr>
          <w:sz w:val="20"/>
          <w:szCs w:val="20"/>
          <w:color w:val="auto"/>
        </w:rPr>
      </w:pPr>
    </w:p>
    <w:p>
      <w:pPr>
        <w:ind w:left="1960" w:right="240"/>
        <w:spacing w:after="0" w:line="277" w:lineRule="auto"/>
        <w:rPr>
          <w:sz w:val="20"/>
          <w:szCs w:val="20"/>
          <w:color w:val="auto"/>
        </w:rPr>
      </w:pPr>
      <w:r>
        <w:rPr>
          <w:rFonts w:ascii="Arial" w:cs="Arial" w:eastAsia="Arial" w:hAnsi="Arial"/>
          <w:sz w:val="18"/>
          <w:szCs w:val="18"/>
          <w:color w:val="auto"/>
        </w:rPr>
        <w:t>connection with a merger, consolidation or business combination in which the Partnership is the surviving Person) or split. Such adjustment shall be made successively whenever any event described above shall occur.</w:t>
      </w:r>
    </w:p>
    <w:p>
      <w:pPr>
        <w:spacing w:after="0" w:line="170" w:lineRule="exact"/>
        <w:rPr>
          <w:sz w:val="20"/>
          <w:szCs w:val="20"/>
          <w:color w:val="auto"/>
        </w:rPr>
      </w:pPr>
    </w:p>
    <w:p>
      <w:pPr>
        <w:jc w:val="both"/>
        <w:ind w:left="1960" w:right="240" w:firstLine="641"/>
        <w:spacing w:after="0" w:line="342" w:lineRule="auto"/>
        <w:tabs>
          <w:tab w:leader="none" w:pos="3274"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No Adjustments for Certain Items</w:t>
      </w:r>
      <w:r>
        <w:rPr>
          <w:rFonts w:ascii="Arial" w:cs="Arial" w:eastAsia="Arial" w:hAnsi="Arial"/>
          <w:sz w:val="16"/>
          <w:szCs w:val="16"/>
          <w:color w:val="auto"/>
        </w:rPr>
        <w:t>. Notwithstanding any of the other provisions of this Section 5.14(b)(vi), no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shall be made to the Series A Conversion Rate pursuant to Section 5.14(b)(vi)(E) as a result of any of the following:</w:t>
      </w:r>
    </w:p>
    <w:p>
      <w:pPr>
        <w:spacing w:after="0" w:line="123" w:lineRule="exact"/>
        <w:rPr>
          <w:rFonts w:ascii="Arial" w:cs="Arial" w:eastAsia="Arial" w:hAnsi="Arial"/>
          <w:sz w:val="16"/>
          <w:szCs w:val="16"/>
          <w:color w:val="auto"/>
        </w:rPr>
      </w:pPr>
    </w:p>
    <w:p>
      <w:pPr>
        <w:ind w:left="3900" w:hanging="651"/>
        <w:spacing w:after="0"/>
        <w:tabs>
          <w:tab w:leader="none" w:pos="39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issuance of additional Partnership Securities issued in connection with distributions paid in-kind;</w:t>
      </w:r>
    </w:p>
    <w:p>
      <w:pPr>
        <w:spacing w:after="0" w:line="236" w:lineRule="exact"/>
        <w:rPr>
          <w:rFonts w:ascii="Arial" w:cs="Arial" w:eastAsia="Arial" w:hAnsi="Arial"/>
          <w:sz w:val="17"/>
          <w:szCs w:val="17"/>
          <w:color w:val="auto"/>
        </w:rPr>
      </w:pPr>
    </w:p>
    <w:p>
      <w:pPr>
        <w:ind w:left="2600" w:right="40" w:firstLine="649"/>
        <w:spacing w:after="0" w:line="276" w:lineRule="auto"/>
        <w:tabs>
          <w:tab w:leader="none" w:pos="3904"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PAGP GP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140" w:firstLine="649"/>
        <w:spacing w:after="0" w:line="286" w:lineRule="auto"/>
        <w:tabs>
          <w:tab w:leader="none" w:pos="3904"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1" w:lineRule="exact"/>
        <w:rPr>
          <w:rFonts w:ascii="Arial" w:cs="Arial" w:eastAsia="Arial" w:hAnsi="Arial"/>
          <w:sz w:val="16"/>
          <w:szCs w:val="16"/>
          <w:color w:val="auto"/>
        </w:rPr>
      </w:pPr>
    </w:p>
    <w:p>
      <w:pPr>
        <w:ind w:left="2820" w:hanging="219"/>
        <w:spacing w:after="0"/>
        <w:tabs>
          <w:tab w:leader="none" w:pos="2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or (ii) above is validly approved by the vote or consent of the General Partner.</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81" w:lineRule="exact"/>
        <w:rPr>
          <w:sz w:val="20"/>
          <w:szCs w:val="20"/>
          <w:color w:val="auto"/>
        </w:rPr>
      </w:pPr>
    </w:p>
    <w:p>
      <w:pPr>
        <w:ind w:left="2620" w:hanging="667"/>
        <w:spacing w:after="0"/>
        <w:tabs>
          <w:tab w:leader="none" w:pos="26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Series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360" w:firstLine="641"/>
        <w:spacing w:after="0" w:line="288" w:lineRule="auto"/>
        <w:tabs>
          <w:tab w:leader="none" w:pos="3277"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w:t>
      </w:r>
    </w:p>
    <w:p>
      <w:pPr>
        <w:ind w:left="1960" w:right="140"/>
        <w:spacing w:after="0" w:line="281" w:lineRule="auto"/>
        <w:rPr>
          <w:rFonts w:ascii="Arial" w:cs="Arial" w:eastAsia="Arial" w:hAnsi="Arial"/>
          <w:sz w:val="16"/>
          <w:szCs w:val="16"/>
          <w:color w:val="auto"/>
        </w:rPr>
      </w:pPr>
      <w:r>
        <w:rPr>
          <w:rFonts w:ascii="Arial" w:cs="Arial" w:eastAsia="Arial" w:hAnsi="Arial"/>
          <w:sz w:val="16"/>
          <w:szCs w:val="16"/>
          <w:color w:val="auto"/>
        </w:rPr>
        <w:t>(1) the then applicable Series A Conversion Rate (or, if the Series A Preferred Units are not then convertible, assuming that such Series A Preferred Units are convertible at the then applicable Series A Conversion Rate) and (2) the quotient of (i) the product of</w:t>
      </w:r>
    </w:p>
    <w:p>
      <w:pPr>
        <w:spacing w:after="0" w:line="1" w:lineRule="exact"/>
        <w:rPr>
          <w:rFonts w:ascii="Arial" w:cs="Arial" w:eastAsia="Arial" w:hAnsi="Arial"/>
          <w:sz w:val="16"/>
          <w:szCs w:val="16"/>
          <w:color w:val="auto"/>
        </w:rPr>
      </w:pPr>
    </w:p>
    <w:p>
      <w:pPr>
        <w:ind w:left="1960" w:right="20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(a) the Series A 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Arial" w:cs="Arial" w:eastAsia="Arial" w:hAnsi="Arial"/>
          <w:sz w:val="16"/>
          <w:szCs w:val="16"/>
          <w:i w:val="1"/>
          <w:iCs w:val="1"/>
          <w:color w:val="auto"/>
        </w:rPr>
        <w:t>provided</w:t>
      </w:r>
      <w:r>
        <w:rPr>
          <w:rFonts w:ascii="Arial" w:cs="Arial" w:eastAsia="Arial" w:hAnsi="Arial"/>
          <w:sz w:val="16"/>
          <w:szCs w:val="16"/>
          <w:color w:val="auto"/>
        </w:rPr>
        <w:t>, that the ratio contemplated by clause (2) above shall not exceed a ratio resulting in a value per Series A Preferred Unit (based on the consideration payable to holders of Common Units in such Series A Cash COC Event) equal to</w:t>
      </w:r>
    </w:p>
    <w:p>
      <w:pPr>
        <w:spacing w:after="0" w:line="3" w:lineRule="exact"/>
        <w:rPr>
          <w:rFonts w:ascii="Arial" w:cs="Arial" w:eastAsia="Arial" w:hAnsi="Arial"/>
          <w:sz w:val="16"/>
          <w:szCs w:val="16"/>
          <w:color w:val="auto"/>
        </w:rPr>
      </w:pPr>
    </w:p>
    <w:p>
      <w:pPr>
        <w:ind w:left="1960" w:right="20" w:hanging="7"/>
        <w:spacing w:after="0" w:line="271" w:lineRule="auto"/>
        <w:tabs>
          <w:tab w:leader="none" w:pos="21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78" w:lineRule="exact"/>
        <w:rPr>
          <w:rFonts w:ascii="Arial" w:cs="Arial" w:eastAsia="Arial" w:hAnsi="Arial"/>
          <w:sz w:val="17"/>
          <w:szCs w:val="17"/>
          <w:color w:val="auto"/>
        </w:rPr>
      </w:pPr>
    </w:p>
    <w:p>
      <w:pPr>
        <w:ind w:left="1960" w:right="460" w:firstLine="641"/>
        <w:spacing w:after="0" w:line="277" w:lineRule="auto"/>
        <w:tabs>
          <w:tab w:leader="none" w:pos="3267"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Promptly upon entry into definitive agreements that provide for a Series A Change of Control (other than a Series A Cash COC Event), if the Partnership has not issued a press release or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40"/>
        <w:spacing w:after="0" w:line="291" w:lineRule="auto"/>
        <w:rPr>
          <w:sz w:val="20"/>
          <w:szCs w:val="20"/>
          <w:color w:val="auto"/>
        </w:rPr>
      </w:pPr>
      <w:r>
        <w:rPr>
          <w:rFonts w:ascii="Arial" w:cs="Arial" w:eastAsia="Arial" w:hAnsi="Arial"/>
          <w:sz w:val="16"/>
          <w:szCs w:val="16"/>
          <w:color w:val="auto"/>
        </w:rPr>
        <w:t>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 (10) 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pacing w:after="0" w:line="167" w:lineRule="exact"/>
        <w:rPr>
          <w:sz w:val="20"/>
          <w:szCs w:val="20"/>
          <w:color w:val="auto"/>
        </w:rPr>
      </w:pPr>
    </w:p>
    <w:p>
      <w:pPr>
        <w:ind w:left="2600" w:firstLine="649"/>
        <w:spacing w:after="0" w:line="264" w:lineRule="auto"/>
        <w:tabs>
          <w:tab w:leader="none" w:pos="39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convert all, but not less than all, Outstanding Series A Preferred Units into Common Units, at the then-applicable Series A Conversion Rate, subject to payment of any accrued but unpaid distributions to the date of conversion, in accordance with Section 5.14(b)(vi);</w:t>
      </w:r>
    </w:p>
    <w:p>
      <w:pPr>
        <w:spacing w:after="0" w:line="181" w:lineRule="exact"/>
        <w:rPr>
          <w:rFonts w:ascii="Arial" w:cs="Arial" w:eastAsia="Arial" w:hAnsi="Arial"/>
          <w:sz w:val="18"/>
          <w:szCs w:val="18"/>
          <w:color w:val="auto"/>
        </w:rPr>
      </w:pPr>
    </w:p>
    <w:p>
      <w:pPr>
        <w:ind w:left="2600" w:right="20" w:firstLine="649"/>
        <w:spacing w:after="0" w:line="287" w:lineRule="auto"/>
        <w:tabs>
          <w:tab w:leader="none" w:pos="3904"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 exchange for their Series A Preferred Units upon such Series A 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 A Preferred Unit had been converted into Common Units immediately prior to such Series A Change of Control, such holder would have been entitled to receive</w:t>
      </w:r>
    </w:p>
    <w:p>
      <w:pPr>
        <w:sectPr>
          <w:pgSz w:w="11900" w:h="16926" w:orient="portrait"/>
          <w:cols w:equalWidth="0" w:num="1">
            <w:col w:w="11420"/>
          </w:cols>
          <w:pgMar w:left="240" w:top="125" w:right="239" w:bottom="0" w:gutter="0" w:footer="0" w:header="0"/>
        </w:sectPr>
      </w:pPr>
    </w:p>
    <w:bookmarkStart w:id="31" w:name="page32"/>
    <w:bookmarkEnd w:id="31"/>
    <w:p>
      <w:pPr>
        <w:ind w:left="1400" w:right="20"/>
        <w:spacing w:after="0" w:line="302" w:lineRule="auto"/>
        <w:rPr>
          <w:sz w:val="20"/>
          <w:szCs w:val="20"/>
          <w:color w:val="auto"/>
        </w:rPr>
      </w:pPr>
      <w:r>
        <w:rPr>
          <w:rFonts w:ascii="Arial" w:cs="Arial" w:eastAsia="Arial" w:hAnsi="Arial"/>
          <w:sz w:val="16"/>
          <w:szCs w:val="16"/>
          <w:color w:val="auto"/>
        </w:rPr>
        <w:t>immediately following such Series A Change of Control (such security in the surviving entity, a “</w:t>
      </w:r>
      <w:r>
        <w:rPr>
          <w:rFonts w:ascii="Arial" w:cs="Arial" w:eastAsia="Arial" w:hAnsi="Arial"/>
          <w:sz w:val="16"/>
          <w:szCs w:val="16"/>
          <w:i w:val="1"/>
          <w:iCs w:val="1"/>
          <w:color w:val="auto"/>
        </w:rPr>
        <w:t>Substantially Equivalent</w:t>
      </w:r>
      <w:r>
        <w:rPr>
          <w:rFonts w:ascii="Arial" w:cs="Arial" w:eastAsia="Arial" w:hAnsi="Arial"/>
          <w:sz w:val="16"/>
          <w:szCs w:val="16"/>
          <w:color w:val="auto"/>
        </w:rPr>
        <w:t xml:space="preserve"> </w:t>
      </w:r>
      <w:r>
        <w:rPr>
          <w:rFonts w:ascii="Arial" w:cs="Arial" w:eastAsia="Arial" w:hAnsi="Arial"/>
          <w:sz w:val="16"/>
          <w:szCs w:val="16"/>
          <w:i w:val="1"/>
          <w:iCs w:val="1"/>
          <w:color w:val="auto"/>
        </w:rPr>
        <w:t>Unit</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Partnership is unable to deliver or cause to be delivered Substantially Equivalent</w:t>
      </w:r>
      <w:r>
        <w:rPr>
          <w:rFonts w:ascii="Arial" w:cs="Arial" w:eastAsia="Arial" w:hAnsi="Arial"/>
          <w:sz w:val="16"/>
          <w:szCs w:val="16"/>
          <w:i w:val="1"/>
          <w:iCs w:val="1"/>
          <w:color w:val="auto"/>
        </w:rPr>
        <w:t xml:space="preserve"> </w:t>
      </w:r>
      <w:r>
        <w:rPr>
          <w:rFonts w:ascii="Arial" w:cs="Arial" w:eastAsia="Arial" w:hAnsi="Arial"/>
          <w:sz w:val="16"/>
          <w:szCs w:val="16"/>
          <w:color w:val="auto"/>
        </w:rPr>
        <w:t>Units to any Series A Preferred Unitholder in connection with such Series A Change of Control, each Series A Preferred Unitholder shall be entitled to either (A) require redemption of such Series A Preferred Units in the manner</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40"/>
        <w:spacing w:after="0" w:line="264" w:lineRule="auto"/>
        <w:rPr>
          <w:sz w:val="20"/>
          <w:szCs w:val="20"/>
          <w:color w:val="auto"/>
        </w:rPr>
      </w:pPr>
      <w:r>
        <w:rPr>
          <w:rFonts w:ascii="Arial" w:cs="Arial" w:eastAsia="Arial" w:hAnsi="Arial"/>
          <w:sz w:val="18"/>
          <w:szCs w:val="18"/>
          <w:color w:val="auto"/>
        </w:rPr>
        <w:t>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81" w:lineRule="exact"/>
        <w:rPr>
          <w:sz w:val="20"/>
          <w:szCs w:val="20"/>
          <w:color w:val="auto"/>
        </w:rPr>
      </w:pPr>
    </w:p>
    <w:p>
      <w:pPr>
        <w:ind w:left="2040" w:right="160" w:firstLine="658"/>
        <w:spacing w:after="0" w:line="255" w:lineRule="auto"/>
        <w:tabs>
          <w:tab w:leader="none" w:pos="332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93" w:lineRule="exact"/>
        <w:rPr>
          <w:rFonts w:ascii="Arial" w:cs="Arial" w:eastAsia="Arial" w:hAnsi="Arial"/>
          <w:sz w:val="18"/>
          <w:szCs w:val="18"/>
          <w:color w:val="auto"/>
        </w:rPr>
      </w:pPr>
    </w:p>
    <w:p>
      <w:pPr>
        <w:jc w:val="both"/>
        <w:ind w:left="2040" w:right="60" w:firstLine="658"/>
        <w:spacing w:after="0" w:line="286" w:lineRule="auto"/>
        <w:tabs>
          <w:tab w:leader="none" w:pos="3336"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an amount equal to 95% of the volume-weighted average price of the Common Units for the thirty (30) Trading Day period prior to the closing of the Series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that such ratio shall be capped at a value per Series A Preferred Unit equal to (i) 120% of the Series A Issue Price in the case of a Series A Change of Control occurring on or prior to the first anniversary of the Series A Issuance Date,</w:t>
      </w:r>
    </w:p>
    <w:p>
      <w:pPr>
        <w:spacing w:after="0" w:line="1" w:lineRule="exact"/>
        <w:rPr>
          <w:rFonts w:ascii="Arial" w:cs="Arial" w:eastAsia="Arial" w:hAnsi="Arial"/>
          <w:sz w:val="16"/>
          <w:szCs w:val="16"/>
          <w:color w:val="auto"/>
        </w:rPr>
      </w:pPr>
    </w:p>
    <w:p>
      <w:pPr>
        <w:ind w:left="2040" w:right="20" w:firstLine="9"/>
        <w:spacing w:after="0" w:line="253" w:lineRule="auto"/>
        <w:tabs>
          <w:tab w:leader="none" w:pos="2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91" w:lineRule="exact"/>
        <w:rPr>
          <w:sz w:val="20"/>
          <w:szCs w:val="20"/>
          <w:color w:val="auto"/>
        </w:rPr>
      </w:pPr>
    </w:p>
    <w:p>
      <w:pPr>
        <w:ind w:left="1400" w:right="140" w:firstLine="649"/>
        <w:spacing w:after="0" w:line="277" w:lineRule="auto"/>
        <w:tabs>
          <w:tab w:leader="none" w:pos="27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Partnership is the surviving entity of such Series A Change of Control, continue to hold Series A Preferred Units; or</w:t>
      </w:r>
    </w:p>
    <w:p>
      <w:pPr>
        <w:spacing w:after="0" w:line="170" w:lineRule="exact"/>
        <w:rPr>
          <w:rFonts w:ascii="Arial" w:cs="Arial" w:eastAsia="Arial" w:hAnsi="Arial"/>
          <w:sz w:val="18"/>
          <w:szCs w:val="18"/>
          <w:color w:val="auto"/>
        </w:rPr>
      </w:pPr>
    </w:p>
    <w:p>
      <w:pPr>
        <w:ind w:left="1400" w:right="140" w:firstLine="649"/>
        <w:spacing w:after="0" w:line="297" w:lineRule="auto"/>
        <w:tabs>
          <w:tab w:leader="none" w:pos="27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40"/>
        <w:spacing w:after="0" w:line="288" w:lineRule="auto"/>
        <w:rPr>
          <w:sz w:val="20"/>
          <w:szCs w:val="20"/>
          <w:color w:val="auto"/>
        </w:rPr>
      </w:pPr>
      <w:r>
        <w:rPr>
          <w:rFonts w:ascii="Arial" w:cs="Arial" w:eastAsia="Arial" w:hAnsi="Arial"/>
          <w:sz w:val="16"/>
          <w:szCs w:val="16"/>
          <w:color w:val="auto"/>
        </w:rPr>
        <w:t>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69" w:lineRule="exact"/>
        <w:rPr>
          <w:sz w:val="20"/>
          <w:szCs w:val="20"/>
          <w:color w:val="auto"/>
        </w:rPr>
      </w:pPr>
    </w:p>
    <w:p>
      <w:pPr>
        <w:ind w:left="1440" w:hanging="687"/>
        <w:spacing w:after="0"/>
        <w:tabs>
          <w:tab w:leader="none" w:pos="14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Series A Preferred Unit Transfer Restrictions.</w:t>
      </w:r>
    </w:p>
    <w:p>
      <w:pPr>
        <w:spacing w:after="0" w:line="225" w:lineRule="exact"/>
        <w:rPr>
          <w:rFonts w:ascii="Arial" w:cs="Arial" w:eastAsia="Arial" w:hAnsi="Arial"/>
          <w:sz w:val="18"/>
          <w:szCs w:val="18"/>
          <w:color w:val="auto"/>
        </w:rPr>
      </w:pPr>
    </w:p>
    <w:p>
      <w:pPr>
        <w:jc w:val="both"/>
        <w:ind w:left="760" w:right="100" w:firstLine="641"/>
        <w:spacing w:after="0" w:line="342" w:lineRule="auto"/>
        <w:tabs>
          <w:tab w:leader="none" w:pos="2077"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pacing w:after="0" w:line="123" w:lineRule="exact"/>
        <w:rPr>
          <w:rFonts w:ascii="Arial" w:cs="Arial" w:eastAsia="Arial" w:hAnsi="Arial"/>
          <w:sz w:val="16"/>
          <w:szCs w:val="16"/>
          <w:color w:val="auto"/>
        </w:rPr>
      </w:pPr>
    </w:p>
    <w:p>
      <w:pPr>
        <w:ind w:left="760" w:firstLine="641"/>
        <w:spacing w:after="0" w:line="287" w:lineRule="auto"/>
        <w:tabs>
          <w:tab w:leader="none" w:pos="2067"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 (b) during the period commencing on the Series A Issuance Date and ending on the second anniversary of the Series A Issuance Date, directly or indirectly engage in any short sales or other derivative or hedging transactions with respect to the Series A Preferred Units, (c) transfer any Series A Preferred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w:t>
      </w:r>
    </w:p>
    <w:p>
      <w:pPr>
        <w:sectPr>
          <w:pgSz w:w="11900" w:h="16838" w:orient="portrait"/>
          <w:cols w:equalWidth="0" w:num="1">
            <w:col w:w="10200"/>
          </w:cols>
          <w:pgMar w:left="1440" w:top="125" w:right="259" w:bottom="271" w:gutter="0" w:footer="0" w:header="0"/>
        </w:sectPr>
      </w:pP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125" w:right="259" w:bottom="271" w:gutter="0" w:footer="0" w:header="0"/>
          <w:type w:val="continuous"/>
        </w:sectPr>
      </w:pPr>
    </w:p>
    <w:bookmarkStart w:id="32" w:name="page33"/>
    <w:bookmarkEnd w:id="32"/>
    <w:p>
      <w:pPr>
        <w:ind w:left="760" w:right="40"/>
        <w:spacing w:after="0" w:line="273" w:lineRule="auto"/>
        <w:rPr>
          <w:sz w:val="20"/>
          <w:szCs w:val="20"/>
          <w:color w:val="auto"/>
        </w:rPr>
      </w:pPr>
      <w:r>
        <w:rPr>
          <w:rFonts w:ascii="Arial" w:cs="Arial" w:eastAsia="Arial" w:hAnsi="Arial"/>
          <w:sz w:val="17"/>
          <w:szCs w:val="17"/>
          <w:color w:val="auto"/>
        </w:rPr>
        <w:t xml:space="preserve">Series A Conversion Units in a manner that violates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Arial" w:cs="Arial" w:eastAsia="Arial" w:hAnsi="Arial"/>
          <w:sz w:val="17"/>
          <w:szCs w:val="17"/>
          <w:i w:val="1"/>
          <w:iCs w:val="1"/>
          <w:color w:val="auto"/>
        </w:rPr>
        <w:t>provided further</w:t>
      </w:r>
      <w:r>
        <w:rPr>
          <w:rFonts w:ascii="Arial" w:cs="Arial" w:eastAsia="Arial" w:hAnsi="Arial"/>
          <w:sz w:val="17"/>
          <w:szCs w:val="17"/>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 (viii)(B) shall agree to the restrictions set forth in this Section 5.14(b)(viii)(B).</w:t>
      </w:r>
    </w:p>
    <w:p>
      <w:pPr>
        <w:spacing w:after="0" w:line="178" w:lineRule="exact"/>
        <w:rPr>
          <w:sz w:val="20"/>
          <w:szCs w:val="20"/>
          <w:color w:val="auto"/>
        </w:rPr>
      </w:pPr>
    </w:p>
    <w:p>
      <w:pPr>
        <w:ind w:left="760" w:right="20" w:firstLine="641"/>
        <w:spacing w:after="0" w:line="273" w:lineRule="auto"/>
        <w:tabs>
          <w:tab w:leader="none" w:pos="2067" w:val="left"/>
        </w:tabs>
        <w:numPr>
          <w:ilvl w:val="1"/>
          <w:numId w:val="75"/>
        </w:numPr>
        <w:rPr>
          <w:rFonts w:ascii="Arial" w:cs="Arial" w:eastAsia="Arial" w:hAnsi="Arial"/>
          <w:sz w:val="17"/>
          <w:szCs w:val="17"/>
          <w:color w:val="auto"/>
        </w:rPr>
      </w:pPr>
      <w:r>
        <w:rPr>
          <w:rFonts w:ascii="Arial" w:cs="Arial" w:eastAsia="Arial" w:hAnsi="Arial"/>
          <w:sz w:val="17"/>
          <w:szCs w:val="17"/>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78" w:lineRule="exact"/>
        <w:rPr>
          <w:rFonts w:ascii="Arial" w:cs="Arial" w:eastAsia="Arial" w:hAnsi="Arial"/>
          <w:sz w:val="17"/>
          <w:szCs w:val="17"/>
          <w:color w:val="auto"/>
        </w:rPr>
      </w:pPr>
    </w:p>
    <w:p>
      <w:pPr>
        <w:ind w:left="1420" w:hanging="667"/>
        <w:spacing w:after="0"/>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Series A Distribution Amount Reset; Redemption.</w:t>
      </w:r>
    </w:p>
    <w:p>
      <w:pPr>
        <w:spacing w:after="0" w:line="225" w:lineRule="exact"/>
        <w:rPr>
          <w:rFonts w:ascii="Arial" w:cs="Arial" w:eastAsia="Arial" w:hAnsi="Arial"/>
          <w:sz w:val="18"/>
          <w:szCs w:val="18"/>
          <w:color w:val="auto"/>
        </w:rPr>
      </w:pPr>
    </w:p>
    <w:p>
      <w:pPr>
        <w:jc w:val="both"/>
        <w:ind w:left="760" w:right="60" w:firstLine="641"/>
        <w:spacing w:after="0" w:line="259" w:lineRule="auto"/>
        <w:tabs>
          <w:tab w:leader="none" w:pos="2077"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6" w:lineRule="exact"/>
        <w:rPr>
          <w:rFonts w:ascii="Arial" w:cs="Arial" w:eastAsia="Arial" w:hAnsi="Arial"/>
          <w:sz w:val="18"/>
          <w:szCs w:val="18"/>
          <w:color w:val="auto"/>
        </w:rPr>
      </w:pPr>
    </w:p>
    <w:p>
      <w:pPr>
        <w:ind w:left="760" w:right="20" w:firstLine="641"/>
        <w:spacing w:after="0" w:line="270" w:lineRule="auto"/>
        <w:tabs>
          <w:tab w:leader="none" w:pos="2067"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 Units (valued at 95% of the volume-weighted average price of the Common Units for the thirty (30) Trading Day period ending on the fifth Trading Day immediately prior to the date of such redemption) or a combination thereof at a redemption price equal to 110% of the Series A Issue Price, plus any accrued and unpaid distributions;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Partnership must have an effective registration statement on file with the Commission covering resales of the underlying Common Units to be received upon any such redemption; </w:t>
      </w:r>
      <w:r>
        <w:rPr>
          <w:rFonts w:ascii="Arial" w:cs="Arial" w:eastAsia="Arial" w:hAnsi="Arial"/>
          <w:sz w:val="17"/>
          <w:szCs w:val="17"/>
          <w:i w:val="1"/>
          <w:iCs w:val="1"/>
          <w:color w:val="auto"/>
        </w:rPr>
        <w:t>provided, further</w:t>
      </w:r>
      <w:r>
        <w:rPr>
          <w:rFonts w:ascii="Arial" w:cs="Arial" w:eastAsia="Arial" w:hAnsi="Arial"/>
          <w:sz w:val="17"/>
          <w:szCs w:val="17"/>
          <w:color w:val="auto"/>
        </w:rPr>
        <w:t>, any such redemption by the Partnership shall (1) cover an aggregate amount of</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Series A Preferred Units (including any Outstanding Series A PIK Units) with an underlying value of Common Units of at least</w:t>
      </w:r>
    </w:p>
    <w:p>
      <w:pPr>
        <w:spacing w:after="0" w:line="35" w:lineRule="exact"/>
        <w:rPr>
          <w:sz w:val="20"/>
          <w:szCs w:val="20"/>
          <w:color w:val="auto"/>
        </w:rPr>
      </w:pPr>
    </w:p>
    <w:p>
      <w:pPr>
        <w:ind w:left="760"/>
        <w:spacing w:after="0" w:line="268" w:lineRule="auto"/>
        <w:rPr>
          <w:sz w:val="20"/>
          <w:szCs w:val="20"/>
          <w:color w:val="auto"/>
        </w:rPr>
      </w:pPr>
      <w:r>
        <w:rPr>
          <w:rFonts w:ascii="Arial" w:cs="Arial" w:eastAsia="Arial" w:hAnsi="Arial"/>
          <w:sz w:val="17"/>
          <w:szCs w:val="17"/>
          <w:color w:val="auto"/>
        </w:rPr>
        <w:t>$500,000,000 based on the closing price of Common Units on the trading day immediately preceding the date of such notice on the National Securities Exchange on which the Common Units are then listed or admitted to trading (or such lesser amount if such amount includes all then Outstanding Series A Preferred Units) and (2) be allocated among the Series A Preferred Unitholders on a Pro Rata basis or on such other basis as may be agreed upon by the Series A Preferred Unitholders. The Partnership shall have the option to exercise such redemption right no more than two times in respect of the Outstanding Series A Preferred Units. Such written notice shall state the date on which the Series A Preferred Units will be redeemed (such date not to be more than thirty (30) days following delivery of such notice) and the Partnership’s computation of the amount of cash or Common Units to be received by the holder upon redemption of such Series A Preferred Units. Holders of the Series A Preferred Units shall retain all of the rights and privileges thereof unless and until the consideration due to them as a result of such redemption shall be paid in full in cash or Common Units, as applicable.</w:t>
      </w:r>
    </w:p>
    <w:p>
      <w:pPr>
        <w:spacing w:after="0" w:line="180" w:lineRule="exact"/>
        <w:rPr>
          <w:sz w:val="20"/>
          <w:szCs w:val="20"/>
          <w:color w:val="auto"/>
        </w:rPr>
      </w:pPr>
    </w:p>
    <w:p>
      <w:pPr>
        <w:jc w:val="both"/>
        <w:ind w:left="100" w:right="60" w:firstLine="653"/>
        <w:spacing w:after="0" w:line="259" w:lineRule="auto"/>
        <w:tabs>
          <w:tab w:leader="none" w:pos="140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Any Series A Conversion Unit(s) delivered pursuant to this Section 5.14 shall be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fully paid and nonassessable (except as such nonassessability may be affected by matters described in Sections 17-303, 17-607 and 17-804 of the Delaware Act), free and clear of any liens, claims, rights or encumbrances other than those arising under the Delaware Act or this Agreement or created by the holders thereof.</w:t>
      </w:r>
    </w:p>
    <w:p>
      <w:pPr>
        <w:spacing w:after="0" w:line="186" w:lineRule="exact"/>
        <w:rPr>
          <w:rFonts w:ascii="Arial" w:cs="Arial" w:eastAsia="Arial" w:hAnsi="Arial"/>
          <w:sz w:val="18"/>
          <w:szCs w:val="18"/>
          <w:color w:val="auto"/>
        </w:rPr>
      </w:pPr>
    </w:p>
    <w:p>
      <w:pPr>
        <w:ind w:left="100" w:right="40" w:firstLine="653"/>
        <w:spacing w:after="0" w:line="287" w:lineRule="auto"/>
        <w:tabs>
          <w:tab w:leader="none" w:pos="1413"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Partnership Restructuring Event</w:t>
      </w:r>
      <w:r>
        <w:rPr>
          <w:rFonts w:ascii="Arial" w:cs="Arial" w:eastAsia="Arial" w:hAnsi="Arial"/>
          <w:sz w:val="16"/>
          <w:szCs w:val="16"/>
          <w:color w:val="auto"/>
        </w:rPr>
        <w:t>. Subject to Section 5.14(b)(vi)(B), if (A) a Partnership Restructuring Event occurs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0"/>
        <w:spacing w:after="0" w:line="277" w:lineRule="auto"/>
        <w:rPr>
          <w:sz w:val="20"/>
          <w:szCs w:val="20"/>
          <w:color w:val="auto"/>
        </w:rPr>
      </w:pPr>
      <w:r>
        <w:rPr>
          <w:rFonts w:ascii="Arial" w:cs="Arial" w:eastAsia="Arial" w:hAnsi="Arial"/>
          <w:sz w:val="18"/>
          <w:szCs w:val="18"/>
          <w:color w:val="auto"/>
        </w:rPr>
        <w:t>prior to such Partnership Restructuring Event or such other event, such holder would have been entitled to receive immediately following such Partnership Restructuring Event or such other event.</w:t>
      </w:r>
    </w:p>
    <w:p>
      <w:pPr>
        <w:spacing w:after="0" w:line="170" w:lineRule="exact"/>
        <w:rPr>
          <w:sz w:val="20"/>
          <w:szCs w:val="20"/>
          <w:color w:val="auto"/>
        </w:rPr>
      </w:pPr>
    </w:p>
    <w:p>
      <w:pPr>
        <w:ind w:left="100" w:right="60" w:firstLine="653"/>
        <w:spacing w:after="0" w:line="342" w:lineRule="auto"/>
        <w:tabs>
          <w:tab w:leader="none" w:pos="142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For the avoidance of doubt, the Partnership shall distribute to the holders of Series A Preferred Units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all notices, materials, annual and quarterly reports, proxy statements, information statements and any other documents distributed generally</w:t>
      </w:r>
    </w:p>
    <w:p>
      <w:pPr>
        <w:sectPr>
          <w:pgSz w:w="11900" w:h="16838" w:orient="portrait"/>
          <w:cols w:equalWidth="0" w:num="1">
            <w:col w:w="10200"/>
          </w:cols>
          <w:pgMar w:left="1440" w:top="341" w:right="259" w:bottom="0" w:gutter="0" w:footer="0" w:header="0"/>
        </w:sectPr>
      </w:pPr>
    </w:p>
    <w:bookmarkStart w:id="33" w:name="page34"/>
    <w:bookmarkEnd w:id="33"/>
    <w:p>
      <w:pPr>
        <w:spacing w:after="0" w:line="94" w:lineRule="exact"/>
        <w:rPr>
          <w:sz w:val="20"/>
          <w:szCs w:val="20"/>
          <w:color w:val="auto"/>
        </w:rPr>
      </w:pPr>
    </w:p>
    <w:p>
      <w:pPr>
        <w:ind w:left="1280" w:right="140"/>
        <w:spacing w:after="0" w:line="277" w:lineRule="auto"/>
        <w:rPr>
          <w:sz w:val="20"/>
          <w:szCs w:val="20"/>
          <w:color w:val="auto"/>
        </w:rPr>
      </w:pPr>
      <w:r>
        <w:rPr>
          <w:rFonts w:ascii="Arial" w:cs="Arial" w:eastAsia="Arial" w:hAnsi="Arial"/>
          <w:sz w:val="18"/>
          <w:szCs w:val="18"/>
          <w:color w:val="auto"/>
        </w:rPr>
        <w:t>to the holders of Common Units of the Partnership, at such times and by such method as such documents are distributed to such holders of such Common Units.</w:t>
      </w:r>
    </w:p>
    <w:p>
      <w:pPr>
        <w:spacing w:after="0" w:line="170" w:lineRule="exact"/>
        <w:rPr>
          <w:sz w:val="20"/>
          <w:szCs w:val="20"/>
          <w:color w:val="auto"/>
        </w:rPr>
      </w:pPr>
    </w:p>
    <w:p>
      <w:pPr>
        <w:ind w:left="1280" w:right="40" w:firstLine="653"/>
        <w:spacing w:after="0" w:line="291" w:lineRule="auto"/>
        <w:tabs>
          <w:tab w:leader="none" w:pos="2612"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Liquidation Value</w:t>
      </w:r>
      <w:r>
        <w:rPr>
          <w:rFonts w:ascii="Arial" w:cs="Arial" w:eastAsia="Arial" w:hAnsi="Arial"/>
          <w:sz w:val="16"/>
          <w:szCs w:val="16"/>
          <w:color w:val="auto"/>
        </w:rPr>
        <w:t>. In the event of any liquidation, dissolution and winding up of the Partnership under Section 12.4 or a</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A Parity Securities, the Record Holders of which shall have a pari passu entitlement),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6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i w:val="1"/>
          <w:iCs w:val="1"/>
          <w:color w:val="auto"/>
        </w:rPr>
        <w:t>Establishment of Series B Preferred Units</w:t>
      </w:r>
      <w:r>
        <w:rPr>
          <w:rFonts w:ascii="Arial" w:cs="Arial" w:eastAsia="Arial" w:hAnsi="Arial"/>
          <w:sz w:val="16"/>
          <w:szCs w:val="16"/>
          <w:color w:val="auto"/>
        </w:rPr>
        <w:t>.</w:t>
      </w:r>
    </w:p>
    <w:p>
      <w:pPr>
        <w:spacing w:after="0" w:line="225" w:lineRule="exact"/>
        <w:rPr>
          <w:sz w:val="20"/>
          <w:szCs w:val="20"/>
          <w:color w:val="auto"/>
        </w:rPr>
      </w:pPr>
    </w:p>
    <w:p>
      <w:pPr>
        <w:ind w:left="-20" w:right="40" w:firstLine="1305"/>
        <w:spacing w:after="0" w:line="302" w:lineRule="auto"/>
        <w:tabs>
          <w:tab w:leader="none" w:pos="192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Partnership hereby designates and creates a series of Units to be designated as “6.125% Series B Fixed-to-Floating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Cumulative Redeemable Perpetual Preferred Units,” having the preferences, rights, powers, and duties set forth herein, including in this Section 5.15. The Series B Preferred Units represent perpetual equity interests in the Partnership and, except as set forth in Section 5.15(c)(iii), shall not give rise to a claim by the Partnership or a Series B Preferred Unitholder for redemption or the conversion thereof, as applicable, at a particular date.</w:t>
      </w:r>
    </w:p>
    <w:p>
      <w:pPr>
        <w:spacing w:after="0" w:line="154" w:lineRule="exact"/>
        <w:rPr>
          <w:rFonts w:ascii="Arial" w:cs="Arial" w:eastAsia="Arial" w:hAnsi="Arial"/>
          <w:sz w:val="16"/>
          <w:szCs w:val="16"/>
          <w:color w:val="auto"/>
        </w:rPr>
      </w:pPr>
    </w:p>
    <w:p>
      <w:pPr>
        <w:ind w:left="-20" w:right="300" w:firstLine="1305"/>
        <w:spacing w:after="0" w:line="273" w:lineRule="auto"/>
        <w:tabs>
          <w:tab w:leader="none" w:pos="1932"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Certificates. </w:t>
      </w:r>
      <w:r>
        <w:rPr>
          <w:rFonts w:ascii="Arial" w:cs="Arial" w:eastAsia="Arial" w:hAnsi="Arial"/>
          <w:sz w:val="17"/>
          <w:szCs w:val="17"/>
          <w:color w:val="auto"/>
        </w:rPr>
        <w:t>The Series B Preferred Units shall be represented by one or more global Certificates registered in the name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or its nominee, and no Series B Preferred Unitholder shall be entitled to receive a definitive Certificate evidencing its Series B Preferred Units, unless otherwise required by law or the Depositary gives notice of its intention to resign or is no longer eligible to act as such with respect to the Series B Preferred Units and the Partnership shall have not selected a substitute Depositary within 60 calendar days thereafter. So long as the Depositary shall have been appointed and is serving with respect to the Series B Preferred Units, payments and communications made by the Partnership to Series B Preferred Unitholders shall be made by making payments to, and communicating with, the Depositary.</w:t>
      </w:r>
    </w:p>
    <w:p>
      <w:pPr>
        <w:spacing w:after="0" w:line="178" w:lineRule="exact"/>
        <w:rPr>
          <w:rFonts w:ascii="Arial" w:cs="Arial" w:eastAsia="Arial" w:hAnsi="Arial"/>
          <w:sz w:val="17"/>
          <w:szCs w:val="17"/>
          <w:color w:val="auto"/>
        </w:rPr>
      </w:pPr>
    </w:p>
    <w:p>
      <w:pPr>
        <w:ind w:left="-20" w:firstLine="1305"/>
        <w:spacing w:after="0" w:line="277" w:lineRule="auto"/>
        <w:tabs>
          <w:tab w:leader="none" w:pos="193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Rights of Series B Preferred Units</w:t>
      </w:r>
      <w:r>
        <w:rPr>
          <w:rFonts w:ascii="Arial" w:cs="Arial" w:eastAsia="Arial" w:hAnsi="Arial"/>
          <w:sz w:val="18"/>
          <w:szCs w:val="18"/>
          <w:color w:val="auto"/>
        </w:rPr>
        <w:t>. The Series B Preferred Units shall have the following rights, preferences and privileges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B Preferred Unitholders shall be subject to the following duties and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67"/>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right="80" w:firstLine="641"/>
        <w:spacing w:after="0" w:line="277" w:lineRule="auto"/>
        <w:tabs>
          <w:tab w:leader="none" w:pos="325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Distributions on each Outstanding Series B Preferred Unit shall be cumulative and shall accumulate at the applicable Series B Distribution Rate from and including the Series B Original Issue Date (or, for any subsequently issued and newly Outstanding Series B Preferred Units, from and including the Series B Distribution Payment Date immediately preceding the issue date of such Series B Preferred Units) until such time as the Partnership pays the Series B Distribution or redeems such Series B Preferred Unit in accordance with Section 5.15(c)(iii), whether or not such Series B Distributions shall have been declared. Series B Preferred Unitholders shall be entitled to receive Series B Distributions from time to time out of any assets of the Partnership legally available for the payment of distributions at the Series B Distribution Rate per Series B Preferred Unit when, as, and, if declared by the General Partner, prior to any other distributions made in respect of any other Partnership Interests pursuant to Section 6.3. Series B Distributions during the Series B Fixed Rate Period shall be paid on a semi-annual basis on May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year, and Series B Distributions during the Series B Floating Rate Period shall be paid on a quarterly basis on February 15</w:t>
      </w:r>
      <w:r>
        <w:rPr>
          <w:rFonts w:ascii="Arial" w:cs="Arial" w:eastAsia="Arial" w:hAnsi="Arial"/>
          <w:sz w:val="20"/>
          <w:szCs w:val="20"/>
          <w:color w:val="auto"/>
          <w:vertAlign w:val="superscript"/>
        </w:rPr>
        <w:t>th</w:t>
      </w:r>
      <w:r>
        <w:rPr>
          <w:rFonts w:ascii="Arial" w:cs="Arial" w:eastAsia="Arial" w:hAnsi="Arial"/>
          <w:sz w:val="16"/>
          <w:szCs w:val="16"/>
          <w:color w:val="auto"/>
        </w:rPr>
        <w:t>, May 15</w:t>
      </w:r>
      <w:r>
        <w:rPr>
          <w:rFonts w:ascii="Arial" w:cs="Arial" w:eastAsia="Arial" w:hAnsi="Arial"/>
          <w:sz w:val="20"/>
          <w:szCs w:val="20"/>
          <w:color w:val="auto"/>
          <w:vertAlign w:val="superscript"/>
        </w:rPr>
        <w:t>th</w:t>
      </w:r>
      <w:r>
        <w:rPr>
          <w:rFonts w:ascii="Arial" w:cs="Arial" w:eastAsia="Arial" w:hAnsi="Arial"/>
          <w:sz w:val="16"/>
          <w:szCs w:val="16"/>
          <w:color w:val="auto"/>
        </w:rPr>
        <w:t>, August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year (each date, a “</w:t>
      </w:r>
      <w:r>
        <w:rPr>
          <w:rFonts w:ascii="Arial" w:cs="Arial" w:eastAsia="Arial" w:hAnsi="Arial"/>
          <w:sz w:val="16"/>
          <w:szCs w:val="16"/>
          <w:i w:val="1"/>
          <w:iCs w:val="1"/>
          <w:color w:val="auto"/>
        </w:rPr>
        <w:t>Series B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If any Series B Distribution Payment Date would otherwise occur on a day that is not a Business Day, such</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 Distribution Payment Date shall instead be on the immediately succeeding Business Day without the accumulation of additional distributions. During the Series B Fixed Rate Period, the total amount of a Series B Distribution shall be payable based on a 360-day year consisting of twelve 30 day months. During the Series B Floating Rate Period, Series B Distributions shall be computed by multiplying the Series B Distribution Rate by a fraction, the numerator of which will be the actual number of days elapsed during that Series B Distribution Period, and the denominator of which will be 360, and by multiplying the result by the aggregate Series B Liquidation Preference of all Outstanding Series B Preferred Units. All Series B Distributions payable by the Partnership pursuant to this Section 5.15(c)(i)(A) shall be payable without regard to income of the Partnership and shall be treated for federal income tax purposes as guaranteed payments for the use of capital under Section 707(c) of the Code.</w:t>
      </w:r>
    </w:p>
    <w:p>
      <w:pPr>
        <w:spacing w:after="0" w:line="184" w:lineRule="exact"/>
        <w:rPr>
          <w:rFonts w:ascii="Arial" w:cs="Arial" w:eastAsia="Arial" w:hAnsi="Arial"/>
          <w:sz w:val="16"/>
          <w:szCs w:val="16"/>
          <w:color w:val="auto"/>
        </w:rPr>
      </w:pPr>
    </w:p>
    <w:p>
      <w:pPr>
        <w:ind w:left="1940" w:right="60" w:firstLine="641"/>
        <w:spacing w:after="0" w:line="257" w:lineRule="auto"/>
        <w:tabs>
          <w:tab w:leader="none" w:pos="3247"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 later than 5:00 p.m., New York City time, on each Series B Distribution Payment Date, the Partnership shall pay those Series B Distributions, if any, that shall have been declared by the General Partner to Series B Preferred Unitholders on the Series B Record Date for the applicable Series B Distribution. The “Series B Record Date” for the payment of any Series B Distributions shall be as of the close of business on the first Business Day of the month of the applicable Series B Distribution Payment Date. So long as the Series B Preferred Units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40" w:right="120"/>
        <w:spacing w:after="0" w:line="264" w:lineRule="auto"/>
        <w:rPr>
          <w:sz w:val="20"/>
          <w:szCs w:val="20"/>
          <w:color w:val="auto"/>
        </w:rPr>
      </w:pPr>
      <w:r>
        <w:rPr>
          <w:rFonts w:ascii="Arial" w:cs="Arial" w:eastAsia="Arial" w:hAnsi="Arial"/>
          <w:sz w:val="18"/>
          <w:szCs w:val="18"/>
          <w:color w:val="auto"/>
        </w:rPr>
        <w:t>held of record by the Depositary or its nominee, declared Series B Distributions shall be paid to the Depositary in same-day funds on each Series B Distribution Payment Date or other distribution payment date in the case of payments for Series B Unpaid Cash Distributions.</w:t>
      </w:r>
    </w:p>
    <w:p>
      <w:pPr>
        <w:spacing w:after="0" w:line="181" w:lineRule="exact"/>
        <w:rPr>
          <w:sz w:val="20"/>
          <w:szCs w:val="20"/>
          <w:color w:val="auto"/>
        </w:rPr>
      </w:pPr>
    </w:p>
    <w:p>
      <w:pPr>
        <w:ind w:left="1940" w:right="40" w:firstLine="641"/>
        <w:spacing w:after="0" w:line="291" w:lineRule="auto"/>
        <w:tabs>
          <w:tab w:leader="none" w:pos="32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Partnership fails to pay in full a Series B Distribution on any Series B Distribution Payment Date, then from and after the first date of such failure and continuing until such failure is cured by payment in full in cash of all such arrearages, (1) the amount of such unpaid cash distributions unless and until paid will accumulate and accrue at the Series B Distribution Rate from and including the first day of the Series B Distribution Period immediately following the Series B Distribution Period in respect of which such payment is due until paid in full (such unpaid and accrued distributions, the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Unpaid Cash Distributions</w:t>
      </w:r>
      <w:r>
        <w:rPr>
          <w:rFonts w:ascii="Arial" w:cs="Arial" w:eastAsia="Arial" w:hAnsi="Arial"/>
          <w:sz w:val="16"/>
          <w:szCs w:val="16"/>
          <w:color w:val="auto"/>
        </w:rPr>
        <w:t>”) and (2) the Partnership shall not be permitted to, and shall not, declare or make or set aside for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any distributions in respect of any Junior Interests (including, for the avoidance of doubt, with respect to any distributions</w:t>
      </w:r>
    </w:p>
    <w:p>
      <w:pPr>
        <w:sectPr>
          <w:pgSz w:w="11900" w:h="16932" w:orient="portrait"/>
          <w:cols w:equalWidth="0" w:num="1">
            <w:col w:w="11400"/>
          </w:cols>
          <w:pgMar w:left="260" w:top="125" w:right="239" w:bottom="0" w:gutter="0" w:footer="0" w:header="0"/>
        </w:sectPr>
      </w:pPr>
    </w:p>
    <w:bookmarkStart w:id="34" w:name="page35"/>
    <w:bookmarkEnd w:id="34"/>
    <w:p>
      <w:pPr>
        <w:spacing w:after="0" w:line="114" w:lineRule="exact"/>
        <w:rPr>
          <w:sz w:val="20"/>
          <w:szCs w:val="20"/>
          <w:color w:val="auto"/>
        </w:rPr>
      </w:pPr>
    </w:p>
    <w:p>
      <w:pPr>
        <w:ind w:left="760" w:right="40"/>
        <w:spacing w:after="0" w:line="257" w:lineRule="auto"/>
        <w:rPr>
          <w:sz w:val="20"/>
          <w:szCs w:val="20"/>
          <w:color w:val="auto"/>
        </w:rPr>
      </w:pPr>
      <w:r>
        <w:rPr>
          <w:rFonts w:ascii="Arial" w:cs="Arial" w:eastAsia="Arial" w:hAnsi="Arial"/>
          <w:sz w:val="18"/>
          <w:szCs w:val="18"/>
          <w:color w:val="auto"/>
        </w:rPr>
        <w:t>to Junior Interests during the Series B Distribution Period for which the Partnership first failed to pay in full the Series B Distribution in cash when due), other than a distribution payable in kind solely in Junior Interests. Payments in respect of Series B Unpaid Cash Distributions may be declared by the General Partner and paid on any date selected by the General Partner, whether or not a Series B Distribution Payment Date, to Series B Preferred Unitholders on the Record Date for such payment, which may not be less than 10 days before such payment date.</w:t>
      </w:r>
    </w:p>
    <w:p>
      <w:pPr>
        <w:spacing w:after="0" w:line="188" w:lineRule="exact"/>
        <w:rPr>
          <w:sz w:val="20"/>
          <w:szCs w:val="20"/>
          <w:color w:val="auto"/>
        </w:rPr>
      </w:pPr>
    </w:p>
    <w:p>
      <w:pPr>
        <w:ind w:left="760" w:right="20" w:firstLine="641"/>
        <w:spacing w:after="0" w:line="288" w:lineRule="auto"/>
        <w:tabs>
          <w:tab w:leader="none" w:pos="20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General Partner may not declare, make and set aside for payment (1) full Series B Distributions or full distributions with respect to any Series B Parity Securities (other than Series A PIK Units) or (2) any distributions with respect to Junior Interests, in each case, in respect of any distribution period unless, at the time of the declaration of such distribution, (x) all Series B Unpaid Cash Distributions and any accumulated and unpaid distributions on any Series B Parity Securities have been paid or funds have been set aside for payment thereof, and (y) at the time of declaration of the applicable distribution, the General Partner expects to have sufficient Available Cash to pay the next Series B Distribution and the next distribution in respect of any Series B Parity Securities in full, regardless of the relative timing of such distributions. If the General Partner expects to have insufficient Available Cash to pay the next Series B Distribution in full at the time of declaration of a Series B Distribution or Series B Parity Security distribution, it will adjust the amount of such distributions so that the Series B Preferred Units and Series B Parity Securities are paid on a pari passu basis on their respective payment dates.</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firstLine="641"/>
        <w:spacing w:after="0" w:line="270" w:lineRule="auto"/>
        <w:tabs>
          <w:tab w:leader="none" w:pos="207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Series B Distribution shall be paid out of Available Cash with respect to the Quarter immediately preceding the applicable Series B Distribution Payment Date that is deemed to be Operating Surplus prior to making any distribution pursuant to Section 6.3. To the extent that any portion of the aggregate of a Series B Distribution and distributions to any Series B Parity Securities to be paid in cash with respect to any Series B Distribution Period exceeds the amount of Available Cash for such Quarter, an amount of cash equal to the Available Cash for such Quarter will be paid to the Series B Preferred Unitholders and Series B Parity Securities in proportion to the distribution amounts payable in respect of the Series B Preferred Units and Series B Parity Securities (including the Series A Preferred Units), and (1) the balance of the Series B Distribution shall be unpaid and shall constitute a Series B Unpaid Cash Distribution and shall accrue and accumulate as set forth in Section 5.15(c)(i)(C), (2) the balance of the Series A Distribution shall be unpaid and shall constitute an arrearage and shall accrue and accumulate as set forth in Section 5.14(b)(i)(B).</w:t>
      </w:r>
    </w:p>
    <w:p>
      <w:pPr>
        <w:spacing w:after="0" w:line="177" w:lineRule="exact"/>
        <w:rPr>
          <w:rFonts w:ascii="Arial" w:cs="Arial" w:eastAsia="Arial" w:hAnsi="Arial"/>
          <w:sz w:val="17"/>
          <w:szCs w:val="17"/>
          <w:color w:val="auto"/>
        </w:rPr>
      </w:pPr>
    </w:p>
    <w:p>
      <w:pPr>
        <w:ind w:left="760" w:right="320" w:firstLine="641"/>
        <w:spacing w:after="0" w:line="264" w:lineRule="auto"/>
        <w:tabs>
          <w:tab w:leader="none" w:pos="20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“Series B Three-Month LIBOR” for each Series B Distribution Period during the Series B Floating Rate Period shall be determined by the Calculation Agent as of the applicable LIBOR Determination Date, in accordance with the following provisions:</w:t>
      </w:r>
    </w:p>
    <w:p>
      <w:pPr>
        <w:spacing w:after="0" w:line="181" w:lineRule="exact"/>
        <w:rPr>
          <w:rFonts w:ascii="Arial" w:cs="Arial" w:eastAsia="Arial" w:hAnsi="Arial"/>
          <w:sz w:val="18"/>
          <w:szCs w:val="18"/>
          <w:color w:val="auto"/>
        </w:rPr>
      </w:pPr>
    </w:p>
    <w:p>
      <w:pPr>
        <w:ind w:left="1400" w:right="40" w:firstLine="649"/>
        <w:spacing w:after="0" w:line="264" w:lineRule="auto"/>
        <w:tabs>
          <w:tab w:leader="none" w:pos="27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expressed as a percentage per year for deposits in U.S. dollars for a three-month period commencing on the first day of such Series B Distribution Period that appears on Reuters Page LIBOR01 as of 11:00 a.m. (London time) on the LIBOR Determination Date; or</w:t>
      </w:r>
    </w:p>
    <w:p>
      <w:pPr>
        <w:spacing w:after="0" w:line="181" w:lineRule="exact"/>
        <w:rPr>
          <w:rFonts w:ascii="Arial" w:cs="Arial" w:eastAsia="Arial" w:hAnsi="Arial"/>
          <w:sz w:val="18"/>
          <w:szCs w:val="18"/>
          <w:color w:val="auto"/>
        </w:rPr>
      </w:pPr>
    </w:p>
    <w:p>
      <w:pPr>
        <w:ind w:left="1400" w:right="120" w:firstLine="649"/>
        <w:spacing w:after="0" w:line="290" w:lineRule="auto"/>
        <w:tabs>
          <w:tab w:leader="none" w:pos="2704"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the Calculation Agent determines that no such rate is so published, the Calculation Agent may determine whether to use a substitute or successor rate to the rate that it has determined, in its sole discretion, is most comparable to the rate described in Section 5.15(c)(i)(F)(1); provided, that if the Calculation Agent determines there is a base rate that is commonly used by banking institutions and other financial services industry participants as a successor rate to the rate set forth in Section 5.15(c)(i)(F)(1), the Calculation Agent shall use such successor base rate. If the Calculation Agent has identified a successor or substitute rate in accordance with the preceding sentence, it may, in its sole discretion, modify the LIBOR Determination Date and other terms contained in Section 5.15(c)(i)(F)(1) in a manner that is consistent with the financial services industry’s use of such substitute or successor base rate.</w:t>
      </w:r>
    </w:p>
    <w:p>
      <w:pPr>
        <w:spacing w:after="0" w:line="166" w:lineRule="exact"/>
        <w:rPr>
          <w:rFonts w:ascii="Arial" w:cs="Arial" w:eastAsia="Arial" w:hAnsi="Arial"/>
          <w:sz w:val="16"/>
          <w:szCs w:val="16"/>
          <w:color w:val="auto"/>
        </w:rPr>
      </w:pPr>
    </w:p>
    <w:p>
      <w:pPr>
        <w:ind w:left="2700" w:hanging="651"/>
        <w:spacing w:after="0"/>
        <w:tabs>
          <w:tab w:leader="none" w:pos="27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the Calculation Agent does not identify a successor or substitute rate in accordance with Section</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60"/>
        <w:spacing w:after="0" w:line="255" w:lineRule="auto"/>
        <w:rPr>
          <w:sz w:val="20"/>
          <w:szCs w:val="20"/>
          <w:color w:val="auto"/>
        </w:rPr>
      </w:pPr>
      <w:r>
        <w:rPr>
          <w:rFonts w:ascii="Arial" w:cs="Arial" w:eastAsia="Arial" w:hAnsi="Arial"/>
          <w:sz w:val="18"/>
          <w:szCs w:val="18"/>
          <w:color w:val="auto"/>
        </w:rPr>
        <w:t>5.15(c)(i)(F)(2), the Series B Three-Month LIBOR will be the arithmetic mean of the rates quoted at approximately 11:00 a.m. London time on the LIBOR Determination Date, at which deposits of the following kind are offered to prime banks in the London interbank market by four major banks in that market selected by the Calculation Agent: three-month deposits in U.S. dollars, beginning on the first day of the Series B Distribution Period, and in an amount that in the Calculation Agent’s judgment, is representative of a single transaction in the relevant market at the relevant time (a “</w:t>
      </w:r>
      <w:r>
        <w:rPr>
          <w:rFonts w:ascii="Arial" w:cs="Arial" w:eastAsia="Arial" w:hAnsi="Arial"/>
          <w:sz w:val="18"/>
          <w:szCs w:val="18"/>
          <w:i w:val="1"/>
          <w:iCs w:val="1"/>
          <w:color w:val="auto"/>
        </w:rPr>
        <w:t>Representative Amount</w:t>
      </w:r>
      <w:r>
        <w:rPr>
          <w:rFonts w:ascii="Arial" w:cs="Arial" w:eastAsia="Arial" w:hAnsi="Arial"/>
          <w:sz w:val="18"/>
          <w:szCs w:val="18"/>
          <w:color w:val="auto"/>
        </w:rPr>
        <w:t>”).</w:t>
      </w:r>
    </w:p>
    <w:p>
      <w:pPr>
        <w:spacing w:after="0" w:line="193" w:lineRule="exact"/>
        <w:rPr>
          <w:sz w:val="20"/>
          <w:szCs w:val="20"/>
          <w:color w:val="auto"/>
        </w:rPr>
      </w:pPr>
    </w:p>
    <w:p>
      <w:pPr>
        <w:ind w:left="1400" w:firstLine="649"/>
        <w:spacing w:after="0" w:line="257" w:lineRule="auto"/>
        <w:tabs>
          <w:tab w:leader="none" w:pos="27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fewer than two quotations are provided pursuant to Section 5.15(c)(i)(F)(3), the Series B Three-Month LIBOR for such Series B Distribution Period will be the arithmetic mean of the rates quoted at 11:00 a.m., New York City time on the LIBOR Determination Date, by major banks in New York City selected by the Calculation Agent, for loans in U.S. dollars to leading European banks for a three-month period commencing on the first day of such Series B Distribution Period in a Representative Amount.</w:t>
      </w:r>
    </w:p>
    <w:p>
      <w:pPr>
        <w:spacing w:after="0" w:line="188" w:lineRule="exact"/>
        <w:rPr>
          <w:rFonts w:ascii="Arial" w:cs="Arial" w:eastAsia="Arial" w:hAnsi="Arial"/>
          <w:sz w:val="18"/>
          <w:szCs w:val="18"/>
          <w:color w:val="auto"/>
        </w:rPr>
      </w:pPr>
    </w:p>
    <w:p>
      <w:pPr>
        <w:ind w:left="1400" w:right="320" w:firstLine="649"/>
        <w:spacing w:after="0" w:line="257" w:lineRule="auto"/>
        <w:tabs>
          <w:tab w:leader="none" w:pos="27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no quotation is provided as described above in Section 5.15(c)(i)(F)(1), (2), (3), or (4), the Calculation Agent, after consulting such sources as it deems comparable to any of the foregoing quotations or display page, or any such source as it deems reasonable from which to estimate the Series B Three-Month LIBOR, shall determine in its sole discretion the Series B Three-Month LIBOR as of the second London Business Day immediately preceding the first day of the Series B Distribution Period.</w:t>
      </w:r>
    </w:p>
    <w:p>
      <w:pPr>
        <w:spacing w:after="0" w:line="188" w:lineRule="exact"/>
        <w:rPr>
          <w:rFonts w:ascii="Arial" w:cs="Arial" w:eastAsia="Arial" w:hAnsi="Arial"/>
          <w:sz w:val="18"/>
          <w:szCs w:val="18"/>
          <w:color w:val="auto"/>
        </w:rPr>
      </w:pPr>
    </w:p>
    <w:p>
      <w:pPr>
        <w:ind w:left="1400" w:right="200" w:firstLine="649"/>
        <w:spacing w:after="0" w:line="308" w:lineRule="auto"/>
        <w:tabs>
          <w:tab w:leader="none" w:pos="27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Calculation Agent’s determination of the Series B Three-Month LIBOR and its calculation of the amount of interest for any interest period will each be final and binding in the absence of manifest error.</w:t>
      </w:r>
    </w:p>
    <w:p>
      <w:pPr>
        <w:sectPr>
          <w:pgSz w:w="11900" w:h="16953" w:orient="portrait"/>
          <w:cols w:equalWidth="0" w:num="1">
            <w:col w:w="10220"/>
          </w:cols>
          <w:pgMar w:left="1440" w:top="125" w:right="239" w:bottom="0" w:gutter="0" w:footer="0" w:header="0"/>
        </w:sectPr>
      </w:pPr>
    </w:p>
    <w:bookmarkStart w:id="35" w:name="page36"/>
    <w:bookmarkEnd w:id="35"/>
    <w:p>
      <w:pPr>
        <w:spacing w:after="0" w:line="103" w:lineRule="exact"/>
        <w:rPr>
          <w:sz w:val="20"/>
          <w:szCs w:val="20"/>
          <w:color w:val="auto"/>
        </w:rPr>
      </w:pPr>
    </w:p>
    <w:p>
      <w:pPr>
        <w:ind w:left="2060" w:hanging="659"/>
        <w:spacing w:after="0"/>
        <w:tabs>
          <w:tab w:leader="none" w:pos="2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For the avoidance of doubt, the Series A Preferred Units shall be deemed Series B Parity Securities.</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360" w:firstLine="641"/>
        <w:spacing w:after="0" w:line="342" w:lineRule="auto"/>
        <w:tabs>
          <w:tab w:leader="none" w:pos="2077"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Series B Preferred Units shall not have any voting rights except as set forth in Section 13.3(c), this Section 5.15(c)(ii) or as otherwise required by the Delaware Act.</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firstLine="641"/>
        <w:spacing w:after="0" w:line="270" w:lineRule="auto"/>
        <w:tabs>
          <w:tab w:leader="none" w:pos="2067" w:val="left"/>
        </w:tabs>
        <w:numPr>
          <w:ilvl w:val="1"/>
          <w:numId w:val="88"/>
        </w:numPr>
        <w:rPr>
          <w:rFonts w:ascii="Arial" w:cs="Arial" w:eastAsia="Arial" w:hAnsi="Arial"/>
          <w:sz w:val="17"/>
          <w:szCs w:val="17"/>
          <w:color w:val="auto"/>
        </w:rPr>
      </w:pPr>
      <w:r>
        <w:rPr>
          <w:rFonts w:ascii="Arial" w:cs="Arial" w:eastAsia="Arial" w:hAnsi="Arial"/>
          <w:sz w:val="17"/>
          <w:szCs w:val="17"/>
          <w:color w:val="auto"/>
        </w:rPr>
        <w:t>Without the affirmative vote or consent of the holders of at least 66 2/3% of the Outstanding Series B Preferred Units, voting as a separate class, the General Partner shall not adopt any amendment to this Agreement that would have a material adverse effect on the powers, preferences, duties or special rights of the Series B Preferred Units; provided, however, that no amendment of this Agreement (1) subject to Section 5.15(c)(ii)(C), relating to the issuance of additional Partnership Securities shall not be deemed to constitute such a material adverse effect for purposes of this Section 5.15(c)(ii)(B) and (2) for purposes of this Section 5.15(c)(ii)(B), in connection with a merger or other transaction in which the Partnership is the surviving entity and the Series B Preferred Units remain Outstanding with the terms thereof materially unchanged in any respect adverse to the Series B Preferred Unitholders shall be deemed to materially and adversely affect the powers, preferences, duties or special rights of the Series B Preferred Units.</w:t>
      </w:r>
    </w:p>
    <w:p>
      <w:pPr>
        <w:spacing w:after="0" w:line="181" w:lineRule="exact"/>
        <w:rPr>
          <w:rFonts w:ascii="Arial" w:cs="Arial" w:eastAsia="Arial" w:hAnsi="Arial"/>
          <w:sz w:val="17"/>
          <w:szCs w:val="17"/>
          <w:color w:val="auto"/>
        </w:rPr>
      </w:pPr>
    </w:p>
    <w:p>
      <w:pPr>
        <w:ind w:left="760" w:right="120" w:firstLine="641"/>
        <w:spacing w:after="0" w:line="255" w:lineRule="auto"/>
        <w:tabs>
          <w:tab w:leader="none" w:pos="2067"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Without the affirmative vote or consent of the holders of at least 66 2/3% of the Outstanding Series B Preferred Units voting as a class together with holders of any other Series B Parity Securities issued after the Series B Original Issue Date upon which like voting rights have been conferred and are exercisable, the Partnership shall not (x) create or issue any Series B Parity Securities (including any additional Series B Preferred Units, but excluding any Series A PIK Units) if there are any Series B Unpaid Cash Distributions outstanding, (y) create or issue any Series B Senior Securities or (z) declare or pay any distribution to Holders of Common Units from Capital Surplus.</w:t>
      </w:r>
    </w:p>
    <w:p>
      <w:pPr>
        <w:spacing w:after="0" w:line="193" w:lineRule="exact"/>
        <w:rPr>
          <w:rFonts w:ascii="Arial" w:cs="Arial" w:eastAsia="Arial" w:hAnsi="Arial"/>
          <w:sz w:val="18"/>
          <w:szCs w:val="18"/>
          <w:color w:val="auto"/>
        </w:rPr>
      </w:pPr>
    </w:p>
    <w:p>
      <w:pPr>
        <w:ind w:left="760" w:right="160" w:firstLine="641"/>
        <w:spacing w:after="0" w:line="259" w:lineRule="auto"/>
        <w:tabs>
          <w:tab w:leader="none" w:pos="2077"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any matter described in this Section 5.15(c)(ii) in which the Series B Preferred Unitholders are entitled to vote as a class (whether separately or together with the holders of any Series B Parity Securities), such Series B Preferred Unitholders shall be entitled to one vote per Series B Preferred Unit. Any Series B Preferred Units held by the Partnership or any of its Subsidiaries or their controlled Affiliates shall not be entitled to vote.</w:t>
      </w:r>
    </w:p>
    <w:p>
      <w:pPr>
        <w:spacing w:after="0" w:line="186" w:lineRule="exact"/>
        <w:rPr>
          <w:rFonts w:ascii="Arial" w:cs="Arial" w:eastAsia="Arial" w:hAnsi="Arial"/>
          <w:sz w:val="18"/>
          <w:szCs w:val="18"/>
          <w:color w:val="auto"/>
        </w:rPr>
      </w:pPr>
    </w:p>
    <w:p>
      <w:pPr>
        <w:ind w:left="760" w:right="80" w:firstLine="641"/>
        <w:spacing w:after="0" w:line="264" w:lineRule="auto"/>
        <w:tabs>
          <w:tab w:leader="none" w:pos="207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Notwithstanding Section 5.15(c)(ii)(B) and Section 5.15(c)(ii)(C), no vote of the Series B Preferred Unitholders shall be required if, at or prior to the time when such action is to take effect, provision is made for the redemption of all Series B Preferred Units at the time Outstanding.</w:t>
      </w:r>
    </w:p>
    <w:p>
      <w:pPr>
        <w:spacing w:after="0" w:line="181" w:lineRule="exact"/>
        <w:rPr>
          <w:rFonts w:ascii="Arial" w:cs="Arial" w:eastAsia="Arial" w:hAnsi="Arial"/>
          <w:sz w:val="18"/>
          <w:szCs w:val="18"/>
          <w:color w:val="auto"/>
        </w:rPr>
      </w:pPr>
    </w:p>
    <w:p>
      <w:pPr>
        <w:ind w:left="1440" w:hanging="687"/>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Redemption Rights.</w:t>
      </w:r>
    </w:p>
    <w:p>
      <w:pPr>
        <w:spacing w:after="0" w:line="225" w:lineRule="exact"/>
        <w:rPr>
          <w:rFonts w:ascii="Arial" w:cs="Arial" w:eastAsia="Arial" w:hAnsi="Arial"/>
          <w:sz w:val="18"/>
          <w:szCs w:val="18"/>
          <w:color w:val="auto"/>
        </w:rPr>
      </w:pPr>
    </w:p>
    <w:p>
      <w:pPr>
        <w:ind w:left="2060" w:hanging="659"/>
        <w:spacing w:after="0"/>
        <w:tabs>
          <w:tab w:leader="none" w:pos="20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Partnership shall have the right (1) at any time, and from time to time, on or after November 15, 2022 or</w:t>
      </w:r>
    </w:p>
    <w:p>
      <w:pPr>
        <w:spacing w:after="0" w:line="34" w:lineRule="exact"/>
        <w:rPr>
          <w:rFonts w:ascii="Arial" w:cs="Arial" w:eastAsia="Arial" w:hAnsi="Arial"/>
          <w:sz w:val="17"/>
          <w:szCs w:val="17"/>
          <w:color w:val="auto"/>
        </w:rPr>
      </w:pPr>
    </w:p>
    <w:p>
      <w:pPr>
        <w:ind w:left="760" w:right="320"/>
        <w:spacing w:after="0" w:line="261" w:lineRule="auto"/>
        <w:rPr>
          <w:rFonts w:ascii="Arial" w:cs="Arial" w:eastAsia="Arial" w:hAnsi="Arial"/>
          <w:sz w:val="17"/>
          <w:szCs w:val="17"/>
          <w:color w:val="auto"/>
        </w:rPr>
      </w:pPr>
      <w:r>
        <w:rPr>
          <w:rFonts w:ascii="Arial" w:cs="Arial" w:eastAsia="Arial" w:hAnsi="Arial"/>
          <w:sz w:val="18"/>
          <w:szCs w:val="18"/>
          <w:color w:val="auto"/>
        </w:rPr>
        <w:t>(2) at any time within 120 days after the conclusion of any review or appeal process instituted by the Partnership following the occurrence of a Series B Rating Event, in</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color w:val="auto"/>
        </w:rPr>
        <w:t>each case, to redeem the Series B Preferred Units, which redemption may be in whole or in part (except with respect to a redemption pursuant to clause (2) of this Section 5.15(c)(iii)(A) which shall be in whole but not in part), using any source of funds legally available for such purpose. Any such redemption shall occur on a date set by the General Partner (the “</w:t>
      </w:r>
      <w:r>
        <w:rPr>
          <w:rFonts w:ascii="Arial" w:cs="Arial" w:eastAsia="Arial" w:hAnsi="Arial"/>
          <w:sz w:val="18"/>
          <w:szCs w:val="18"/>
          <w:i w:val="1"/>
          <w:iCs w:val="1"/>
          <w:color w:val="auto"/>
        </w:rPr>
        <w:t>Series B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7" w:lineRule="exact"/>
        <w:rPr>
          <w:sz w:val="20"/>
          <w:szCs w:val="20"/>
          <w:color w:val="auto"/>
        </w:rPr>
      </w:pPr>
    </w:p>
    <w:p>
      <w:pPr>
        <w:ind w:left="760" w:right="80" w:firstLine="641"/>
        <w:spacing w:after="0" w:line="273" w:lineRule="auto"/>
        <w:tabs>
          <w:tab w:leader="none" w:pos="2067"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Partnership shall effect any redemption pursuant to Section 5.15(c)(iii)(A) by paying cash for each Series B Preferred Unit to be redeemed equal to (1) with respect to a redemption pursuant to Section 5.15(c)(iii)(A)(1), 100% of the Series B Liquidation Preference and (2) with respect to a redemption pursuant to Section 5.15(c)(iii)(A)(2), 102% of the Series B Liquidation Preference, in each case, for such Series B Preferred Unit on such Series B Redemption Date, plus any Series B Unpaid Cash Distributions from the Series B Original Issue Date to, but not including, the Series B Redemption Date, whether or not such distributions shall have been declared (as applicable, the “</w:t>
      </w:r>
      <w:r>
        <w:rPr>
          <w:rFonts w:ascii="Arial" w:cs="Arial" w:eastAsia="Arial" w:hAnsi="Arial"/>
          <w:sz w:val="17"/>
          <w:szCs w:val="17"/>
          <w:i w:val="1"/>
          <w:iCs w:val="1"/>
          <w:color w:val="auto"/>
        </w:rPr>
        <w:t>Series B Redemption Price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760" w:firstLine="641"/>
        <w:spacing w:after="0" w:line="284" w:lineRule="auto"/>
        <w:tabs>
          <w:tab w:leader="none" w:pos="206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Partnership shall give notice of any redemption by mail, postage prepaid, not less than 30 days and not more than 60 days before the scheduled Series B Redemption Date to the Series B Preferred Unitholders (as of 5:00 p.m. New York City time on the Business Day next preceding the day on which notice is given) of any Series B Preferred Units to be redeemed as such Series B Preferred Unitholders’ names appear on the books of the Transfer Agent and at the address of such Series B Preferred Unitholders shown therein. Such notice (the “</w:t>
      </w:r>
      <w:r>
        <w:rPr>
          <w:rFonts w:ascii="Arial" w:cs="Arial" w:eastAsia="Arial" w:hAnsi="Arial"/>
          <w:sz w:val="16"/>
          <w:szCs w:val="16"/>
          <w:i w:val="1"/>
          <w:iCs w:val="1"/>
          <w:color w:val="auto"/>
        </w:rPr>
        <w:t>Series B Redemption Notice</w:t>
      </w:r>
      <w:r>
        <w:rPr>
          <w:rFonts w:ascii="Arial" w:cs="Arial" w:eastAsia="Arial" w:hAnsi="Arial"/>
          <w:sz w:val="16"/>
          <w:szCs w:val="16"/>
          <w:color w:val="auto"/>
        </w:rPr>
        <w:t>”) shall state, as applicable: (1) the Series B Redemption Date, (2) the number of Series B Preferred Units to be redeemed and, if less than all Outstanding Series B Preferred Units are to be redeemed, the number (and the identification) of Series B Preferred Units to be redeemed from such Series B Preferred Unitholder,</w:t>
      </w:r>
    </w:p>
    <w:p>
      <w:pPr>
        <w:spacing w:after="0" w:line="2" w:lineRule="exact"/>
        <w:rPr>
          <w:rFonts w:ascii="Arial" w:cs="Arial" w:eastAsia="Arial" w:hAnsi="Arial"/>
          <w:sz w:val="16"/>
          <w:szCs w:val="16"/>
          <w:color w:val="auto"/>
        </w:rPr>
      </w:pPr>
    </w:p>
    <w:p>
      <w:pPr>
        <w:ind w:left="760" w:right="20" w:hanging="7"/>
        <w:spacing w:after="0" w:line="277" w:lineRule="auto"/>
        <w:tabs>
          <w:tab w:leader="none" w:pos="10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Series B Redemption Price, (4) the place where any Series B Preferred Units in certificated form are to be redeemed and shall be presented and surrendered for payment of the Series B Redemption Price therefor and (5) that distributions on the Series B Preferred Units to be redeemed shall cease to accumulate from and after such Series B Redemption Date.</w:t>
      </w:r>
    </w:p>
    <w:p>
      <w:pPr>
        <w:spacing w:after="0" w:line="173" w:lineRule="exact"/>
        <w:rPr>
          <w:rFonts w:ascii="Arial" w:cs="Arial" w:eastAsia="Arial" w:hAnsi="Arial"/>
          <w:sz w:val="17"/>
          <w:szCs w:val="17"/>
          <w:color w:val="auto"/>
        </w:rPr>
      </w:pPr>
    </w:p>
    <w:p>
      <w:pPr>
        <w:ind w:left="760" w:right="40" w:firstLine="641"/>
        <w:spacing w:after="0" w:line="297" w:lineRule="auto"/>
        <w:tabs>
          <w:tab w:leader="none" w:pos="2077"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the Partnership elects to redeem less than all of the Outstanding Series B Preferred Units, the number of Series B Preferred Units to be redeemed shall be determined by the General Partner, and such Series B Preferred Units shall be redeemed by such method of selection as the Depositary shall determine, either Pro Rata or by lot, with adjustments to avoid redemption of fractional Series B Preferred Units. The aggregate Series B Redemption Price for any such partial redemption of the Outstanding Series B Preferred Units shall be allocated correspondingly among the redeemed Series B Preferred Units.</w:t>
      </w:r>
    </w:p>
    <w:p>
      <w:pPr>
        <w:sectPr>
          <w:pgSz w:w="11900" w:h="16941" w:orient="portrait"/>
          <w:cols w:equalWidth="0" w:num="1">
            <w:col w:w="10200"/>
          </w:cols>
          <w:pgMar w:left="1440" w:top="341" w:right="259" w:bottom="0" w:gutter="0" w:footer="0" w:header="0"/>
        </w:sectPr>
      </w:pPr>
    </w:p>
    <w:bookmarkStart w:id="36" w:name="page37"/>
    <w:bookmarkEnd w:id="36"/>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firstLine="641"/>
        <w:spacing w:after="0" w:line="285" w:lineRule="auto"/>
        <w:tabs>
          <w:tab w:leader="none" w:pos="207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B Redemption Notice, the Partnership shall deposit with the Series B Paying Agent funds sufficient to redeem the Series B Preferred Units as to which such Series B Redemption Notice shall have been given, no later than 10:00 a.m. New York City time on the Series B Redemption Date, and shall give the Series B Paying Agent irrevocable instructions and authority to pay the Series B Redemption Price to the Series B Preferred Unitholders whose Series B Preferred Units are to be redeemed upon surrender or deemed surrender (which shall occur automatically if the Certificate representing such Series B Preferred Units is issued in the name of the Depositary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Preferred Units to be redeemed shall cease to accumulate and all rights of holders of such Series B Preferred Units as Limited Partners with respect to such Series B Preferred Units to be redeemed shall cease, except the right to receive the Series B Redemption Price, and such Series B Preferred Units shall not thereafter be transferred on the books of the Transfer Agent or be deemed to be Outstanding for any purpose whatsoever. The Series B Preferred Unitholders shall have no claim to the interest income, if any, earned on such funds deposited with the Series B Paying Agent. Any funds deposited with the Series B Paying Agent hereunder by the Partnership for any reason, including redemption of Series B Preferred Units, that remain unclaimed or unpaid after one year after the applicable Series B Redemption Date or other payment date, as applicable, shall be, to the extent permitted by law, repaid to the Partnership upon its written request, after which repayment the Series B Preferred Unitholders entitled to such redemption or other payment shall have recourse only to the Partnership. Notwithstanding any Series B Redemption Notice, there shall be no redemption of any Series B Preferred Units called for redemption until funds sufficient to pay the full Series B Redemption Price of such Series B Preferred Units shall have been deposited by the Partnership with the Series B Paying Agent.</w:t>
      </w:r>
    </w:p>
    <w:p>
      <w:pPr>
        <w:spacing w:after="0" w:line="168" w:lineRule="exact"/>
        <w:rPr>
          <w:rFonts w:ascii="Arial" w:cs="Arial" w:eastAsia="Arial" w:hAnsi="Arial"/>
          <w:sz w:val="16"/>
          <w:szCs w:val="16"/>
          <w:color w:val="auto"/>
        </w:rPr>
      </w:pPr>
    </w:p>
    <w:p>
      <w:pPr>
        <w:ind w:left="760" w:right="20" w:firstLine="641"/>
        <w:spacing w:after="0" w:line="297" w:lineRule="auto"/>
        <w:tabs>
          <w:tab w:leader="none" w:pos="2074"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Series B Preferred Units that are redeemed or otherwise acquired by the Partnership shall be cancelled. If only a portion of the Series B Preferred Units represented by a Certificate shall have been called for redemption, upon surrender of the Certificate to the Series B Paying Agent (which shall occur automatically if the Certificate representing such Series B Preferred Units is registered in the name of the Depositary or its nominee), the Partnership shall issue and the Series B Paying Agent shall deliver to the Series B Preferred Unitholders a new Certificate (or adjust the applicable book-entry account) representing the</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number of Series B Preferred Units represented by the surrendered Certificate that have not been called for redemption.</w:t>
      </w:r>
    </w:p>
    <w:p>
      <w:pPr>
        <w:spacing w:after="0" w:line="237" w:lineRule="exact"/>
        <w:rPr>
          <w:sz w:val="20"/>
          <w:szCs w:val="20"/>
          <w:color w:val="auto"/>
        </w:rPr>
      </w:pPr>
    </w:p>
    <w:p>
      <w:pPr>
        <w:ind w:left="760" w:right="20" w:firstLine="641"/>
        <w:spacing w:after="0" w:line="291" w:lineRule="auto"/>
        <w:tabs>
          <w:tab w:leader="none" w:pos="2077"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5.15, in the event that (1) full cumulative distributions on the Series B Preferred Units and any Series B Parity Securities shall not have been paid or declared and set aside for payment or</w:t>
      </w:r>
    </w:p>
    <w:p>
      <w:pPr>
        <w:ind w:left="760" w:hanging="7"/>
        <w:spacing w:after="0" w:line="252" w:lineRule="auto"/>
        <w:tabs>
          <w:tab w:leader="none" w:pos="10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General Partner does not expect to have sufficient Available Cash to pay the next Series B Distribution or distribution on any Series B Parity Securities in full, the Partnership shall not be permitted to repurchase, redeem or otherwise acquire, in whole or in part, any Series B Preferred Units or Series B Parity Securities except pursuant to a purchase or exchange offer made on the same relative terms to all Series B Preferred Unitholders and holders of any Series B Parity Securities. Subject to Section 4.10, so long as any Series B Preferred Units are Outstanding, the Partnership shall not be permitted to redeem, repurchase or otherwise acquire any Common Units or any other Junior Interests unless full cumulative distributions on the Series B Preferred Units and any Series B Parity Securities for all prior and the then-ending Series B Distribution Periods shall have been paid or declared and set aside for payment.</w:t>
      </w:r>
    </w:p>
    <w:p>
      <w:pPr>
        <w:spacing w:after="0" w:line="191" w:lineRule="exact"/>
        <w:rPr>
          <w:rFonts w:ascii="Arial" w:cs="Arial" w:eastAsia="Arial" w:hAnsi="Arial"/>
          <w:sz w:val="18"/>
          <w:szCs w:val="18"/>
          <w:color w:val="auto"/>
        </w:rPr>
      </w:pPr>
    </w:p>
    <w:p>
      <w:pPr>
        <w:ind w:left="2060" w:hanging="659"/>
        <w:spacing w:after="0"/>
        <w:tabs>
          <w:tab w:leader="none" w:pos="2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Partnership shall not be required to make any sinking fund payments with respect to the Series B Preferred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Units.</w:t>
      </w:r>
    </w:p>
    <w:p>
      <w:pPr>
        <w:spacing w:after="0" w:line="211" w:lineRule="exact"/>
        <w:rPr>
          <w:sz w:val="20"/>
          <w:szCs w:val="20"/>
          <w:color w:val="auto"/>
        </w:rPr>
      </w:pPr>
    </w:p>
    <w:p>
      <w:pPr>
        <w:ind w:left="100" w:right="120" w:firstLine="653"/>
        <w:spacing w:after="0" w:line="297" w:lineRule="auto"/>
        <w:tabs>
          <w:tab w:leader="none" w:pos="1413"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Record Holders</w:t>
      </w:r>
      <w:r>
        <w:rPr>
          <w:rFonts w:ascii="Arial" w:cs="Arial" w:eastAsia="Arial" w:hAnsi="Arial"/>
          <w:sz w:val="16"/>
          <w:szCs w:val="16"/>
          <w:color w:val="auto"/>
        </w:rPr>
        <w:t>. To the fullest extent permitted by applicable law, the General Partner, the Partnership,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Agent and the Series B Paying Agent may deem and treat any Series B Preferred Unitholder as the true, lawful and absolute owner of the applicable Series B Preferred Units for all purposes, and neither the General Partner, the Partnership nor the Transfer Agent or the Series B Paying Agent shall be affected by any notice to the contrary, except as otherwise provided by law or any applicable rule, regulation, guideline or requirement of any National Securities Exchange on which the Series B Preferred Units are listed or admitted to trading.</w:t>
      </w:r>
    </w:p>
    <w:p>
      <w:pPr>
        <w:spacing w:after="0" w:line="158" w:lineRule="exact"/>
        <w:rPr>
          <w:rFonts w:ascii="Arial" w:cs="Arial" w:eastAsia="Arial" w:hAnsi="Arial"/>
          <w:sz w:val="16"/>
          <w:szCs w:val="16"/>
          <w:color w:val="auto"/>
        </w:rPr>
      </w:pPr>
    </w:p>
    <w:p>
      <w:pPr>
        <w:ind w:left="100" w:right="240" w:firstLine="653"/>
        <w:spacing w:after="0" w:line="264" w:lineRule="auto"/>
        <w:tabs>
          <w:tab w:leader="none" w:pos="1404"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or communications in respect of the Series B Preferred Units shall be sufficiently given if given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and delivered in person or by first class mail, postage prepaid, or if given in such other manner as may be permitted in this Section 5.15(b), this Agreement or by applicable law.</w:t>
      </w:r>
    </w:p>
    <w:p>
      <w:pPr>
        <w:spacing w:after="0" w:line="181" w:lineRule="exact"/>
        <w:rPr>
          <w:rFonts w:ascii="Arial" w:cs="Arial" w:eastAsia="Arial" w:hAnsi="Arial"/>
          <w:sz w:val="18"/>
          <w:szCs w:val="18"/>
          <w:color w:val="auto"/>
        </w:rPr>
      </w:pPr>
    </w:p>
    <w:p>
      <w:pPr>
        <w:ind w:left="100" w:right="160" w:firstLine="653"/>
        <w:spacing w:after="0" w:line="257" w:lineRule="auto"/>
        <w:tabs>
          <w:tab w:leader="none" w:pos="1413"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Other Rights; Fiduciary Duties</w:t>
      </w:r>
      <w:r>
        <w:rPr>
          <w:rFonts w:ascii="Arial" w:cs="Arial" w:eastAsia="Arial" w:hAnsi="Arial"/>
          <w:sz w:val="18"/>
          <w:szCs w:val="18"/>
          <w:color w:val="auto"/>
        </w:rPr>
        <w:t>. The Series B Preferred Units and the Series B Preferred Unitholders shall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preferences, rights, powers, duties or obligations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or have any liabilities to Series B Preferred Unitholders.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60" w:firstLine="653"/>
        <w:spacing w:after="0" w:line="312" w:lineRule="auto"/>
        <w:tabs>
          <w:tab w:leader="none" w:pos="1423"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Liquidation Value</w:t>
      </w:r>
      <w:r>
        <w:rPr>
          <w:rFonts w:ascii="Arial" w:cs="Arial" w:eastAsia="Arial" w:hAnsi="Arial"/>
          <w:sz w:val="16"/>
          <w:szCs w:val="16"/>
          <w:color w:val="auto"/>
        </w:rPr>
        <w:t>. In the event of any liquidation, dissolution and winding up of the Partnership under Section 12.4 or a</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all or substantially all of the assets of the Partnership, either voluntary or involuntary, the Record Holders of the Series B Preferred Units shall be entitled to receive, out of the assets of the Partnership available for distribution to the</w:t>
      </w:r>
    </w:p>
    <w:p>
      <w:pPr>
        <w:sectPr>
          <w:pgSz w:w="11900" w:h="16838" w:orient="portrait"/>
          <w:cols w:equalWidth="0" w:num="1">
            <w:col w:w="10220"/>
          </w:cols>
          <w:pgMar w:left="1440" w:top="341" w:right="239" w:bottom="0" w:gutter="0" w:footer="0" w:header="0"/>
        </w:sectPr>
      </w:pPr>
    </w:p>
    <w:bookmarkStart w:id="37" w:name="page38"/>
    <w:bookmarkEnd w:id="37"/>
    <w:p>
      <w:pPr>
        <w:ind w:left="1300" w:right="40"/>
        <w:spacing w:after="0" w:line="302" w:lineRule="auto"/>
        <w:rPr>
          <w:sz w:val="20"/>
          <w:szCs w:val="20"/>
          <w:color w:val="auto"/>
        </w:rPr>
      </w:pPr>
      <w:r>
        <w:rPr>
          <w:rFonts w:ascii="Arial" w:cs="Arial" w:eastAsia="Arial" w:hAnsi="Arial"/>
          <w:sz w:val="16"/>
          <w:szCs w:val="16"/>
          <w:color w:val="auto"/>
        </w:rPr>
        <w:t>Partners or any Assignees, prior and in preference to any distribution of any assets of the Partnership to the Record Holders of any other class or series of Partnership Interests (other than Series B Parity Securities, the Record Holders of which shall have a pari passu entitlement), the positive value in each such holder’s Capital Account in respect of such Series B Preferred Units, after taking into account all Capital Account adjustments for the relevant taxable periods, including without limitation those provided for under Section 6.1(d)(x)(C).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ALLOCATIONS AND 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Allocations for Capital Account Purposes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81" w:lineRule="exact"/>
        <w:rPr>
          <w:sz w:val="20"/>
          <w:szCs w:val="20"/>
          <w:color w:val="auto"/>
        </w:rPr>
      </w:pPr>
    </w:p>
    <w:p>
      <w:pPr>
        <w:ind w:right="20" w:firstLine="1305"/>
        <w:spacing w:after="0" w:line="308" w:lineRule="auto"/>
        <w:tabs>
          <w:tab w:leader="none" w:pos="1942"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After giving effect to the special allocations set forth in Section 6.1(d), Net Income for each taxable year and all items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gain, loss and deduction taken into account in computing Net Income for such taxable year shall be allocated as follows: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First, 100% to the General Partner as necessary to eliminate any deficit balance in the General Partner’s Capital Account;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Second, the balance, if any, to the Unitholders in accordance with their respective Percentage Interests.</w:t>
      </w:r>
    </w:p>
    <w:p>
      <w:pPr>
        <w:spacing w:after="0" w:line="225" w:lineRule="exact"/>
        <w:rPr>
          <w:rFonts w:ascii="Arial" w:cs="Arial" w:eastAsia="Arial" w:hAnsi="Arial"/>
          <w:sz w:val="18"/>
          <w:szCs w:val="18"/>
          <w:color w:val="auto"/>
        </w:rPr>
      </w:pPr>
    </w:p>
    <w:p>
      <w:pPr>
        <w:ind w:right="400" w:firstLine="1305"/>
        <w:spacing w:after="0" w:line="308" w:lineRule="auto"/>
        <w:tabs>
          <w:tab w:leader="none" w:pos="1952"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Net Losses</w:t>
      </w:r>
      <w:r>
        <w:rPr>
          <w:rFonts w:ascii="Arial" w:cs="Arial" w:eastAsia="Arial" w:hAnsi="Arial"/>
          <w:sz w:val="17"/>
          <w:szCs w:val="17"/>
          <w:color w:val="auto"/>
        </w:rPr>
        <w:t>. After giving effect to the special allocations set forth in Section 6.1(d), Net Losses for each taxable period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items of income, gain, loss and deduction taken into account in computing Net Losses for such taxable period shall be allocated as follows:</w:t>
      </w:r>
    </w:p>
    <w:p>
      <w:pPr>
        <w:spacing w:after="0" w:line="146" w:lineRule="exact"/>
        <w:rPr>
          <w:rFonts w:ascii="Arial" w:cs="Arial" w:eastAsia="Arial" w:hAnsi="Arial"/>
          <w:sz w:val="17"/>
          <w:szCs w:val="17"/>
          <w:color w:val="auto"/>
        </w:rPr>
      </w:pPr>
    </w:p>
    <w:p>
      <w:pPr>
        <w:ind w:left="1300" w:right="20" w:firstLine="653"/>
        <w:spacing w:after="0" w:line="312" w:lineRule="auto"/>
        <w:tabs>
          <w:tab w:leader="none" w:pos="2618" w:val="left"/>
        </w:tabs>
        <w:numPr>
          <w:ilvl w:val="1"/>
          <w:numId w:val="97"/>
        </w:numPr>
        <w:rPr>
          <w:rFonts w:ascii="Arial" w:cs="Arial" w:eastAsia="Arial" w:hAnsi="Arial"/>
          <w:sz w:val="16"/>
          <w:szCs w:val="16"/>
          <w:color w:val="auto"/>
        </w:rPr>
      </w:pPr>
      <w:r>
        <w:rPr>
          <w:rFonts w:ascii="Arial" w:cs="Arial" w:eastAsia="Arial" w:hAnsi="Arial"/>
          <w:sz w:val="16"/>
          <w:szCs w:val="16"/>
          <w:color w:val="auto"/>
        </w:rPr>
        <w:t>First, to the Unitholders in accordance with their respective Percentage Interests,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46" w:lineRule="exact"/>
        <w:rPr>
          <w:rFonts w:ascii="Arial" w:cs="Arial" w:eastAsia="Arial" w:hAnsi="Arial"/>
          <w:sz w:val="16"/>
          <w:szCs w:val="16"/>
          <w:color w:val="auto"/>
        </w:rPr>
      </w:pPr>
    </w:p>
    <w:p>
      <w:pPr>
        <w:ind w:left="1300" w:right="360" w:firstLine="653"/>
        <w:spacing w:after="0" w:line="277" w:lineRule="auto"/>
        <w:tabs>
          <w:tab w:leader="none" w:pos="2627"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Second, to the Unitholders holding Common Units in accordance with the positive balances in their Adjusted Capital Accounts as such Adjusted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 Accounts would be determined without regard to any Series A Preferred Units then held by such Unitholders;</w:t>
      </w:r>
    </w:p>
    <w:p>
      <w:pPr>
        <w:spacing w:after="0" w:line="225" w:lineRule="exact"/>
        <w:rPr>
          <w:sz w:val="20"/>
          <w:szCs w:val="20"/>
          <w:color w:val="auto"/>
        </w:rPr>
      </w:pPr>
    </w:p>
    <w:p>
      <w:pPr>
        <w:ind w:left="1300" w:right="180" w:firstLine="653"/>
        <w:spacing w:after="0" w:line="277" w:lineRule="auto"/>
        <w:tabs>
          <w:tab w:leader="none" w:pos="26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Third, to the extent one or more holders of Preferred Units has a Preference Excess, among such holders, in accordance with such Preference Excess, until such Preference Excess has been reduced to zero;</w:t>
      </w:r>
    </w:p>
    <w:p>
      <w:pPr>
        <w:spacing w:after="0" w:line="170" w:lineRule="exact"/>
        <w:rPr>
          <w:rFonts w:ascii="Arial" w:cs="Arial" w:eastAsia="Arial" w:hAnsi="Arial"/>
          <w:sz w:val="18"/>
          <w:szCs w:val="18"/>
          <w:color w:val="auto"/>
        </w:rPr>
      </w:pPr>
    </w:p>
    <w:p>
      <w:pPr>
        <w:ind w:left="1300" w:right="100" w:firstLine="653"/>
        <w:spacing w:after="0" w:line="277" w:lineRule="auto"/>
        <w:tabs>
          <w:tab w:leader="none" w:pos="2613" w:val="left"/>
        </w:tabs>
        <w:numPr>
          <w:ilvl w:val="1"/>
          <w:numId w:val="98"/>
        </w:numPr>
        <w:rPr>
          <w:rFonts w:ascii="Arial" w:cs="Arial" w:eastAsia="Arial" w:hAnsi="Arial"/>
          <w:sz w:val="18"/>
          <w:szCs w:val="18"/>
          <w:color w:val="auto"/>
        </w:rPr>
      </w:pPr>
      <w:r>
        <w:rPr>
          <w:rFonts w:ascii="Arial" w:cs="Arial" w:eastAsia="Arial" w:hAnsi="Arial"/>
          <w:sz w:val="18"/>
          <w:szCs w:val="18"/>
          <w:color w:val="auto"/>
        </w:rPr>
        <w:t>Fourth, to the Preferred Unitholders in a manner that maintains their equivalent Relative Preference Percentages until the Capital Accounts of the Preferred Units are reduced to zero;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Finally, the balance, if any, 100% to the General Partner.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Special Allocations</w:t>
      </w:r>
      <w:r>
        <w:rPr>
          <w:rFonts w:ascii="Arial" w:cs="Arial" w:eastAsia="Arial" w:hAnsi="Arial"/>
          <w:sz w:val="17"/>
          <w:szCs w:val="17"/>
          <w:color w:val="auto"/>
        </w:rPr>
        <w:t>. Notwithstanding any other provision of this Section 6.1, the following special allocations shall be made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taxable period:</w:t>
      </w:r>
    </w:p>
    <w:p>
      <w:pPr>
        <w:spacing w:after="0" w:line="210" w:lineRule="exact"/>
        <w:rPr>
          <w:rFonts w:ascii="Arial" w:cs="Arial" w:eastAsia="Arial" w:hAnsi="Arial"/>
          <w:sz w:val="17"/>
          <w:szCs w:val="17"/>
          <w:color w:val="auto"/>
        </w:rPr>
      </w:pPr>
    </w:p>
    <w:p>
      <w:pPr>
        <w:ind w:left="1300" w:firstLine="653"/>
        <w:spacing w:after="0" w:line="271" w:lineRule="auto"/>
        <w:tabs>
          <w:tab w:leader="none" w:pos="2618" w:val="left"/>
        </w:tabs>
        <w:numPr>
          <w:ilvl w:val="1"/>
          <w:numId w:val="99"/>
        </w:numPr>
        <w:rPr>
          <w:rFonts w:ascii="Arial" w:cs="Arial" w:eastAsia="Arial" w:hAnsi="Arial"/>
          <w:sz w:val="17"/>
          <w:szCs w:val="17"/>
          <w:color w:val="auto"/>
        </w:rPr>
      </w:pPr>
      <w:r>
        <w:rPr>
          <w:rFonts w:ascii="Arial" w:cs="Arial" w:eastAsia="Arial" w:hAnsi="Arial"/>
          <w:sz w:val="17"/>
          <w:szCs w:val="17"/>
          <w:i w:val="1"/>
          <w:iCs w:val="1"/>
          <w:color w:val="auto"/>
        </w:rPr>
        <w:t>Partnership Minimum Gain Chargeback</w:t>
      </w:r>
      <w:r>
        <w:rPr>
          <w:rFonts w:ascii="Arial" w:cs="Arial" w:eastAsia="Arial" w:hAnsi="Arial"/>
          <w:sz w:val="17"/>
          <w:szCs w:val="17"/>
          <w:color w:val="auto"/>
        </w:rPr>
        <w:t>. Notwithstanding any other provision of this Section 6.1, if there is a net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 (vi) and 6.1(d)(vii)). This Section 6.1(d)(i) is intended to comply with the Partnership Minimum Gain chargeback requirement in Treasury Regulation Section 1.704-2(f) and shall be interpreted consistently therewith.</w:t>
      </w:r>
    </w:p>
    <w:p>
      <w:pPr>
        <w:spacing w:after="0" w:line="178" w:lineRule="exact"/>
        <w:rPr>
          <w:rFonts w:ascii="Arial" w:cs="Arial" w:eastAsia="Arial" w:hAnsi="Arial"/>
          <w:sz w:val="17"/>
          <w:szCs w:val="17"/>
          <w:color w:val="auto"/>
        </w:rPr>
      </w:pPr>
    </w:p>
    <w:p>
      <w:pPr>
        <w:ind w:left="1300" w:right="20" w:firstLine="653"/>
        <w:spacing w:after="0" w:line="290" w:lineRule="auto"/>
        <w:tabs>
          <w:tab w:leader="none" w:pos="2627" w:val="left"/>
        </w:tabs>
        <w:numPr>
          <w:ilvl w:val="1"/>
          <w:numId w:val="99"/>
        </w:numPr>
        <w:rPr>
          <w:rFonts w:ascii="Arial" w:cs="Arial" w:eastAsia="Arial" w:hAnsi="Arial"/>
          <w:sz w:val="16"/>
          <w:szCs w:val="16"/>
          <w:color w:val="auto"/>
        </w:rPr>
      </w:pPr>
      <w:r>
        <w:rPr>
          <w:rFonts w:ascii="Arial" w:cs="Arial" w:eastAsia="Arial" w:hAnsi="Arial"/>
          <w:sz w:val="16"/>
          <w:szCs w:val="16"/>
          <w:i w:val="1"/>
          <w:iCs w:val="1"/>
          <w:color w:val="auto"/>
        </w:rPr>
        <w:t>Chargeback of Partner Nonrecourse Debt Minimum Gain</w:t>
      </w:r>
      <w:r>
        <w:rPr>
          <w:rFonts w:ascii="Arial" w:cs="Arial" w:eastAsia="Arial" w:hAnsi="Arial"/>
          <w:sz w:val="16"/>
          <w:szCs w:val="16"/>
          <w:color w:val="auto"/>
        </w:rPr>
        <w:t>. Notwithstanding the other provisions of this Section 6.1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Section 6.1(d)(ii) is intended to comply with the chargeback of items of income and gain requirement in Treasury Regulation Section 1.704-2(i)(4) and shall be interpreted consistently therewith.</w:t>
      </w:r>
    </w:p>
    <w:p>
      <w:pPr>
        <w:sectPr>
          <w:pgSz w:w="11900" w:h="16838" w:orient="portrait"/>
          <w:cols w:equalWidth="0" w:num="1">
            <w:col w:w="11420"/>
          </w:cols>
          <w:pgMar w:left="240" w:top="125" w:right="239" w:bottom="0" w:gutter="0" w:footer="0" w:header="0"/>
        </w:sectPr>
      </w:pPr>
    </w:p>
    <w:bookmarkStart w:id="38" w:name="page39"/>
    <w:bookmarkEnd w:id="38"/>
    <w:p>
      <w:pPr>
        <w:spacing w:after="0" w:line="106" w:lineRule="exact"/>
        <w:rPr>
          <w:sz w:val="20"/>
          <w:szCs w:val="20"/>
          <w:color w:val="auto"/>
        </w:rPr>
      </w:pPr>
    </w:p>
    <w:p>
      <w:pPr>
        <w:ind w:left="100" w:firstLine="653"/>
        <w:spacing w:after="0" w:line="255" w:lineRule="auto"/>
        <w:tabs>
          <w:tab w:leader="none" w:pos="1437"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Priority Allocations</w:t>
      </w:r>
      <w:r>
        <w:rPr>
          <w:rFonts w:ascii="Arial" w:cs="Arial" w:eastAsia="Arial" w:hAnsi="Arial"/>
          <w:sz w:val="18"/>
          <w:szCs w:val="18"/>
          <w:color w:val="auto"/>
        </w:rPr>
        <w:t>. If the amount of cash or the Net Agreed Value of any property distributed (except cash or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w:t>
      </w:r>
    </w:p>
    <w:p>
      <w:pPr>
        <w:spacing w:after="0" w:line="189" w:lineRule="exact"/>
        <w:rPr>
          <w:rFonts w:ascii="Arial" w:cs="Arial" w:eastAsia="Arial" w:hAnsi="Arial"/>
          <w:sz w:val="18"/>
          <w:szCs w:val="18"/>
          <w:color w:val="auto"/>
        </w:rPr>
      </w:pPr>
    </w:p>
    <w:p>
      <w:pPr>
        <w:ind w:left="100" w:right="100" w:firstLine="653"/>
        <w:spacing w:after="0" w:line="255" w:lineRule="auto"/>
        <w:tabs>
          <w:tab w:leader="none" w:pos="1413"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Qualified Income Offset</w:t>
      </w:r>
      <w:r>
        <w:rPr>
          <w:rFonts w:ascii="Arial" w:cs="Arial" w:eastAsia="Arial" w:hAnsi="Arial"/>
          <w:sz w:val="18"/>
          <w:szCs w:val="18"/>
          <w:color w:val="auto"/>
        </w:rPr>
        <w:t>. In the event any Partner unexpectedly receives any adjustments, allocations or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93" w:lineRule="exact"/>
        <w:rPr>
          <w:rFonts w:ascii="Arial" w:cs="Arial" w:eastAsia="Arial" w:hAnsi="Arial"/>
          <w:sz w:val="18"/>
          <w:szCs w:val="18"/>
          <w:color w:val="auto"/>
        </w:rPr>
      </w:pPr>
    </w:p>
    <w:p>
      <w:pPr>
        <w:ind w:left="100" w:right="60" w:firstLine="653"/>
        <w:spacing w:after="0" w:line="255" w:lineRule="auto"/>
        <w:tabs>
          <w:tab w:leader="none" w:pos="140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Gross Income Allocations</w:t>
      </w:r>
      <w:r>
        <w:rPr>
          <w:rFonts w:ascii="Arial" w:cs="Arial" w:eastAsia="Arial" w:hAnsi="Arial"/>
          <w:sz w:val="18"/>
          <w:szCs w:val="18"/>
          <w:color w:val="auto"/>
        </w:rPr>
        <w:t>. In the event any Partner has a deficit balance in its Capital Account at the end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9" w:lineRule="exact"/>
        <w:rPr>
          <w:rFonts w:ascii="Arial" w:cs="Arial" w:eastAsia="Arial" w:hAnsi="Arial"/>
          <w:sz w:val="18"/>
          <w:szCs w:val="18"/>
          <w:color w:val="auto"/>
        </w:rPr>
      </w:pPr>
    </w:p>
    <w:p>
      <w:pPr>
        <w:ind w:left="100" w:right="20" w:firstLine="653"/>
        <w:spacing w:after="0" w:line="257" w:lineRule="auto"/>
        <w:tabs>
          <w:tab w:leader="none" w:pos="1413"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Nonrecourse Deductions</w:t>
      </w:r>
      <w:r>
        <w:rPr>
          <w:rFonts w:ascii="Arial" w:cs="Arial" w:eastAsia="Arial" w:hAnsi="Arial"/>
          <w:sz w:val="18"/>
          <w:szCs w:val="18"/>
          <w:color w:val="auto"/>
        </w:rPr>
        <w:t>. Nonrecourse Deductions for any taxable period shall be allocated to the Partners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right="60" w:firstLine="653"/>
        <w:spacing w:after="0" w:line="276" w:lineRule="auto"/>
        <w:tabs>
          <w:tab w:leader="none" w:pos="1423"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Partner Nonrecourse Deductions</w:t>
      </w:r>
      <w:r>
        <w:rPr>
          <w:rFonts w:ascii="Arial" w:cs="Arial" w:eastAsia="Arial" w:hAnsi="Arial"/>
          <w:sz w:val="17"/>
          <w:szCs w:val="17"/>
          <w:color w:val="auto"/>
        </w:rPr>
        <w:t>. Partner Nonrecourse Deductions for any taxable period shall be allocated 100%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72" w:lineRule="exact"/>
        <w:rPr>
          <w:rFonts w:ascii="Arial" w:cs="Arial" w:eastAsia="Arial" w:hAnsi="Arial"/>
          <w:sz w:val="17"/>
          <w:szCs w:val="17"/>
          <w:color w:val="auto"/>
        </w:rPr>
      </w:pPr>
    </w:p>
    <w:p>
      <w:pPr>
        <w:ind w:left="100" w:right="20" w:firstLine="653"/>
        <w:spacing w:after="0" w:line="286" w:lineRule="auto"/>
        <w:tabs>
          <w:tab w:leader="none" w:pos="1432"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Nonrecourse Liabilities</w:t>
      </w:r>
      <w:r>
        <w:rPr>
          <w:rFonts w:ascii="Arial" w:cs="Arial" w:eastAsia="Arial" w:hAnsi="Arial"/>
          <w:sz w:val="17"/>
          <w:szCs w:val="17"/>
          <w:color w:val="auto"/>
        </w:rPr>
        <w:t>. For purposes of Treasury Regulation Section 1.752-3(a)(3), the Partners agree that Nonrecourse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65" w:lineRule="exact"/>
        <w:rPr>
          <w:rFonts w:ascii="Arial" w:cs="Arial" w:eastAsia="Arial" w:hAnsi="Arial"/>
          <w:sz w:val="17"/>
          <w:szCs w:val="17"/>
          <w:color w:val="auto"/>
        </w:rPr>
      </w:pPr>
    </w:p>
    <w:p>
      <w:pPr>
        <w:jc w:val="both"/>
        <w:ind w:left="100" w:right="80" w:firstLine="653"/>
        <w:spacing w:after="0" w:line="255" w:lineRule="auto"/>
        <w:tabs>
          <w:tab w:leader="none" w:pos="1413"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Code Section 754 Adjustments</w:t>
      </w:r>
      <w:r>
        <w:rPr>
          <w:rFonts w:ascii="Arial" w:cs="Arial" w:eastAsia="Arial" w:hAnsi="Arial"/>
          <w:sz w:val="18"/>
          <w:szCs w:val="18"/>
          <w:color w:val="auto"/>
        </w:rPr>
        <w:t>. To the extent an adjustment to the adjusted tax basis of any Partnership asset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734(b) or 743(b)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93" w:lineRule="exact"/>
        <w:rPr>
          <w:rFonts w:ascii="Arial" w:cs="Arial" w:eastAsia="Arial" w:hAnsi="Arial"/>
          <w:sz w:val="18"/>
          <w:szCs w:val="18"/>
          <w:color w:val="auto"/>
        </w:rPr>
      </w:pPr>
    </w:p>
    <w:p>
      <w:pPr>
        <w:ind w:left="1400" w:hanging="647"/>
        <w:spacing w:after="0"/>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Allocations with respect to Series A Preferred Units and the Series B Preferred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80" w:firstLine="641"/>
        <w:spacing w:after="0" w:line="255" w:lineRule="auto"/>
        <w:tabs>
          <w:tab w:leader="none" w:pos="20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Items of Partnership gross income shall be allocated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 current taxable year (and for the avoidance of doubt, without taking into account the cash distributions treated as made to Series A Preferred Unitholders pursuant to Section 5.14(b)(i)(F)).</w:t>
      </w:r>
    </w:p>
    <w:p>
      <w:pPr>
        <w:spacing w:after="0" w:line="193" w:lineRule="exact"/>
        <w:rPr>
          <w:rFonts w:ascii="Arial" w:cs="Arial" w:eastAsia="Arial" w:hAnsi="Arial"/>
          <w:sz w:val="18"/>
          <w:szCs w:val="18"/>
          <w:color w:val="auto"/>
        </w:rPr>
      </w:pPr>
    </w:p>
    <w:p>
      <w:pPr>
        <w:ind w:left="760" w:right="60" w:firstLine="641"/>
        <w:spacing w:after="0" w:line="259" w:lineRule="auto"/>
        <w:tabs>
          <w:tab w:leader="none" w:pos="206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Items of Unrealized Gain and, to the extent Unrealized Gain is insufficient, Partnership gross income, shall be allocated to each Series A Preferred Unitholder and Series B Preferred Unitholder until the aggregate amount of such items allocated to each Series A Preferred Unitholder or Series B Preferred Unitholder pursuant hereto for the current taxable period and all previous taxable periods is equal to the cumulative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amount of all Net Losses allocated to such Series A Preferred Unitholder or Series B Preferred Unitholder pursuant to</w:t>
      </w:r>
    </w:p>
    <w:p>
      <w:pPr>
        <w:spacing w:after="0" w:line="23" w:lineRule="exact"/>
        <w:rPr>
          <w:sz w:val="20"/>
          <w:szCs w:val="20"/>
          <w:color w:val="auto"/>
        </w:rPr>
      </w:pPr>
    </w:p>
    <w:p>
      <w:pPr>
        <w:ind w:left="760" w:right="80"/>
        <w:spacing w:after="0" w:line="323" w:lineRule="auto"/>
        <w:rPr>
          <w:sz w:val="20"/>
          <w:szCs w:val="20"/>
          <w:color w:val="auto"/>
        </w:rPr>
      </w:pPr>
      <w:r>
        <w:rPr>
          <w:rFonts w:ascii="Arial" w:cs="Arial" w:eastAsia="Arial" w:hAnsi="Arial"/>
          <w:sz w:val="16"/>
          <w:szCs w:val="16"/>
          <w:color w:val="auto"/>
        </w:rPr>
        <w:t>Section 6.1(b)(iii) or Section 6.1(b)(iv) for all previous taxable years, provided that such allocation shall be made in a manner that first achieves, and subsequently maintains, an equal Relative Preference Percentage with respect to the Preferred Units.</w:t>
      </w:r>
    </w:p>
    <w:p>
      <w:pPr>
        <w:spacing w:after="0" w:line="139" w:lineRule="exact"/>
        <w:rPr>
          <w:sz w:val="20"/>
          <w:szCs w:val="20"/>
          <w:color w:val="auto"/>
        </w:rPr>
      </w:pPr>
    </w:p>
    <w:p>
      <w:pPr>
        <w:ind w:left="760" w:right="120" w:firstLine="641"/>
        <w:spacing w:after="0" w:line="302" w:lineRule="auto"/>
        <w:tabs>
          <w:tab w:leader="none" w:pos="206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if (A) the Liquidation Date occurs prior to the conversion of the last Outstanding Series A Preferred Unit or the redemption of the last Oustanding Series B Preferred Unit and (B) after having made all other allocations provided for in this Section 6.1 for the taxable period in which the Liquidation Date occurs, the Per Unit Capital Amount of each (i) Series A Preferred Unit does not equal or</w:t>
      </w:r>
    </w:p>
    <w:p>
      <w:pPr>
        <w:sectPr>
          <w:pgSz w:w="11900" w:h="16945" w:orient="portrait"/>
          <w:cols w:equalWidth="0" w:num="1">
            <w:col w:w="10200"/>
          </w:cols>
          <w:pgMar w:left="1440" w:top="125" w:right="259" w:bottom="0" w:gutter="0" w:footer="0" w:header="0"/>
        </w:sectPr>
      </w:pPr>
    </w:p>
    <w:bookmarkStart w:id="39" w:name="page40"/>
    <w:bookmarkEnd w:id="39"/>
    <w:p>
      <w:pPr>
        <w:ind w:left="1960" w:right="40"/>
        <w:spacing w:after="0" w:line="288" w:lineRule="auto"/>
        <w:rPr>
          <w:sz w:val="20"/>
          <w:szCs w:val="20"/>
          <w:color w:val="auto"/>
        </w:rPr>
      </w:pPr>
      <w:r>
        <w:rPr>
          <w:rFonts w:ascii="Arial" w:cs="Arial" w:eastAsia="Arial" w:hAnsi="Arial"/>
          <w:sz w:val="16"/>
          <w:szCs w:val="16"/>
          <w:color w:val="auto"/>
        </w:rPr>
        <w:t>exceed the Series A Liquidation Value or (ii) Series B Preferred Unit does not equal or exceed the Series B Liquidation Value, then items of income, gain, loss and deduction for such taxable period shall be allocated among the Partners in a manner determined appropriate by the General Partner so as to cause, to the maximum extent possible, the Per Unit Capital Amount in respect of each</w:t>
      </w:r>
    </w:p>
    <w:p>
      <w:pPr>
        <w:ind w:left="1960" w:hanging="7"/>
        <w:spacing w:after="0" w:line="284" w:lineRule="auto"/>
        <w:tabs>
          <w:tab w:leader="none" w:pos="217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Series A Preferred Unit to equal the Series A Liquidation Value and (ii) Series B Preferred Unit to equal the Series B Liquidation Value (and no other allocation pursuant to this Agreement shall reverse the effect of such allocation); provided that such allocations shall be made in a manner that first achieves, and subsequently maintains, an equal Relative Preference Percentage with respect to the Preferred Units.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 the Liquidation Date occurs, shall be reallocated from the Unitholders holding Units other than Series A Preferred Units or Series B Preferred Units to Unitholders holding Series A Preferred Units or Series B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(i) Series A Preferred Unit to equal the Series A Liquidation Value and (ii) Series B Preferred Unit to equal the Series B Liquidation Value.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Curative Allocation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firstLine="641"/>
        <w:spacing w:after="0" w:line="283" w:lineRule="auto"/>
        <w:tabs>
          <w:tab w:leader="none" w:pos="327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w:t>
      </w:r>
    </w:p>
    <w:p>
      <w:pPr>
        <w:spacing w:after="0" w:line="4" w:lineRule="exact"/>
        <w:rPr>
          <w:rFonts w:ascii="Arial" w:cs="Arial" w:eastAsia="Arial" w:hAnsi="Arial"/>
          <w:sz w:val="16"/>
          <w:szCs w:val="16"/>
          <w:color w:val="auto"/>
        </w:rPr>
      </w:pPr>
    </w:p>
    <w:p>
      <w:pPr>
        <w:ind w:left="1960" w:right="840"/>
        <w:spacing w:after="0" w:line="261" w:lineRule="auto"/>
        <w:rPr>
          <w:rFonts w:ascii="Arial" w:cs="Arial" w:eastAsia="Arial" w:hAnsi="Arial"/>
          <w:sz w:val="16"/>
          <w:szCs w:val="16"/>
          <w:color w:val="auto"/>
        </w:rPr>
      </w:pPr>
      <w:r>
        <w:rPr>
          <w:rFonts w:ascii="Arial" w:cs="Arial" w:eastAsia="Arial" w:hAnsi="Arial"/>
          <w:sz w:val="18"/>
          <w:szCs w:val="18"/>
          <w:color w:val="auto"/>
        </w:rPr>
        <w:t>(1) and (2) hereof to the extent the General Partner reasonably determines that such allocations are likely to be offset by subsequent Required Allocations.</w:t>
      </w:r>
    </w:p>
    <w:p>
      <w:pPr>
        <w:spacing w:after="0" w:line="183" w:lineRule="exact"/>
        <w:rPr>
          <w:rFonts w:ascii="Arial" w:cs="Arial" w:eastAsia="Arial" w:hAnsi="Arial"/>
          <w:sz w:val="16"/>
          <w:szCs w:val="16"/>
          <w:color w:val="auto"/>
        </w:rPr>
      </w:pPr>
    </w:p>
    <w:p>
      <w:pPr>
        <w:ind w:left="1960" w:right="360" w:firstLine="641"/>
        <w:spacing w:after="0" w:line="259" w:lineRule="auto"/>
        <w:tabs>
          <w:tab w:leader="none" w:pos="326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 (2) divide all allocations pursuant to Section 6.1(d)(xi)(A) among the Partners in a manner that is likely to minimize such economic distortions.</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Allocations with respect to AAP 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80" w:firstLine="641"/>
        <w:spacing w:after="0" w:line="273" w:lineRule="auto"/>
        <w:tabs>
          <w:tab w:leader="none" w:pos="327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In applying Sections 5.5(d) and 6.1(c) of the Fifth A&amp;R LP Agreement and the 2012 Agreement (as defined in the Fifth A&amp;R LP Agreement) upon a Revaluation Event occurring on or after January 1, 2016, the General Partner shall, adopt such valuation methodologies and make special allocations of Net Termination Gain and Net Termination Loss (as those terms are defined in the Fifth A&amp;R LP Agreement) among the Partners in a manner that takes into account the relative economics established by the Simplification Agreement and to the nearest extent possible results in the Capital Accounts maintained with respect to each AAP Common Unit equaling the Per Unit Capital Amount for an Initial Common Unit.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60" w:right="40" w:firstLine="641"/>
        <w:spacing w:after="0" w:line="259" w:lineRule="auto"/>
        <w:tabs>
          <w:tab w:leader="none" w:pos="326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any Revaluation Event occurring concurrent with or after the PAA/AAP Interest Restructuring (as defined in the Simplification Agreement), items of Unrealized Gain and Unrealized Loss shall be allocated among the Partners in a manner that to the nearest extent possible results in the Capital Accounts maintained with respect to each AAP Common Unit equaling the Per Unit Capital Amount for an Initial Common Unit.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Allocations for Tax Purposes.</w:t>
      </w:r>
    </w:p>
    <w:p>
      <w:pPr>
        <w:spacing w:after="0" w:line="225" w:lineRule="exact"/>
        <w:rPr>
          <w:sz w:val="20"/>
          <w:szCs w:val="20"/>
          <w:color w:val="auto"/>
        </w:rPr>
      </w:pPr>
    </w:p>
    <w:p>
      <w:pPr>
        <w:ind w:right="500" w:firstLine="1305"/>
        <w:spacing w:after="0" w:line="342" w:lineRule="auto"/>
        <w:tabs>
          <w:tab w:leader="none" w:pos="194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23" w:lineRule="exact"/>
        <w:rPr>
          <w:rFonts w:ascii="Arial" w:cs="Arial" w:eastAsia="Arial" w:hAnsi="Arial"/>
          <w:sz w:val="16"/>
          <w:szCs w:val="16"/>
          <w:color w:val="auto"/>
        </w:rPr>
      </w:pPr>
    </w:p>
    <w:p>
      <w:pPr>
        <w:ind w:right="40" w:firstLine="1305"/>
        <w:spacing w:after="0" w:line="308" w:lineRule="auto"/>
        <w:tabs>
          <w:tab w:leader="none" w:pos="195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46" w:lineRule="exact"/>
        <w:rPr>
          <w:rFonts w:ascii="Arial" w:cs="Arial" w:eastAsia="Arial" w:hAnsi="Arial"/>
          <w:sz w:val="17"/>
          <w:szCs w:val="17"/>
          <w:color w:val="auto"/>
        </w:rPr>
      </w:pPr>
    </w:p>
    <w:p>
      <w:pPr>
        <w:ind w:left="1300" w:right="20" w:firstLine="653"/>
        <w:spacing w:after="0" w:line="302" w:lineRule="auto"/>
        <w:tabs>
          <w:tab w:leader="none" w:pos="261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ectPr>
          <w:pgSz w:w="11900" w:h="16838" w:orient="portrait"/>
          <w:cols w:equalWidth="0" w:num="1">
            <w:col w:w="11420"/>
          </w:cols>
          <w:pgMar w:left="240" w:top="125" w:right="239" w:bottom="0" w:gutter="0" w:footer="0" w:header="0"/>
        </w:sectPr>
      </w:pPr>
    </w:p>
    <w:bookmarkStart w:id="40" w:name="page41"/>
    <w:bookmarkEnd w:id="40"/>
    <w:p>
      <w:pPr>
        <w:ind w:left="1300" w:right="40" w:firstLine="653"/>
        <w:spacing w:after="0" w:line="255" w:lineRule="auto"/>
        <w:tabs>
          <w:tab w:leader="none" w:pos="262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w:t>
      </w:r>
    </w:p>
    <w:p>
      <w:pPr>
        <w:spacing w:after="0" w:line="193" w:lineRule="exact"/>
        <w:rPr>
          <w:rFonts w:ascii="Arial" w:cs="Arial" w:eastAsia="Arial" w:hAnsi="Arial"/>
          <w:sz w:val="18"/>
          <w:szCs w:val="18"/>
          <w:color w:val="auto"/>
        </w:rPr>
      </w:pPr>
    </w:p>
    <w:p>
      <w:pPr>
        <w:ind w:left="2640" w:hanging="687"/>
        <w:spacing w:after="0"/>
        <w:tabs>
          <w:tab w:leader="none" w:pos="26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General Partner shall apply the principles of Treasury Regulation Section 1.704-3(d) to eliminate Book-Tax</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Disparities.</w:t>
      </w:r>
    </w:p>
    <w:p>
      <w:pPr>
        <w:spacing w:after="0" w:line="210" w:lineRule="exact"/>
        <w:rPr>
          <w:rFonts w:ascii="Arial" w:cs="Arial" w:eastAsia="Arial" w:hAnsi="Arial"/>
          <w:sz w:val="17"/>
          <w:szCs w:val="17"/>
          <w:color w:val="auto"/>
        </w:rPr>
      </w:pPr>
    </w:p>
    <w:p>
      <w:pPr>
        <w:jc w:val="both"/>
        <w:ind w:right="380" w:firstLine="1305"/>
        <w:spacing w:after="0" w:line="259" w:lineRule="auto"/>
        <w:tabs>
          <w:tab w:leader="none" w:pos="19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93" w:lineRule="exact"/>
        <w:rPr>
          <w:sz w:val="20"/>
          <w:szCs w:val="20"/>
          <w:color w:val="auto"/>
        </w:rPr>
      </w:pPr>
    </w:p>
    <w:p>
      <w:pPr>
        <w:ind w:firstLine="1305"/>
        <w:spacing w:after="0" w:line="289" w:lineRule="auto"/>
        <w:tabs>
          <w:tab w:leader="none" w:pos="19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9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86" w:lineRule="exact"/>
        <w:rPr>
          <w:rFonts w:ascii="Arial" w:cs="Arial" w:eastAsia="Arial" w:hAnsi="Arial"/>
          <w:sz w:val="18"/>
          <w:szCs w:val="18"/>
          <w:color w:val="auto"/>
        </w:rPr>
      </w:pPr>
    </w:p>
    <w:p>
      <w:pPr>
        <w:ind w:firstLine="1305"/>
        <w:spacing w:after="0" w:line="259" w:lineRule="auto"/>
        <w:tabs>
          <w:tab w:leader="none" w:pos="19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6" w:lineRule="exact"/>
        <w:rPr>
          <w:rFonts w:ascii="Arial" w:cs="Arial" w:eastAsia="Arial" w:hAnsi="Arial"/>
          <w:sz w:val="18"/>
          <w:szCs w:val="18"/>
          <w:color w:val="auto"/>
        </w:rPr>
      </w:pPr>
    </w:p>
    <w:p>
      <w:pPr>
        <w:ind w:right="60" w:firstLine="1305"/>
        <w:spacing w:after="0" w:line="257" w:lineRule="auto"/>
        <w:tabs>
          <w:tab w:leader="none" w:pos="19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item of Partnership income, gain, loss and deduction attributable to a transferred Partnership Interest other than a Series B Preferred Unit,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 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67" w:lineRule="exact"/>
        <w:rPr>
          <w:sz w:val="20"/>
          <w:szCs w:val="20"/>
          <w:color w:val="auto"/>
        </w:rPr>
      </w:pPr>
    </w:p>
    <w:p>
      <w:pPr>
        <w:ind w:firstLine="1305"/>
        <w:spacing w:after="0" w:line="264" w:lineRule="auto"/>
        <w:tabs>
          <w:tab w:leader="none" w:pos="19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as a result of the conversion of a Series A Preferred Unit into Common Units and the adjustments pursuant to Section 5.5(d)(iii), a Capital Account reallocation is required consistent with the principles of Treasury Regulation Section 1.704-1(b)(2)(iv)(s)(3), the General Partner shall make corrective allocations pursuant to Treasury Regulation Section 1.704-1(b)(4)(x).</w:t>
      </w:r>
    </w:p>
    <w:p>
      <w:pPr>
        <w:spacing w:after="0" w:line="181" w:lineRule="exact"/>
        <w:rPr>
          <w:rFonts w:ascii="Arial" w:cs="Arial" w:eastAsia="Arial" w:hAnsi="Arial"/>
          <w:sz w:val="18"/>
          <w:szCs w:val="18"/>
          <w:color w:val="auto"/>
        </w:rPr>
      </w:pPr>
    </w:p>
    <w:p>
      <w:pPr>
        <w:jc w:val="both"/>
        <w:ind w:right="40" w:firstLine="1305"/>
        <w:spacing w:after="0" w:line="259" w:lineRule="auto"/>
        <w:tabs>
          <w:tab w:leader="none" w:pos="19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Partnership shall accrue and report the income and deduction from the guaranteed payment for the use of capital attributable to the Series B Distribution on the Series B Record Date for such Series B Distribution without regard to whether the Series B Distribution is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portion of such income and deduction for the period beginning on the last Series B Distribution Date of any tax year and continuing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day of such tax year shall be accrued and reported on the final day of such tax year.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i w:val="1"/>
          <w:iCs w:val="1"/>
          <w:color w:val="auto"/>
        </w:rPr>
        <w:t>Requirement for and Characterization of Distributions; Distributions to Record Holders.</w:t>
      </w:r>
    </w:p>
    <w:p>
      <w:pPr>
        <w:sectPr>
          <w:pgSz w:w="11900" w:h="16838" w:orient="portrait"/>
          <w:cols w:equalWidth="0" w:num="1">
            <w:col w:w="11420"/>
          </w:cols>
          <w:pgMar w:left="240" w:top="125" w:right="239" w:bottom="32" w:gutter="0" w:footer="0" w:header="0"/>
        </w:sectPr>
      </w:pPr>
    </w:p>
    <w:bookmarkStart w:id="41" w:name="page42"/>
    <w:bookmarkEnd w:id="41"/>
    <w:p>
      <w:pPr>
        <w:spacing w:after="0" w:line="50" w:lineRule="exact"/>
        <w:rPr>
          <w:sz w:val="20"/>
          <w:szCs w:val="20"/>
          <w:color w:val="auto"/>
        </w:rPr>
      </w:pPr>
    </w:p>
    <w:p>
      <w:pPr>
        <w:ind w:left="-20" w:right="60" w:firstLine="1305"/>
        <w:spacing w:after="0" w:line="269" w:lineRule="auto"/>
        <w:tabs>
          <w:tab w:leader="none" w:pos="192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Except as otherwise required by Section 5.14(b)(i) and Section 5.15(c)(i), within 45 days following the end of each Quarter, an amount equal to 100% of Available Cash with respect to such Quarter shall, subject to Section 17-607 of the Delaware Act, be distributed in accordance with this Article VI by the Partnership to the Partners, Pro Rata,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Limited Partners equals the Operating Surplus from the Closing Date through the close of the immediately preceding Quarter. Any remaining amounts of Available Cash distributed by the Partnership on such date shall be deemed to be “Capital Surplus”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All distributions required to be made under this Agreement shall be made subject to Section 17-607 of the Delaware Act. For the avoidance of doubt, the Series A Preferred Units and Series B Preferred Units shall not be entitled to distributions made pursuant to this Section 6.3(a).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right="280" w:firstLine="1305"/>
        <w:spacing w:after="0" w:line="264" w:lineRule="auto"/>
        <w:tabs>
          <w:tab w:leader="none" w:pos="19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left="-20" w:right="180" w:firstLine="1305"/>
        <w:spacing w:after="0" w:line="259" w:lineRule="auto"/>
        <w:tabs>
          <w:tab w:leader="none" w:pos="19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6" w:lineRule="exact"/>
        <w:rPr>
          <w:rFonts w:ascii="Arial" w:cs="Arial" w:eastAsia="Arial" w:hAnsi="Arial"/>
          <w:sz w:val="18"/>
          <w:szCs w:val="18"/>
          <w:color w:val="auto"/>
        </w:rPr>
      </w:pPr>
    </w:p>
    <w:p>
      <w:pPr>
        <w:ind w:left="-20" w:right="120" w:firstLine="1305"/>
        <w:spacing w:after="0" w:line="259" w:lineRule="auto"/>
        <w:tabs>
          <w:tab w:leader="none" w:pos="19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OPERATION OF BUSINESS</w:t>
      </w:r>
    </w:p>
    <w:p>
      <w:pPr>
        <w:spacing w:after="0" w:line="21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left="-20" w:right="100" w:firstLine="1305"/>
        <w:spacing w:after="0" w:line="255" w:lineRule="auto"/>
        <w:tabs>
          <w:tab w:leader="none" w:pos="19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rFonts w:ascii="Arial" w:cs="Arial" w:eastAsia="Arial" w:hAnsi="Arial"/>
          <w:sz w:val="18"/>
          <w:szCs w:val="18"/>
          <w:color w:val="auto"/>
        </w:rPr>
      </w:pPr>
    </w:p>
    <w:p>
      <w:pPr>
        <w:jc w:val="both"/>
        <w:ind w:left="1280" w:right="100" w:firstLine="653"/>
        <w:spacing w:after="0" w:line="264" w:lineRule="auto"/>
        <w:tabs>
          <w:tab w:leader="none" w:pos="259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81" w:lineRule="exact"/>
        <w:rPr>
          <w:rFonts w:ascii="Arial" w:cs="Arial" w:eastAsia="Arial" w:hAnsi="Arial"/>
          <w:sz w:val="18"/>
          <w:szCs w:val="18"/>
          <w:color w:val="auto"/>
        </w:rPr>
      </w:pPr>
    </w:p>
    <w:p>
      <w:pPr>
        <w:ind w:left="1280" w:right="20" w:firstLine="653"/>
        <w:spacing w:after="0" w:line="277" w:lineRule="auto"/>
        <w:tabs>
          <w:tab w:leader="none" w:pos="260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20" w:firstLine="653"/>
        <w:spacing w:after="0" w:line="264" w:lineRule="auto"/>
        <w:tabs>
          <w:tab w:leader="none" w:pos="26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81" w:lineRule="exact"/>
        <w:rPr>
          <w:rFonts w:ascii="Arial" w:cs="Arial" w:eastAsia="Arial" w:hAnsi="Arial"/>
          <w:sz w:val="18"/>
          <w:szCs w:val="18"/>
          <w:color w:val="auto"/>
        </w:rPr>
      </w:pPr>
    </w:p>
    <w:p>
      <w:pPr>
        <w:ind w:left="1280" w:right="20" w:firstLine="653"/>
        <w:spacing w:after="0" w:line="259" w:lineRule="auto"/>
        <w:tabs>
          <w:tab w:leader="none" w:pos="25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6" w:lineRule="exact"/>
        <w:rPr>
          <w:rFonts w:ascii="Arial" w:cs="Arial" w:eastAsia="Arial" w:hAnsi="Arial"/>
          <w:sz w:val="18"/>
          <w:szCs w:val="18"/>
          <w:color w:val="auto"/>
        </w:rPr>
      </w:pPr>
    </w:p>
    <w:p>
      <w:pPr>
        <w:ind w:left="1280" w:firstLine="653"/>
        <w:spacing w:after="0" w:line="279" w:lineRule="auto"/>
        <w:tabs>
          <w:tab w:leader="none" w:pos="258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1" w:lineRule="exact"/>
        <w:rPr>
          <w:rFonts w:ascii="Arial" w:cs="Arial" w:eastAsia="Arial" w:hAnsi="Arial"/>
          <w:sz w:val="17"/>
          <w:szCs w:val="17"/>
          <w:color w:val="auto"/>
        </w:rPr>
      </w:pPr>
    </w:p>
    <w:p>
      <w:pPr>
        <w:ind w:left="2600" w:hanging="667"/>
        <w:spacing w:after="0"/>
        <w:tabs>
          <w:tab w:leader="none" w:pos="2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225" w:lineRule="exact"/>
        <w:rPr>
          <w:rFonts w:ascii="Arial" w:cs="Arial" w:eastAsia="Arial" w:hAnsi="Arial"/>
          <w:sz w:val="18"/>
          <w:szCs w:val="18"/>
          <w:color w:val="auto"/>
        </w:rPr>
      </w:pPr>
    </w:p>
    <w:p>
      <w:pPr>
        <w:ind w:left="1280" w:right="600" w:firstLine="653"/>
        <w:spacing w:after="0" w:line="264" w:lineRule="auto"/>
        <w:tabs>
          <w:tab w:leader="none" w:pos="26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2620" w:hanging="687"/>
        <w:spacing w:after="0"/>
        <w:tabs>
          <w:tab w:leader="none" w:pos="2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Group and the Partners as it deems necessary or</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appropriate;</w:t>
      </w:r>
    </w:p>
    <w:p>
      <w:pPr>
        <w:sectPr>
          <w:pgSz w:w="11900" w:h="16888" w:orient="portrait"/>
          <w:cols w:equalWidth="0" w:num="1">
            <w:col w:w="11400"/>
          </w:cols>
          <w:pgMar w:left="260" w:top="125" w:right="239" w:bottom="0" w:gutter="0" w:footer="0" w:header="0"/>
        </w:sectPr>
      </w:pPr>
    </w:p>
    <w:bookmarkStart w:id="42" w:name="page43"/>
    <w:bookmarkEnd w:id="42"/>
    <w:p>
      <w:pPr>
        <w:ind w:left="1300" w:right="140" w:firstLine="653"/>
        <w:spacing w:after="0" w:line="286" w:lineRule="auto"/>
        <w:tabs>
          <w:tab w:leader="none" w:pos="26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65" w:lineRule="exact"/>
        <w:rPr>
          <w:rFonts w:ascii="Arial" w:cs="Arial" w:eastAsia="Arial" w:hAnsi="Arial"/>
          <w:sz w:val="17"/>
          <w:szCs w:val="17"/>
          <w:color w:val="auto"/>
        </w:rPr>
      </w:pPr>
    </w:p>
    <w:p>
      <w:pPr>
        <w:ind w:left="1300" w:right="120" w:firstLine="653"/>
        <w:spacing w:after="0" w:line="264" w:lineRule="auto"/>
        <w:tabs>
          <w:tab w:leader="none" w:pos="26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25" w:lineRule="exact"/>
        <w:rPr>
          <w:rFonts w:ascii="Arial" w:cs="Arial" w:eastAsia="Arial" w:hAnsi="Arial"/>
          <w:sz w:val="18"/>
          <w:szCs w:val="18"/>
          <w:color w:val="auto"/>
        </w:rPr>
      </w:pPr>
    </w:p>
    <w:p>
      <w:pPr>
        <w:ind w:left="1300" w:right="460" w:firstLine="653"/>
        <w:spacing w:after="0" w:line="277" w:lineRule="auto"/>
        <w:tabs>
          <w:tab w:leader="none" w:pos="262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requesting that trading be suspended on, any such exchange (subject to any prior approval that may be required under Section 4.8);</w:t>
      </w:r>
    </w:p>
    <w:p>
      <w:pPr>
        <w:spacing w:after="0" w:line="237" w:lineRule="exact"/>
        <w:rPr>
          <w:sz w:val="20"/>
          <w:szCs w:val="20"/>
          <w:color w:val="auto"/>
        </w:rPr>
      </w:pPr>
    </w:p>
    <w:p>
      <w:pPr>
        <w:ind w:left="1300" w:right="440" w:firstLine="653"/>
        <w:spacing w:after="0" w:line="342" w:lineRule="auto"/>
        <w:tabs>
          <w:tab w:leader="none" w:pos="263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23" w:lineRule="exact"/>
        <w:rPr>
          <w:rFonts w:ascii="Arial" w:cs="Arial" w:eastAsia="Arial" w:hAnsi="Arial"/>
          <w:sz w:val="16"/>
          <w:szCs w:val="16"/>
          <w:color w:val="auto"/>
        </w:rPr>
      </w:pPr>
    </w:p>
    <w:p>
      <w:pPr>
        <w:ind w:left="1300" w:right="520" w:firstLine="653"/>
        <w:spacing w:after="0" w:line="264" w:lineRule="auto"/>
        <w:tabs>
          <w:tab w:leader="none" w:pos="2609"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81" w:lineRule="exact"/>
        <w:rPr>
          <w:rFonts w:ascii="Arial" w:cs="Arial" w:eastAsia="Arial" w:hAnsi="Arial"/>
          <w:sz w:val="18"/>
          <w:szCs w:val="18"/>
          <w:color w:val="auto"/>
        </w:rPr>
      </w:pPr>
    </w:p>
    <w:p>
      <w:pPr>
        <w:ind w:right="120" w:firstLine="1305"/>
        <w:spacing w:after="0" w:line="291" w:lineRule="auto"/>
        <w:tabs>
          <w:tab w:leader="none" w:pos="195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w:t>
      </w:r>
    </w:p>
    <w:p>
      <w:pPr>
        <w:ind w:firstLine="8"/>
        <w:spacing w:after="0" w:line="286" w:lineRule="auto"/>
        <w:tabs>
          <w:tab w:leader="none" w:pos="2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approves, ratifies and confirms the execution, delivery and performance by the parties thereto of the Operating Partnership Agreements, the Underwriting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93" w:lineRule="exact"/>
        <w:rPr>
          <w:rFonts w:ascii="Arial" w:cs="Arial" w:eastAsia="Arial" w:hAnsi="Arial"/>
          <w:sz w:val="18"/>
          <w:szCs w:val="18"/>
          <w:color w:val="auto"/>
        </w:rPr>
      </w:pPr>
    </w:p>
    <w:p>
      <w:pPr>
        <w:ind w:right="20" w:firstLine="1305"/>
        <w:spacing w:after="0" w:line="290" w:lineRule="auto"/>
        <w:tabs>
          <w:tab w:leader="none" w:pos="19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w:t>
      </w:r>
    </w:p>
    <w:p>
      <w:pPr>
        <w:sectPr>
          <w:pgSz w:w="11900" w:h="16838" w:orient="portrait"/>
          <w:cols w:equalWidth="0" w:num="1">
            <w:col w:w="11400"/>
          </w:cols>
          <w:pgMar w:left="240" w:top="341" w:right="259" w:bottom="0" w:gutter="0" w:footer="0" w:header="0"/>
        </w:sectPr>
      </w:pPr>
    </w:p>
    <w:bookmarkStart w:id="43" w:name="page44"/>
    <w:bookmarkEnd w:id="43"/>
    <w:p>
      <w:pPr>
        <w:spacing w:after="0" w:line="1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77" w:lineRule="auto"/>
        <w:tabs>
          <w:tab w:leader="none" w:pos="19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70" w:lineRule="exact"/>
        <w:rPr>
          <w:rFonts w:ascii="Arial" w:cs="Arial" w:eastAsia="Arial" w:hAnsi="Arial"/>
          <w:sz w:val="18"/>
          <w:szCs w:val="18"/>
          <w:color w:val="auto"/>
        </w:rPr>
      </w:pPr>
    </w:p>
    <w:p>
      <w:pPr>
        <w:ind w:right="60" w:firstLine="1305"/>
        <w:spacing w:after="0" w:line="257"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71" w:lineRule="exact"/>
        <w:rPr>
          <w:sz w:val="20"/>
          <w:szCs w:val="20"/>
          <w:color w:val="auto"/>
        </w:rPr>
      </w:pPr>
    </w:p>
    <w:p>
      <w:pPr>
        <w:ind w:right="40" w:firstLine="1305"/>
        <w:spacing w:after="0" w:line="268" w:lineRule="auto"/>
        <w:tabs>
          <w:tab w:leader="none" w:pos="19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8" w:lineRule="auto"/>
        <w:tabs>
          <w:tab w:leader="none" w:pos="194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and</w:t>
      </w:r>
    </w:p>
    <w:p>
      <w:pPr>
        <w:ind w:right="80" w:firstLine="8"/>
        <w:spacing w:after="0" w:line="255" w:lineRule="auto"/>
        <w:tabs>
          <w:tab w:leader="none" w:pos="2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w:t>
      </w:r>
    </w:p>
    <w:p>
      <w:pPr>
        <w:spacing w:after="0" w:line="190" w:lineRule="exact"/>
        <w:rPr>
          <w:rFonts w:ascii="Arial" w:cs="Arial" w:eastAsia="Arial" w:hAnsi="Arial"/>
          <w:sz w:val="18"/>
          <w:szCs w:val="18"/>
          <w:color w:val="auto"/>
        </w:rPr>
      </w:pPr>
    </w:p>
    <w:p>
      <w:pPr>
        <w:jc w:val="both"/>
        <w:ind w:right="120" w:firstLine="1305"/>
        <w:spacing w:after="0" w:line="264" w:lineRule="auto"/>
        <w:tabs>
          <w:tab w:leader="none" w:pos="195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54" w:lineRule="exact"/>
        <w:rPr>
          <w:sz w:val="20"/>
          <w:szCs w:val="20"/>
          <w:color w:val="auto"/>
        </w:rPr>
      </w:pPr>
    </w:p>
    <w:p>
      <w:pPr>
        <w:ind w:firstLine="1305"/>
        <w:spacing w:after="0" w:line="255" w:lineRule="auto"/>
        <w:tabs>
          <w:tab w:leader="none" w:pos="19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the terms of Section 7.5(a) and Section 7.5(b),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the General Partner and the Indemnities shall have no obligation to present business opportunities to the Partnership.</w:t>
      </w:r>
    </w:p>
    <w:p>
      <w:pPr>
        <w:spacing w:after="0" w:line="193"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81"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 “Affiliates” when used in Section 7.5(a) and Section 7.5(d) with respect to the General Partner shall not include any Group Member or any Subsidiary of the Group Member.</w:t>
      </w:r>
    </w:p>
    <w:p>
      <w:pPr>
        <w:spacing w:after="0" w:line="170" w:lineRule="exact"/>
        <w:rPr>
          <w:rFonts w:ascii="Arial" w:cs="Arial" w:eastAsia="Arial" w:hAnsi="Arial"/>
          <w:sz w:val="18"/>
          <w:szCs w:val="18"/>
          <w:color w:val="auto"/>
        </w:rPr>
      </w:pPr>
    </w:p>
    <w:p>
      <w:pPr>
        <w:ind w:right="40" w:firstLine="1305"/>
        <w:spacing w:after="0" w:line="342" w:lineRule="auto"/>
        <w:tabs>
          <w:tab w:leader="none" w:pos="19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w:t>
      </w:r>
    </w:p>
    <w:p>
      <w:pPr>
        <w:sectPr>
          <w:pgSz w:w="11900" w:h="16975" w:orient="portrait"/>
          <w:cols w:equalWidth="0" w:num="1">
            <w:col w:w="11420"/>
          </w:cols>
          <w:pgMar w:left="240" w:top="125" w:right="239" w:bottom="0" w:gutter="0" w:footer="0" w:header="0"/>
        </w:sectPr>
      </w:pPr>
    </w:p>
    <w:bookmarkStart w:id="44" w:name="page45"/>
    <w:bookmarkEnd w:id="44"/>
    <w:p>
      <w:pPr>
        <w:spacing w:after="0" w:line="9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81" w:lineRule="exact"/>
        <w:rPr>
          <w:sz w:val="20"/>
          <w:szCs w:val="20"/>
          <w:color w:val="auto"/>
        </w:rPr>
      </w:pPr>
    </w:p>
    <w:p>
      <w:pPr>
        <w:ind w:left="1960" w:right="160" w:hanging="1296"/>
        <w:spacing w:after="0" w:line="277" w:lineRule="auto"/>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8"/>
          <w:szCs w:val="18"/>
          <w:i w:val="1"/>
          <w:iCs w:val="1"/>
          <w:color w:val="auto"/>
        </w:rPr>
        <w:t>Loans from the General Partner; Loans or Contributions from the Partnership; Contracts with Affiliates; Certain Restrictions on the General Partner</w:t>
      </w:r>
      <w:r>
        <w:rPr>
          <w:rFonts w:ascii="Arial" w:cs="Arial" w:eastAsia="Arial" w:hAnsi="Arial"/>
          <w:sz w:val="18"/>
          <w:szCs w:val="18"/>
          <w:color w:val="auto"/>
        </w:rPr>
        <w:t>.</w:t>
      </w:r>
    </w:p>
    <w:p>
      <w:pPr>
        <w:spacing w:after="0" w:line="170" w:lineRule="exact"/>
        <w:rPr>
          <w:sz w:val="20"/>
          <w:szCs w:val="20"/>
          <w:color w:val="auto"/>
        </w:rPr>
      </w:pPr>
    </w:p>
    <w:p>
      <w:pPr>
        <w:ind w:right="100" w:firstLine="1305"/>
        <w:spacing w:after="0" w:line="257" w:lineRule="auto"/>
        <w:tabs>
          <w:tab w:leader="none" w:pos="19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w:t>
      </w:r>
    </w:p>
    <w:p>
      <w:pPr>
        <w:ind w:right="380"/>
        <w:spacing w:after="0" w:line="261" w:lineRule="auto"/>
        <w:rPr>
          <w:sz w:val="20"/>
          <w:szCs w:val="20"/>
          <w:color w:val="auto"/>
        </w:rPr>
      </w:pPr>
      <w:r>
        <w:rPr>
          <w:rFonts w:ascii="Arial" w:cs="Arial" w:eastAsia="Arial" w:hAnsi="Arial"/>
          <w:sz w:val="18"/>
          <w:szCs w:val="18"/>
          <w:color w:val="auto"/>
        </w:rPr>
        <w:t>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84" w:lineRule="exact"/>
        <w:rPr>
          <w:sz w:val="20"/>
          <w:szCs w:val="20"/>
          <w:color w:val="auto"/>
        </w:rPr>
      </w:pPr>
    </w:p>
    <w:p>
      <w:pPr>
        <w:ind w:right="20" w:firstLine="1305"/>
        <w:spacing w:after="0" w:line="257"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8" w:lineRule="exact"/>
        <w:rPr>
          <w:rFonts w:ascii="Arial" w:cs="Arial" w:eastAsia="Arial" w:hAnsi="Arial"/>
          <w:sz w:val="18"/>
          <w:szCs w:val="18"/>
          <w:color w:val="auto"/>
        </w:rPr>
      </w:pPr>
    </w:p>
    <w:p>
      <w:pPr>
        <w:ind w:firstLine="1305"/>
        <w:spacing w:after="0" w:line="291" w:lineRule="auto"/>
        <w:tabs>
          <w:tab w:leader="none" w:pos="19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67" w:lineRule="exact"/>
        <w:rPr>
          <w:rFonts w:ascii="Arial" w:cs="Arial" w:eastAsia="Arial" w:hAnsi="Arial"/>
          <w:sz w:val="16"/>
          <w:szCs w:val="16"/>
          <w:color w:val="auto"/>
        </w:rPr>
      </w:pPr>
    </w:p>
    <w:p>
      <w:pPr>
        <w:ind w:right="180" w:firstLine="1305"/>
        <w:spacing w:after="0" w:line="264"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81" w:lineRule="exact"/>
        <w:rPr>
          <w:rFonts w:ascii="Arial" w:cs="Arial" w:eastAsia="Arial" w:hAnsi="Arial"/>
          <w:sz w:val="18"/>
          <w:szCs w:val="18"/>
          <w:color w:val="auto"/>
        </w:rPr>
      </w:pPr>
    </w:p>
    <w:p>
      <w:pPr>
        <w:ind w:right="80" w:firstLine="1305"/>
        <w:spacing w:after="0" w:line="290" w:lineRule="auto"/>
        <w:tabs>
          <w:tab w:leader="none" w:pos="19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pacing w:after="0" w:line="181" w:lineRule="exact"/>
        <w:rPr>
          <w:sz w:val="20"/>
          <w:szCs w:val="20"/>
          <w:color w:val="auto"/>
        </w:rPr>
      </w:pPr>
    </w:p>
    <w:p>
      <w:pPr>
        <w:ind w:right="120" w:firstLine="1305"/>
        <w:spacing w:after="0" w:line="264" w:lineRule="auto"/>
        <w:tabs>
          <w:tab w:leader="none" w:pos="19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81" w:lineRule="exact"/>
        <w:rPr>
          <w:rFonts w:ascii="Arial" w:cs="Arial" w:eastAsia="Arial" w:hAnsi="Arial"/>
          <w:sz w:val="18"/>
          <w:szCs w:val="18"/>
          <w:color w:val="auto"/>
        </w:rPr>
      </w:pPr>
    </w:p>
    <w:p>
      <w:pPr>
        <w:ind w:right="60" w:firstLine="1305"/>
        <w:spacing w:after="0" w:line="277" w:lineRule="auto"/>
        <w:tabs>
          <w:tab w:leader="none" w:pos="19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8" w:lineRule="auto"/>
        <w:tabs>
          <w:tab w:leader="none" w:pos="194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Partnership or any Operating Partnership). The termination of any action, suit or proceeding by judgment, order, settlement, conviction or upon a plea of nolo contendere, or its equivalent, shall not create a presumption that the Indemnitee acted in a</w:t>
      </w:r>
    </w:p>
    <w:p>
      <w:pPr>
        <w:sectPr>
          <w:pgSz w:w="11900" w:h="16930" w:orient="portrait"/>
          <w:cols w:equalWidth="0" w:num="1">
            <w:col w:w="11420"/>
          </w:cols>
          <w:pgMar w:left="240" w:top="125" w:right="239" w:bottom="0" w:gutter="0" w:footer="0" w:header="0"/>
        </w:sectPr>
      </w:pPr>
    </w:p>
    <w:bookmarkStart w:id="45" w:name="page46"/>
    <w:bookmarkEnd w:id="45"/>
    <w:p>
      <w:pPr>
        <w:spacing w:after="0" w:line="13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1" w:lineRule="exact"/>
        <w:rPr>
          <w:sz w:val="20"/>
          <w:szCs w:val="20"/>
          <w:color w:val="auto"/>
        </w:rPr>
      </w:pPr>
    </w:p>
    <w:p>
      <w:pPr>
        <w:ind w:right="60" w:firstLine="1305"/>
        <w:spacing w:after="0" w:line="302" w:lineRule="auto"/>
        <w:tabs>
          <w:tab w:leader="none" w:pos="19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54" w:lineRule="exact"/>
        <w:rPr>
          <w:rFonts w:ascii="Arial" w:cs="Arial" w:eastAsia="Arial" w:hAnsi="Arial"/>
          <w:sz w:val="16"/>
          <w:szCs w:val="16"/>
          <w:color w:val="auto"/>
        </w:rPr>
      </w:pPr>
    </w:p>
    <w:p>
      <w:pPr>
        <w:ind w:right="20" w:firstLine="1305"/>
        <w:spacing w:after="0" w:line="273" w:lineRule="auto"/>
        <w:tabs>
          <w:tab w:leader="none" w:pos="19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no event may an Indemnitee subject the Limited Partners to personal liability by reason of the indemnification provisions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this Agreement.</w:t>
      </w:r>
    </w:p>
    <w:p>
      <w:pPr>
        <w:spacing w:after="0" w:line="210" w:lineRule="exact"/>
        <w:rPr>
          <w:rFonts w:ascii="Arial" w:cs="Arial" w:eastAsia="Arial" w:hAnsi="Arial"/>
          <w:sz w:val="16"/>
          <w:szCs w:val="16"/>
          <w:color w:val="auto"/>
        </w:rPr>
      </w:pPr>
    </w:p>
    <w:p>
      <w:pPr>
        <w:ind w:right="520" w:firstLine="1305"/>
        <w:spacing w:after="0" w:line="342" w:lineRule="auto"/>
        <w:tabs>
          <w:tab w:leader="none" w:pos="196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23" w:lineRule="exact"/>
        <w:rPr>
          <w:rFonts w:ascii="Arial" w:cs="Arial" w:eastAsia="Arial" w:hAnsi="Arial"/>
          <w:sz w:val="16"/>
          <w:szCs w:val="16"/>
          <w:color w:val="auto"/>
        </w:rPr>
      </w:pPr>
    </w:p>
    <w:p>
      <w:pPr>
        <w:ind w:right="340" w:firstLine="1305"/>
        <w:spacing w:after="0" w:line="277"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80" w:firstLine="1305"/>
        <w:spacing w:after="0" w:line="257" w:lineRule="auto"/>
        <w:tabs>
          <w:tab w:leader="none" w:pos="19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lndemnitees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64" w:lineRule="auto"/>
        <w:tabs>
          <w:tab w:leader="none" w:pos="194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81" w:lineRule="exact"/>
        <w:rPr>
          <w:rFonts w:ascii="Arial" w:cs="Arial" w:eastAsia="Arial" w:hAnsi="Arial"/>
          <w:sz w:val="18"/>
          <w:szCs w:val="18"/>
          <w:color w:val="auto"/>
        </w:rPr>
      </w:pPr>
    </w:p>
    <w:p>
      <w:pPr>
        <w:ind w:right="220" w:firstLine="1305"/>
        <w:spacing w:after="0" w:line="312" w:lineRule="auto"/>
        <w:tabs>
          <w:tab w:leader="none" w:pos="19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140" w:firstLine="1305"/>
        <w:spacing w:after="0" w:line="257" w:lineRule="auto"/>
        <w:tabs>
          <w:tab w:leader="none" w:pos="19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88" w:lineRule="exact"/>
        <w:rPr>
          <w:rFonts w:ascii="Arial" w:cs="Arial" w:eastAsia="Arial" w:hAnsi="Arial"/>
          <w:sz w:val="18"/>
          <w:szCs w:val="18"/>
          <w:color w:val="auto"/>
        </w:rPr>
      </w:pPr>
    </w:p>
    <w:p>
      <w:pPr>
        <w:ind w:right="20" w:firstLine="1305"/>
        <w:spacing w:after="0" w:line="257" w:lineRule="auto"/>
        <w:tabs>
          <w:tab w:leader="none" w:pos="19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42" w:lineRule="auto"/>
        <w:tabs>
          <w:tab w:leader="none" w:pos="194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w:t>
      </w:r>
    </w:p>
    <w:p>
      <w:pPr>
        <w:sectPr>
          <w:pgSz w:w="11900" w:h="16975" w:orient="portrait"/>
          <w:cols w:equalWidth="0" w:num="1">
            <w:col w:w="11400"/>
          </w:cols>
          <w:pgMar w:left="240" w:top="125" w:right="259" w:bottom="0" w:gutter="0" w:footer="0" w:header="0"/>
        </w:sectPr>
      </w:pPr>
    </w:p>
    <w:bookmarkStart w:id="46" w:name="page47"/>
    <w:bookmarkEnd w:id="46"/>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8" w:lineRule="exact"/>
        <w:rPr>
          <w:sz w:val="20"/>
          <w:szCs w:val="20"/>
          <w:color w:val="auto"/>
        </w:rPr>
      </w:pPr>
    </w:p>
    <w:p>
      <w:pPr>
        <w:ind w:right="100" w:firstLine="1305"/>
        <w:spacing w:after="0" w:line="287" w:lineRule="auto"/>
        <w:tabs>
          <w:tab w:leader="none" w:pos="195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w:t>
      </w:r>
    </w:p>
    <w:p>
      <w:pPr>
        <w:spacing w:after="0" w:line="172" w:lineRule="exact"/>
        <w:rPr>
          <w:rFonts w:ascii="Arial" w:cs="Arial" w:eastAsia="Arial" w:hAnsi="Arial"/>
          <w:sz w:val="16"/>
          <w:szCs w:val="16"/>
          <w:color w:val="auto"/>
        </w:rPr>
      </w:pPr>
    </w:p>
    <w:p>
      <w:pPr>
        <w:ind w:right="60" w:firstLine="1305"/>
        <w:spacing w:after="0" w:line="264" w:lineRule="auto"/>
        <w:tabs>
          <w:tab w:leader="none" w:pos="19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1305"/>
        <w:spacing w:after="0" w:line="264" w:lineRule="auto"/>
        <w:tabs>
          <w:tab w:leader="none" w:pos="19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86"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0" w:lineRule="exact"/>
        <w:rPr>
          <w:rFonts w:ascii="Arial" w:cs="Arial" w:eastAsia="Arial" w:hAnsi="Arial"/>
          <w:sz w:val="18"/>
          <w:szCs w:val="18"/>
          <w:color w:val="auto"/>
        </w:rPr>
      </w:pPr>
    </w:p>
    <w:p>
      <w:pPr>
        <w:ind w:firstLine="1305"/>
        <w:spacing w:after="0" w:line="279" w:lineRule="auto"/>
        <w:tabs>
          <w:tab w:leader="none" w:pos="19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Purchase or Sale of Partnership Securities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ectPr>
          <w:pgSz w:w="11900" w:h="16912" w:orient="portrait"/>
          <w:cols w:equalWidth="0" w:num="1">
            <w:col w:w="11420"/>
          </w:cols>
          <w:pgMar w:left="240" w:top="125" w:right="239" w:bottom="0" w:gutter="0" w:footer="0" w:header="0"/>
        </w:sectPr>
      </w:pPr>
    </w:p>
    <w:bookmarkStart w:id="47" w:name="page48"/>
    <w:bookmarkEnd w:id="47"/>
    <w:p>
      <w:pPr>
        <w:spacing w:after="0" w:line="3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Registration Rights of the General Partner and its Affiliates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Arial" w:cs="Arial" w:eastAsia="Arial" w:hAnsi="Arial"/>
          <w:sz w:val="18"/>
          <w:szCs w:val="18"/>
          <w:i w:val="1"/>
          <w:iCs w:val="1"/>
          <w:color w:val="auto"/>
        </w:rPr>
        <w:t>Holder</w:t>
      </w:r>
      <w:r>
        <w:rPr>
          <w:rFonts w:ascii="Arial" w:cs="Arial" w:eastAsia="Arial" w:hAnsi="Arial"/>
          <w:sz w:val="18"/>
          <w:szCs w:val="18"/>
          <w:color w:val="auto"/>
        </w:rPr>
        <w:t>”) to dispose of the number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Section 7.12(c), all costs and expenses of any such registration and offering (other than the underwriting discounts and commissions) shall be paid by the Partnership, without reimbursement by the Holder.</w:t>
      </w:r>
    </w:p>
    <w:p>
      <w:pPr>
        <w:spacing w:after="0" w:line="184" w:lineRule="exact"/>
        <w:rPr>
          <w:sz w:val="20"/>
          <w:szCs w:val="20"/>
          <w:color w:val="auto"/>
        </w:rPr>
      </w:pPr>
    </w:p>
    <w:p>
      <w:pPr>
        <w:ind w:right="20" w:firstLine="1305"/>
        <w:spacing w:after="0" w:line="284" w:lineRule="auto"/>
        <w:tabs>
          <w:tab w:leader="none" w:pos="195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w:t>
      </w:r>
    </w:p>
    <w:p>
      <w:pPr>
        <w:spacing w:after="0" w:line="2"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color w:val="auto"/>
        </w:rPr>
        <w:t>Section 7.12(c), all costs and expenses of any such registration and offering (other than the underwriting discounts and commissions) shall be paid by the Partnership, without reimbursement by the Holder.</w:t>
      </w:r>
    </w:p>
    <w:p>
      <w:pPr>
        <w:spacing w:after="0" w:line="183" w:lineRule="exact"/>
        <w:rPr>
          <w:rFonts w:ascii="Arial" w:cs="Arial" w:eastAsia="Arial" w:hAnsi="Arial"/>
          <w:sz w:val="16"/>
          <w:szCs w:val="16"/>
          <w:color w:val="auto"/>
        </w:rPr>
      </w:pPr>
    </w:p>
    <w:p>
      <w:pPr>
        <w:ind w:right="520" w:firstLine="1305"/>
        <w:spacing w:after="0" w:line="264" w:lineRule="auto"/>
        <w:tabs>
          <w:tab w:leader="none" w:pos="19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6"/>
          <w:szCs w:val="16"/>
          <w:i w:val="1"/>
          <w:iCs w:val="1"/>
          <w:color w:val="auto"/>
        </w:rPr>
        <w:t>Indemnified Persons</w:t>
      </w:r>
      <w:r>
        <w:rPr>
          <w:rFonts w:ascii="Arial" w:cs="Arial" w:eastAsia="Arial" w:hAnsi="Arial"/>
          <w:sz w:val="16"/>
          <w:szCs w:val="16"/>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7.12(c) as a “</w:t>
      </w:r>
      <w:r>
        <w:rPr>
          <w:rFonts w:ascii="Arial" w:cs="Arial" w:eastAsia="Arial" w:hAnsi="Arial"/>
          <w:sz w:val="16"/>
          <w:szCs w:val="16"/>
          <w:i w:val="1"/>
          <w:iCs w:val="1"/>
          <w:color w:val="auto"/>
        </w:rPr>
        <w:t>claim</w:t>
      </w:r>
      <w:r>
        <w:rPr>
          <w:rFonts w:ascii="Arial" w:cs="Arial" w:eastAsia="Arial" w:hAnsi="Arial"/>
          <w:sz w:val="16"/>
          <w:szCs w:val="16"/>
          <w:color w:val="auto"/>
        </w:rPr>
        <w:t>” and in the plural as “</w:t>
      </w:r>
      <w:r>
        <w:rPr>
          <w:rFonts w:ascii="Arial" w:cs="Arial" w:eastAsia="Arial" w:hAnsi="Arial"/>
          <w:sz w:val="16"/>
          <w:szCs w:val="16"/>
          <w:i w:val="1"/>
          <w:iCs w:val="1"/>
          <w:color w:val="auto"/>
        </w:rPr>
        <w:t>claims</w:t>
      </w:r>
      <w:r>
        <w:rPr>
          <w:rFonts w:ascii="Arial" w:cs="Arial" w:eastAsia="Arial" w:hAnsi="Arial"/>
          <w:sz w:val="16"/>
          <w:szCs w:val="16"/>
          <w:color w:val="auto"/>
        </w:rPr>
        <w:t>”)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75" w:lineRule="exact"/>
        <w:rPr>
          <w:sz w:val="20"/>
          <w:szCs w:val="20"/>
          <w:color w:val="auto"/>
        </w:rPr>
      </w:pPr>
    </w:p>
    <w:p>
      <w:pPr>
        <w:ind w:right="60" w:firstLine="1305"/>
        <w:spacing w:after="0" w:line="273" w:lineRule="auto"/>
        <w:tabs>
          <w:tab w:leader="none" w:pos="195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 statements covering the same Partnership Securities for which registration was demanded during such two-year period. The provisions of Section 7.12(c) shall continue in effect thereafter.</w:t>
      </w:r>
    </w:p>
    <w:p>
      <w:pPr>
        <w:spacing w:after="0" w:line="178"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Reliance by Third Parties</w:t>
      </w:r>
      <w:r>
        <w:rPr>
          <w:rFonts w:ascii="Arial" w:cs="Arial" w:eastAsia="Arial" w:hAnsi="Arial"/>
          <w:sz w:val="16"/>
          <w:szCs w:val="16"/>
          <w:color w:val="auto"/>
        </w:rPr>
        <w:t>.</w:t>
      </w:r>
    </w:p>
    <w:p>
      <w:pPr>
        <w:sectPr>
          <w:pgSz w:w="11900" w:h="16874" w:orient="portrait"/>
          <w:cols w:equalWidth="0" w:num="1">
            <w:col w:w="11420"/>
          </w:cols>
          <w:pgMar w:left="240" w:top="341" w:right="239" w:bottom="0" w:gutter="0" w:footer="0" w:header="0"/>
        </w:sectPr>
      </w:pPr>
    </w:p>
    <w:bookmarkStart w:id="48" w:name="page49"/>
    <w:bookmarkEnd w:id="48"/>
    <w:p>
      <w:pPr>
        <w:jc w:val="both"/>
        <w:ind w:right="360" w:firstLine="648"/>
        <w:spacing w:after="0" w:line="264" w:lineRule="auto"/>
        <w:rPr>
          <w:sz w:val="20"/>
          <w:szCs w:val="20"/>
          <w:color w:val="auto"/>
        </w:rPr>
      </w:pPr>
      <w:r>
        <w:rPr>
          <w:rFonts w:ascii="Arial" w:cs="Arial" w:eastAsia="Arial" w:hAnsi="Arial"/>
          <w:sz w:val="18"/>
          <w:szCs w:val="18"/>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Records and Accounting</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Partnership shall be a fiscal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jc w:val="both"/>
        <w:ind w:right="40" w:firstLine="1305"/>
        <w:spacing w:after="0" w:line="259" w:lineRule="auto"/>
        <w:tabs>
          <w:tab w:leader="none" w:pos="19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operations, Partnership equity and cash flows, such statements to be audited by a firm of independent public accountants selected by the General Partner.</w:t>
      </w:r>
    </w:p>
    <w:p>
      <w:pPr>
        <w:spacing w:after="0" w:line="248" w:lineRule="exact"/>
        <w:rPr>
          <w:sz w:val="20"/>
          <w:szCs w:val="20"/>
          <w:color w:val="auto"/>
        </w:rPr>
      </w:pPr>
    </w:p>
    <w:p>
      <w:pPr>
        <w:ind w:right="80" w:firstLine="1305"/>
        <w:spacing w:after="0" w:line="302" w:lineRule="auto"/>
        <w:tabs>
          <w:tab w:leader="none" w:pos="19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Returns and Information</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i w:val="1"/>
          <w:iCs w:val="1"/>
          <w:color w:val="auto"/>
        </w:rPr>
        <w:t>Tax Elections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ectPr>
          <w:pgSz w:w="11900" w:h="16838" w:orient="portrait"/>
          <w:cols w:equalWidth="0" w:num="1">
            <w:col w:w="11420"/>
          </w:cols>
          <w:pgMar w:left="240" w:top="341" w:right="239" w:bottom="0" w:gutter="0" w:footer="0" w:header="0"/>
        </w:sectPr>
      </w:pPr>
    </w:p>
    <w:bookmarkStart w:id="49" w:name="page50"/>
    <w:bookmarkEnd w:id="49"/>
    <w:p>
      <w:pPr>
        <w:ind w:right="40" w:firstLine="1305"/>
        <w:spacing w:after="0" w:line="277"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Except as otherwise provided herein, the General Partner shall determine whether the Partnership should make any other elections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by the Code.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5"/>
          <w:szCs w:val="15"/>
          <w:i w:val="1"/>
          <w:iCs w:val="1"/>
          <w:color w:val="auto"/>
        </w:rPr>
        <w:t>Tax Controversies</w:t>
      </w:r>
      <w:r>
        <w:rPr>
          <w:rFonts w:ascii="Arial" w:cs="Arial" w:eastAsia="Arial" w:hAnsi="Arial"/>
          <w:sz w:val="15"/>
          <w:szCs w:val="15"/>
          <w:color w:val="auto"/>
        </w:rPr>
        <w:t>.</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Subject to the provisions hereof, the General Partner is designated as the Tax Matters Partner (as defined in Section 6231(a)(7) of the Code as in effect prior to the enactment of the Bipartisan Budget Act of 2015) and the “partnership representative” (as defined in Section 6223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of the Code following the enactment of the Bipartisan Budget Act of 2015)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Each Partner agrees to cooperate with the General Partner and to do or refrain from doing any or all things reasonably required by the General Partner to conduct such proceedings. Each Partner agrees that notice of or updates regarding tax controversies shall be deemed conclusively to have been given or made by the General Partner if the Partnership has either (a) filed the information for which notice is required with the Commission via its Electronic Data Gathering, Analysis and Retrieval system and such information is publicly available on such system or (b) made the information for which notice is required available on any publicly available website maintained by the Partnership, whether or not such Partner remains a Partner in the Partnership at the time such information is made publicly available.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i w:val="1"/>
          <w:iCs w:val="1"/>
          <w:color w:val="auto"/>
        </w:rPr>
        <w:t>Withholding</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 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 discretion of the General Partner be treated by the Partnership as a distribution of cash pursuant to Section 6.3 to the Partner or Assignee to whom such withholding, payment or seizure is attributed.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Admission of Substituted Limited Partner</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By transfer of a Limited Partner Interest in accordance with Article IV, the transferor shall be deemed to have given the transferee the right to seek admission as a Substituted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1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Admission of Successor General Partner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provided, however, that no such successor shall be admitted to the Partnership until compliance with the terms of Section 4.6</w:t>
      </w:r>
    </w:p>
    <w:p>
      <w:pPr>
        <w:sectPr>
          <w:pgSz w:w="11900" w:h="16838" w:orient="portrait"/>
          <w:cols w:equalWidth="0" w:num="1">
            <w:col w:w="11420"/>
          </w:cols>
          <w:pgMar w:left="240" w:top="125" w:right="239" w:bottom="0" w:gutter="0" w:footer="0" w:header="0"/>
        </w:sectPr>
      </w:pPr>
    </w:p>
    <w:bookmarkStart w:id="50" w:name="page51"/>
    <w:bookmarkEnd w:id="50"/>
    <w:p>
      <w:pPr>
        <w:spacing w:after="0" w:line="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Admission of Additional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59" w:lineRule="auto"/>
        <w:tabs>
          <w:tab w:leader="none" w:pos="19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i w:val="1"/>
          <w:iCs w:val="1"/>
          <w:color w:val="auto"/>
        </w:rPr>
        <w:t>Amendment of Agreement and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77" w:lineRule="auto"/>
        <w:tabs>
          <w:tab w:leader="none" w:pos="19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transfers all of its rights as General Partner pursuant to Section 4.6;</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1300" w:right="60" w:firstLine="653"/>
        <w:spacing w:after="0" w:line="255" w:lineRule="auto"/>
        <w:tabs>
          <w:tab w:leader="none" w:pos="261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rFonts w:ascii="Arial" w:cs="Arial" w:eastAsia="Arial" w:hAnsi="Arial"/>
          <w:sz w:val="18"/>
          <w:szCs w:val="18"/>
          <w:color w:val="auto"/>
        </w:rPr>
      </w:pPr>
    </w:p>
    <w:p>
      <w:pPr>
        <w:ind w:left="1300" w:right="320" w:firstLine="653"/>
        <w:spacing w:after="0" w:line="308" w:lineRule="auto"/>
        <w:tabs>
          <w:tab w:leader="none" w:pos="260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firstLine="653"/>
        <w:spacing w:after="0" w:line="273" w:lineRule="auto"/>
        <w:tabs>
          <w:tab w:leader="none" w:pos="261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right="100" w:firstLine="1305"/>
        <w:spacing w:after="0" w:line="288" w:lineRule="auto"/>
        <w:tabs>
          <w:tab w:leader="none" w:pos="195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 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w:t>
      </w:r>
    </w:p>
    <w:p>
      <w:pPr>
        <w:sectPr>
          <w:pgSz w:w="11900" w:h="16930" w:orient="portrait"/>
          <w:cols w:equalWidth="0" w:num="1">
            <w:col w:w="11420"/>
          </w:cols>
          <w:pgMar w:left="240" w:top="125" w:right="239" w:bottom="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case may be, of the other Group Members of which the General Partner is a general partner or a managing member. If, prior to the effective date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Partner’s withdrawal, a successor is not selected by the Unitholders as provided herein or the Partnership does not receive an Opinion of Counsel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Withdrawal Opinion of Counsel</w:t>
      </w:r>
      <w:r>
        <w:rPr>
          <w:rFonts w:ascii="Arial" w:cs="Arial" w:eastAsia="Arial" w:hAnsi="Arial"/>
          <w:sz w:val="16"/>
          <w:szCs w:val="16"/>
          <w:color w:val="auto"/>
        </w:rPr>
        <w:t>”), the Partnership shall be dissolved in accordance with Section 12.1. Any successor General Partner elected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terms of this Section 11.1 shall be subject to the provisions of Section 10.3.</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The General Partner may be removed if such removal is approved by the Unitholders holding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8" w:lineRule="auto"/>
        <w:tabs>
          <w:tab w:leader="none" w:pos="194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require its successor to purchase its General Partner Interest and its general partner interest (or equivalent interest) in the other Group Members, if any (collectively, the “</w:t>
      </w:r>
      <w:r>
        <w:rPr>
          <w:rFonts w:ascii="Arial" w:cs="Arial" w:eastAsia="Arial" w:hAnsi="Arial"/>
          <w:sz w:val="16"/>
          <w:szCs w:val="16"/>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purchase the Combined Interest for such fair market value of such Combined Interest. In either event, the Departing Partner shall be entitled to receive all reimbursements due such Departing Partner pursuant to Section 7.4, including any employee-related liabilities (including severance liabilities), incurred in connection with the termination of any employees employed by the General Partner for the benefit of the Partnership or the other Group Members.</w:t>
      </w:r>
    </w:p>
    <w:p>
      <w:pPr>
        <w:spacing w:after="0" w:line="16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National Securities Exchange on which Units are then listed, the value of the Partnership’s assets, the rights and obligations of the Departing Partner and other factors it may deem relevant.</w:t>
      </w:r>
    </w:p>
    <w:p>
      <w:pPr>
        <w:spacing w:after="0" w:line="170" w:lineRule="exact"/>
        <w:rPr>
          <w:sz w:val="20"/>
          <w:szCs w:val="20"/>
          <w:color w:val="auto"/>
        </w:rPr>
      </w:pPr>
    </w:p>
    <w:p>
      <w:pPr>
        <w:ind w:firstLine="1305"/>
        <w:spacing w:after="0" w:line="272" w:lineRule="auto"/>
        <w:tabs>
          <w:tab w:leader="none" w:pos="195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i w:val="1"/>
          <w:iCs w:val="1"/>
          <w:color w:val="auto"/>
        </w:rPr>
        <w:t>Withdrawal of Limited Partners</w:t>
      </w:r>
      <w:r>
        <w:rPr>
          <w:rFonts w:ascii="Arial" w:cs="Arial" w:eastAsia="Arial" w:hAnsi="Arial"/>
          <w:sz w:val="16"/>
          <w:szCs w:val="16"/>
          <w:color w:val="auto"/>
        </w:rPr>
        <w: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LIQUIDATION</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i w:val="1"/>
          <w:iCs w:val="1"/>
          <w:color w:val="auto"/>
        </w:rPr>
        <w:t>Dissolution</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52" w:name="page53"/>
    <w:bookmarkEnd w:id="52"/>
    <w:p>
      <w:pPr>
        <w:spacing w:after="0" w:line="1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940" w:hanging="635"/>
        <w:spacing w:after="0"/>
        <w:tabs>
          <w:tab w:leader="none" w:pos="19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expiration of its term as provided in Section 2.7;</w:t>
      </w:r>
    </w:p>
    <w:p>
      <w:pPr>
        <w:spacing w:after="0" w:line="225" w:lineRule="exact"/>
        <w:rPr>
          <w:rFonts w:ascii="Arial" w:cs="Arial" w:eastAsia="Arial" w:hAnsi="Arial"/>
          <w:sz w:val="18"/>
          <w:szCs w:val="18"/>
          <w:color w:val="auto"/>
        </w:rPr>
      </w:pPr>
    </w:p>
    <w:p>
      <w:pPr>
        <w:ind w:right="40" w:firstLine="1305"/>
        <w:spacing w:after="0" w:line="291" w:lineRule="auto"/>
        <w:tabs>
          <w:tab w:leader="none" w:pos="19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Arial" w:cs="Arial" w:eastAsia="Arial" w:hAnsi="Arial"/>
          <w:sz w:val="16"/>
          <w:szCs w:val="16"/>
          <w:color w:val="auto"/>
        </w:rPr>
      </w:pPr>
      <w:r>
        <w:rPr>
          <w:rFonts w:ascii="Arial" w:cs="Arial" w:eastAsia="Arial" w:hAnsi="Arial"/>
          <w:sz w:val="18"/>
          <w:szCs w:val="18"/>
          <w:color w:val="auto"/>
        </w:rPr>
        <w:t>Section 10.3;</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Unit Majority;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the Partnership Group.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12.2</w:t>
      </w:r>
      <w:r>
        <w:rPr>
          <w:rFonts w:ascii="Arial" w:cs="Arial" w:eastAsia="Arial" w:hAnsi="Arial"/>
          <w:sz w:val="16"/>
          <w:szCs w:val="16"/>
          <w:i w:val="1"/>
          <w:iCs w:val="1"/>
          <w:color w:val="auto"/>
        </w:rPr>
        <w:t>Continuation of the Business of the Partnership After Dissolution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67" w:lineRule="exact"/>
        <w:rPr>
          <w:sz w:val="20"/>
          <w:szCs w:val="20"/>
          <w:color w:val="auto"/>
        </w:rPr>
      </w:pPr>
    </w:p>
    <w:p>
      <w:pPr>
        <w:ind w:left="1300" w:right="280" w:firstLine="653"/>
        <w:spacing w:after="0" w:line="277" w:lineRule="auto"/>
        <w:tabs>
          <w:tab w:leader="none" w:pos="26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reconstituted Partnership shall continue until the end of the term set forth in Section 2.7 unless earlier dissolved in accordance with this Article XII;</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2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1300" w:right="20" w:firstLine="653"/>
        <w:spacing w:after="0" w:line="271" w:lineRule="auto"/>
        <w:tabs>
          <w:tab w:leader="none" w:pos="263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7"/>
          <w:szCs w:val="17"/>
          <w:i w:val="1"/>
          <w:iCs w:val="1"/>
          <w:color w:val="auto"/>
        </w:rPr>
        <w:t>Liquidator</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7"/>
          <w:szCs w:val="17"/>
          <w:i w:val="1"/>
          <w:iCs w:val="1"/>
          <w:color w:val="auto"/>
        </w:rPr>
        <w:t>Liquidation</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24" w:lineRule="exact"/>
        <w:rPr>
          <w:sz w:val="20"/>
          <w:szCs w:val="20"/>
          <w:color w:val="auto"/>
        </w:rPr>
      </w:pPr>
    </w:p>
    <w:p>
      <w:pPr>
        <w:jc w:val="both"/>
        <w:ind w:right="20" w:firstLine="1305"/>
        <w:spacing w:after="0" w:line="312" w:lineRule="auto"/>
        <w:tabs>
          <w:tab w:leader="none" w:pos="1942"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w:t>
      </w:r>
    </w:p>
    <w:p>
      <w:pPr>
        <w:sectPr>
          <w:pgSz w:w="11900" w:h="16952" w:orient="portrait"/>
          <w:cols w:equalWidth="0" w:num="1">
            <w:col w:w="11380"/>
          </w:cols>
          <w:pgMar w:left="240" w:top="125" w:right="279" w:bottom="0" w:gutter="0" w:footer="0" w:header="0"/>
        </w:sectPr>
      </w:pPr>
    </w:p>
    <w:bookmarkStart w:id="53" w:name="page54"/>
    <w:bookmarkEnd w:id="53"/>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87" w:lineRule="exact"/>
        <w:rPr>
          <w:sz w:val="20"/>
          <w:szCs w:val="20"/>
          <w:color w:val="auto"/>
        </w:rPr>
      </w:pPr>
    </w:p>
    <w:p>
      <w:pPr>
        <w:jc w:val="both"/>
        <w:ind w:right="40" w:firstLine="1305"/>
        <w:spacing w:after="0" w:line="259"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Discharge of Liabilities</w:t>
      </w:r>
      <w:r>
        <w:rPr>
          <w:rFonts w:ascii="Arial" w:cs="Arial" w:eastAsia="Arial" w:hAnsi="Arial"/>
          <w:sz w:val="18"/>
          <w:szCs w:val="18"/>
          <w:color w:val="auto"/>
        </w:rPr>
        <w:t>. Liabilities of the Partnership include amounts owed to Partners other than in respect of their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Section 12.4(b) and that required to satisfy, in the aggregate, the Capital Accounts relating to the Series A Preferred Units and Series B Preferred Units as provided for under Section 5.14(b)(xiii) and Section 5.15(c)(vii), respectively, shall be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 provided that the aggregate distribution made to holders of the Preferred Units shall be made in a manner that causes the Series A Preferred Unitholders and the Series B Preferred Unitholders to receive an equivalent percentage of the Series A Liquidation Value or the Series B Liquidation Preference, as applicable.</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i w:val="1"/>
          <w:iCs w:val="1"/>
          <w:color w:val="auto"/>
        </w:rPr>
        <w:t>Cancellation of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i w:val="1"/>
          <w:iCs w:val="1"/>
          <w:color w:val="auto"/>
        </w:rPr>
        <w:t>Return of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7"/>
          <w:szCs w:val="17"/>
          <w:i w:val="1"/>
          <w:iCs w:val="1"/>
          <w:color w:val="auto"/>
        </w:rPr>
        <w:t>Waiver of Partition</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i w:val="1"/>
          <w:iCs w:val="1"/>
          <w:color w:val="auto"/>
        </w:rPr>
        <w:t>Capital Account Restoration.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PARTNERSHIP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MEETINGS; RECORD DATE</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i w:val="1"/>
          <w:iCs w:val="1"/>
          <w:color w:val="auto"/>
        </w:rPr>
        <w:t>Amendment to be Adopted Solely by the General Partner</w:t>
      </w:r>
      <w:r>
        <w:rPr>
          <w:rFonts w:ascii="Arial" w:cs="Arial" w:eastAsia="Arial" w:hAnsi="Arial"/>
          <w:sz w:val="16"/>
          <w:szCs w:val="16"/>
          <w:color w:val="auto"/>
        </w:rPr>
        <w: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77" w:lineRule="auto"/>
        <w:tabs>
          <w:tab w:leader="none" w:pos="194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40" w:firstLine="1305"/>
        <w:spacing w:after="0" w:line="259" w:lineRule="auto"/>
        <w:tabs>
          <w:tab w:leader="none" w:pos="195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 change that, in the discretion of the General Partner, (i) does not adversely affect the Limited Partners in any material respect,</w:t>
      </w:r>
    </w:p>
    <w:p>
      <w:pPr>
        <w:spacing w:after="0" w:line="46" w:lineRule="exact"/>
        <w:rPr>
          <w:rFonts w:ascii="Arial" w:cs="Arial" w:eastAsia="Arial" w:hAnsi="Arial"/>
          <w:sz w:val="16"/>
          <w:szCs w:val="16"/>
          <w:color w:val="auto"/>
        </w:rPr>
      </w:pPr>
    </w:p>
    <w:p>
      <w:pPr>
        <w:ind w:right="20" w:firstLine="8"/>
        <w:spacing w:after="0" w:line="302" w:lineRule="auto"/>
        <w:tabs>
          <w:tab w:leader="none" w:pos="26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w:t>
      </w:r>
    </w:p>
    <w:p>
      <w:pPr>
        <w:sectPr>
          <w:pgSz w:w="11900" w:h="16944" w:orient="portrait"/>
          <w:cols w:equalWidth="0" w:num="1">
            <w:col w:w="11380"/>
          </w:cols>
          <w:pgMar w:left="240" w:top="125" w:right="279" w:bottom="0" w:gutter="0" w:footer="0" w:header="0"/>
        </w:sectPr>
      </w:pPr>
    </w:p>
    <w:bookmarkStart w:id="54" w:name="page55"/>
    <w:bookmarkEnd w:id="54"/>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188" w:lineRule="exact"/>
        <w:rPr>
          <w:sz w:val="20"/>
          <w:szCs w:val="20"/>
          <w:color w:val="auto"/>
        </w:rPr>
      </w:pPr>
    </w:p>
    <w:p>
      <w:pPr>
        <w:ind w:firstLine="1305"/>
        <w:spacing w:after="0" w:line="264" w:lineRule="auto"/>
        <w:tabs>
          <w:tab w:leader="none" w:pos="19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54" w:lineRule="exact"/>
        <w:rPr>
          <w:rFonts w:ascii="Arial" w:cs="Arial" w:eastAsia="Arial" w:hAnsi="Arial"/>
          <w:sz w:val="16"/>
          <w:szCs w:val="16"/>
          <w:color w:val="auto"/>
        </w:rPr>
      </w:pPr>
    </w:p>
    <w:p>
      <w:pPr>
        <w:ind w:right="360" w:firstLine="1305"/>
        <w:spacing w:after="0" w:line="277" w:lineRule="auto"/>
        <w:tabs>
          <w:tab w:leader="none" w:pos="19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36" w:lineRule="exact"/>
        <w:rPr>
          <w:rFonts w:ascii="Arial" w:cs="Arial" w:eastAsia="Arial" w:hAnsi="Arial"/>
          <w:sz w:val="17"/>
          <w:szCs w:val="17"/>
          <w:color w:val="auto"/>
        </w:rPr>
      </w:pPr>
    </w:p>
    <w:p>
      <w:pPr>
        <w:ind w:right="20" w:firstLine="1305"/>
        <w:spacing w:after="0" w:line="264" w:lineRule="auto"/>
        <w:tabs>
          <w:tab w:leader="none" w:pos="19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merger or conveyance pursuant to Section 14.3(d);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5"/>
          <w:szCs w:val="15"/>
          <w:i w:val="1"/>
          <w:iCs w:val="1"/>
          <w:color w:val="auto"/>
        </w:rPr>
        <w:t>Amendment Procedures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pacing w:after="0" w:line="225" w:lineRule="exact"/>
        <w:rPr>
          <w:sz w:val="20"/>
          <w:szCs w:val="20"/>
          <w:color w:val="auto"/>
        </w:rPr>
      </w:pPr>
    </w:p>
    <w:p>
      <w:pPr>
        <w:ind w:right="340" w:firstLine="1305"/>
        <w:spacing w:after="0" w:line="302" w:lineRule="auto"/>
        <w:tabs>
          <w:tab w:leader="none" w:pos="194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54" w:lineRule="exact"/>
        <w:rPr>
          <w:rFonts w:ascii="Arial" w:cs="Arial" w:eastAsia="Arial" w:hAnsi="Arial"/>
          <w:sz w:val="16"/>
          <w:szCs w:val="16"/>
          <w:color w:val="auto"/>
        </w:rPr>
      </w:pPr>
    </w:p>
    <w:p>
      <w:pPr>
        <w:ind w:right="60" w:firstLine="1305"/>
        <w:spacing w:after="0" w:line="291" w:lineRule="auto"/>
        <w:tabs>
          <w:tab w:leader="none" w:pos="195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580" w:firstLine="8"/>
        <w:spacing w:after="0" w:line="254"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305"/>
        <w:spacing w:after="0" w:line="259" w:lineRule="auto"/>
        <w:tabs>
          <w:tab w:leader="none" w:pos="1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 Units.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55" w:name="page56"/>
    <w:bookmarkEnd w:id="55"/>
    <w:p>
      <w:pPr>
        <w:ind w:left="1940" w:hanging="635"/>
        <w:spacing w:after="0"/>
        <w:tabs>
          <w:tab w:leader="none" w:pos="1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acts of Limited Partners to be taken pursuant to this Agreement shall be taken in the manner provided in this Article XIII.</w:t>
      </w:r>
    </w:p>
    <w:p>
      <w:pPr>
        <w:spacing w:after="0" w:line="236" w:lineRule="exact"/>
        <w:rPr>
          <w:rFonts w:ascii="Arial" w:cs="Arial" w:eastAsia="Arial" w:hAnsi="Arial"/>
          <w:sz w:val="17"/>
          <w:szCs w:val="17"/>
          <w:color w:val="auto"/>
        </w:rPr>
      </w:pPr>
    </w:p>
    <w:p>
      <w:pPr>
        <w:ind w:right="120" w:firstLine="1305"/>
        <w:spacing w:after="0" w:line="255" w:lineRule="auto"/>
        <w:tabs>
          <w:tab w:leader="none" w:pos="19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89" w:lineRule="exact"/>
        <w:rPr>
          <w:rFonts w:ascii="Arial" w:cs="Arial" w:eastAsia="Arial" w:hAnsi="Arial"/>
          <w:sz w:val="18"/>
          <w:szCs w:val="18"/>
          <w:color w:val="auto"/>
        </w:rPr>
      </w:pPr>
    </w:p>
    <w:p>
      <w:pPr>
        <w:ind w:right="140" w:firstLine="1305"/>
        <w:spacing w:after="0" w:line="288" w:lineRule="auto"/>
        <w:tabs>
          <w:tab w:leader="none" w:pos="19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Promptly after PAGP partners receive notice that a vote will be required in any election of PAGP Eligible Directors, the General Partner shall call a meeting of the Limited Partners for the purpose of submitting such election to a vote of the Limited Partners (other than Plains AAP with respect to any Common Units owned by it and the Series B Preferred Unitholders with respect to any Series B Preferred Units owned by such Unitholders)</w:t>
      </w: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(the “Eligible Limited Partners”) and provide to such Eligible Limited Partners the information regarding such election that was provided to the PAGP partners. Such meeting shall occur as close in time to the PAGP meeting for the election of PAGP Eligible Directors as reasonably practicable, but in no event later than immediately prior to such PAGP meeting. Promptly after expiration of the deadline for voting at meetings called pursuant to this Section 13.4(c), the Partnership, acting in its capacity as a partner of PAGP, shall vote (or refrain from voting) the PAGP Class C Shares it holds at the meeting for the election of such PAGP Eligible Directors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same proportion as the Eligible Limited Partners voted (or refrained from voting) their Units on the election.</w:t>
      </w:r>
    </w:p>
    <w:p>
      <w:pPr>
        <w:spacing w:after="0" w:line="225" w:lineRule="exact"/>
        <w:rPr>
          <w:sz w:val="20"/>
          <w:szCs w:val="20"/>
          <w:color w:val="auto"/>
        </w:rPr>
      </w:pPr>
    </w:p>
    <w:p>
      <w:pPr>
        <w:ind w:right="20" w:firstLine="1305"/>
        <w:spacing w:after="0" w:line="272" w:lineRule="auto"/>
        <w:tabs>
          <w:tab w:leader="none" w:pos="195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13.5.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77" w:lineRule="exact"/>
        <w:rPr>
          <w:rFonts w:ascii="Arial" w:cs="Arial" w:eastAsia="Arial" w:hAnsi="Arial"/>
          <w:sz w:val="17"/>
          <w:szCs w:val="17"/>
          <w:color w:val="auto"/>
        </w:rPr>
      </w:pPr>
    </w:p>
    <w:p>
      <w:pPr>
        <w:ind w:firstLine="1305"/>
        <w:spacing w:after="0" w:line="264" w:lineRule="auto"/>
        <w:tabs>
          <w:tab w:leader="none" w:pos="19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 meeting pursuant to Section 13.4(c) is not held on the date designated therefor, the General Partner shall cause the meeting to be held as soon as is convenient. Subject to Section 13.11, nothing in this Section 13.4 shall prevent the Limited Partners from taking any authorized action by means of a consent in writing or by electronic transmission.</w:t>
      </w:r>
    </w:p>
    <w:p>
      <w:pPr>
        <w:spacing w:after="0" w:line="181" w:lineRule="exact"/>
        <w:rPr>
          <w:rFonts w:ascii="Arial" w:cs="Arial" w:eastAsia="Arial" w:hAnsi="Arial"/>
          <w:sz w:val="18"/>
          <w:szCs w:val="18"/>
          <w:color w:val="auto"/>
        </w:rPr>
      </w:pPr>
    </w:p>
    <w:p>
      <w:pPr>
        <w:ind w:right="20" w:firstLine="1305"/>
        <w:spacing w:after="0" w:line="257" w:lineRule="auto"/>
        <w:tabs>
          <w:tab w:leader="none" w:pos="19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exercise by an Eligible Limited Partner of the right to vote to direct the General Partner to cause the Partnership to vote its PAGP Class C Shares in an election of the PAGP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i w:val="1"/>
          <w:iCs w:val="1"/>
          <w:color w:val="auto"/>
        </w:rPr>
        <w:t>Notice of a Meeting</w:t>
      </w:r>
      <w:r>
        <w:rPr>
          <w:rFonts w:ascii="Arial" w:cs="Arial" w:eastAsia="Arial" w:hAnsi="Arial"/>
          <w:sz w:val="16"/>
          <w:szCs w:val="16"/>
          <w:color w:val="auto"/>
        </w:rPr>
        <w: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13.6</w:t>
      </w:r>
      <w:r>
        <w:rPr>
          <w:sz w:val="20"/>
          <w:szCs w:val="20"/>
          <w:color w:val="auto"/>
        </w:rPr>
        <w:tab/>
      </w:r>
      <w:r>
        <w:rPr>
          <w:rFonts w:ascii="Arial" w:cs="Arial" w:eastAsia="Arial" w:hAnsi="Arial"/>
          <w:sz w:val="16"/>
          <w:szCs w:val="16"/>
          <w:i w:val="1"/>
          <w:iCs w:val="1"/>
          <w:color w:val="auto"/>
        </w:rPr>
        <w:t>Record Date</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i w:val="1"/>
          <w:iCs w:val="1"/>
          <w:color w:val="auto"/>
        </w:rPr>
        <w:t>Adjournment</w:t>
      </w:r>
      <w:r>
        <w:rPr>
          <w:rFonts w:ascii="Arial" w:cs="Arial" w:eastAsia="Arial" w:hAnsi="Arial"/>
          <w:sz w:val="16"/>
          <w:szCs w:val="16"/>
          <w:color w:val="auto"/>
        </w:rPr>
        <w:t>.</w:t>
      </w:r>
    </w:p>
    <w:p>
      <w:pPr>
        <w:spacing w:after="0" w:line="225"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13.8</w:t>
      </w:r>
      <w:r>
        <w:rPr>
          <w:sz w:val="20"/>
          <w:szCs w:val="20"/>
          <w:color w:val="auto"/>
        </w:rPr>
        <w:tab/>
      </w:r>
      <w:r>
        <w:rPr>
          <w:rFonts w:ascii="Arial" w:cs="Arial" w:eastAsia="Arial" w:hAnsi="Arial"/>
          <w:sz w:val="16"/>
          <w:szCs w:val="16"/>
          <w:i w:val="1"/>
          <w:iCs w:val="1"/>
          <w:color w:val="auto"/>
        </w:rPr>
        <w:t>Waiver of Notice; Approval of Meeting; Approval of Minutes</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56" w:name="page57"/>
    <w:bookmarkEnd w:id="56"/>
    <w:p>
      <w:pPr>
        <w:spacing w:after="0" w:line="7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13.9</w:t>
      </w:r>
      <w:r>
        <w:rPr>
          <w:sz w:val="20"/>
          <w:szCs w:val="20"/>
          <w:color w:val="auto"/>
        </w:rPr>
        <w:tab/>
      </w:r>
      <w:r>
        <w:rPr>
          <w:rFonts w:ascii="Arial" w:cs="Arial" w:eastAsia="Arial" w:hAnsi="Arial"/>
          <w:sz w:val="16"/>
          <w:szCs w:val="16"/>
          <w:i w:val="1"/>
          <w:iCs w:val="1"/>
          <w:color w:val="auto"/>
        </w:rPr>
        <w:t>Quorum; Required Vote for Limited Partner Action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i w:val="1"/>
          <w:iCs w:val="1"/>
          <w:color w:val="auto"/>
        </w:rPr>
        <w:t>Conduct of a Meeting</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Action Without a Meeting</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If authorized by the General Partner, any action that may be taken at a meeting of the Limited Partners (other than voting to direct the Partnership to vote its PAGP Class C Shares in the election of PAGP Eligible Directors pursuant to Section 13.4(c)) may be taken without a meeting, without a vote,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w:t>
      </w:r>
    </w:p>
    <w:p>
      <w:pPr>
        <w:ind w:right="40" w:firstLine="8"/>
        <w:spacing w:after="0" w:line="253" w:lineRule="auto"/>
        <w:tabs>
          <w:tab w:leader="none" w:pos="2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9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Only those Record Holders of the Limited Partner Interests on the Record Date set pursuant to Section 13.6 (and also subject to the limitations contained in the definition of “</w:t>
      </w:r>
      <w:r>
        <w:rPr>
          <w:rFonts w:ascii="Arial" w:cs="Arial" w:eastAsia="Arial" w:hAnsi="Arial"/>
          <w:sz w:val="18"/>
          <w:szCs w:val="18"/>
          <w:i w:val="1"/>
          <w:iCs w:val="1"/>
          <w:color w:val="auto"/>
        </w:rPr>
        <w:t>Outstanding</w:t>
      </w:r>
      <w:r>
        <w:rPr>
          <w:rFonts w:ascii="Arial" w:cs="Arial" w:eastAsia="Arial" w:hAnsi="Arial"/>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ectPr>
          <w:pgSz w:w="11900" w:h="16911" w:orient="portrait"/>
          <w:cols w:equalWidth="0" w:num="1">
            <w:col w:w="11400"/>
          </w:cols>
          <w:pgMar w:left="240" w:top="125" w:right="259" w:bottom="0" w:gutter="0" w:footer="0" w:header="0"/>
        </w:sectPr>
      </w:pPr>
    </w:p>
    <w:bookmarkStart w:id="57" w:name="page58"/>
    <w:bookmarkEnd w:id="57"/>
    <w:p>
      <w:pPr>
        <w:ind w:right="100" w:firstLine="1305"/>
        <w:spacing w:after="0" w:line="255"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9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i w:val="1"/>
          <w:iCs w:val="1"/>
          <w:color w:val="auto"/>
        </w:rPr>
        <w:t>Pass-Through Nominations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Eligible Limited Partner who was a Record Holder at the time the notice provided for in Section 13.5 for a meeting called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13.4(c) is given to the Limited Partners of a number of the Limited Partner Interests equal to 10% or more of the number of PAGP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such time may direct the General Partner to cause the Partnership to nominate a person for election as a PAGP Eligible Director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13.4(c)(ii) of the PAGP LP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Eligible Limited Partner may nominate more than one PAGP Eligible Director; </w:t>
      </w:r>
      <w:r>
        <w:rPr>
          <w:rFonts w:ascii="Arial" w:cs="Arial" w:eastAsia="Arial" w:hAnsi="Arial"/>
          <w:sz w:val="17"/>
          <w:szCs w:val="17"/>
          <w:i w:val="1"/>
          <w:iCs w:val="1"/>
          <w:color w:val="auto"/>
        </w:rPr>
        <w:t>provided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further</w:t>
      </w:r>
      <w:r>
        <w:rPr>
          <w:rFonts w:ascii="Arial" w:cs="Arial" w:eastAsia="Arial" w:hAnsi="Arial"/>
          <w:sz w:val="17"/>
          <w:szCs w:val="17"/>
          <w:color w:val="auto"/>
        </w:rPr>
        <w:t>, that any nomination pursuant to this Section 13.13 must comply with the procedures set forth in Section 13.4(c)(ii) of the PAGP LP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are incorporated herein by reference, and only such persons who are nominated in accordance with such procedures shall be eligible to be elected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PAGP Eligible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7"/>
          <w:szCs w:val="17"/>
          <w:i w:val="1"/>
          <w:iCs w:val="1"/>
          <w:color w:val="auto"/>
        </w:rPr>
        <w:t>Authority</w:t>
      </w:r>
      <w:r>
        <w:rPr>
          <w:rFonts w:ascii="Arial" w:cs="Arial" w:eastAsia="Arial" w:hAnsi="Arial"/>
          <w:sz w:val="17"/>
          <w:szCs w:val="17"/>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Arial" w:cs="Arial" w:eastAsia="Arial" w:hAnsi="Arial"/>
          <w:sz w:val="18"/>
          <w:szCs w:val="18"/>
          <w:i w:val="1"/>
          <w:iCs w:val="1"/>
          <w:color w:val="auto"/>
        </w:rPr>
        <w:t>Merger Agreement</w:t>
      </w:r>
      <w:r>
        <w:rPr>
          <w:rFonts w:ascii="Arial" w:cs="Arial" w:eastAsia="Arial" w:hAnsi="Arial"/>
          <w:sz w:val="18"/>
          <w:szCs w:val="18"/>
          <w:color w:val="auto"/>
        </w:rPr>
        <w:t>”) in accordance with this Article XIV.</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or Consolidation</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81" w:lineRule="exact"/>
        <w:rPr>
          <w:sz w:val="20"/>
          <w:szCs w:val="20"/>
          <w:color w:val="auto"/>
        </w:rPr>
      </w:pPr>
    </w:p>
    <w:p>
      <w:pPr>
        <w:ind w:left="1940" w:hanging="635"/>
        <w:spacing w:after="0"/>
        <w:tabs>
          <w:tab w:leader="none" w:pos="19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right="960" w:firstLine="1305"/>
        <w:spacing w:after="0" w:line="277" w:lineRule="auto"/>
        <w:tabs>
          <w:tab w:leader="none" w:pos="19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firstLine="1305"/>
        <w:spacing w:after="0" w:line="284" w:lineRule="auto"/>
        <w:tabs>
          <w:tab w:leader="none" w:pos="195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w:t>
      </w:r>
    </w:p>
    <w:p>
      <w:pPr>
        <w:spacing w:after="0" w:line="4" w:lineRule="exact"/>
        <w:rPr>
          <w:rFonts w:ascii="Arial" w:cs="Arial" w:eastAsia="Arial" w:hAnsi="Arial"/>
          <w:sz w:val="16"/>
          <w:szCs w:val="16"/>
          <w:color w:val="auto"/>
        </w:rPr>
      </w:pPr>
    </w:p>
    <w:p>
      <w:pPr>
        <w:ind w:right="340" w:firstLine="8"/>
        <w:spacing w:after="0" w:line="255" w:lineRule="auto"/>
        <w:tabs>
          <w:tab w:leader="none" w:pos="2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90" w:lineRule="exact"/>
        <w:rPr>
          <w:rFonts w:ascii="Arial" w:cs="Arial" w:eastAsia="Arial" w:hAnsi="Arial"/>
          <w:sz w:val="18"/>
          <w:szCs w:val="18"/>
          <w:color w:val="auto"/>
        </w:rPr>
      </w:pPr>
    </w:p>
    <w:p>
      <w:pPr>
        <w:ind w:right="180" w:firstLine="1305"/>
        <w:spacing w:after="0" w:line="264" w:lineRule="auto"/>
        <w:tabs>
          <w:tab w:leader="none" w:pos="195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1305"/>
        <w:spacing w:after="0" w:line="312" w:lineRule="auto"/>
        <w:tabs>
          <w:tab w:leader="none" w:pos="194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as are deemed necessary or appropriate by the General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i w:val="1"/>
          <w:iCs w:val="1"/>
          <w:color w:val="auto"/>
        </w:rPr>
        <w:t>Approval by Limited Partners of Merger or Consolidation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12" w:lineRule="auto"/>
        <w:tabs>
          <w:tab w:leader="none" w:pos="194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ectPr>
          <w:pgSz w:w="11900" w:h="16838" w:orient="portrait"/>
          <w:cols w:equalWidth="0" w:num="1">
            <w:col w:w="11420"/>
          </w:cols>
          <w:pgMar w:left="240" w:top="341" w:right="239" w:bottom="0" w:gutter="0" w:footer="0" w:header="0"/>
        </w:sectPr>
      </w:pPr>
    </w:p>
    <w:bookmarkStart w:id="58" w:name="page59"/>
    <w:bookmarkEnd w:id="58"/>
    <w:p>
      <w:pPr>
        <w:spacing w:after="0" w:line="88" w:lineRule="exact"/>
        <w:rPr>
          <w:sz w:val="20"/>
          <w:szCs w:val="20"/>
          <w:color w:val="auto"/>
        </w:rPr>
      </w:pPr>
    </w:p>
    <w:p>
      <w:pPr>
        <w:ind w:right="100" w:firstLine="1305"/>
        <w:spacing w:after="0" w:line="30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54" w:lineRule="exact"/>
        <w:rPr>
          <w:rFonts w:ascii="Arial" w:cs="Arial" w:eastAsia="Arial" w:hAnsi="Arial"/>
          <w:sz w:val="16"/>
          <w:szCs w:val="16"/>
          <w:color w:val="auto"/>
        </w:rPr>
      </w:pPr>
    </w:p>
    <w:p>
      <w:pPr>
        <w:jc w:val="both"/>
        <w:ind w:right="140" w:firstLine="1305"/>
        <w:spacing w:after="0" w:line="264" w:lineRule="auto"/>
        <w:tabs>
          <w:tab w:leader="none" w:pos="19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81" w:lineRule="exact"/>
        <w:rPr>
          <w:rFonts w:ascii="Arial" w:cs="Arial" w:eastAsia="Arial" w:hAnsi="Arial"/>
          <w:sz w:val="18"/>
          <w:szCs w:val="18"/>
          <w:color w:val="auto"/>
        </w:rPr>
      </w:pPr>
    </w:p>
    <w:p>
      <w:pPr>
        <w:ind w:right="60" w:firstLine="1305"/>
        <w:spacing w:after="0" w:line="253" w:lineRule="auto"/>
        <w:tabs>
          <w:tab w:leader="none" w:pos="195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6"/>
          <w:szCs w:val="16"/>
          <w:i w:val="1"/>
          <w:iCs w:val="1"/>
          <w:color w:val="auto"/>
        </w:rPr>
        <w:t>Certificate of Merger</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rFonts w:ascii="Arial" w:cs="Arial" w:eastAsia="Arial" w:hAnsi="Arial"/>
          <w:sz w:val="18"/>
          <w:szCs w:val="18"/>
          <w:color w:val="auto"/>
        </w:rPr>
      </w:pPr>
    </w:p>
    <w:p>
      <w:pPr>
        <w:ind w:left="1300" w:right="180" w:firstLine="653"/>
        <w:spacing w:after="0" w:line="279" w:lineRule="auto"/>
        <w:tabs>
          <w:tab w:leader="none" w:pos="261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1" w:lineRule="exact"/>
        <w:rPr>
          <w:rFonts w:ascii="Arial" w:cs="Arial" w:eastAsia="Arial" w:hAnsi="Arial"/>
          <w:sz w:val="17"/>
          <w:szCs w:val="17"/>
          <w:color w:val="auto"/>
        </w:rPr>
      </w:pPr>
    </w:p>
    <w:p>
      <w:pPr>
        <w:ind w:left="1300" w:right="140" w:firstLine="653"/>
        <w:spacing w:after="0" w:line="277" w:lineRule="auto"/>
        <w:tabs>
          <w:tab w:leader="none" w:pos="262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3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1300" w:right="80" w:firstLine="653"/>
        <w:spacing w:after="0" w:line="308" w:lineRule="auto"/>
        <w:tabs>
          <w:tab w:leader="none" w:pos="2613"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46" w:lineRule="exact"/>
        <w:rPr>
          <w:rFonts w:ascii="Arial" w:cs="Arial" w:eastAsia="Arial" w:hAnsi="Arial"/>
          <w:sz w:val="17"/>
          <w:szCs w:val="17"/>
          <w:color w:val="auto"/>
        </w:rPr>
      </w:pPr>
    </w:p>
    <w:p>
      <w:pPr>
        <w:ind w:right="320" w:firstLine="1305"/>
        <w:spacing w:after="0" w:line="277"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merger or consolidation effected pursuant to this Article shall not be deemed to result in a transfer or assignment of assets or liabilities from one entity to another.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3" w:lineRule="auto"/>
        <w:tabs>
          <w:tab w:leader="none" w:pos="194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i w:val="1"/>
          <w:iCs w:val="1"/>
          <w:color w:val="auto"/>
        </w:rPr>
        <w:t>Current Market</w:t>
      </w:r>
      <w:r>
        <w:rPr>
          <w:rFonts w:ascii="Arial" w:cs="Arial" w:eastAsia="Arial" w:hAnsi="Arial"/>
          <w:sz w:val="16"/>
          <w:szCs w:val="16"/>
          <w:color w:val="auto"/>
        </w:rPr>
        <w:t xml:space="preserve"> </w:t>
      </w:r>
      <w:r>
        <w:rPr>
          <w:rFonts w:ascii="Arial" w:cs="Arial" w:eastAsia="Arial" w:hAnsi="Arial"/>
          <w:sz w:val="16"/>
          <w:szCs w:val="16"/>
          <w:i w:val="1"/>
          <w:iCs w:val="1"/>
          <w:color w:val="auto"/>
        </w:rPr>
        <w:t>Price</w:t>
      </w:r>
      <w:r>
        <w:rPr>
          <w:rFonts w:ascii="Arial" w:cs="Arial" w:eastAsia="Arial" w:hAnsi="Arial"/>
          <w:sz w:val="16"/>
          <w:szCs w:val="16"/>
          <w:color w:val="auto"/>
        </w:rPr>
        <w:t>” as of any date of any class of Limited Partner Interests listed or admitted to trading on any National Securities Exchange means the average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daily Closing Prices (as hereinafter defined) per limited partner interest of such class for the 20 consecutive Trading Days (as hereinafter defined) immediately prior to such date; (ii) “</w:t>
      </w:r>
      <w:r>
        <w:rPr>
          <w:rFonts w:ascii="Arial" w:cs="Arial" w:eastAsia="Arial" w:hAnsi="Arial"/>
          <w:sz w:val="16"/>
          <w:szCs w:val="16"/>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w:t>
      </w:r>
    </w:p>
    <w:p>
      <w:pPr>
        <w:sectPr>
          <w:pgSz w:w="11900" w:h="16926" w:orient="portrait"/>
          <w:cols w:equalWidth="0" w:num="1">
            <w:col w:w="11420"/>
          </w:cols>
          <w:pgMar w:left="240" w:top="125" w:right="239" w:bottom="0" w:gutter="0" w:footer="0" w:header="0"/>
        </w:sectPr>
      </w:pPr>
    </w:p>
    <w:bookmarkStart w:id="59" w:name="page60"/>
    <w:bookmarkEnd w:id="59"/>
    <w:p>
      <w:pPr>
        <w:ind w:right="20"/>
        <w:spacing w:after="0" w:line="297" w:lineRule="auto"/>
        <w:rPr>
          <w:sz w:val="20"/>
          <w:szCs w:val="20"/>
          <w:color w:val="auto"/>
        </w:rPr>
      </w:pPr>
      <w:r>
        <w:rPr>
          <w:rFonts w:ascii="Arial" w:cs="Arial" w:eastAsia="Arial" w:hAnsi="Arial"/>
          <w:sz w:val="16"/>
          <w:szCs w:val="16"/>
          <w:color w:val="auto"/>
        </w:rPr>
        <w:t>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Arial" w:cs="Arial" w:eastAsia="Arial" w:hAnsi="Arial"/>
          <w:sz w:val="16"/>
          <w:szCs w:val="16"/>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58" w:lineRule="exact"/>
        <w:rPr>
          <w:sz w:val="20"/>
          <w:szCs w:val="20"/>
          <w:color w:val="auto"/>
        </w:rPr>
      </w:pPr>
    </w:p>
    <w:p>
      <w:pPr>
        <w:ind w:right="20" w:firstLine="1305"/>
        <w:spacing w:after="0" w:line="287" w:lineRule="auto"/>
        <w:tabs>
          <w:tab w:leader="none" w:pos="19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6"/>
          <w:szCs w:val="16"/>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i w:val="1"/>
          <w:iCs w:val="1"/>
          <w:color w:val="auto"/>
        </w:rPr>
        <w:t>Election to Purchase</w:t>
      </w:r>
      <w:r>
        <w:rPr>
          <w:rFonts w:ascii="Arial" w:cs="Arial" w:eastAsia="Arial" w:hAnsi="Arial"/>
          <w:sz w:val="16"/>
          <w:szCs w:val="16"/>
          <w:color w:val="auto"/>
        </w:rPr>
        <w:t>”) and shall cause the Transfer Agent to mail a copy of such Notice of Election to Purchase to the Record Holders of Limited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169" w:lineRule="exact"/>
        <w:rPr>
          <w:sz w:val="20"/>
          <w:szCs w:val="20"/>
          <w:color w:val="auto"/>
        </w:rPr>
      </w:pPr>
    </w:p>
    <w:p>
      <w:pPr>
        <w:ind w:right="100" w:firstLine="1305"/>
        <w:spacing w:after="0" w:line="286" w:lineRule="auto"/>
        <w:tabs>
          <w:tab w:leader="none" w:pos="19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5"/>
          <w:szCs w:val="15"/>
          <w:i w:val="1"/>
          <w:iCs w:val="1"/>
          <w:color w:val="auto"/>
        </w:rPr>
        <w:t>Addresses and Notices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7"/>
          <w:szCs w:val="17"/>
          <w:i w:val="1"/>
          <w:iCs w:val="1"/>
          <w:color w:val="auto"/>
        </w:rPr>
        <w:t>Further Action</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6"/>
          <w:szCs w:val="16"/>
          <w:i w:val="1"/>
          <w:iCs w:val="1"/>
          <w:color w:val="auto"/>
        </w:rPr>
        <w:t>Binding Effect</w:t>
      </w:r>
      <w:r>
        <w:rPr>
          <w:rFonts w:ascii="Arial" w:cs="Arial" w:eastAsia="Arial" w:hAnsi="Arial"/>
          <w:sz w:val="16"/>
          <w:szCs w:val="16"/>
          <w:color w:val="auto"/>
        </w:rPr>
        <w:t>.</w:t>
      </w:r>
    </w:p>
    <w:p>
      <w:pPr>
        <w:sectPr>
          <w:pgSz w:w="11900" w:h="16838" w:orient="portrait"/>
          <w:cols w:equalWidth="0" w:num="1">
            <w:col w:w="11420"/>
          </w:cols>
          <w:pgMar w:left="240" w:top="125" w:right="239" w:bottom="32" w:gutter="0" w:footer="0" w:header="0"/>
        </w:sectPr>
      </w:pPr>
    </w:p>
    <w:bookmarkStart w:id="60" w:name="page61"/>
    <w:bookmarkEnd w:id="60"/>
    <w:p>
      <w:pPr>
        <w:spacing w:after="0" w:line="3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16.4</w:t>
      </w:r>
      <w:r>
        <w:rPr>
          <w:sz w:val="20"/>
          <w:szCs w:val="20"/>
          <w:color w:val="auto"/>
        </w:rPr>
        <w:tab/>
      </w:r>
      <w:r>
        <w:rPr>
          <w:rFonts w:ascii="Arial" w:cs="Arial" w:eastAsia="Arial" w:hAnsi="Arial"/>
          <w:sz w:val="17"/>
          <w:szCs w:val="17"/>
          <w:i w:val="1"/>
          <w:iCs w:val="1"/>
          <w:color w:val="auto"/>
        </w:rPr>
        <w:t>Integration</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provisions of this Agreement shall be for the benefit of, or shall be enforceable by, any creditor of the Partnership.</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16.6</w:t>
      </w:r>
      <w:r>
        <w:rPr>
          <w:sz w:val="20"/>
          <w:szCs w:val="20"/>
          <w:color w:val="auto"/>
        </w:rPr>
        <w:tab/>
      </w:r>
      <w:r>
        <w:rPr>
          <w:rFonts w:ascii="Arial" w:cs="Arial" w:eastAsia="Arial" w:hAnsi="Arial"/>
          <w:sz w:val="16"/>
          <w:szCs w:val="16"/>
          <w:i w:val="1"/>
          <w:iCs w:val="1"/>
          <w:color w:val="auto"/>
        </w:rPr>
        <w:t>Waiver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16.7</w:t>
      </w:r>
      <w:r>
        <w:rPr>
          <w:sz w:val="20"/>
          <w:szCs w:val="20"/>
          <w:color w:val="auto"/>
        </w:rPr>
        <w:tab/>
      </w:r>
      <w:r>
        <w:rPr>
          <w:rFonts w:ascii="Arial" w:cs="Arial" w:eastAsia="Arial" w:hAnsi="Arial"/>
          <w:sz w:val="16"/>
          <w:szCs w:val="16"/>
          <w:i w:val="1"/>
          <w:iCs w:val="1"/>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880" w:firstLine="648"/>
        <w:spacing w:after="0" w:line="264" w:lineRule="auto"/>
        <w:rPr>
          <w:sz w:val="20"/>
          <w:szCs w:val="20"/>
          <w:color w:val="auto"/>
        </w:rPr>
      </w:pPr>
      <w:r>
        <w:rPr>
          <w:rFonts w:ascii="Arial" w:cs="Arial" w:eastAsia="Arial" w:hAnsi="Arial"/>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Unit, upon accepting the Certificate evidencing such Unit, or other evidence of the issuance of uncertificated Units, independently of the signature of any other party.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16.8</w:t>
      </w:r>
      <w:r>
        <w:rPr>
          <w:sz w:val="20"/>
          <w:szCs w:val="20"/>
          <w:color w:val="auto"/>
        </w:rPr>
        <w:tab/>
      </w:r>
      <w:r>
        <w:rPr>
          <w:rFonts w:ascii="Arial" w:cs="Arial" w:eastAsia="Arial" w:hAnsi="Arial"/>
          <w:sz w:val="16"/>
          <w:szCs w:val="16"/>
          <w:i w:val="1"/>
          <w:iCs w:val="1"/>
          <w:color w:val="auto"/>
        </w:rPr>
        <w:t>Applicable Law; Forum; Venue and Jurisdiction</w:t>
      </w:r>
      <w:r>
        <w:rPr>
          <w:rFonts w:ascii="Arial" w:cs="Arial" w:eastAsia="Arial" w:hAnsi="Arial"/>
          <w:sz w:val="16"/>
          <w:szCs w:val="16"/>
          <w:color w:val="auto"/>
        </w:rPr>
        <w:t>.</w:t>
      </w:r>
    </w:p>
    <w:p>
      <w:pPr>
        <w:spacing w:after="0" w:line="225" w:lineRule="exact"/>
        <w:rPr>
          <w:sz w:val="20"/>
          <w:szCs w:val="20"/>
          <w:color w:val="auto"/>
        </w:rPr>
      </w:pPr>
    </w:p>
    <w:p>
      <w:pPr>
        <w:ind w:right="280" w:firstLine="1305"/>
        <w:spacing w:after="0" w:line="277" w:lineRule="auto"/>
        <w:tabs>
          <w:tab w:leader="none" w:pos="194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1300" w:firstLine="653"/>
        <w:spacing w:after="0" w:line="288" w:lineRule="auto"/>
        <w:tabs>
          <w:tab w:leader="none" w:pos="261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ind w:left="1300" w:right="280"/>
        <w:spacing w:after="0" w:line="281" w:lineRule="auto"/>
        <w:rPr>
          <w:rFonts w:ascii="Arial" w:cs="Arial" w:eastAsia="Arial" w:hAnsi="Arial"/>
          <w:sz w:val="16"/>
          <w:szCs w:val="16"/>
          <w:color w:val="auto"/>
        </w:rPr>
      </w:pPr>
      <w:r>
        <w:rPr>
          <w:rFonts w:ascii="Arial" w:cs="Arial" w:eastAsia="Arial" w:hAnsi="Arial"/>
          <w:sz w:val="16"/>
          <w:szCs w:val="16"/>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spacing w:after="0" w:line="1" w:lineRule="exact"/>
        <w:rPr>
          <w:rFonts w:ascii="Arial" w:cs="Arial" w:eastAsia="Arial" w:hAnsi="Arial"/>
          <w:sz w:val="16"/>
          <w:szCs w:val="16"/>
          <w:color w:val="auto"/>
        </w:rPr>
      </w:pPr>
    </w:p>
    <w:p>
      <w:pPr>
        <w:ind w:left="1300" w:right="40"/>
        <w:spacing w:after="0" w:line="253" w:lineRule="auto"/>
        <w:rPr>
          <w:rFonts w:ascii="Arial" w:cs="Arial" w:eastAsia="Arial" w:hAnsi="Arial"/>
          <w:sz w:val="16"/>
          <w:szCs w:val="16"/>
          <w:color w:val="auto"/>
        </w:rPr>
      </w:pPr>
      <w:r>
        <w:rPr>
          <w:rFonts w:ascii="Arial" w:cs="Arial" w:eastAsia="Arial" w:hAnsi="Arial"/>
          <w:sz w:val="18"/>
          <w:szCs w:val="18"/>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91" w:lineRule="exact"/>
        <w:rPr>
          <w:rFonts w:ascii="Arial" w:cs="Arial" w:eastAsia="Arial" w:hAnsi="Arial"/>
          <w:sz w:val="16"/>
          <w:szCs w:val="16"/>
          <w:color w:val="auto"/>
        </w:rPr>
      </w:pPr>
    </w:p>
    <w:p>
      <w:pPr>
        <w:jc w:val="both"/>
        <w:ind w:left="1300" w:right="80" w:firstLine="653"/>
        <w:spacing w:after="0" w:line="264" w:lineRule="auto"/>
        <w:tabs>
          <w:tab w:leader="none" w:pos="262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rFonts w:ascii="Arial" w:cs="Arial" w:eastAsia="Arial" w:hAnsi="Arial"/>
          <w:sz w:val="18"/>
          <w:szCs w:val="18"/>
          <w:color w:val="auto"/>
        </w:rPr>
      </w:pPr>
    </w:p>
    <w:p>
      <w:pPr>
        <w:ind w:left="1300" w:right="380" w:firstLine="653"/>
        <w:spacing w:after="0" w:line="288" w:lineRule="auto"/>
        <w:tabs>
          <w:tab w:leader="none" w:pos="263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ind w:left="1300"/>
        <w:spacing w:after="0"/>
        <w:rPr>
          <w:rFonts w:ascii="Arial" w:cs="Arial" w:eastAsia="Arial" w:hAnsi="Arial"/>
          <w:sz w:val="16"/>
          <w:szCs w:val="16"/>
          <w:color w:val="auto"/>
        </w:rPr>
      </w:pPr>
      <w:r>
        <w:rPr>
          <w:rFonts w:ascii="Arial" w:cs="Arial" w:eastAsia="Arial" w:hAnsi="Arial"/>
          <w:sz w:val="18"/>
          <w:szCs w:val="18"/>
          <w:color w:val="auto"/>
        </w:rPr>
        <w:t>(C) the venue of such claim, suit, action or proceeding is improper;</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expressly waives any requirement for the posting of a bond by a party bringing such claim, suit, action or proceeding; and</w:t>
      </w:r>
    </w:p>
    <w:p>
      <w:pPr>
        <w:spacing w:after="0" w:line="248" w:lineRule="exact"/>
        <w:rPr>
          <w:rFonts w:ascii="Arial" w:cs="Arial" w:eastAsia="Arial" w:hAnsi="Arial"/>
          <w:sz w:val="16"/>
          <w:szCs w:val="16"/>
          <w:color w:val="auto"/>
        </w:rPr>
      </w:pPr>
    </w:p>
    <w:p>
      <w:pPr>
        <w:ind w:left="1300" w:right="100" w:firstLine="653"/>
        <w:spacing w:after="0" w:line="264" w:lineRule="auto"/>
        <w:tabs>
          <w:tab w:leader="none" w:pos="26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provided, nothing in clause (v) hereof shall affect or limit any right to serve process in any other manner permitted by law.</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7"/>
          <w:szCs w:val="17"/>
          <w:i w:val="1"/>
          <w:iCs w:val="1"/>
          <w:color w:val="auto"/>
        </w:rPr>
        <w:t>Invalidity of Provisions</w:t>
      </w:r>
      <w:r>
        <w:rPr>
          <w:rFonts w:ascii="Arial" w:cs="Arial" w:eastAsia="Arial" w:hAnsi="Arial"/>
          <w:sz w:val="17"/>
          <w:szCs w:val="17"/>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If any provision of this Agreement is or becomes invalid, illegal or unenforceable in an: respect, the validity, legality and enforceability of the remaining provisions contained herein shall not be affected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16.10</w:t>
      </w:r>
      <w:r>
        <w:rPr>
          <w:sz w:val="20"/>
          <w:szCs w:val="20"/>
          <w:color w:val="auto"/>
        </w:rPr>
        <w:tab/>
      </w:r>
      <w:r>
        <w:rPr>
          <w:rFonts w:ascii="Arial" w:cs="Arial" w:eastAsia="Arial" w:hAnsi="Arial"/>
          <w:sz w:val="16"/>
          <w:szCs w:val="16"/>
          <w:i w:val="1"/>
          <w:iCs w:val="1"/>
          <w:color w:val="auto"/>
        </w:rPr>
        <w:t>Consent of Partners</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61" w:name="page62"/>
    <w:bookmarkEnd w:id="61"/>
    <w:p>
      <w:pPr>
        <w:ind w:right="240" w:firstLine="648"/>
        <w:spacing w:after="0" w:line="264" w:lineRule="auto"/>
        <w:rPr>
          <w:sz w:val="20"/>
          <w:szCs w:val="20"/>
          <w:color w:val="auto"/>
        </w:rPr>
      </w:pPr>
      <w:r>
        <w:rPr>
          <w:rFonts w:ascii="Arial" w:cs="Arial" w:eastAsia="Arial" w:hAnsi="Arial"/>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ind w:left="580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634"/>
        </w:trPr>
        <w:tc>
          <w:tcPr>
            <w:tcW w:w="6560" w:type="dxa"/>
            <w:vAlign w:val="bottom"/>
          </w:tcPr>
          <w:p>
            <w:pPr>
              <w:ind w:left="580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6560" w:type="dxa"/>
            <w:vAlign w:val="bottom"/>
          </w:tcPr>
          <w:p>
            <w:pPr>
              <w:ind w:left="5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560" w:type="dxa"/>
            <w:vAlign w:val="bottom"/>
          </w:tcPr>
          <w:p>
            <w:pPr>
              <w:ind w:left="580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560" w:type="dxa"/>
            <w:vAlign w:val="bottom"/>
          </w:tcPr>
          <w:p>
            <w:pPr>
              <w:ind w:left="5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560" w:type="dxa"/>
            <w:vAlign w:val="bottom"/>
          </w:tcPr>
          <w:p>
            <w:pPr>
              <w:ind w:left="5580"/>
              <w:spacing w:after="0"/>
              <w:rPr>
                <w:sz w:val="20"/>
                <w:szCs w:val="20"/>
                <w:color w:val="auto"/>
              </w:rPr>
            </w:pPr>
            <w:r>
              <w:rPr>
                <w:rFonts w:ascii="Arial" w:cs="Arial" w:eastAsia="Arial" w:hAnsi="Arial"/>
                <w:sz w:val="18"/>
                <w:szCs w:val="18"/>
                <w:color w:val="auto"/>
              </w:rPr>
              <w:t>116</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6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All Limited Partners now and hereafter admitted as Limited Partners of the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Partnership, pursuant to powers of attorney now and hereafter executed in</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favor of, and granted and delivered to the General Partner.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8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634"/>
        </w:trPr>
        <w:tc>
          <w:tcPr>
            <w:tcW w:w="6580" w:type="dxa"/>
            <w:vAlign w:val="bottom"/>
          </w:tcPr>
          <w:p>
            <w:pPr>
              <w:ind w:left="58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6580" w:type="dxa"/>
            <w:vAlign w:val="bottom"/>
          </w:tcPr>
          <w:p>
            <w:pPr>
              <w:ind w:left="5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58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580" w:type="dxa"/>
            <w:vAlign w:val="bottom"/>
          </w:tcPr>
          <w:p>
            <w:pPr>
              <w:ind w:left="58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580" w:type="dxa"/>
            <w:vAlign w:val="bottom"/>
          </w:tcPr>
          <w:p>
            <w:pPr>
              <w:ind w:left="5580"/>
              <w:spacing w:after="0"/>
              <w:rPr>
                <w:sz w:val="20"/>
                <w:szCs w:val="20"/>
                <w:color w:val="auto"/>
              </w:rPr>
            </w:pPr>
            <w:r>
              <w:rPr>
                <w:rFonts w:ascii="Arial" w:cs="Arial" w:eastAsia="Arial" w:hAnsi="Arial"/>
                <w:sz w:val="18"/>
                <w:szCs w:val="18"/>
                <w:color w:val="auto"/>
              </w:rPr>
              <w:t>117</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Seventh Amended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Evidencing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Common Units</w:t>
      </w:r>
    </w:p>
    <w:p>
      <w:pPr>
        <w:spacing w:after="0" w:line="23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accordance with Section 4.1 of the Seventh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 (the</w:t>
      </w:r>
    </w:p>
    <w:p>
      <w:pPr>
        <w:ind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w:t>
      </w:r>
      <w:r>
        <w:rPr>
          <w:rFonts w:ascii="Arial" w:cs="Arial" w:eastAsia="Arial" w:hAnsi="Arial"/>
          <w:sz w:val="17"/>
          <w:szCs w:val="17"/>
          <w:color w:val="auto"/>
        </w:rPr>
        <w:t>”), hereby certifies that (the “</w:t>
      </w:r>
      <w:r>
        <w:rPr>
          <w:rFonts w:ascii="Arial" w:cs="Arial" w:eastAsia="Arial" w:hAnsi="Arial"/>
          <w:sz w:val="17"/>
          <w:szCs w:val="17"/>
          <w:i w:val="1"/>
          <w:iCs w:val="1"/>
          <w:color w:val="auto"/>
        </w:rPr>
        <w:t>Holder</w:t>
      </w:r>
      <w:r>
        <w:rPr>
          <w:rFonts w:ascii="Arial" w:cs="Arial" w:eastAsia="Arial" w:hAnsi="Arial"/>
          <w:sz w:val="17"/>
          <w:szCs w:val="17"/>
          <w:color w:val="auto"/>
        </w:rPr>
        <w:t>”) is the registered owner of Common Units representing limited partner interests in the Partnership (the “</w:t>
      </w:r>
      <w:r>
        <w:rPr>
          <w:rFonts w:ascii="Arial" w:cs="Arial" w:eastAsia="Arial" w:hAnsi="Arial"/>
          <w:sz w:val="17"/>
          <w:szCs w:val="17"/>
          <w:i w:val="1"/>
          <w:iCs w:val="1"/>
          <w:color w:val="auto"/>
        </w:rPr>
        <w:t>Common Units</w:t>
      </w:r>
      <w:r>
        <w:rPr>
          <w:rFonts w:ascii="Arial" w:cs="Arial" w:eastAsia="Arial" w:hAnsi="Arial"/>
          <w:sz w:val="17"/>
          <w:szCs w:val="17"/>
          <w:color w:val="auto"/>
        </w:rPr>
        <w:t>”) transferable on the books of the Partnership, in person or by duly authorized attorney, upon surrender of this properly endorsed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w:t>
      </w:r>
    </w:p>
    <w:p>
      <w:pPr>
        <w:sectPr>
          <w:pgSz w:w="11900" w:h="16838" w:orient="portrait"/>
          <w:cols w:equalWidth="0" w:num="1">
            <w:col w:w="11460"/>
          </w:cols>
          <w:pgMar w:left="240" w:top="341" w:right="199" w:bottom="0" w:gutter="0" w:footer="0" w:header="0"/>
        </w:sectPr>
      </w:pPr>
    </w:p>
    <w:bookmarkStart w:id="62" w:name="page63"/>
    <w:bookmarkEnd w:id="62"/>
    <w:p>
      <w:pPr>
        <w:ind w:right="280"/>
        <w:spacing w:after="0" w:line="342" w:lineRule="auto"/>
        <w:rPr>
          <w:sz w:val="20"/>
          <w:szCs w:val="20"/>
          <w:color w:val="auto"/>
        </w:rPr>
      </w:pPr>
      <w:r>
        <w:rPr>
          <w:rFonts w:ascii="Arial" w:cs="Arial" w:eastAsia="Arial" w:hAnsi="Arial"/>
          <w:sz w:val="16"/>
          <w:szCs w:val="16"/>
          <w:color w:val="auto"/>
        </w:rPr>
        <w:t>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2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3"/>
          </w:tcPr>
          <w:p>
            <w:pPr>
              <w:spacing w:after="0"/>
              <w:rPr>
                <w:sz w:val="20"/>
                <w:szCs w:val="20"/>
                <w:color w:val="auto"/>
              </w:rPr>
            </w:pPr>
            <w:r>
              <w:rPr>
                <w:rFonts w:ascii="Arial" w:cs="Arial" w:eastAsia="Arial" w:hAnsi="Arial"/>
                <w:sz w:val="18"/>
                <w:szCs w:val="18"/>
                <w:color w:val="auto"/>
              </w:rPr>
              <w:t>Dated:</w:t>
            </w:r>
          </w:p>
        </w:tc>
        <w:tc>
          <w:tcPr>
            <w:tcW w:w="3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980" w:type="dxa"/>
            <w:vAlign w:val="bottom"/>
            <w:gridSpan w:val="4"/>
          </w:tcPr>
          <w:p>
            <w:pPr>
              <w:ind w:left="3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26"/>
        </w:trPr>
        <w:tc>
          <w:tcPr>
            <w:tcW w:w="4280" w:type="dxa"/>
            <w:vAlign w:val="bottom"/>
            <w:gridSpan w:val="4"/>
          </w:tcPr>
          <w:p>
            <w:pPr>
              <w:spacing w:after="0"/>
              <w:rPr>
                <w:sz w:val="20"/>
                <w:szCs w:val="20"/>
                <w:color w:val="auto"/>
              </w:rPr>
            </w:pPr>
            <w:r>
              <w:rPr>
                <w:rFonts w:ascii="Arial" w:cs="Arial" w:eastAsia="Arial" w:hAnsi="Arial"/>
                <w:sz w:val="18"/>
                <w:szCs w:val="18"/>
                <w:color w:val="auto"/>
              </w:rPr>
              <w:t>Countersigned and Registered by:</w:t>
            </w:r>
          </w:p>
        </w:tc>
        <w:tc>
          <w:tcPr>
            <w:tcW w:w="1160" w:type="dxa"/>
            <w:vAlign w:val="bottom"/>
          </w:tcPr>
          <w:p>
            <w:pPr>
              <w:spacing w:after="0"/>
              <w:rPr>
                <w:sz w:val="24"/>
                <w:szCs w:val="24"/>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80" w:type="dxa"/>
            <w:vAlign w:val="bottom"/>
            <w:gridSpan w:val="4"/>
          </w:tcPr>
          <w:p>
            <w:pPr>
              <w:ind w:left="3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Transfer Agent and Registrar</w:t>
            </w:r>
          </w:p>
        </w:tc>
        <w:tc>
          <w:tcPr>
            <w:tcW w:w="1160" w:type="dxa"/>
            <w:vAlign w:val="bottom"/>
            <w:tcBorders>
              <w:top w:val="single" w:sz="8" w:color="auto"/>
            </w:tcBorders>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4280" w:type="dxa"/>
            <w:vAlign w:val="bottom"/>
            <w:gridSpan w:val="4"/>
          </w:tcPr>
          <w:p>
            <w:pPr>
              <w:spacing w:after="0"/>
              <w:rPr>
                <w:sz w:val="20"/>
                <w:szCs w:val="20"/>
                <w:color w:val="auto"/>
              </w:rPr>
            </w:pPr>
            <w:r>
              <w:rPr>
                <w:rFonts w:ascii="Arial" w:cs="Arial" w:eastAsia="Arial" w:hAnsi="Arial"/>
                <w:sz w:val="18"/>
                <w:szCs w:val="18"/>
                <w:color w:val="auto"/>
              </w:rPr>
              <w:t>By:</w:t>
            </w:r>
          </w:p>
        </w:tc>
        <w:tc>
          <w:tcPr>
            <w:tcW w:w="1160" w:type="dxa"/>
            <w:vAlign w:val="bottom"/>
          </w:tcPr>
          <w:p>
            <w:pPr>
              <w:spacing w:after="0"/>
              <w:rPr>
                <w:sz w:val="24"/>
                <w:szCs w:val="24"/>
                <w:color w:val="auto"/>
              </w:rPr>
            </w:pPr>
          </w:p>
        </w:tc>
        <w:tc>
          <w:tcPr>
            <w:tcW w:w="5980" w:type="dxa"/>
            <w:vAlign w:val="bottom"/>
            <w:gridSpan w:val="4"/>
          </w:tcPr>
          <w:p>
            <w:pPr>
              <w:ind w:left="3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rPr>
              <w:t>Authorized Signature</w:t>
            </w:r>
          </w:p>
        </w:tc>
        <w:tc>
          <w:tcPr>
            <w:tcW w:w="11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96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80" w:type="dxa"/>
            <w:vAlign w:val="bottom"/>
            <w:gridSpan w:val="4"/>
          </w:tcPr>
          <w:p>
            <w:pPr>
              <w:jc w:val="center"/>
              <w:ind w:right="5330"/>
              <w:spacing w:after="0"/>
              <w:rPr>
                <w:sz w:val="20"/>
                <w:szCs w:val="20"/>
                <w:color w:val="auto"/>
              </w:rPr>
            </w:pPr>
            <w:r>
              <w:rPr>
                <w:rFonts w:ascii="Arial" w:cs="Arial" w:eastAsia="Arial" w:hAnsi="Arial"/>
                <w:sz w:val="18"/>
                <w:szCs w:val="18"/>
                <w:color w:val="auto"/>
                <w:w w:val="99"/>
              </w:rPr>
              <w:t>A-2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gridSpan w:val="5"/>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140" w:type="dxa"/>
            <w:vAlign w:val="bottom"/>
            <w:gridSpan w:val="5"/>
          </w:tcPr>
          <w:p>
            <w:pPr>
              <w:jc w:val="center"/>
              <w:ind w:right="4190"/>
              <w:spacing w:after="0"/>
              <w:rPr>
                <w:sz w:val="20"/>
                <w:szCs w:val="20"/>
                <w:color w:val="auto"/>
              </w:rPr>
            </w:pPr>
            <w:r>
              <w:rPr>
                <w:rFonts w:ascii="Arial" w:cs="Arial" w:eastAsia="Arial" w:hAnsi="Arial"/>
                <w:sz w:val="18"/>
                <w:szCs w:val="18"/>
                <w:b w:val="1"/>
                <w:bCs w:val="1"/>
                <w:color w:val="auto"/>
                <w:w w:val="90"/>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140" w:type="dxa"/>
            <w:vAlign w:val="bottom"/>
            <w:gridSpan w:val="5"/>
          </w:tcPr>
          <w:p>
            <w:pPr>
              <w:jc w:val="center"/>
              <w:ind w:right="4190"/>
              <w:spacing w:after="0"/>
              <w:rPr>
                <w:sz w:val="20"/>
                <w:szCs w:val="20"/>
                <w:color w:val="auto"/>
              </w:rPr>
            </w:pPr>
            <w:r>
              <w:rPr>
                <w:rFonts w:ascii="Arial" w:cs="Arial" w:eastAsia="Arial" w:hAnsi="Arial"/>
                <w:sz w:val="18"/>
                <w:szCs w:val="18"/>
                <w:b w:val="1"/>
                <w:bCs w:val="1"/>
                <w:color w:val="auto"/>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TEN COM — as tenants in common</w:t>
            </w:r>
          </w:p>
        </w:tc>
        <w:tc>
          <w:tcPr>
            <w:tcW w:w="3580" w:type="dxa"/>
            <w:vAlign w:val="bottom"/>
            <w:gridSpan w:val="3"/>
          </w:tcPr>
          <w:p>
            <w:pPr>
              <w:ind w:left="520"/>
              <w:spacing w:after="0"/>
              <w:rPr>
                <w:sz w:val="20"/>
                <w:szCs w:val="20"/>
                <w:color w:val="auto"/>
              </w:rPr>
            </w:pPr>
            <w:r>
              <w:rPr>
                <w:rFonts w:ascii="Arial" w:cs="Arial" w:eastAsia="Arial" w:hAnsi="Arial"/>
                <w:sz w:val="18"/>
                <w:szCs w:val="18"/>
                <w:color w:val="auto"/>
              </w:rPr>
              <w:t>UNIF GIFT TRANSFERS MIN ACT</w:t>
            </w:r>
          </w:p>
        </w:tc>
        <w:tc>
          <w:tcPr>
            <w:tcW w:w="2400" w:type="dxa"/>
            <w:vAlign w:val="bottom"/>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TEN ENT — as tenants by the entireties</w:t>
            </w:r>
          </w:p>
        </w:tc>
        <w:tc>
          <w:tcPr>
            <w:tcW w:w="5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Custodian</w:t>
            </w:r>
          </w:p>
        </w:tc>
        <w:tc>
          <w:tcPr>
            <w:tcW w:w="2400" w:type="dxa"/>
            <w:vAlign w:val="bottom"/>
            <w:tcBorders>
              <w:bottom w:val="single" w:sz="8" w:color="auto"/>
            </w:tcBorders>
          </w:tcPr>
          <w:p>
            <w:pPr>
              <w:spacing w:after="0"/>
              <w:rPr>
                <w:sz w:val="20"/>
                <w:szCs w:val="20"/>
                <w:color w:val="auto"/>
              </w:rPr>
            </w:pPr>
          </w:p>
        </w:tc>
      </w:tr>
      <w:tr>
        <w:trPr>
          <w:trHeight w:val="198"/>
        </w:trPr>
        <w:tc>
          <w:tcPr>
            <w:tcW w:w="980" w:type="dxa"/>
            <w:vAlign w:val="bottom"/>
          </w:tcPr>
          <w:p>
            <w:pPr>
              <w:spacing w:after="0" w:line="198" w:lineRule="exact"/>
              <w:rPr>
                <w:sz w:val="20"/>
                <w:szCs w:val="20"/>
                <w:color w:val="auto"/>
              </w:rPr>
            </w:pPr>
            <w:r>
              <w:rPr>
                <w:rFonts w:ascii="Arial" w:cs="Arial" w:eastAsia="Arial" w:hAnsi="Arial"/>
                <w:sz w:val="18"/>
                <w:szCs w:val="18"/>
                <w:color w:val="auto"/>
              </w:rPr>
              <w:t>JT TEN —</w:t>
            </w:r>
          </w:p>
        </w:tc>
        <w:tc>
          <w:tcPr>
            <w:tcW w:w="4460" w:type="dxa"/>
            <w:vAlign w:val="bottom"/>
          </w:tcPr>
          <w:p>
            <w:pPr>
              <w:ind w:left="180"/>
              <w:spacing w:after="0" w:line="198" w:lineRule="exact"/>
              <w:rPr>
                <w:sz w:val="20"/>
                <w:szCs w:val="20"/>
                <w:color w:val="auto"/>
              </w:rPr>
            </w:pPr>
            <w:r>
              <w:rPr>
                <w:rFonts w:ascii="Arial" w:cs="Arial" w:eastAsia="Arial" w:hAnsi="Arial"/>
                <w:sz w:val="18"/>
                <w:szCs w:val="18"/>
                <w:color w:val="auto"/>
              </w:rPr>
              <w:t>as joint tenants with right of survivorship and not as</w:t>
            </w:r>
          </w:p>
        </w:tc>
        <w:tc>
          <w:tcPr>
            <w:tcW w:w="520" w:type="dxa"/>
            <w:vAlign w:val="bottom"/>
          </w:tcPr>
          <w:p>
            <w:pPr>
              <w:spacing w:after="0"/>
              <w:rPr>
                <w:sz w:val="17"/>
                <w:szCs w:val="17"/>
                <w:color w:val="auto"/>
              </w:rPr>
            </w:pPr>
          </w:p>
        </w:tc>
        <w:tc>
          <w:tcPr>
            <w:tcW w:w="2060" w:type="dxa"/>
            <w:vAlign w:val="bottom"/>
          </w:tcPr>
          <w:p>
            <w:pPr>
              <w:ind w:left="1600"/>
              <w:spacing w:after="0" w:line="198" w:lineRule="exact"/>
              <w:rPr>
                <w:sz w:val="20"/>
                <w:szCs w:val="20"/>
                <w:color w:val="auto"/>
              </w:rPr>
            </w:pPr>
            <w:r>
              <w:rPr>
                <w:rFonts w:ascii="Arial" w:cs="Arial" w:eastAsia="Arial" w:hAnsi="Arial"/>
                <w:sz w:val="18"/>
                <w:szCs w:val="18"/>
                <w:color w:val="auto"/>
                <w:w w:val="89"/>
              </w:rPr>
              <w:t>(Cust)</w:t>
            </w:r>
          </w:p>
        </w:tc>
        <w:tc>
          <w:tcPr>
            <w:tcW w:w="1000" w:type="dxa"/>
            <w:vAlign w:val="bottom"/>
          </w:tcPr>
          <w:p>
            <w:pPr>
              <w:spacing w:after="0"/>
              <w:rPr>
                <w:sz w:val="17"/>
                <w:szCs w:val="17"/>
                <w:color w:val="auto"/>
              </w:rPr>
            </w:pPr>
          </w:p>
        </w:tc>
        <w:tc>
          <w:tcPr>
            <w:tcW w:w="2400" w:type="dxa"/>
            <w:vAlign w:val="bottom"/>
          </w:tcPr>
          <w:p>
            <w:pPr>
              <w:spacing w:after="0" w:line="198" w:lineRule="exact"/>
              <w:rPr>
                <w:sz w:val="20"/>
                <w:szCs w:val="20"/>
                <w:color w:val="auto"/>
              </w:rPr>
            </w:pPr>
            <w:r>
              <w:rPr>
                <w:rFonts w:ascii="Arial" w:cs="Arial" w:eastAsia="Arial" w:hAnsi="Arial"/>
                <w:sz w:val="18"/>
                <w:szCs w:val="18"/>
                <w:color w:val="auto"/>
              </w:rPr>
              <w:t>(Minor)</w:t>
            </w:r>
          </w:p>
        </w:tc>
      </w:tr>
    </w:tbl>
    <w:p>
      <w:pPr>
        <w:ind w:left="1160"/>
        <w:spacing w:after="0"/>
        <w:rPr>
          <w:sz w:val="20"/>
          <w:szCs w:val="20"/>
          <w:color w:val="auto"/>
        </w:rPr>
      </w:pPr>
      <w:r>
        <w:rPr>
          <w:rFonts w:ascii="Arial" w:cs="Arial" w:eastAsia="Arial" w:hAnsi="Arial"/>
          <w:sz w:val="18"/>
          <w:szCs w:val="18"/>
          <w:color w:val="auto"/>
        </w:rPr>
        <w:t>tenants in common</w:t>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under Uniform Gifts/Transfers to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CD Minors Act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assigns, conveys, sells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440" w:type="dxa"/>
            <w:vAlign w:val="bottom"/>
          </w:tcPr>
          <w:p>
            <w:pPr>
              <w:spacing w:after="0"/>
              <w:rPr>
                <w:sz w:val="21"/>
                <w:szCs w:val="21"/>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(Please insert Social Security or other identifying number of assignee)</w:t>
            </w:r>
          </w:p>
        </w:tc>
        <w:tc>
          <w:tcPr>
            <w:tcW w:w="0" w:type="dxa"/>
            <w:vAlign w:val="bottom"/>
          </w:tcPr>
          <w:p>
            <w:pPr>
              <w:spacing w:after="0"/>
              <w:rPr>
                <w:sz w:val="1"/>
                <w:szCs w:val="1"/>
                <w:color w:val="auto"/>
              </w:rPr>
            </w:pPr>
          </w:p>
        </w:tc>
      </w:tr>
      <w:tr>
        <w:trPr>
          <w:trHeight w:val="404"/>
        </w:trPr>
        <w:tc>
          <w:tcPr>
            <w:tcW w:w="11420" w:type="dxa"/>
            <w:vAlign w:val="bottom"/>
            <w:gridSpan w:val="6"/>
          </w:tcPr>
          <w:p>
            <w:pPr>
              <w:ind w:left="500"/>
              <w:spacing w:after="0"/>
              <w:rPr>
                <w:sz w:val="20"/>
                <w:szCs w:val="20"/>
                <w:color w:val="auto"/>
              </w:rPr>
            </w:pPr>
            <w:r>
              <w:rPr>
                <w:rFonts w:ascii="Arial" w:cs="Arial" w:eastAsia="Arial" w:hAnsi="Arial"/>
                <w:sz w:val="18"/>
                <w:szCs w:val="18"/>
                <w:color w:val="auto"/>
                <w:w w:val="91"/>
              </w:rPr>
              <w:t>Common Units representing limited partner interests evidenced by this Certificate, subject to the Partnership Agreement, and does hereby irrevocably</w:t>
            </w: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constitute and appoint</w:t>
            </w:r>
          </w:p>
        </w:tc>
        <w:tc>
          <w:tcPr>
            <w:tcW w:w="9560" w:type="dxa"/>
            <w:vAlign w:val="bottom"/>
            <w:gridSpan w:val="4"/>
          </w:tcPr>
          <w:p>
            <w:pPr>
              <w:ind w:left="280"/>
              <w:spacing w:after="0"/>
              <w:rPr>
                <w:sz w:val="20"/>
                <w:szCs w:val="20"/>
                <w:color w:val="auto"/>
              </w:rPr>
            </w:pPr>
            <w:r>
              <w:rPr>
                <w:rFonts w:ascii="Arial" w:cs="Arial" w:eastAsia="Arial" w:hAnsi="Arial"/>
                <w:sz w:val="18"/>
                <w:szCs w:val="18"/>
                <w:color w:val="auto"/>
                <w:w w:val="95"/>
              </w:rPr>
              <w:t>as its attorney-in-fact with full power of substitution to transfer the same on the books of Plains All American Pipeline, L.P.</w:t>
            </w:r>
          </w:p>
        </w:tc>
        <w:tc>
          <w:tcPr>
            <w:tcW w:w="0" w:type="dxa"/>
            <w:vAlign w:val="bottom"/>
          </w:tcPr>
          <w:p>
            <w:pPr>
              <w:spacing w:after="0"/>
              <w:rPr>
                <w:sz w:val="1"/>
                <w:szCs w:val="1"/>
                <w:color w:val="auto"/>
              </w:rPr>
            </w:pPr>
          </w:p>
        </w:tc>
      </w:tr>
      <w:tr>
        <w:trPr>
          <w:trHeight w:val="418"/>
        </w:trPr>
        <w:tc>
          <w:tcPr>
            <w:tcW w:w="1860" w:type="dxa"/>
            <w:vAlign w:val="bottom"/>
            <w:gridSpan w:val="2"/>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w w:val="91"/>
              </w:rPr>
              <w:t>NOTE:  The signature to any endorsement hereon must correspond with the</w:t>
            </w:r>
          </w:p>
        </w:tc>
        <w:tc>
          <w:tcPr>
            <w:tcW w:w="0" w:type="dxa"/>
            <w:vAlign w:val="bottom"/>
          </w:tcPr>
          <w:p>
            <w:pPr>
              <w:spacing w:after="0"/>
              <w:rPr>
                <w:sz w:val="1"/>
                <w:szCs w:val="1"/>
                <w:color w:val="auto"/>
              </w:rPr>
            </w:pPr>
          </w:p>
        </w:tc>
      </w:tr>
      <w:tr>
        <w:trPr>
          <w:trHeight w:val="109"/>
        </w:trPr>
        <w:tc>
          <w:tcPr>
            <w:tcW w:w="6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960" w:type="dxa"/>
            <w:vAlign w:val="bottom"/>
            <w:gridSpan w:val="2"/>
            <w:vMerge w:val="restart"/>
          </w:tcPr>
          <w:p>
            <w:pPr>
              <w:ind w:left="420"/>
              <w:spacing w:after="0"/>
              <w:rPr>
                <w:sz w:val="20"/>
                <w:szCs w:val="20"/>
                <w:color w:val="auto"/>
              </w:rPr>
            </w:pPr>
            <w:r>
              <w:rPr>
                <w:rFonts w:ascii="Arial" w:cs="Arial" w:eastAsia="Arial" w:hAnsi="Arial"/>
                <w:sz w:val="18"/>
                <w:szCs w:val="18"/>
                <w:color w:val="auto"/>
                <w:w w:val="92"/>
              </w:rPr>
              <w:t>name as written upon the face of this Certificate in every particular, without</w:t>
            </w:r>
          </w:p>
        </w:tc>
        <w:tc>
          <w:tcPr>
            <w:tcW w:w="0" w:type="dxa"/>
            <w:vAlign w:val="bottom"/>
          </w:tcPr>
          <w:p>
            <w:pPr>
              <w:spacing w:after="0"/>
              <w:rPr>
                <w:sz w:val="1"/>
                <w:szCs w:val="1"/>
                <w:color w:val="auto"/>
              </w:rPr>
            </w:pPr>
          </w:p>
        </w:tc>
      </w:tr>
      <w:tr>
        <w:trPr>
          <w:trHeight w:val="87"/>
        </w:trPr>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alteration, enlargement or change.</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63"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-130175</wp:posOffset>
            </wp:positionV>
            <wp:extent cx="35159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-130175</wp:posOffset>
            </wp:positionV>
            <wp:extent cx="35159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240"/>
            <w:col w:w="5880"/>
          </w:cols>
          <w:pgMar w:left="240" w:top="125" w:right="19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 GUARANTEED</w:t>
      </w:r>
    </w:p>
    <w:p>
      <w:pPr>
        <w:sectPr>
          <w:pgSz w:w="11900" w:h="16838" w:orient="portrait"/>
          <w:cols w:equalWidth="0" w:num="1">
            <w:col w:w="11460"/>
          </w:cols>
          <w:pgMar w:left="240" w:top="125" w:right="199" w:bottom="0" w:gutter="0" w:footer="0" w:header="0"/>
          <w:type w:val="continuous"/>
        </w:sectPr>
      </w:pPr>
    </w:p>
    <w:bookmarkStart w:id="63" w:name="page64"/>
    <w:bookmarkEnd w:id="63"/>
    <w:p>
      <w:pPr>
        <w:ind w:right="20" w:firstLine="648"/>
        <w:spacing w:after="0" w:line="264" w:lineRule="auto"/>
        <w:rPr>
          <w:sz w:val="20"/>
          <w:szCs w:val="20"/>
          <w:color w:val="auto"/>
        </w:rPr>
      </w:pPr>
      <w:r>
        <w:rPr>
          <w:rFonts w:ascii="Arial" w:cs="Arial" w:eastAsia="Arial" w:hAnsi="Arial"/>
          <w:sz w:val="18"/>
          <w:szCs w:val="18"/>
          <w:color w:val="auto"/>
        </w:rPr>
        <w:t>No transfer of the Common Units evidenced hereby will be registered on the books of the Partnership, unless the Certificate evidencing the Common Units to be transferred is surrendered for registration or transfer. A transferor of the Common Units shall have no duty to the transferee in order for such transferee to obtain registration of the transfer of the Common Units.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Seventh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Evidencing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96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A Preferred Units</w:t>
      </w:r>
    </w:p>
    <w:p>
      <w:pPr>
        <w:spacing w:after="0" w:line="248"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In accordance with Section 5.14(b)(v) of the Seventh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w:t>
      </w:r>
    </w:p>
    <w:p>
      <w:pPr>
        <w:ind w:right="120"/>
        <w:spacing w:after="0" w:line="252" w:lineRule="auto"/>
        <w:rPr>
          <w:sz w:val="20"/>
          <w:szCs w:val="20"/>
          <w:color w:val="auto"/>
        </w:rPr>
      </w:pPr>
      <w:r>
        <w:rPr>
          <w:rFonts w:ascii="Arial" w:cs="Arial" w:eastAsia="Arial" w:hAnsi="Arial"/>
          <w:sz w:val="18"/>
          <w:szCs w:val="18"/>
          <w:color w:val="auto"/>
        </w:rPr>
        <w:t>partnership (the “</w:t>
      </w:r>
      <w:r>
        <w:rPr>
          <w:rFonts w:ascii="Arial" w:cs="Arial" w:eastAsia="Arial" w:hAnsi="Arial"/>
          <w:sz w:val="18"/>
          <w:szCs w:val="18"/>
          <w:i w:val="1"/>
          <w:iCs w:val="1"/>
          <w:color w:val="auto"/>
        </w:rPr>
        <w:t>Partnership</w:t>
      </w:r>
      <w:r>
        <w:rPr>
          <w:rFonts w:ascii="Arial" w:cs="Arial" w:eastAsia="Arial" w:hAnsi="Arial"/>
          <w:sz w:val="18"/>
          <w:szCs w:val="18"/>
          <w:color w:val="auto"/>
        </w:rPr>
        <w:t>”), hereby certifies that (the “</w:t>
      </w:r>
      <w:r>
        <w:rPr>
          <w:rFonts w:ascii="Arial" w:cs="Arial" w:eastAsia="Arial" w:hAnsi="Arial"/>
          <w:sz w:val="18"/>
          <w:szCs w:val="18"/>
          <w:i w:val="1"/>
          <w:iCs w:val="1"/>
          <w:color w:val="auto"/>
        </w:rPr>
        <w:t>Holder</w:t>
      </w:r>
      <w:r>
        <w:rPr>
          <w:rFonts w:ascii="Arial" w:cs="Arial" w:eastAsia="Arial" w:hAnsi="Arial"/>
          <w:sz w:val="18"/>
          <w:szCs w:val="18"/>
          <w:color w:val="auto"/>
        </w:rPr>
        <w:t>”) is the registered owner of Series A Convertible Preferred Units representing limited partner interests in the Partnership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Certificate shall be governed by, and construed in accordance with, the laws of the State of Delaware, without regard to principles of conflict of laws thereof.</w:t>
      </w:r>
    </w:p>
    <w:p>
      <w:pPr>
        <w:spacing w:after="0" w:line="170"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General Partner, as transfer agent for the Series A Preferred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 as general partner of the Partnership</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Countersigned and registered: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 as transfer agent for the Series A Preferred Units</w:t>
      </w:r>
    </w:p>
    <w:p>
      <w:pPr>
        <w:sectPr>
          <w:pgSz w:w="11900" w:h="16838" w:orient="portrait"/>
          <w:cols w:equalWidth="0" w:num="1">
            <w:col w:w="11420"/>
          </w:cols>
          <w:pgMar w:left="240" w:top="125" w:right="239" w:bottom="0" w:gutter="0" w:footer="0" w:header="0"/>
        </w:sectPr>
      </w:pPr>
    </w:p>
    <w:bookmarkStart w:id="64" w:name="page65"/>
    <w:bookmarkEnd w:id="64"/>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TEN COM — as tenants in common</w:t>
            </w:r>
          </w:p>
        </w:tc>
        <w:tc>
          <w:tcPr>
            <w:tcW w:w="2540" w:type="dxa"/>
            <w:vAlign w:val="bottom"/>
            <w:gridSpan w:val="4"/>
          </w:tcPr>
          <w:p>
            <w:pPr>
              <w:ind w:left="420"/>
              <w:spacing w:after="0"/>
              <w:rPr>
                <w:sz w:val="20"/>
                <w:szCs w:val="20"/>
                <w:color w:val="auto"/>
              </w:rPr>
            </w:pPr>
            <w:r>
              <w:rPr>
                <w:rFonts w:ascii="Arial" w:cs="Arial" w:eastAsia="Arial" w:hAnsi="Arial"/>
                <w:sz w:val="18"/>
                <w:szCs w:val="18"/>
                <w:color w:val="auto"/>
              </w:rPr>
              <w:t>UNIF GIFT MIN ACT</w:t>
            </w: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w w:val="91"/>
              </w:rPr>
              <w:t>JT TEN —as joint tenants with right of survivorship and not as</w:t>
            </w:r>
          </w:p>
        </w:tc>
        <w:tc>
          <w:tcPr>
            <w:tcW w:w="4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420"/>
              <w:spacing w:after="0" w:line="182" w:lineRule="exact"/>
              <w:rPr>
                <w:sz w:val="20"/>
                <w:szCs w:val="20"/>
                <w:color w:val="auto"/>
              </w:rPr>
            </w:pPr>
            <w:r>
              <w:rPr>
                <w:rFonts w:ascii="Arial" w:cs="Arial" w:eastAsia="Arial" w:hAnsi="Arial"/>
                <w:sz w:val="18"/>
                <w:szCs w:val="18"/>
                <w:color w:val="auto"/>
                <w:w w:val="85"/>
              </w:rPr>
              <w:t>(Cust)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30"/>
        </w:trPr>
        <w:tc>
          <w:tcPr>
            <w:tcW w:w="5320" w:type="dxa"/>
            <w:vAlign w:val="bottom"/>
          </w:tcPr>
          <w:p>
            <w:pPr>
              <w:ind w:left="1140"/>
              <w:spacing w:after="0"/>
              <w:rPr>
                <w:sz w:val="20"/>
                <w:szCs w:val="20"/>
                <w:color w:val="auto"/>
              </w:rPr>
            </w:pPr>
            <w:r>
              <w:rPr>
                <w:rFonts w:ascii="Arial" w:cs="Arial" w:eastAsia="Arial" w:hAnsi="Arial"/>
                <w:sz w:val="18"/>
                <w:szCs w:val="18"/>
                <w:color w:val="auto"/>
              </w:rPr>
              <w:t>tenants in common</w:t>
            </w:r>
          </w:p>
        </w:tc>
        <w:tc>
          <w:tcPr>
            <w:tcW w:w="2540" w:type="dxa"/>
            <w:vAlign w:val="bottom"/>
            <w:gridSpan w:val="4"/>
            <w:vMerge w:val="restart"/>
          </w:tcPr>
          <w:p>
            <w:pPr>
              <w:ind w:left="420"/>
              <w:spacing w:after="0"/>
              <w:rPr>
                <w:sz w:val="20"/>
                <w:szCs w:val="20"/>
                <w:color w:val="auto"/>
              </w:rPr>
            </w:pPr>
            <w:r>
              <w:rPr>
                <w:rFonts w:ascii="Arial" w:cs="Arial" w:eastAsia="Arial" w:hAnsi="Arial"/>
                <w:sz w:val="18"/>
                <w:szCs w:val="18"/>
                <w:color w:val="auto"/>
              </w:rPr>
              <w:t>under Uniform Gifts to</w:t>
            </w:r>
          </w:p>
        </w:tc>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540" w:type="dxa"/>
            <w:vAlign w:val="bottom"/>
            <w:gridSpan w:val="4"/>
          </w:tcPr>
          <w:p>
            <w:pPr>
              <w:ind w:left="420"/>
              <w:spacing w:after="0"/>
              <w:rPr>
                <w:sz w:val="20"/>
                <w:szCs w:val="20"/>
                <w:color w:val="auto"/>
              </w:rPr>
            </w:pPr>
            <w:r>
              <w:rPr>
                <w:rFonts w:ascii="Arial" w:cs="Arial" w:eastAsia="Arial" w:hAnsi="Arial"/>
                <w:sz w:val="18"/>
                <w:szCs w:val="18"/>
                <w:color w:val="auto"/>
              </w:rPr>
              <w:t>Minors Act</w:t>
            </w:r>
          </w:p>
        </w:tc>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(State)</w:t>
            </w:r>
          </w:p>
        </w:tc>
        <w:tc>
          <w:tcPr>
            <w:tcW w:w="106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SERIES A PREFERRED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9040" w:type="dxa"/>
            <w:vAlign w:val="bottom"/>
            <w:gridSpan w:val="3"/>
          </w:tcPr>
          <w:p>
            <w:pPr>
              <w:ind w:left="40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20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0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Series A Preferred Units representing limited partner interests evidenced by this Certificate, subject to the Partnership Agreement, and does hereby</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irrevocably constitute and appoint as its attorney-in-fact with full power of substitution to transfer the same on the books of Plains All American Pipeline, 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w w:val="90"/>
              </w:rPr>
              <w:t>NOTE: The signature to any endorsement hereon must correspond with the</w:t>
            </w: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5660" w:type="dxa"/>
            <w:vAlign w:val="bottom"/>
            <w:vMerge w:val="restart"/>
          </w:tcPr>
          <w:p>
            <w:pPr>
              <w:ind w:left="200"/>
              <w:spacing w:after="0"/>
              <w:rPr>
                <w:sz w:val="20"/>
                <w:szCs w:val="20"/>
                <w:color w:val="auto"/>
              </w:rPr>
            </w:pPr>
            <w:r>
              <w:rPr>
                <w:rFonts w:ascii="Arial" w:cs="Arial" w:eastAsia="Arial" w:hAnsi="Arial"/>
                <w:sz w:val="18"/>
                <w:szCs w:val="18"/>
                <w:color w:val="auto"/>
                <w:w w:val="91"/>
              </w:rPr>
              <w:t>name as written upon the face of this Certificate in every particular, without</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4940" w:type="dxa"/>
            <w:vAlign w:val="bottom"/>
          </w:tcPr>
          <w:p>
            <w:pPr>
              <w:spacing w:after="0"/>
              <w:rPr>
                <w:sz w:val="7"/>
                <w:szCs w:val="7"/>
                <w:color w:val="auto"/>
              </w:rPr>
            </w:pPr>
          </w:p>
        </w:tc>
        <w:tc>
          <w:tcPr>
            <w:tcW w:w="5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alteration, enlargement or change.</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341" w:right="239" w:bottom="0" w:gutter="0" w:footer="0" w:header="0"/>
        </w:sectPr>
      </w:pPr>
    </w:p>
    <w:p>
      <w:pPr>
        <w:spacing w:after="0" w:line="261"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 SIGNATURE(S)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59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591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5620" w:space="200"/>
            <w:col w:w="5600"/>
          </w:cols>
          <w:pgMar w:left="240" w:top="341" w:right="239" w:bottom="0" w:gutter="0" w:footer="0" w:header="0"/>
          <w:type w:val="continuous"/>
        </w:sectPr>
      </w:pPr>
    </w:p>
    <w:p>
      <w:pPr>
        <w:spacing w:after="0" w:line="2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ASSIGNEE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Type of Entity (check one):</w:t>
      </w:r>
    </w:p>
    <w:p>
      <w:pPr>
        <w:spacing w:after="0" w:line="225" w:lineRule="exact"/>
        <w:rPr>
          <w:sz w:val="20"/>
          <w:szCs w:val="20"/>
          <w:color w:val="auto"/>
        </w:rPr>
      </w:pPr>
    </w:p>
    <w:p>
      <w:pPr>
        <w:spacing w:after="0"/>
        <w:tabs>
          <w:tab w:leader="none" w:pos="860" w:val="left"/>
          <w:tab w:leader="none" w:pos="3140" w:val="left"/>
          <w:tab w:leader="none" w:pos="3820" w:val="left"/>
          <w:tab w:leader="none" w:pos="6840" w:val="left"/>
          <w:tab w:leader="none" w:pos="77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Individual</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Partnership</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Corporation</w:t>
      </w:r>
    </w:p>
    <w:p>
      <w:pPr>
        <w:spacing w:after="0" w:line="225" w:lineRule="exact"/>
        <w:rPr>
          <w:sz w:val="20"/>
          <w:szCs w:val="20"/>
          <w:color w:val="auto"/>
        </w:rPr>
      </w:pPr>
    </w:p>
    <w:p>
      <w:pPr>
        <w:spacing w:after="0"/>
        <w:tabs>
          <w:tab w:leader="none" w:pos="860" w:val="left"/>
          <w:tab w:leader="none" w:pos="3140" w:val="left"/>
          <w:tab w:leader="none" w:pos="38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Trust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Other (specify)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Nationality (check one):</w:t>
      </w:r>
    </w:p>
    <w:p>
      <w:pPr>
        <w:sectPr>
          <w:pgSz w:w="11900" w:h="16838" w:orient="portrait"/>
          <w:cols w:equalWidth="0" w:num="1">
            <w:col w:w="11420"/>
          </w:cols>
          <w:pgMar w:left="240" w:top="341" w:right="239" w:bottom="0" w:gutter="0" w:footer="0" w:header="0"/>
          <w:type w:val="continuous"/>
        </w:sectPr>
      </w:pPr>
    </w:p>
    <w:bookmarkStart w:id="65" w:name="page66"/>
    <w:bookmarkEnd w:id="65"/>
    <w:p>
      <w:pPr>
        <w:ind w:left="900" w:hanging="892"/>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 Citizen, Resident or Domestic Entity</w:t>
      </w:r>
    </w:p>
    <w:p>
      <w:pPr>
        <w:spacing w:after="0" w:line="225" w:lineRule="exact"/>
        <w:rPr>
          <w:sz w:val="20"/>
          <w:szCs w:val="20"/>
          <w:color w:val="auto"/>
        </w:rPr>
      </w:pPr>
    </w:p>
    <w:p>
      <w:pPr>
        <w:spacing w:after="0"/>
        <w:tabs>
          <w:tab w:leader="none" w:pos="880" w:val="left"/>
          <w:tab w:leader="none" w:pos="3140" w:val="left"/>
          <w:tab w:leader="none" w:pos="38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Foreign Corporation</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Non-resident Alien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5360" w:type="dxa"/>
            <w:vAlign w:val="bottom"/>
            <w:gridSpan w:val="2"/>
          </w:tcPr>
          <w:p>
            <w:pPr>
              <w:ind w:left="260"/>
              <w:spacing w:after="0"/>
              <w:rPr>
                <w:sz w:val="20"/>
                <w:szCs w:val="20"/>
                <w:color w:val="auto"/>
              </w:rPr>
            </w:pPr>
            <w:r>
              <w:rPr>
                <w:rFonts w:ascii="Arial" w:cs="Arial" w:eastAsia="Arial" w:hAnsi="Arial"/>
                <w:sz w:val="18"/>
                <w:szCs w:val="18"/>
                <w:color w:val="auto"/>
                <w:w w:val="97"/>
              </w:rPr>
              <w:t>My U.S. taxpayer identification number (social security number) is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020" w:type="dxa"/>
            <w:vAlign w:val="bottom"/>
          </w:tcPr>
          <w:p>
            <w:pPr>
              <w:ind w:left="260"/>
              <w:spacing w:after="0"/>
              <w:rPr>
                <w:sz w:val="20"/>
                <w:szCs w:val="20"/>
                <w:color w:val="auto"/>
              </w:rPr>
            </w:pPr>
            <w:r>
              <w:rPr>
                <w:rFonts w:ascii="Arial" w:cs="Arial" w:eastAsia="Arial" w:hAnsi="Arial"/>
                <w:sz w:val="18"/>
                <w:szCs w:val="18"/>
                <w:color w:val="auto"/>
              </w:rPr>
              <w:t>My home address is:</w:t>
            </w:r>
          </w:p>
        </w:tc>
        <w:tc>
          <w:tcPr>
            <w:tcW w:w="3340" w:type="dxa"/>
            <w:vAlign w:val="bottom"/>
          </w:tcPr>
          <w:p>
            <w:pPr>
              <w:jc w:val="right"/>
              <w:ind w:right="29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225" w:lineRule="exact"/>
        <w:rPr>
          <w:sz w:val="20"/>
          <w:szCs w:val="20"/>
          <w:color w:val="auto"/>
        </w:rPr>
      </w:pPr>
    </w:p>
    <w:p>
      <w:pPr>
        <w:ind w:left="1300" w:right="580" w:hanging="644"/>
        <w:spacing w:after="0" w:line="277" w:lineRule="auto"/>
        <w:tabs>
          <w:tab w:leader="none" w:pos="20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not a foreign corporation, foreign partnership, foreign trust or foreign estate (as those terms are defined in the Code and Treasury Regulations)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4920" w:type="dxa"/>
            <w:vAlign w:val="bottom"/>
          </w:tcPr>
          <w:p>
            <w:pPr>
              <w:ind w:left="260"/>
              <w:spacing w:after="0"/>
              <w:rPr>
                <w:sz w:val="20"/>
                <w:szCs w:val="20"/>
                <w:color w:val="auto"/>
              </w:rPr>
            </w:pPr>
            <w:r>
              <w:rPr>
                <w:rFonts w:ascii="Arial" w:cs="Arial" w:eastAsia="Arial" w:hAnsi="Arial"/>
                <w:sz w:val="18"/>
                <w:szCs w:val="18"/>
                <w:color w:val="auto"/>
                <w:w w:val="99"/>
              </w:rPr>
              <w:t>The interestholder’s U.S. employer identification number is</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6180" w:type="dxa"/>
            <w:vAlign w:val="bottom"/>
            <w:gridSpan w:val="2"/>
          </w:tcPr>
          <w:p>
            <w:pPr>
              <w:ind w:left="260"/>
              <w:spacing w:after="0"/>
              <w:rPr>
                <w:sz w:val="20"/>
                <w:szCs w:val="20"/>
                <w:color w:val="auto"/>
              </w:rPr>
            </w:pPr>
            <w:r>
              <w:rPr>
                <w:rFonts w:ascii="Arial" w:cs="Arial" w:eastAsia="Arial" w:hAnsi="Arial"/>
                <w:sz w:val="18"/>
                <w:szCs w:val="18"/>
                <w:color w:val="auto"/>
                <w:w w:val="95"/>
              </w:rPr>
              <w:t>The interestholder’s office address and place of incorporation (if applicable) is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-130175</wp:posOffset>
            </wp:positionV>
            <wp:extent cx="3378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-130175</wp:posOffset>
            </wp:positionV>
            <wp:extent cx="3378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-130175</wp:posOffset>
            </wp:positionV>
            <wp:extent cx="3378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Seventh 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Evidencing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B Fixed-to-Floating Rate Cumulative Redeemable Perpetual Preferred 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34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Series B Fixed-to-Floating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Cumulative Redeemable Perpetual Preferred Units</w:t>
      </w:r>
    </w:p>
    <w:p>
      <w:pPr>
        <w:sectPr>
          <w:pgSz w:w="11900" w:h="16838" w:orient="portrait"/>
          <w:cols w:equalWidth="0" w:num="2">
            <w:col w:w="7060" w:space="720"/>
            <w:col w:w="3640"/>
          </w:cols>
          <w:pgMar w:left="240" w:top="341" w:right="239" w:bottom="0" w:gutter="0" w:footer="0" w:header="0"/>
          <w:type w:val="continuous"/>
        </w:sectPr>
      </w:pPr>
    </w:p>
    <w:bookmarkStart w:id="66" w:name="page67"/>
    <w:bookmarkEnd w:id="66"/>
    <w:p>
      <w:pPr>
        <w:spacing w:after="0" w:line="4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accordance with Section 5.15(b) of the Seventh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w:t>
      </w:r>
    </w:p>
    <w:p>
      <w:pPr>
        <w:ind w:right="120"/>
        <w:spacing w:after="0" w:line="26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Partnership</w:t>
      </w:r>
      <w:r>
        <w:rPr>
          <w:rFonts w:ascii="Arial" w:cs="Arial" w:eastAsia="Arial" w:hAnsi="Arial"/>
          <w:sz w:val="17"/>
          <w:szCs w:val="17"/>
          <w:color w:val="auto"/>
        </w:rPr>
        <w:t>”), hereby certifies that (the “</w:t>
      </w:r>
      <w:r>
        <w:rPr>
          <w:rFonts w:ascii="Arial" w:cs="Arial" w:eastAsia="Arial" w:hAnsi="Arial"/>
          <w:sz w:val="17"/>
          <w:szCs w:val="17"/>
          <w:i w:val="1"/>
          <w:iCs w:val="1"/>
          <w:color w:val="auto"/>
        </w:rPr>
        <w:t>Holder</w:t>
      </w:r>
      <w:r>
        <w:rPr>
          <w:rFonts w:ascii="Arial" w:cs="Arial" w:eastAsia="Arial" w:hAnsi="Arial"/>
          <w:sz w:val="17"/>
          <w:szCs w:val="17"/>
          <w:color w:val="auto"/>
        </w:rPr>
        <w:t>”) is the registered owner of Series B Fixed-to-Floating Rate Cumulative Redeemable Perpetual Preferred Units representing limited partner interests in the Partnership (the “</w:t>
      </w:r>
      <w:r>
        <w:rPr>
          <w:rFonts w:ascii="Arial" w:cs="Arial" w:eastAsia="Arial" w:hAnsi="Arial"/>
          <w:sz w:val="17"/>
          <w:szCs w:val="17"/>
          <w:i w:val="1"/>
          <w:iCs w:val="1"/>
          <w:color w:val="auto"/>
        </w:rPr>
        <w:t>Series B Preferred Units</w:t>
      </w:r>
      <w:r>
        <w:rPr>
          <w:rFonts w:ascii="Arial" w:cs="Arial" w:eastAsia="Arial" w:hAnsi="Arial"/>
          <w:sz w:val="17"/>
          <w:szCs w:val="17"/>
          <w:color w:val="auto"/>
        </w:rPr>
        <w:t>”), transferable on the books of the Partnership, in person or by duly authorized attorney, upon surrender of this Certificate properly endorsed. The rights, preferences and limitations of the Series B Preferred Units are set forth in, and this Certificate and the Series B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12"/>
        </w:trPr>
        <w:tc>
          <w:tcPr>
            <w:tcW w:w="4160" w:type="dxa"/>
            <w:vAlign w:val="bottom"/>
            <w:gridSpan w:val="3"/>
          </w:tcPr>
          <w:p>
            <w:pPr>
              <w:spacing w:after="0"/>
              <w:rPr>
                <w:sz w:val="20"/>
                <w:szCs w:val="20"/>
                <w:color w:val="auto"/>
              </w:rPr>
            </w:pPr>
            <w:r>
              <w:rPr>
                <w:rFonts w:ascii="Arial" w:cs="Arial" w:eastAsia="Arial" w:hAnsi="Arial"/>
                <w:sz w:val="18"/>
                <w:szCs w:val="18"/>
                <w:color w:val="auto"/>
              </w:rPr>
              <w:t>Countersigned and Registered by:</w:t>
            </w:r>
          </w:p>
        </w:tc>
        <w:tc>
          <w:tcPr>
            <w:tcW w:w="128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1280" w:type="dxa"/>
            <w:vAlign w:val="bottom"/>
            <w:tcBorders>
              <w:top w:val="single" w:sz="8" w:color="auto"/>
            </w:tcBorders>
          </w:tcPr>
          <w:p>
            <w:pPr>
              <w:spacing w:after="0"/>
              <w:rPr>
                <w:sz w:val="18"/>
                <w:szCs w:val="18"/>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Name:</w:t>
            </w:r>
          </w:p>
        </w:tc>
        <w:tc>
          <w:tcPr>
            <w:tcW w:w="50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4160" w:type="dxa"/>
            <w:vAlign w:val="bottom"/>
            <w:gridSpan w:val="3"/>
          </w:tcPr>
          <w:p>
            <w:pPr>
              <w:spacing w:after="0"/>
              <w:rPr>
                <w:sz w:val="20"/>
                <w:szCs w:val="20"/>
                <w:color w:val="auto"/>
              </w:rPr>
            </w:pPr>
            <w:r>
              <w:rPr>
                <w:rFonts w:ascii="Arial" w:cs="Arial" w:eastAsia="Arial" w:hAnsi="Arial"/>
                <w:sz w:val="18"/>
                <w:szCs w:val="18"/>
                <w:color w:val="auto"/>
              </w:rPr>
              <w:t>By:</w:t>
            </w:r>
          </w:p>
        </w:tc>
        <w:tc>
          <w:tcPr>
            <w:tcW w:w="1280" w:type="dxa"/>
            <w:vAlign w:val="bottom"/>
          </w:tcPr>
          <w:p>
            <w:pPr>
              <w:spacing w:after="0"/>
              <w:rPr>
                <w:sz w:val="24"/>
                <w:szCs w:val="24"/>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Authorized Signature</w:t>
            </w:r>
          </w:p>
        </w:tc>
        <w:tc>
          <w:tcPr>
            <w:tcW w:w="128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040" w:type="dxa"/>
            <w:vAlign w:val="bottom"/>
            <w:tcBorders>
              <w:top w:val="single" w:sz="8" w:color="auto"/>
            </w:tcBorders>
          </w:tcPr>
          <w:p>
            <w:pPr>
              <w:ind w:left="170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80" w:type="dxa"/>
            <w:vAlign w:val="bottom"/>
            <w:gridSpan w:val="2"/>
          </w:tcPr>
          <w:p>
            <w:pPr>
              <w:jc w:val="center"/>
              <w:ind w:right="5350"/>
              <w:spacing w:after="0"/>
              <w:rPr>
                <w:sz w:val="20"/>
                <w:szCs w:val="20"/>
                <w:color w:val="auto"/>
              </w:rPr>
            </w:pPr>
            <w:r>
              <w:rPr>
                <w:rFonts w:ascii="Arial" w:cs="Arial" w:eastAsia="Arial" w:hAnsi="Arial"/>
                <w:sz w:val="18"/>
                <w:szCs w:val="18"/>
                <w:color w:val="auto"/>
                <w:w w:val="89"/>
              </w:rPr>
              <w:t>C-2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726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60" w:type="dxa"/>
            <w:vAlign w:val="bottom"/>
            <w:gridSpan w:val="3"/>
          </w:tcPr>
          <w:p>
            <w:pPr>
              <w:jc w:val="center"/>
              <w:ind w:right="4070"/>
              <w:spacing w:after="0"/>
              <w:rPr>
                <w:sz w:val="20"/>
                <w:szCs w:val="20"/>
                <w:color w:val="auto"/>
              </w:rPr>
            </w:pPr>
            <w:r>
              <w:rPr>
                <w:rFonts w:ascii="Arial" w:cs="Arial" w:eastAsia="Arial" w:hAnsi="Arial"/>
                <w:sz w:val="18"/>
                <w:szCs w:val="18"/>
                <w:b w:val="1"/>
                <w:bCs w:val="1"/>
                <w:color w:val="auto"/>
                <w:w w:val="90"/>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60" w:type="dxa"/>
            <w:vAlign w:val="bottom"/>
            <w:gridSpan w:val="3"/>
          </w:tcPr>
          <w:p>
            <w:pPr>
              <w:jc w:val="center"/>
              <w:ind w:right="4070"/>
              <w:spacing w:after="0"/>
              <w:rPr>
                <w:sz w:val="20"/>
                <w:szCs w:val="20"/>
                <w:color w:val="auto"/>
              </w:rPr>
            </w:pPr>
            <w:r>
              <w:rPr>
                <w:rFonts w:ascii="Arial" w:cs="Arial" w:eastAsia="Arial" w:hAnsi="Arial"/>
                <w:sz w:val="18"/>
                <w:szCs w:val="18"/>
                <w:b w:val="1"/>
                <w:bCs w:val="1"/>
                <w:color w:val="auto"/>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4"/>
              </w:rPr>
              <w:t>TEN COM — as tenants in common</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4"/>
          </w:tcPr>
          <w:p>
            <w:pPr>
              <w:ind w:left="80"/>
              <w:spacing w:after="0"/>
              <w:rPr>
                <w:sz w:val="20"/>
                <w:szCs w:val="20"/>
                <w:color w:val="auto"/>
              </w:rPr>
            </w:pPr>
            <w:r>
              <w:rPr>
                <w:rFonts w:ascii="Arial" w:cs="Arial" w:eastAsia="Arial" w:hAnsi="Arial"/>
                <w:sz w:val="18"/>
                <w:szCs w:val="18"/>
                <w:color w:val="auto"/>
              </w:rPr>
              <w:t>UNIF GIFT MIN ACT</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TEN ENT — as tenants by the entireties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Custodian</w:t>
            </w:r>
          </w:p>
        </w:tc>
        <w:tc>
          <w:tcPr>
            <w:tcW w:w="24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20" w:type="dxa"/>
            <w:vAlign w:val="bottom"/>
            <w:gridSpan w:val="3"/>
          </w:tcPr>
          <w:p>
            <w:pPr>
              <w:spacing w:after="0" w:line="182" w:lineRule="exact"/>
              <w:rPr>
                <w:sz w:val="20"/>
                <w:szCs w:val="20"/>
                <w:color w:val="auto"/>
              </w:rPr>
            </w:pPr>
            <w:r>
              <w:rPr>
                <w:rFonts w:ascii="Arial" w:cs="Arial" w:eastAsia="Arial" w:hAnsi="Arial"/>
                <w:sz w:val="18"/>
                <w:szCs w:val="18"/>
                <w:color w:val="auto"/>
                <w:w w:val="94"/>
              </w:rPr>
              <w:t>JT TEN —   as joint tenants with right of survivorship and not as tenants in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ind w:left="280"/>
              <w:spacing w:after="0" w:line="182" w:lineRule="exact"/>
              <w:rPr>
                <w:sz w:val="20"/>
                <w:szCs w:val="20"/>
                <w:color w:val="auto"/>
              </w:rPr>
            </w:pPr>
            <w:r>
              <w:rPr>
                <w:rFonts w:ascii="Arial" w:cs="Arial" w:eastAsia="Arial" w:hAnsi="Arial"/>
                <w:sz w:val="18"/>
                <w:szCs w:val="18"/>
                <w:color w:val="auto"/>
              </w:rPr>
              <w:t>(Cust)</w:t>
            </w:r>
          </w:p>
        </w:tc>
        <w:tc>
          <w:tcPr>
            <w:tcW w:w="1040" w:type="dxa"/>
            <w:vAlign w:val="bottom"/>
          </w:tcPr>
          <w:p>
            <w:pPr>
              <w:spacing w:after="0"/>
              <w:rPr>
                <w:sz w:val="15"/>
                <w:szCs w:val="15"/>
                <w:color w:val="auto"/>
              </w:rPr>
            </w:pPr>
          </w:p>
        </w:tc>
        <w:tc>
          <w:tcPr>
            <w:tcW w:w="2480" w:type="dxa"/>
            <w:vAlign w:val="bottom"/>
          </w:tcPr>
          <w:p>
            <w:pPr>
              <w:spacing w:after="0" w:line="182" w:lineRule="exact"/>
              <w:rPr>
                <w:sz w:val="20"/>
                <w:szCs w:val="20"/>
                <w:color w:val="auto"/>
              </w:rPr>
            </w:pPr>
            <w:r>
              <w:rPr>
                <w:rFonts w:ascii="Arial" w:cs="Arial" w:eastAsia="Arial" w:hAnsi="Arial"/>
                <w:sz w:val="18"/>
                <w:szCs w:val="18"/>
                <w:color w:val="auto"/>
              </w:rPr>
              <w:t>(Minor)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common</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4"/>
            <w:vMerge w:val="restart"/>
          </w:tcPr>
          <w:p>
            <w:pPr>
              <w:ind w:left="80"/>
              <w:spacing w:after="0"/>
              <w:rPr>
                <w:sz w:val="20"/>
                <w:szCs w:val="20"/>
                <w:color w:val="auto"/>
              </w:rPr>
            </w:pPr>
            <w:r>
              <w:rPr>
                <w:rFonts w:ascii="Arial" w:cs="Arial" w:eastAsia="Arial" w:hAnsi="Arial"/>
                <w:sz w:val="18"/>
                <w:szCs w:val="18"/>
                <w:color w:val="auto"/>
              </w:rPr>
              <w:t>under Uniform Gifts to</w:t>
            </w: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gridSpan w:val="4"/>
            <w:vMerge w:val="continue"/>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4"/>
          </w:tcPr>
          <w:p>
            <w:pPr>
              <w:ind w:left="80"/>
              <w:spacing w:after="0"/>
              <w:rPr>
                <w:sz w:val="20"/>
                <w:szCs w:val="20"/>
                <w:color w:val="auto"/>
              </w:rPr>
            </w:pPr>
            <w:r>
              <w:rPr>
                <w:rFonts w:ascii="Arial" w:cs="Arial" w:eastAsia="Arial" w:hAnsi="Arial"/>
                <w:sz w:val="18"/>
                <w:szCs w:val="18"/>
                <w:color w:val="auto"/>
              </w:rPr>
              <w:t>Minors Act</w:t>
            </w: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(State)</w:t>
            </w:r>
          </w:p>
        </w:tc>
        <w:tc>
          <w:tcPr>
            <w:tcW w:w="2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2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Additional abbreviations, though not in the above list, may also be used.</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20" w:type="dxa"/>
            <w:vAlign w:val="bottom"/>
            <w:gridSpan w:val="6"/>
          </w:tcPr>
          <w:p>
            <w:pPr>
              <w:jc w:val="center"/>
              <w:ind w:right="150"/>
              <w:spacing w:after="0"/>
              <w:rPr>
                <w:sz w:val="20"/>
                <w:szCs w:val="20"/>
                <w:color w:val="auto"/>
              </w:rPr>
            </w:pPr>
            <w:r>
              <w:rPr>
                <w:rFonts w:ascii="Arial" w:cs="Arial" w:eastAsia="Arial" w:hAnsi="Arial"/>
                <w:sz w:val="18"/>
                <w:szCs w:val="18"/>
                <w:color w:val="auto"/>
                <w:w w:val="89"/>
              </w:rPr>
              <w:t>C-3</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gridSpan w:val="2"/>
          </w:tcPr>
          <w:p>
            <w:pPr>
              <w:spacing w:after="0"/>
              <w:rPr>
                <w:sz w:val="11"/>
                <w:szCs w:val="11"/>
                <w:color w:val="auto"/>
              </w:rPr>
            </w:pPr>
          </w:p>
        </w:tc>
        <w:tc>
          <w:tcPr>
            <w:tcW w:w="3120" w:type="dxa"/>
            <w:vAlign w:val="bottom"/>
            <w:tcBorders>
              <w:bottom w:val="single" w:sz="8" w:color="808080"/>
            </w:tcBorders>
            <w:gridSpan w:val="4"/>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2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9"/>
              </w:rPr>
              <w:t>ASSIGNMENT OF SERIES B PREFERRED UNITS</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320" w:type="dxa"/>
            <w:vAlign w:val="bottom"/>
            <w:gridSpan w:val="5"/>
          </w:tcPr>
          <w:p>
            <w:pPr>
              <w:jc w:val="center"/>
              <w:ind w:right="3050"/>
              <w:spacing w:after="0"/>
              <w:rPr>
                <w:sz w:val="20"/>
                <w:szCs w:val="20"/>
                <w:color w:val="auto"/>
              </w:rPr>
            </w:pPr>
            <w:r>
              <w:rPr>
                <w:rFonts w:ascii="Arial" w:cs="Arial" w:eastAsia="Arial" w:hAnsi="Arial"/>
                <w:sz w:val="18"/>
                <w:szCs w:val="18"/>
                <w:b w:val="1"/>
                <w:bCs w:val="1"/>
                <w:color w:val="auto"/>
                <w:w w:val="87"/>
              </w:rPr>
              <w:t>in</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22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rPr>
              <w:t>PLAINS ALL AMERICAN PIPELINE, L.P.</w:t>
            </w: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6220" w:type="dxa"/>
            <w:vAlign w:val="bottom"/>
            <w:gridSpan w:val="6"/>
          </w:tcPr>
          <w:p>
            <w:pPr>
              <w:ind w:left="60"/>
              <w:spacing w:after="0"/>
              <w:rPr>
                <w:sz w:val="20"/>
                <w:szCs w:val="20"/>
                <w:color w:val="auto"/>
              </w:rPr>
            </w:pPr>
            <w:r>
              <w:rPr>
                <w:rFonts w:ascii="Arial" w:cs="Arial" w:eastAsia="Arial" w:hAnsi="Arial"/>
                <w:sz w:val="18"/>
                <w:szCs w:val="18"/>
                <w:color w:val="auto"/>
              </w:rPr>
              <w:t>hereby assigns, conveys, sells and transfers unto</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20" w:type="dxa"/>
            <w:vAlign w:val="bottom"/>
            <w:gridSpan w:val="3"/>
          </w:tcPr>
          <w:p>
            <w:pPr>
              <w:spacing w:after="0" w:line="195" w:lineRule="exact"/>
              <w:rPr>
                <w:sz w:val="20"/>
                <w:szCs w:val="20"/>
                <w:color w:val="auto"/>
              </w:rPr>
            </w:pPr>
            <w:r>
              <w:rPr>
                <w:rFonts w:ascii="Arial" w:cs="Arial" w:eastAsia="Arial" w:hAnsi="Arial"/>
                <w:sz w:val="18"/>
                <w:szCs w:val="18"/>
                <w:color w:val="auto"/>
              </w:rPr>
              <w:t>(Please print or typewrite name and address of Assignee)</w:t>
            </w:r>
          </w:p>
        </w:tc>
        <w:tc>
          <w:tcPr>
            <w:tcW w:w="200" w:type="dxa"/>
            <w:vAlign w:val="bottom"/>
          </w:tcPr>
          <w:p>
            <w:pPr>
              <w:spacing w:after="0"/>
              <w:rPr>
                <w:sz w:val="16"/>
                <w:szCs w:val="16"/>
                <w:color w:val="auto"/>
              </w:rPr>
            </w:pPr>
          </w:p>
        </w:tc>
        <w:tc>
          <w:tcPr>
            <w:tcW w:w="5600" w:type="dxa"/>
            <w:vAlign w:val="bottom"/>
            <w:gridSpan w:val="5"/>
          </w:tcPr>
          <w:p>
            <w:pPr>
              <w:spacing w:after="0" w:line="195" w:lineRule="exact"/>
              <w:rPr>
                <w:sz w:val="20"/>
                <w:szCs w:val="20"/>
                <w:color w:val="auto"/>
              </w:rPr>
            </w:pPr>
            <w:r>
              <w:rPr>
                <w:rFonts w:ascii="Arial" w:cs="Arial" w:eastAsia="Arial" w:hAnsi="Arial"/>
                <w:sz w:val="18"/>
                <w:szCs w:val="18"/>
                <w:color w:val="auto"/>
                <w:w w:val="98"/>
              </w:rPr>
              <w:t>((Please insert Social Security or other identifying number of Assignee)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20" w:type="dxa"/>
            <w:vAlign w:val="bottom"/>
            <w:gridSpan w:val="9"/>
          </w:tcPr>
          <w:p>
            <w:pPr>
              <w:ind w:left="500"/>
              <w:spacing w:after="0"/>
              <w:rPr>
                <w:sz w:val="20"/>
                <w:szCs w:val="20"/>
                <w:color w:val="auto"/>
              </w:rPr>
            </w:pPr>
            <w:r>
              <w:rPr>
                <w:rFonts w:ascii="Arial" w:cs="Arial" w:eastAsia="Arial" w:hAnsi="Arial"/>
                <w:sz w:val="18"/>
                <w:szCs w:val="18"/>
                <w:color w:val="auto"/>
                <w:w w:val="92"/>
              </w:rPr>
              <w:t>Series B Preferred Units representing limited partner interests evidenced by this Certificate, subject to the Partnership Agreement, and does hereby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irrevocably constitute and appoint</w:t>
            </w:r>
          </w:p>
        </w:tc>
        <w:tc>
          <w:tcPr>
            <w:tcW w:w="8700" w:type="dxa"/>
            <w:vAlign w:val="bottom"/>
            <w:gridSpan w:val="7"/>
          </w:tcPr>
          <w:p>
            <w:pPr>
              <w:ind w:left="280"/>
              <w:spacing w:after="0"/>
              <w:rPr>
                <w:sz w:val="20"/>
                <w:szCs w:val="20"/>
                <w:color w:val="auto"/>
              </w:rPr>
            </w:pPr>
            <w:r>
              <w:rPr>
                <w:rFonts w:ascii="Arial" w:cs="Arial" w:eastAsia="Arial" w:hAnsi="Arial"/>
                <w:sz w:val="18"/>
                <w:szCs w:val="18"/>
                <w:color w:val="auto"/>
                <w:w w:val="98"/>
              </w:rPr>
              <w:t>as its attorney-in-fact with full power of substitution to transfer the same on the books of Plains All American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Pipeline, L.P.</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w w:val="92"/>
              </w:rPr>
              <w:t>NOTE: The signature to any endorsement hereon must correspond with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720" w:type="dxa"/>
            <w:vAlign w:val="bottom"/>
            <w:gridSpan w:val="2"/>
            <w:vMerge w:val="continue"/>
          </w:tcPr>
          <w:p>
            <w:pPr>
              <w:spacing w:after="0"/>
              <w:rPr>
                <w:sz w:val="9"/>
                <w:szCs w:val="9"/>
                <w:color w:val="auto"/>
              </w:rPr>
            </w:pPr>
          </w:p>
        </w:tc>
        <w:tc>
          <w:tcPr>
            <w:tcW w:w="2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gridSpan w:val="5"/>
            <w:vMerge w:val="restart"/>
          </w:tcPr>
          <w:p>
            <w:pPr>
              <w:spacing w:after="0"/>
              <w:rPr>
                <w:sz w:val="20"/>
                <w:szCs w:val="20"/>
                <w:color w:val="auto"/>
              </w:rPr>
            </w:pPr>
            <w:r>
              <w:rPr>
                <w:rFonts w:ascii="Arial" w:cs="Arial" w:eastAsia="Arial" w:hAnsi="Arial"/>
                <w:sz w:val="18"/>
                <w:szCs w:val="18"/>
                <w:color w:val="auto"/>
                <w:w w:val="93"/>
              </w:rPr>
              <w:t>name as written upon the face of this Certificate in every particular, without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040" w:type="dxa"/>
            <w:vAlign w:val="bottom"/>
            <w:tcBorders>
              <w:top w:val="single" w:sz="8" w:color="auto"/>
            </w:tcBorders>
          </w:tcPr>
          <w:p>
            <w:pPr>
              <w:spacing w:after="0"/>
              <w:rPr>
                <w:sz w:val="7"/>
                <w:szCs w:val="7"/>
                <w:color w:val="auto"/>
              </w:rPr>
            </w:pPr>
          </w:p>
        </w:tc>
        <w:tc>
          <w:tcPr>
            <w:tcW w:w="29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alteration, enlargement or change.</w:t>
            </w: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SIGNATURE(S) MUST BE GUARANTEED BY A MEMBER FIRM OF</w:t>
            </w:r>
          </w:p>
        </w:tc>
        <w:tc>
          <w:tcPr>
            <w:tcW w:w="200" w:type="dxa"/>
            <w:vAlign w:val="bottom"/>
          </w:tcPr>
          <w:p>
            <w:pPr>
              <w:spacing w:after="0"/>
              <w:rPr>
                <w:sz w:val="19"/>
                <w:szCs w:val="19"/>
                <w:color w:val="auto"/>
              </w:rPr>
            </w:pPr>
          </w:p>
        </w:tc>
        <w:tc>
          <w:tcPr>
            <w:tcW w:w="3120" w:type="dxa"/>
            <w:vAlign w:val="bottom"/>
            <w:tcBorders>
              <w:bottom w:val="single" w:sz="8" w:color="auto"/>
            </w:tcBorders>
            <w:gridSpan w:val="4"/>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2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-2754630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-2754630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5" w:orient="portrait"/>
          <w:cols w:equalWidth="0" w:num="1">
            <w:col w:w="11460"/>
          </w:cols>
          <w:pgMar w:left="240" w:top="341" w:right="19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THE NATIONAL ASSOCIATION OF SECURITIES DEALERS, INC.</w:t>
            </w:r>
          </w:p>
        </w:tc>
        <w:tc>
          <w:tcPr>
            <w:tcW w:w="56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OR BY A COMMERCIAL BANK OR TRUST COMPANY</w:t>
            </w:r>
          </w:p>
        </w:tc>
        <w:tc>
          <w:tcPr>
            <w:tcW w:w="5600" w:type="dxa"/>
            <w:vAlign w:val="bottom"/>
            <w:tcBorders>
              <w:bottom w:val="single" w:sz="8" w:color="auto"/>
            </w:tcBorders>
          </w:tcPr>
          <w:p>
            <w:pPr>
              <w:spacing w:after="0"/>
              <w:rPr>
                <w:sz w:val="20"/>
                <w:szCs w:val="20"/>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5600" w:type="dxa"/>
            <w:vAlign w:val="bottom"/>
          </w:tcPr>
          <w:p>
            <w:pPr>
              <w:spacing w:after="0"/>
              <w:rPr>
                <w:sz w:val="20"/>
                <w:szCs w:val="20"/>
                <w:color w:val="auto"/>
              </w:rPr>
            </w:pPr>
            <w:r>
              <w:rPr>
                <w:rFonts w:ascii="Arial" w:cs="Arial" w:eastAsia="Arial" w:hAnsi="Arial"/>
                <w:sz w:val="18"/>
                <w:szCs w:val="18"/>
                <w:color w:val="auto"/>
              </w:rPr>
              <w:t>(Signature)</w:t>
            </w:r>
          </w:p>
        </w:tc>
      </w:tr>
      <w:tr>
        <w:trPr>
          <w:trHeight w:val="418"/>
        </w:trPr>
        <w:tc>
          <w:tcPr>
            <w:tcW w:w="5820" w:type="dxa"/>
            <w:vAlign w:val="bottom"/>
          </w:tcPr>
          <w:p>
            <w:pPr>
              <w:spacing w:after="0"/>
              <w:rPr>
                <w:sz w:val="20"/>
                <w:szCs w:val="20"/>
                <w:color w:val="auto"/>
              </w:rPr>
            </w:pPr>
            <w:r>
              <w:rPr>
                <w:rFonts w:ascii="Arial" w:cs="Arial" w:eastAsia="Arial" w:hAnsi="Arial"/>
                <w:sz w:val="18"/>
                <w:szCs w:val="18"/>
                <w:b w:val="1"/>
                <w:bCs w:val="1"/>
                <w:color w:val="auto"/>
              </w:rPr>
              <w:t>GUARANTEED</w:t>
            </w:r>
          </w:p>
        </w:tc>
        <w:tc>
          <w:tcPr>
            <w:tcW w:w="5600" w:type="dxa"/>
            <w:vAlign w:val="bottom"/>
          </w:tcPr>
          <w:p>
            <w:pPr>
              <w:spacing w:after="0"/>
              <w:rPr>
                <w:sz w:val="24"/>
                <w:szCs w:val="24"/>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transfer of the Series B Preferred Units evidenced hereby will be registered on the books of the Partnership, unless the Certificate evidencing the Series B Preferred Units to be transferred is surrendered for registration of transfer.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ASSIGNEE 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Type of Entity (check one):</w:t>
      </w:r>
    </w:p>
    <w:p>
      <w:pPr>
        <w:spacing w:after="0" w:line="225" w:lineRule="exact"/>
        <w:rPr>
          <w:sz w:val="20"/>
          <w:szCs w:val="20"/>
          <w:color w:val="auto"/>
        </w:rPr>
      </w:pPr>
    </w:p>
    <w:p>
      <w:pPr>
        <w:spacing w:after="0"/>
        <w:tabs>
          <w:tab w:leader="none" w:pos="740" w:val="left"/>
          <w:tab w:leader="none" w:pos="2920" w:val="left"/>
          <w:tab w:leader="none" w:pos="3760" w:val="left"/>
          <w:tab w:leader="none" w:pos="5620" w:val="left"/>
          <w:tab w:leader="none" w:pos="61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Individual</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Partnership</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Corporation</w:t>
      </w:r>
    </w:p>
    <w:p>
      <w:pPr>
        <w:spacing w:after="0" w:line="225" w:lineRule="exact"/>
        <w:rPr>
          <w:sz w:val="20"/>
          <w:szCs w:val="20"/>
          <w:color w:val="auto"/>
        </w:rPr>
      </w:pPr>
    </w:p>
    <w:p>
      <w:pPr>
        <w:spacing w:after="0"/>
        <w:tabs>
          <w:tab w:leader="none" w:pos="740" w:val="left"/>
          <w:tab w:leader="none" w:pos="2920" w:val="left"/>
          <w:tab w:leader="none" w:pos="37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Trust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Other (specify)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Nationality (check one):</w:t>
      </w:r>
    </w:p>
    <w:p>
      <w:pPr>
        <w:spacing w:after="0" w:line="225" w:lineRule="exact"/>
        <w:rPr>
          <w:sz w:val="20"/>
          <w:szCs w:val="20"/>
          <w:color w:val="auto"/>
        </w:rPr>
      </w:pPr>
    </w:p>
    <w:p>
      <w:pPr>
        <w:ind w:left="760" w:hanging="752"/>
        <w:spacing w:after="0"/>
        <w:tabs>
          <w:tab w:leader="none" w:pos="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U.S. Citizen, Resident or Domestic Entity</w:t>
      </w:r>
    </w:p>
    <w:p>
      <w:pPr>
        <w:spacing w:after="0" w:line="225" w:lineRule="exact"/>
        <w:rPr>
          <w:sz w:val="20"/>
          <w:szCs w:val="20"/>
          <w:color w:val="auto"/>
        </w:rPr>
      </w:pPr>
    </w:p>
    <w:p>
      <w:pPr>
        <w:spacing w:after="0"/>
        <w:tabs>
          <w:tab w:leader="none" w:pos="740" w:val="left"/>
          <w:tab w:leader="none" w:pos="2920" w:val="left"/>
          <w:tab w:leader="none" w:pos="37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Foreign Corporation</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Non-resident Alien</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225" w:lineRule="exact"/>
        <w:rPr>
          <w:sz w:val="20"/>
          <w:szCs w:val="20"/>
          <w:color w:val="auto"/>
        </w:rPr>
      </w:pPr>
    </w:p>
    <w:p>
      <w:pPr>
        <w:ind w:left="720" w:hanging="712"/>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5380" w:type="dxa"/>
            <w:vAlign w:val="bottom"/>
            <w:gridSpan w:val="2"/>
          </w:tcPr>
          <w:p>
            <w:pPr>
              <w:ind w:left="300"/>
              <w:spacing w:after="0"/>
              <w:rPr>
                <w:sz w:val="20"/>
                <w:szCs w:val="20"/>
                <w:color w:val="auto"/>
              </w:rPr>
            </w:pPr>
            <w:r>
              <w:rPr>
                <w:rFonts w:ascii="Arial" w:cs="Arial" w:eastAsia="Arial" w:hAnsi="Arial"/>
                <w:sz w:val="18"/>
                <w:szCs w:val="18"/>
                <w:color w:val="auto"/>
                <w:w w:val="96"/>
              </w:rPr>
              <w:t>My U.S. taxpayer identification number (social security number) is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2060" w:type="dxa"/>
            <w:vAlign w:val="bottom"/>
          </w:tcPr>
          <w:p>
            <w:pPr>
              <w:ind w:left="300"/>
              <w:spacing w:after="0"/>
              <w:rPr>
                <w:sz w:val="20"/>
                <w:szCs w:val="20"/>
                <w:color w:val="auto"/>
              </w:rPr>
            </w:pPr>
            <w:r>
              <w:rPr>
                <w:rFonts w:ascii="Arial" w:cs="Arial" w:eastAsia="Arial" w:hAnsi="Arial"/>
                <w:sz w:val="18"/>
                <w:szCs w:val="18"/>
                <w:color w:val="auto"/>
              </w:rPr>
              <w:t>My home address is:</w:t>
            </w:r>
          </w:p>
        </w:tc>
        <w:tc>
          <w:tcPr>
            <w:tcW w:w="3320" w:type="dxa"/>
            <w:vAlign w:val="bottom"/>
          </w:tcPr>
          <w:p>
            <w:pPr>
              <w:jc w:val="right"/>
              <w:ind w:right="29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bl>
    <w:p>
      <w:pPr>
        <w:spacing w:after="0" w:line="202" w:lineRule="exact"/>
        <w:rPr>
          <w:sz w:val="20"/>
          <w:szCs w:val="20"/>
          <w:color w:val="auto"/>
        </w:rPr>
      </w:pPr>
    </w:p>
    <w:p>
      <w:pPr>
        <w:ind w:left="720" w:hanging="712"/>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225" w:lineRule="exact"/>
        <w:rPr>
          <w:sz w:val="20"/>
          <w:szCs w:val="20"/>
          <w:color w:val="auto"/>
        </w:rPr>
      </w:pPr>
    </w:p>
    <w:p>
      <w:pPr>
        <w:ind w:left="1300" w:right="580" w:hanging="644"/>
        <w:spacing w:after="0" w:line="277" w:lineRule="auto"/>
        <w:tabs>
          <w:tab w:leader="none" w:pos="20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is not a foreign corporation, foreign partnership, foreign trust or foreign estate (as those terms are defined in the Code and Treasury Regulations)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4920" w:type="dxa"/>
            <w:vAlign w:val="bottom"/>
          </w:tcPr>
          <w:p>
            <w:pPr>
              <w:ind w:left="260"/>
              <w:spacing w:after="0"/>
              <w:rPr>
                <w:sz w:val="20"/>
                <w:szCs w:val="20"/>
                <w:color w:val="auto"/>
              </w:rPr>
            </w:pPr>
            <w:r>
              <w:rPr>
                <w:rFonts w:ascii="Arial" w:cs="Arial" w:eastAsia="Arial" w:hAnsi="Arial"/>
                <w:sz w:val="18"/>
                <w:szCs w:val="18"/>
                <w:color w:val="auto"/>
                <w:w w:val="99"/>
              </w:rPr>
              <w:t>The interestholder’s U.S. employer identification number is</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6180" w:type="dxa"/>
            <w:vAlign w:val="bottom"/>
            <w:gridSpan w:val="2"/>
          </w:tcPr>
          <w:p>
            <w:pPr>
              <w:ind w:left="260"/>
              <w:spacing w:after="0"/>
              <w:rPr>
                <w:sz w:val="20"/>
                <w:szCs w:val="20"/>
                <w:color w:val="auto"/>
              </w:rPr>
            </w:pPr>
            <w:r>
              <w:rPr>
                <w:rFonts w:ascii="Arial" w:cs="Arial" w:eastAsia="Arial" w:hAnsi="Arial"/>
                <w:sz w:val="18"/>
                <w:szCs w:val="18"/>
                <w:color w:val="auto"/>
                <w:w w:val="95"/>
              </w:rPr>
              <w:t>The interestholder’s office address and place of incorporation (if applicable) is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-130175</wp:posOffset>
            </wp:positionV>
            <wp:extent cx="3439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-130175</wp:posOffset>
            </wp:positionV>
            <wp:extent cx="3439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-123190</wp:posOffset>
            </wp:positionV>
            <wp:extent cx="3439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68" w:name="page69"/>
    <w:bookmarkEnd w:id="68"/>
    <w:p>
      <w:pPr>
        <w:ind w:firstLine="648"/>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B Preferred Units shall be made to the best of Assignee’s knowledge.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o"/>
      <w:numFmt w:val="bullet"/>
      <w:start w:val="1"/>
    </w:lvl>
  </w:abstractNum>
  <w:abstractNum w:abstractNumId="1">
    <w:nsid w:val="CC1016F"/>
    <w:multiLevelType w:val="hybridMultilevel"/>
    <w:lvl w:ilvl="0">
      <w:lvlJc w:val="left"/>
      <w:lvlText w:val="(%1)"/>
      <w:numFmt w:val="lowerLetter"/>
      <w:start w:val="1"/>
    </w:lvl>
  </w:abstractNum>
  <w:abstractNum w:abstractNumId="2">
    <w:nsid w:val="43F18422"/>
    <w:multiLevelType w:val="hybridMultilevel"/>
    <w:lvl w:ilvl="0">
      <w:lvlJc w:val="left"/>
      <w:lvlText w:val="(%1)"/>
      <w:numFmt w:val="lowerLetter"/>
      <w:start w:val="3"/>
    </w:lvl>
  </w:abstractNum>
  <w:abstractNum w:abstractNumId="3">
    <w:nsid w:val="60EF0119"/>
    <w:multiLevelType w:val="hybridMultilevel"/>
    <w:lvl w:ilvl="0">
      <w:lvlJc w:val="left"/>
      <w:lvlText w:val="%1"/>
      <w:numFmt w:val="lowerLetter"/>
      <w:start w:val="1"/>
    </w:lvl>
    <w:lvl w:ilvl="1">
      <w:lvlJc w:val="left"/>
      <w:lvlText w:val="(%2)"/>
      <w:numFmt w:val="lowerLetter"/>
      <w:start w:val="1"/>
    </w:lvl>
  </w:abstractNum>
  <w:abstractNum w:abstractNumId="4">
    <w:nsid w:val="26F324BA"/>
    <w:multiLevelType w:val="hybridMultilevel"/>
    <w:lvl w:ilvl="0">
      <w:lvlJc w:val="left"/>
      <w:lvlText w:val="(%1)"/>
      <w:numFmt w:val="lowerLetter"/>
      <w:start w:val="9"/>
    </w:lvl>
    <w:lvl w:ilvl="1">
      <w:lvlJc w:val="left"/>
      <w:lvlText w:val="(%2)"/>
      <w:numFmt w:val="lowerLetter"/>
      <w:start w:val="2"/>
    </w:lvl>
  </w:abstractNum>
  <w:abstractNum w:abstractNumId="5">
    <w:nsid w:val="7F01579B"/>
    <w:multiLevelType w:val="hybridMultilevel"/>
    <w:lvl w:ilvl="0">
      <w:lvlJc w:val="left"/>
      <w:lvlText w:val="(%1)"/>
      <w:numFmt w:val="lowerLetter"/>
      <w:start w:val="1"/>
    </w:lvl>
  </w:abstractNum>
  <w:abstractNum w:abstractNumId="6">
    <w:nsid w:val="49DA307D"/>
    <w:multiLevelType w:val="hybridMultilevel"/>
    <w:lvl w:ilvl="0">
      <w:lvlJc w:val="left"/>
      <w:lvlText w:val="(%1)"/>
      <w:numFmt w:val="lowerLetter"/>
      <w:start w:val="1"/>
    </w:lvl>
  </w:abstractNum>
  <w:abstractNum w:abstractNumId="7">
    <w:nsid w:val="7055A5F5"/>
    <w:multiLevelType w:val="hybridMultilevel"/>
    <w:lvl w:ilvl="0">
      <w:lvlJc w:val="left"/>
      <w:lvlText w:val="(%1)"/>
      <w:numFmt w:val="lowerLetter"/>
      <w:start w:val="1"/>
    </w:lvl>
    <w:lvl w:ilvl="1">
      <w:lvlJc w:val="left"/>
      <w:lvlText w:val="(%2)"/>
      <w:numFmt w:val="lowerLetter"/>
      <w:start w:val="9"/>
    </w:lvl>
  </w:abstractNum>
  <w:abstractNum w:abstractNumId="8">
    <w:nsid w:val="5FB8370B"/>
    <w:multiLevelType w:val="hybridMultilevel"/>
    <w:lvl w:ilvl="0">
      <w:lvlJc w:val="left"/>
      <w:lvlText w:val="(%1)"/>
      <w:numFmt w:val="lowerRoman"/>
      <w:start w:val="2"/>
    </w:lvl>
  </w:abstractNum>
  <w:abstractNum w:abstractNumId="9">
    <w:nsid w:val="50801EE1"/>
    <w:multiLevelType w:val="hybridMultilevel"/>
    <w:lvl w:ilvl="0">
      <w:lvlJc w:val="left"/>
      <w:lvlText w:val="(%1)"/>
      <w:numFmt w:val="lowerLetter"/>
      <w:start w:val="2"/>
    </w:lvl>
  </w:abstractNum>
  <w:abstractNum w:abstractNumId="10">
    <w:nsid w:val="488AC1A"/>
    <w:multiLevelType w:val="hybridMultilevel"/>
    <w:lvl w:ilvl="0">
      <w:lvlJc w:val="left"/>
      <w:lvlText w:val="(%1)"/>
      <w:numFmt w:val="lowerLetter"/>
      <w:start w:val="1"/>
    </w:lvl>
    <w:lvl w:ilvl="1">
      <w:lvlJc w:val="left"/>
      <w:lvlText w:val="(%2)"/>
      <w:numFmt w:val="lowerRoman"/>
      <w:start w:val="1"/>
    </w:lvl>
  </w:abstractNum>
  <w:abstractNum w:abstractNumId="11">
    <w:nsid w:val="5FB8011C"/>
    <w:multiLevelType w:val="hybridMultilevel"/>
    <w:lvl w:ilvl="0">
      <w:lvlJc w:val="left"/>
      <w:lvlText w:val="(%1)"/>
      <w:numFmt w:val="lowerLetter"/>
      <w:start w:val="1"/>
    </w:lvl>
    <w:lvl w:ilvl="1">
      <w:lvlJc w:val="left"/>
      <w:lvlText w:val="(%2)"/>
      <w:numFmt w:val="lowerRoman"/>
      <w:start w:val="1"/>
    </w:lvl>
  </w:abstractNum>
  <w:abstractNum w:abstractNumId="12">
    <w:nsid w:val="6AA78F7F"/>
    <w:multiLevelType w:val="hybridMultilevel"/>
    <w:lvl w:ilvl="0">
      <w:lvlJc w:val="left"/>
      <w:lvlText w:val="(%1)"/>
      <w:numFmt w:val="lowerRoman"/>
      <w:start w:val="3"/>
    </w:lvl>
  </w:abstractNum>
  <w:abstractNum w:abstractNumId="13">
    <w:nsid w:val="7672BD23"/>
    <w:multiLevelType w:val="hybridMultilevel"/>
    <w:lvl w:ilvl="0">
      <w:lvlJc w:val="left"/>
      <w:lvlText w:val="(%1)"/>
      <w:numFmt w:val="lowerLetter"/>
      <w:start w:val="3"/>
    </w:lvl>
  </w:abstractNum>
  <w:abstractNum w:abstractNumId="14">
    <w:nsid w:val="6FC75AF8"/>
    <w:multiLevelType w:val="hybridMultilevel"/>
    <w:lvl w:ilvl="0">
      <w:lvlJc w:val="left"/>
      <w:lvlText w:val="%1"/>
      <w:numFmt w:val="lowerLetter"/>
      <w:start w:val="1"/>
    </w:lvl>
    <w:lvl w:ilvl="1">
      <w:lvlJc w:val="left"/>
      <w:lvlText w:val="(%2)"/>
      <w:numFmt w:val="lowerLetter"/>
      <w:start w:val="1"/>
    </w:lvl>
  </w:abstractNum>
  <w:abstractNum w:abstractNumId="15">
    <w:nsid w:val="6A5F7029"/>
    <w:multiLevelType w:val="hybridMultilevel"/>
    <w:lvl w:ilvl="0">
      <w:lvlJc w:val="left"/>
      <w:lvlText w:val="(%1)"/>
      <w:numFmt w:val="lowerLetter"/>
      <w:start w:val="9"/>
    </w:lvl>
    <w:lvl w:ilvl="1">
      <w:lvlJc w:val="left"/>
      <w:lvlText w:val="%2"/>
      <w:numFmt w:val="lowerLetter"/>
      <w:start w:val="1"/>
    </w:lvl>
  </w:abstractNum>
  <w:abstractNum w:abstractNumId="16">
    <w:nsid w:val="7D5E18F8"/>
    <w:multiLevelType w:val="hybridMultilevel"/>
    <w:lvl w:ilvl="0">
      <w:lvlJc w:val="left"/>
      <w:lvlText w:val="(%1)"/>
      <w:numFmt w:val="lowerLetter"/>
      <w:start w:val="2"/>
    </w:lvl>
  </w:abstractNum>
  <w:abstractNum w:abstractNumId="17">
    <w:nsid w:val="5F3534A4"/>
    <w:multiLevelType w:val="hybridMultilevel"/>
    <w:lvl w:ilvl="0">
      <w:lvlJc w:val="left"/>
      <w:lvlText w:val="(%1)"/>
      <w:numFmt w:val="lowerLetter"/>
      <w:start w:val="1"/>
    </w:lvl>
  </w:abstractNum>
  <w:abstractNum w:abstractNumId="18">
    <w:nsid w:val="73A1821B"/>
    <w:multiLevelType w:val="hybridMultilevel"/>
    <w:lvl w:ilvl="0">
      <w:lvlJc w:val="left"/>
      <w:lvlText w:val="(%1)"/>
      <w:numFmt w:val="lowerLetter"/>
      <w:start w:val="4"/>
    </w:lvl>
  </w:abstractNum>
  <w:abstractNum w:abstractNumId="19">
    <w:nsid w:val="7DE67713"/>
    <w:multiLevelType w:val="hybridMultilevel"/>
    <w:lvl w:ilvl="0">
      <w:lvlJc w:val="left"/>
      <w:lvlText w:val="(%1)"/>
      <w:numFmt w:val="lowerLetter"/>
      <w:start w:val="1"/>
    </w:lvl>
  </w:abstractNum>
  <w:abstractNum w:abstractNumId="20">
    <w:nsid w:val="555C55B5"/>
    <w:multiLevelType w:val="hybridMultilevel"/>
    <w:lvl w:ilvl="0">
      <w:lvlJc w:val="left"/>
      <w:lvlText w:val="%1"/>
      <w:numFmt w:val="lowerLetter"/>
      <w:start w:val="1"/>
    </w:lvl>
    <w:lvl w:ilvl="1">
      <w:lvlJc w:val="left"/>
      <w:lvlText w:val="(%2)"/>
      <w:numFmt w:val="lowerLetter"/>
      <w:start w:val="2"/>
    </w:lvl>
  </w:abstractNum>
  <w:abstractNum w:abstractNumId="21">
    <w:nsid w:val="3FA62ACA"/>
    <w:multiLevelType w:val="hybridMultilevel"/>
    <w:lvl w:ilvl="0">
      <w:lvlJc w:val="left"/>
      <w:lvlText w:val="(%1)"/>
      <w:numFmt w:val="lowerLetter"/>
      <w:start w:val="61"/>
    </w:lvl>
    <w:lvl w:ilvl="1">
      <w:lvlJc w:val="left"/>
      <w:lvlText w:val="%2"/>
      <w:numFmt w:val="lowerLetter"/>
      <w:start w:val="1"/>
    </w:lvl>
  </w:abstractNum>
  <w:abstractNum w:abstractNumId="22">
    <w:nsid w:val="14FCE74E"/>
    <w:multiLevelType w:val="hybridMultilevel"/>
    <w:lvl w:ilvl="0">
      <w:lvlJc w:val="left"/>
      <w:lvlText w:val="(%1)"/>
      <w:numFmt w:val="lowerLetter"/>
      <w:start w:val="1"/>
    </w:lvl>
  </w:abstractNum>
  <w:abstractNum w:abstractNumId="23">
    <w:nsid w:val="6A3DD3E8"/>
    <w:multiLevelType w:val="hybridMultilevel"/>
    <w:lvl w:ilvl="0">
      <w:lvlJc w:val="left"/>
      <w:lvlText w:val="(%1)"/>
      <w:numFmt w:val="lowerLetter"/>
      <w:start w:val="2"/>
    </w:lvl>
  </w:abstractNum>
  <w:abstractNum w:abstractNumId="24">
    <w:nsid w:val="71C91298"/>
    <w:multiLevelType w:val="hybridMultilevel"/>
    <w:lvl w:ilvl="0">
      <w:lvlJc w:val="left"/>
      <w:lvlText w:val="(%1)"/>
      <w:numFmt w:val="lowerLetter"/>
      <w:start w:val="3"/>
    </w:lvl>
  </w:abstractNum>
  <w:abstractNum w:abstractNumId="25">
    <w:nsid w:val="9DAF632"/>
    <w:multiLevelType w:val="hybridMultilevel"/>
    <w:lvl w:ilvl="0">
      <w:lvlJc w:val="left"/>
      <w:lvlText w:val="(%1)"/>
      <w:numFmt w:val="lowerLetter"/>
      <w:start w:val="1"/>
    </w:lvl>
  </w:abstractNum>
  <w:abstractNum w:abstractNumId="26">
    <w:nsid w:val="53299938"/>
    <w:multiLevelType w:val="hybridMultilevel"/>
    <w:lvl w:ilvl="0">
      <w:lvlJc w:val="left"/>
      <w:lvlText w:val="(%1)"/>
      <w:numFmt w:val="lowerLetter"/>
      <w:start w:val="4"/>
    </w:lvl>
  </w:abstractNum>
  <w:abstractNum w:abstractNumId="27">
    <w:nsid w:val="1FBFE8E0"/>
    <w:multiLevelType w:val="hybridMultilevel"/>
    <w:lvl w:ilvl="0">
      <w:lvlJc w:val="left"/>
      <w:lvlText w:val="(%1)"/>
      <w:numFmt w:val="lowerLetter"/>
      <w:start w:val="1"/>
    </w:lvl>
    <w:lvl w:ilvl="1">
      <w:lvlJc w:val="left"/>
      <w:lvlText w:val="(%2)"/>
      <w:numFmt w:val="lowerRoman"/>
      <w:start w:val="1"/>
    </w:lvl>
  </w:abstractNum>
  <w:abstractNum w:abstractNumId="28">
    <w:nsid w:val="5092CA79"/>
    <w:multiLevelType w:val="hybridMultilevel"/>
    <w:lvl w:ilvl="0">
      <w:lvlJc w:val="left"/>
      <w:lvlText w:val="%1"/>
      <w:numFmt w:val="lowerLetter"/>
      <w:start w:val="1"/>
    </w:lvl>
    <w:lvl w:ilvl="1">
      <w:lvlJc w:val="left"/>
      <w:lvlText w:val="(%2)"/>
      <w:numFmt w:val="lowerRoman"/>
      <w:start w:val="3"/>
    </w:lvl>
  </w:abstractNum>
  <w:abstractNum w:abstractNumId="29">
    <w:nsid w:val="1D545C4D"/>
    <w:multiLevelType w:val="hybridMultilevel"/>
    <w:lvl w:ilvl="0">
      <w:lvlJc w:val="left"/>
      <w:lvlText w:val="(%1)"/>
      <w:numFmt w:val="lowerLetter"/>
      <w:start w:val="2"/>
    </w:lvl>
    <w:lvl w:ilvl="1">
      <w:lvlJc w:val="left"/>
      <w:lvlText w:val="%2"/>
      <w:numFmt w:val="lowerRoman"/>
      <w:start w:val="1"/>
    </w:lvl>
  </w:abstractNum>
  <w:abstractNum w:abstractNumId="30">
    <w:nsid w:val="59ADEA3D"/>
    <w:multiLevelType w:val="hybridMultilevel"/>
    <w:lvl w:ilvl="0">
      <w:lvlJc w:val="left"/>
      <w:lvlText w:val="(%1)"/>
      <w:numFmt w:val="lowerLetter"/>
      <w:start w:val="3"/>
    </w:lvl>
  </w:abstractNum>
  <w:abstractNum w:abstractNumId="31">
    <w:nsid w:val="288F1A34"/>
    <w:multiLevelType w:val="hybridMultilevel"/>
    <w:lvl w:ilvl="0">
      <w:lvlJc w:val="left"/>
      <w:lvlText w:val="(%1)"/>
      <w:numFmt w:val="lowerLetter"/>
      <w:start w:val="1"/>
    </w:lvl>
  </w:abstractNum>
  <w:abstractNum w:abstractNumId="32">
    <w:nsid w:val="2A155DBC"/>
    <w:multiLevelType w:val="hybridMultilevel"/>
    <w:lvl w:ilvl="0">
      <w:lvlJc w:val="left"/>
      <w:lvlText w:val="(%1)"/>
      <w:numFmt w:val="lowerRoman"/>
      <w:start w:val="1"/>
    </w:lvl>
  </w:abstractNum>
  <w:abstractNum w:abstractNumId="33">
    <w:nsid w:val="1D9F6E5F"/>
    <w:multiLevelType w:val="hybridMultilevel"/>
    <w:lvl w:ilvl="0">
      <w:lvlJc w:val="left"/>
      <w:lvlText w:val="(%1)"/>
      <w:numFmt w:val="lowerRoman"/>
      <w:start w:val="4"/>
    </w:lvl>
  </w:abstractNum>
  <w:abstractNum w:abstractNumId="34">
    <w:nsid w:val="97E1B4E"/>
    <w:multiLevelType w:val="hybridMultilevel"/>
    <w:lvl w:ilvl="0">
      <w:lvlJc w:val="left"/>
      <w:lvlText w:val="%1"/>
      <w:numFmt w:val="lowerLetter"/>
      <w:start w:val="1"/>
    </w:lvl>
    <w:lvl w:ilvl="1">
      <w:lvlJc w:val="left"/>
      <w:lvlText w:val="(%2)"/>
      <w:numFmt w:val="lowerRoman"/>
      <w:start w:val="6"/>
    </w:lvl>
  </w:abstractNum>
  <w:abstractNum w:abstractNumId="35">
    <w:nsid w:val="51088277"/>
    <w:multiLevelType w:val="hybridMultilevel"/>
    <w:lvl w:ilvl="0">
      <w:lvlJc w:val="left"/>
      <w:lvlText w:val="(%1)"/>
      <w:numFmt w:val="lowerLetter"/>
      <w:start w:val="3"/>
    </w:lvl>
    <w:lvl w:ilvl="1">
      <w:lvlJc w:val="left"/>
      <w:lvlText w:val="%2"/>
      <w:numFmt w:val="lowerRoman"/>
      <w:start w:val="1"/>
    </w:lvl>
  </w:abstractNum>
  <w:abstractNum w:abstractNumId="36">
    <w:nsid w:val="1CA0C5FA"/>
    <w:multiLevelType w:val="hybridMultilevel"/>
    <w:lvl w:ilvl="0">
      <w:lvlJc w:val="left"/>
      <w:lvlText w:val="(%1)"/>
      <w:numFmt w:val="lowerRoman"/>
      <w:start w:val="1"/>
    </w:lvl>
  </w:abstractNum>
  <w:abstractNum w:abstractNumId="37">
    <w:nsid w:val="53584BCB"/>
    <w:multiLevelType w:val="hybridMultilevel"/>
    <w:lvl w:ilvl="0">
      <w:lvlJc w:val="left"/>
      <w:lvlText w:val="%1"/>
      <w:numFmt w:val="lowerRoman"/>
      <w:start w:val="1"/>
    </w:lvl>
    <w:lvl w:ilvl="1">
      <w:lvlJc w:val="left"/>
      <w:lvlText w:val="(%2)"/>
      <w:numFmt w:val="lowerRoman"/>
      <w:start w:val="2"/>
    </w:lvl>
  </w:abstractNum>
  <w:abstractNum w:abstractNumId="38">
    <w:nsid w:val="415E286C"/>
    <w:multiLevelType w:val="hybridMultilevel"/>
    <w:lvl w:ilvl="0">
      <w:lvlJc w:val="left"/>
      <w:lvlText w:val="(%1)"/>
      <w:numFmt w:val="lowerRoman"/>
      <w:start w:val="1"/>
    </w:lvl>
    <w:lvl w:ilvl="1">
      <w:lvlJc w:val="left"/>
      <w:lvlText w:val="(%2)"/>
      <w:numFmt w:val="lowerRoman"/>
      <w:start w:val="3"/>
    </w:lvl>
  </w:abstractNum>
  <w:abstractNum w:abstractNumId="39">
    <w:nsid w:val="7C58FD05"/>
    <w:multiLevelType w:val="hybridMultilevel"/>
    <w:lvl w:ilvl="0">
      <w:lvlJc w:val="left"/>
      <w:lvlText w:val="%1"/>
      <w:numFmt w:val="lowerRoman"/>
      <w:start w:val="1"/>
    </w:lvl>
    <w:lvl w:ilvl="1">
      <w:lvlJc w:val="left"/>
      <w:lvlText w:val="(%2)"/>
      <w:numFmt w:val="lowerLetter"/>
      <w:start w:val="1"/>
    </w:lvl>
  </w:abstractNum>
  <w:abstractNum w:abstractNumId="40">
    <w:nsid w:val="23D86AAC"/>
    <w:multiLevelType w:val="hybridMultilevel"/>
    <w:lvl w:ilvl="0">
      <w:lvlJc w:val="left"/>
      <w:lvlText w:val="(%1)"/>
      <w:numFmt w:val="lowerRoman"/>
      <w:start w:val="1"/>
    </w:lvl>
    <w:lvl w:ilvl="1">
      <w:lvlJc w:val="left"/>
      <w:lvlText w:val="%2"/>
      <w:numFmt w:val="lowerLetter"/>
      <w:start w:val="1"/>
    </w:lvl>
  </w:abstractNum>
  <w:abstractNum w:abstractNumId="41">
    <w:nsid w:val="45E6D486"/>
    <w:multiLevelType w:val="hybridMultilevel"/>
    <w:lvl w:ilvl="0">
      <w:lvlJc w:val="left"/>
      <w:lvlText w:val="(%1)"/>
      <w:numFmt w:val="lowerLetter"/>
      <w:start w:val="4"/>
    </w:lvl>
  </w:abstractNum>
  <w:abstractNum w:abstractNumId="42">
    <w:nsid w:val="5C10FE21"/>
    <w:multiLevelType w:val="hybridMultilevel"/>
    <w:lvl w:ilvl="0">
      <w:lvlJc w:val="left"/>
      <w:lvlText w:val="(%1)"/>
      <w:numFmt w:val="lowerLetter"/>
      <w:start w:val="1"/>
    </w:lvl>
  </w:abstractNum>
  <w:abstractNum w:abstractNumId="43">
    <w:nsid w:val="E7FFA2B"/>
    <w:multiLevelType w:val="hybridMultilevel"/>
    <w:lvl w:ilvl="0">
      <w:lvlJc w:val="left"/>
      <w:lvlText w:val="(%1)"/>
      <w:numFmt w:val="lowerLetter"/>
      <w:start w:val="2"/>
    </w:lvl>
  </w:abstractNum>
  <w:abstractNum w:abstractNumId="44">
    <w:nsid w:val="3C5991AA"/>
    <w:multiLevelType w:val="hybridMultilevel"/>
    <w:lvl w:ilvl="0">
      <w:lvlJc w:val="left"/>
      <w:lvlText w:val="(%1)"/>
      <w:numFmt w:val="lowerLetter"/>
      <w:start w:val="4"/>
    </w:lvl>
  </w:abstractNum>
  <w:abstractNum w:abstractNumId="45">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78DF6A55"/>
    <w:multiLevelType w:val="hybridMultilevel"/>
    <w:lvl w:ilvl="0">
      <w:lvlJc w:val="left"/>
      <w:lvlText w:val="(%1)"/>
      <w:numFmt w:val="upperLetter"/>
      <w:start w:val="1"/>
    </w:lvl>
  </w:abstractNum>
  <w:abstractNum w:abstractNumId="47">
    <w:nsid w:val="39B7AAA2"/>
    <w:multiLevelType w:val="hybridMultilevel"/>
    <w:lvl w:ilvl="0">
      <w:lvlJc w:val="left"/>
      <w:lvlText w:val="%1"/>
      <w:numFmt w:val="upperLetter"/>
      <w:start w:val="1"/>
    </w:lvl>
    <w:lvl w:ilvl="1">
      <w:lvlJc w:val="left"/>
      <w:lvlText w:val="(%2)"/>
      <w:numFmt w:val="upperLetter"/>
      <w:start w:val="2"/>
    </w:lvl>
  </w:abstractNum>
  <w:abstractNum w:abstractNumId="48">
    <w:nsid w:val="2B0D8DBE"/>
    <w:multiLevelType w:val="hybridMultilevel"/>
    <w:lvl w:ilvl="0">
      <w:lvlJc w:val="left"/>
      <w:lvlText w:val="(%1)"/>
      <w:numFmt w:val="upperLetter"/>
      <w:start w:val="35"/>
    </w:lvl>
    <w:lvl w:ilvl="1">
      <w:lvlJc w:val="left"/>
      <w:lvlText w:val="%2"/>
      <w:numFmt w:val="upperLetter"/>
      <w:start w:val="1"/>
    </w:lvl>
  </w:abstractNum>
  <w:abstractNum w:abstractNumId="49">
    <w:nsid w:val="6C80EC70"/>
    <w:multiLevelType w:val="hybridMultilevel"/>
    <w:lvl w:ilvl="0">
      <w:lvlJc w:val="left"/>
      <w:lvlText w:val="%1"/>
      <w:numFmt w:val="lowerRoman"/>
      <w:start w:val="1"/>
    </w:lvl>
    <w:lvl w:ilvl="1">
      <w:lvlJc w:val="left"/>
      <w:lvlText w:val="(%2)"/>
      <w:numFmt w:val="upperLetter"/>
      <w:start w:val="3"/>
    </w:lvl>
  </w:abstractNum>
  <w:abstractNum w:abstractNumId="50">
    <w:nsid w:val="379E21B5"/>
    <w:multiLevelType w:val="hybridMultilevel"/>
    <w:lvl w:ilvl="0">
      <w:lvlJc w:val="left"/>
      <w:lvlText w:val="(%1)"/>
      <w:numFmt w:val="lowerRoman"/>
      <w:start w:val="1"/>
    </w:lvl>
    <w:lvl w:ilvl="1">
      <w:lvlJc w:val="left"/>
      <w:lvlText w:val="%2"/>
      <w:numFmt w:val="upperLetter"/>
      <w:start w:val="1"/>
    </w:lvl>
  </w:abstractNum>
  <w:abstractNum w:abstractNumId="51">
    <w:nsid w:val="69E373"/>
    <w:multiLevelType w:val="hybridMultilevel"/>
    <w:lvl w:ilvl="0">
      <w:lvlJc w:val="left"/>
      <w:lvlText w:val="%1"/>
      <w:numFmt w:val="lowerRoman"/>
      <w:start w:val="1"/>
    </w:lvl>
    <w:lvl w:ilvl="1">
      <w:lvlJc w:val="left"/>
      <w:lvlText w:val="(%2)"/>
      <w:numFmt w:val="upperLetter"/>
      <w:start w:val="6"/>
    </w:lvl>
  </w:abstractNum>
  <w:abstractNum w:abstractNumId="52">
    <w:nsid w:val="2C27173B"/>
    <w:multiLevelType w:val="hybridMultilevel"/>
    <w:lvl w:ilvl="0">
      <w:lvlJc w:val="left"/>
      <w:lvlText w:val="(%1)"/>
      <w:numFmt w:val="lowerRoman"/>
      <w:start w:val="2"/>
    </w:lvl>
    <w:lvl w:ilvl="1">
      <w:lvlJc w:val="left"/>
      <w:lvlText w:val="(%2)"/>
      <w:numFmt w:val="upperLetter"/>
      <w:start w:val="1"/>
    </w:lvl>
  </w:abstractNum>
  <w:abstractNum w:abstractNumId="53">
    <w:nsid w:val="4C9B0904"/>
    <w:multiLevelType w:val="hybridMultilevel"/>
    <w:lvl w:ilvl="0">
      <w:lvlJc w:val="left"/>
      <w:lvlText w:val="(%1)"/>
      <w:numFmt w:val="upperLetter"/>
      <w:start w:val="2"/>
    </w:lvl>
    <w:lvl w:ilvl="1">
      <w:lvlJc w:val="left"/>
      <w:lvlText w:val="(%2)"/>
      <w:numFmt w:val="decimal"/>
      <w:start w:val="1"/>
    </w:lvl>
  </w:abstractNum>
  <w:abstractNum w:abstractNumId="54">
    <w:nsid w:val="6AA7B75C"/>
    <w:multiLevelType w:val="hybridMultilevel"/>
    <w:lvl w:ilvl="0">
      <w:lvlJc w:val="left"/>
      <w:lvlText w:val="%1"/>
      <w:numFmt w:val="lowerRoman"/>
      <w:start w:val="1"/>
    </w:lvl>
    <w:lvl w:ilvl="1">
      <w:lvlJc w:val="left"/>
      <w:lvlText w:val="(%2)"/>
      <w:numFmt w:val="upperLetter"/>
      <w:start w:val="5"/>
    </w:lvl>
  </w:abstractNum>
  <w:abstractNum w:abstractNumId="55">
    <w:nsid w:val="1DF029D3"/>
    <w:multiLevelType w:val="hybridMultilevel"/>
    <w:lvl w:ilvl="0">
      <w:lvlJc w:val="left"/>
      <w:lvlText w:val="(%1)"/>
      <w:numFmt w:val="lowerRoman"/>
      <w:start w:val="4"/>
    </w:lvl>
    <w:lvl w:ilvl="1">
      <w:lvlJc w:val="left"/>
      <w:lvlText w:val="%2"/>
      <w:numFmt w:val="upperLetter"/>
      <w:start w:val="1"/>
    </w:lvl>
  </w:abstractNum>
  <w:abstractNum w:abstractNumId="56">
    <w:nsid w:val="5675FF36"/>
    <w:multiLevelType w:val="hybridMultilevel"/>
    <w:lvl w:ilvl="0">
      <w:lvlJc w:val="left"/>
      <w:lvlText w:val="(%1)"/>
      <w:numFmt w:val="lowerRoman"/>
      <w:start w:val="5"/>
    </w:lvl>
    <w:lvl w:ilvl="1">
      <w:lvlJc w:val="left"/>
      <w:lvlText w:val="(%2)"/>
      <w:numFmt w:val="upperLetter"/>
      <w:start w:val="1"/>
    </w:lvl>
  </w:abstractNum>
  <w:abstractNum w:abstractNumId="57">
    <w:nsid w:val="3DD15094"/>
    <w:multiLevelType w:val="hybridMultilevel"/>
    <w:lvl w:ilvl="0">
      <w:lvlJc w:val="left"/>
      <w:lvlText w:val="(%1)"/>
      <w:numFmt w:val="lowerRoman"/>
      <w:start w:val="6"/>
    </w:lvl>
    <w:lvl w:ilvl="1">
      <w:lvlJc w:val="left"/>
      <w:lvlText w:val="(%2)"/>
      <w:numFmt w:val="upperLetter"/>
      <w:start w:val="1"/>
    </w:lvl>
  </w:abstractNum>
  <w:abstractNum w:abstractNumId="58">
    <w:nsid w:val="3DB012B3"/>
    <w:multiLevelType w:val="hybridMultilevel"/>
    <w:lvl w:ilvl="0">
      <w:lvlJc w:val="left"/>
      <w:lvlText w:val="(%1)"/>
      <w:numFmt w:val="decimal"/>
      <w:start w:val="1"/>
    </w:lvl>
  </w:abstractNum>
  <w:abstractNum w:abstractNumId="59">
    <w:nsid w:val="2708C9AF"/>
    <w:multiLevelType w:val="hybridMultilevel"/>
    <w:lvl w:ilvl="0">
      <w:lvlJc w:val="left"/>
      <w:lvlText w:val="(%1)"/>
      <w:numFmt w:val="decimal"/>
      <w:start w:val="3"/>
    </w:lvl>
  </w:abstractNum>
  <w:abstractNum w:abstractNumId="60">
    <w:nsid w:val="5B25ACE2"/>
    <w:multiLevelType w:val="hybridMultilevel"/>
    <w:lvl w:ilvl="0">
      <w:lvlJc w:val="left"/>
      <w:lvlText w:val="(%1)"/>
      <w:numFmt w:val="decimal"/>
      <w:start w:val="1"/>
    </w:lvl>
  </w:abstractNum>
  <w:abstractNum w:abstractNumId="61">
    <w:nsid w:val="175DFCF0"/>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62">
    <w:nsid w:val="4F97E3E4"/>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63">
    <w:nsid w:val="53B0A9E"/>
    <w:multiLevelType w:val="hybridMultilevel"/>
    <w:lvl w:ilvl="0">
      <w:lvlJc w:val="left"/>
      <w:lvlText w:val="(%1)"/>
      <w:numFmt w:val="decimal"/>
      <w:start w:val="7"/>
    </w:lvl>
    <w:lvl w:ilvl="1">
      <w:lvlJc w:val="left"/>
      <w:lvlText w:val="(%2)"/>
      <w:numFmt w:val="upperLetter"/>
      <w:start w:val="5"/>
    </w:lvl>
    <w:lvl w:ilvl="2">
      <w:lvlJc w:val="left"/>
      <w:lvlText w:val="%3"/>
      <w:numFmt w:val="decimal"/>
      <w:start w:val="1"/>
    </w:lvl>
  </w:abstractNum>
  <w:abstractNum w:abstractNumId="64">
    <w:nsid w:val="34FD6B4F"/>
    <w:multiLevelType w:val="hybridMultilevel"/>
    <w:lvl w:ilvl="0">
      <w:lvlJc w:val="left"/>
      <w:lvlText w:val="(%1)"/>
      <w:numFmt w:val="upperLetter"/>
      <w:start w:val="6"/>
    </w:lvl>
    <w:lvl w:ilvl="1">
      <w:lvlJc w:val="left"/>
      <w:lvlText w:val="(%2)"/>
      <w:numFmt w:val="decimal"/>
      <w:start w:val="1"/>
    </w:lvl>
  </w:abstractNum>
  <w:abstractNum w:abstractNumId="65">
    <w:nsid w:val="5915FF32"/>
    <w:multiLevelType w:val="hybridMultilevel"/>
    <w:lvl w:ilvl="0">
      <w:lvlJc w:val="left"/>
      <w:lvlText w:val="%1"/>
      <w:numFmt w:val="lowerRoman"/>
      <w:start w:val="1"/>
    </w:lvl>
    <w:lvl w:ilvl="1">
      <w:lvlJc w:val="left"/>
      <w:lvlText w:val="(%2)"/>
      <w:numFmt w:val="decimal"/>
      <w:start w:val="3"/>
    </w:lvl>
  </w:abstractNum>
  <w:abstractNum w:abstractNumId="66">
    <w:nsid w:val="56438D15"/>
    <w:multiLevelType w:val="hybridMultilevel"/>
    <w:lvl w:ilvl="0">
      <w:lvlJc w:val="left"/>
      <w:lvlText w:val="(%1)"/>
      <w:numFmt w:val="lowerRoman"/>
      <w:start w:val="1"/>
    </w:lvl>
    <w:lvl w:ilvl="1">
      <w:lvlJc w:val="left"/>
      <w:lvlText w:val="%2"/>
      <w:numFmt w:val="decimal"/>
      <w:start w:val="1"/>
    </w:lvl>
  </w:abstractNum>
  <w:abstractNum w:abstractNumId="67">
    <w:nsid w:val="519E3149"/>
    <w:multiLevelType w:val="hybridMultilevel"/>
    <w:lvl w:ilvl="0">
      <w:lvlJc w:val="left"/>
      <w:lvlText w:val="(%1)"/>
      <w:numFmt w:val="lowerRoman"/>
      <w:start w:val="7"/>
    </w:lvl>
    <w:lvl w:ilvl="1">
      <w:lvlJc w:val="left"/>
      <w:lvlText w:val="(%2)"/>
      <w:numFmt w:val="upperLetter"/>
      <w:start w:val="1"/>
    </w:lvl>
  </w:abstractNum>
  <w:abstractNum w:abstractNumId="68">
    <w:nsid w:val="2C6E4AFD"/>
    <w:multiLevelType w:val="hybridMultilevel"/>
    <w:lvl w:ilvl="0">
      <w:lvlJc w:val="left"/>
      <w:lvlText w:val="(%1)"/>
      <w:numFmt w:val="lowerRoman"/>
      <w:start w:val="1"/>
    </w:lvl>
    <w:lvl w:ilvl="1">
      <w:lvlJc w:val="left"/>
      <w:lvlText w:val="(%2)"/>
      <w:numFmt w:val="upperLetter"/>
      <w:start w:val="2"/>
    </w:lvl>
  </w:abstractNum>
  <w:abstractNum w:abstractNumId="69">
    <w:nsid w:val="17A1B582"/>
    <w:multiLevelType w:val="hybridMultilevel"/>
    <w:lvl w:ilvl="0">
      <w:lvlJc w:val="left"/>
      <w:lvlText w:val="(%1)"/>
      <w:numFmt w:val="decimal"/>
      <w:start w:val="1"/>
    </w:lvl>
  </w:abstractNum>
  <w:abstractNum w:abstractNumId="70">
    <w:nsid w:val="4DF72E4E"/>
    <w:multiLevelType w:val="hybridMultilevel"/>
    <w:lvl w:ilvl="0">
      <w:lvlJc w:val="left"/>
      <w:lvlText w:val="%1"/>
      <w:numFmt w:val="lowerRoman"/>
      <w:start w:val="1"/>
    </w:lvl>
    <w:lvl w:ilvl="1">
      <w:lvlJc w:val="left"/>
      <w:lvlText w:val="%2."/>
      <w:numFmt w:val="lowerLetter"/>
      <w:start w:val="1"/>
    </w:lvl>
  </w:abstractNum>
  <w:abstractNum w:abstractNumId="71">
    <w:nsid w:val="5046B5A9"/>
    <w:multiLevelType w:val="hybridMultilevel"/>
    <w:lvl w:ilvl="0">
      <w:lvlJc w:val="left"/>
      <w:lvlText w:val="(%1)"/>
      <w:numFmt w:val="lowerRoman"/>
      <w:start w:val="2"/>
    </w:lvl>
    <w:lvl w:ilvl="1">
      <w:lvlJc w:val="left"/>
      <w:lvlText w:val="%2"/>
      <w:numFmt w:val="lowerLetter"/>
      <w:start w:val="1"/>
    </w:lvl>
  </w:abstractNum>
  <w:abstractNum w:abstractNumId="72">
    <w:nsid w:val="5D888A08"/>
    <w:multiLevelType w:val="hybridMultilevel"/>
    <w:lvl w:ilvl="0">
      <w:lvlJc w:val="left"/>
      <w:lvlText w:val="(%1)"/>
      <w:numFmt w:val="decimal"/>
      <w:start w:val="3"/>
    </w:lvl>
  </w:abstractNum>
  <w:abstractNum w:abstractNumId="73">
    <w:nsid w:val="2A082C70"/>
    <w:multiLevelType w:val="hybridMultilevel"/>
    <w:lvl w:ilvl="0">
      <w:lvlJc w:val="left"/>
      <w:lvlText w:val="(%1)"/>
      <w:numFmt w:val="lowerRoman"/>
      <w:start w:val="8"/>
    </w:lvl>
    <w:lvl w:ilvl="1">
      <w:lvlJc w:val="left"/>
      <w:lvlText w:val="(%2)"/>
      <w:numFmt w:val="upperLetter"/>
      <w:start w:val="1"/>
    </w:lvl>
  </w:abstractNum>
  <w:abstractNum w:abstractNumId="74">
    <w:nsid w:val="5EC6AFD4"/>
    <w:multiLevelType w:val="hybridMultilevel"/>
    <w:lvl w:ilvl="0">
      <w:lvlJc w:val="left"/>
      <w:lvlText w:val="%1"/>
      <w:numFmt w:val="lowerRoman"/>
      <w:start w:val="1"/>
    </w:lvl>
    <w:lvl w:ilvl="1">
      <w:lvlJc w:val="left"/>
      <w:lvlText w:val="(%2)"/>
      <w:numFmt w:val="upperLetter"/>
      <w:start w:val="3"/>
    </w:lvl>
  </w:abstractNum>
  <w:abstractNum w:abstractNumId="75">
    <w:nsid w:val="19E21BB2"/>
    <w:multiLevelType w:val="hybridMultilevel"/>
    <w:lvl w:ilvl="0">
      <w:lvlJc w:val="left"/>
      <w:lvlText w:val="(%1)"/>
      <w:numFmt w:val="lowerRoman"/>
      <w:start w:val="9"/>
    </w:lvl>
    <w:lvl w:ilvl="1">
      <w:lvlJc w:val="left"/>
      <w:lvlText w:val="(%2)"/>
      <w:numFmt w:val="upperLetter"/>
      <w:start w:val="1"/>
    </w:lvl>
  </w:abstractNum>
  <w:abstractNum w:abstractNumId="76">
    <w:nsid w:val="75E0858A"/>
    <w:multiLevelType w:val="hybridMultilevel"/>
    <w:lvl w:ilvl="0">
      <w:lvlJc w:val="left"/>
      <w:lvlText w:val="(%1)"/>
      <w:numFmt w:val="lowerRoman"/>
      <w:start w:val="10"/>
    </w:lvl>
  </w:abstractNum>
  <w:abstractNum w:abstractNumId="77">
    <w:nsid w:val="57A61A29"/>
    <w:multiLevelType w:val="hybridMultilevel"/>
    <w:lvl w:ilvl="0">
      <w:lvlJc w:val="left"/>
      <w:lvlText w:val="(%1)"/>
      <w:numFmt w:val="lowerRoman"/>
      <w:start w:val="12"/>
    </w:lvl>
  </w:abstractNum>
  <w:abstractNum w:abstractNumId="78">
    <w:nsid w:val="5399C654"/>
    <w:multiLevelType w:val="hybridMultilevel"/>
    <w:lvl w:ilvl="0">
      <w:lvlJc w:val="left"/>
      <w:lvlText w:val="(%1)"/>
      <w:numFmt w:val="lowerRoman"/>
      <w:start w:val="13"/>
    </w:lvl>
  </w:abstractNum>
  <w:abstractNum w:abstractNumId="79">
    <w:nsid w:val="20EE1348"/>
    <w:multiLevelType w:val="hybridMultilevel"/>
    <w:lvl w:ilvl="0">
      <w:lvlJc w:val="left"/>
      <w:lvlText w:val="(%1)"/>
      <w:numFmt w:val="lowerLetter"/>
      <w:start w:val="1"/>
    </w:lvl>
  </w:abstractNum>
  <w:abstractNum w:abstractNumId="80">
    <w:nsid w:val="4427069A"/>
    <w:multiLevelType w:val="hybridMultilevel"/>
    <w:lvl w:ilvl="0">
      <w:lvlJc w:val="left"/>
      <w:lvlText w:val="(%1)"/>
      <w:numFmt w:val="lowerRoman"/>
      <w:start w:val="1"/>
    </w:lvl>
    <w:lvl w:ilvl="1">
      <w:lvlJc w:val="left"/>
      <w:lvlText w:val="(%2)"/>
      <w:numFmt w:val="upperLetter"/>
      <w:start w:val="1"/>
    </w:lvl>
  </w:abstractNum>
  <w:abstractNum w:abstractNumId="81">
    <w:nsid w:val="B37E80A"/>
    <w:multiLevelType w:val="hybridMultilevel"/>
    <w:lvl w:ilvl="0">
      <w:lvlJc w:val="left"/>
      <w:lvlText w:val="(%1)"/>
      <w:numFmt w:val="upperLetter"/>
      <w:start w:val="3"/>
    </w:lvl>
  </w:abstractNum>
  <w:abstractNum w:abstractNumId="82">
    <w:nsid w:val="2157F6BC"/>
    <w:multiLevelType w:val="hybridMultilevel"/>
    <w:lvl w:ilvl="0">
      <w:lvlJc w:val="left"/>
      <w:lvlText w:val="(%1)"/>
      <w:numFmt w:val="upperLetter"/>
      <w:start w:val="4"/>
    </w:lvl>
  </w:abstractNum>
  <w:abstractNum w:abstractNumId="83">
    <w:nsid w:val="704E1DD5"/>
    <w:multiLevelType w:val="hybridMultilevel"/>
    <w:lvl w:ilvl="0">
      <w:lvlJc w:val="left"/>
      <w:lvlText w:val="(%1)"/>
      <w:numFmt w:val="upperLetter"/>
      <w:start w:val="5"/>
    </w:lvl>
    <w:lvl w:ilvl="1">
      <w:lvlJc w:val="left"/>
      <w:lvlText w:val="(%2)"/>
      <w:numFmt w:val="decimal"/>
      <w:start w:val="1"/>
    </w:lvl>
  </w:abstractNum>
  <w:abstractNum w:abstractNumId="84">
    <w:nsid w:val="57D2F10E"/>
    <w:multiLevelType w:val="hybridMultilevel"/>
    <w:lvl w:ilvl="0">
      <w:lvlJc w:val="left"/>
      <w:lvlText w:val="(%1)"/>
      <w:numFmt w:val="decimal"/>
      <w:start w:val="4"/>
    </w:lvl>
  </w:abstractNum>
  <w:abstractNum w:abstractNumId="85">
    <w:nsid w:val="BFFAE18"/>
    <w:multiLevelType w:val="hybridMultilevel"/>
    <w:lvl w:ilvl="0">
      <w:lvlJc w:val="left"/>
      <w:lvlText w:val="%1"/>
      <w:numFmt w:val="lowerRoman"/>
      <w:start w:val="1"/>
    </w:lvl>
    <w:lvl w:ilvl="1">
      <w:lvlJc w:val="left"/>
      <w:lvlText w:val="(%2)"/>
      <w:numFmt w:val="upperLetter"/>
      <w:start w:val="7"/>
    </w:lvl>
  </w:abstractNum>
  <w:abstractNum w:abstractNumId="86">
    <w:nsid w:val="E3E47A8"/>
    <w:multiLevelType w:val="hybridMultilevel"/>
    <w:lvl w:ilvl="0">
      <w:lvlJc w:val="left"/>
      <w:lvlText w:val="(%1)"/>
      <w:numFmt w:val="lowerRoman"/>
      <w:start w:val="2"/>
    </w:lvl>
    <w:lvl w:ilvl="1">
      <w:lvlJc w:val="left"/>
      <w:lvlText w:val="(%2)"/>
      <w:numFmt w:val="upperLetter"/>
      <w:start w:val="1"/>
    </w:lvl>
  </w:abstractNum>
  <w:abstractNum w:abstractNumId="87">
    <w:nsid w:val="2E48F044"/>
    <w:multiLevelType w:val="hybridMultilevel"/>
    <w:lvl w:ilvl="0">
      <w:lvlJc w:val="left"/>
      <w:lvlText w:val="%1"/>
      <w:numFmt w:val="lowerRoman"/>
      <w:start w:val="1"/>
    </w:lvl>
    <w:lvl w:ilvl="1">
      <w:lvlJc w:val="left"/>
      <w:lvlText w:val="(%2)"/>
      <w:numFmt w:val="upperLetter"/>
      <w:start w:val="2"/>
    </w:lvl>
  </w:abstractNum>
  <w:abstractNum w:abstractNumId="88">
    <w:nsid w:val="49D0FEAC"/>
    <w:multiLevelType w:val="hybridMultilevel"/>
    <w:lvl w:ilvl="0">
      <w:lvlJc w:val="left"/>
      <w:lvlText w:val="(%1)"/>
      <w:numFmt w:val="lowerRoman"/>
      <w:start w:val="3"/>
    </w:lvl>
    <w:lvl w:ilvl="1">
      <w:lvlJc w:val="left"/>
      <w:lvlText w:val="(%2)"/>
      <w:numFmt w:val="upperLetter"/>
      <w:start w:val="1"/>
    </w:lvl>
  </w:abstractNum>
  <w:abstractNum w:abstractNumId="89">
    <w:nsid w:val="4BEE5A5B"/>
    <w:multiLevelType w:val="hybridMultilevel"/>
    <w:lvl w:ilvl="0">
      <w:lvlJc w:val="left"/>
      <w:lvlText w:val="%1"/>
      <w:numFmt w:val="decimal"/>
      <w:start w:val="1"/>
    </w:lvl>
    <w:lvl w:ilvl="1">
      <w:lvlJc w:val="left"/>
      <w:lvlText w:val="(%2)"/>
      <w:numFmt w:val="upperLetter"/>
      <w:start w:val="2"/>
    </w:lvl>
  </w:abstractNum>
  <w:abstractNum w:abstractNumId="90">
    <w:nsid w:val="5551B9F3"/>
    <w:multiLevelType w:val="hybridMultilevel"/>
    <w:lvl w:ilvl="0">
      <w:lvlJc w:val="left"/>
      <w:lvlText w:val="(%1)"/>
      <w:numFmt w:val="decimal"/>
      <w:start w:val="3"/>
    </w:lvl>
    <w:lvl w:ilvl="1">
      <w:lvlJc w:val="left"/>
      <w:lvlText w:val="(%2)"/>
      <w:numFmt w:val="upperLetter"/>
      <w:start w:val="4"/>
    </w:lvl>
  </w:abstractNum>
  <w:abstractNum w:abstractNumId="91">
    <w:nsid w:val="24F6AB8E"/>
    <w:multiLevelType w:val="hybridMultilevel"/>
    <w:lvl w:ilvl="0">
      <w:lvlJc w:val="left"/>
      <w:lvlText w:val="(%1)"/>
      <w:numFmt w:val="upperLetter"/>
      <w:start w:val="5"/>
    </w:lvl>
  </w:abstractNum>
  <w:abstractNum w:abstractNumId="92">
    <w:nsid w:val="634C574C"/>
    <w:multiLevelType w:val="hybridMultilevel"/>
    <w:lvl w:ilvl="0">
      <w:lvlJc w:val="left"/>
      <w:lvlText w:val="%1"/>
      <w:numFmt w:val="decimal"/>
      <w:start w:val="1"/>
    </w:lvl>
    <w:lvl w:ilvl="1">
      <w:lvlJc w:val="left"/>
      <w:lvlText w:val="(%2)"/>
      <w:numFmt w:val="upperLetter"/>
      <w:start w:val="7"/>
    </w:lvl>
  </w:abstractNum>
  <w:abstractNum w:abstractNumId="93">
    <w:nsid w:val="24E99DD7"/>
    <w:multiLevelType w:val="hybridMultilevel"/>
    <w:lvl w:ilvl="0">
      <w:lvlJc w:val="left"/>
      <w:lvlText w:val="(%1)"/>
      <w:numFmt w:val="decimal"/>
      <w:start w:val="2"/>
    </w:lvl>
    <w:lvl w:ilvl="1">
      <w:lvlJc w:val="left"/>
      <w:lvlText w:val="(%2)"/>
      <w:numFmt w:val="upperLetter"/>
      <w:start w:val="8"/>
    </w:lvl>
  </w:abstractNum>
  <w:abstractNum w:abstractNumId="94">
    <w:nsid w:val="2A31B62D"/>
    <w:multiLevelType w:val="hybridMultilevel"/>
    <w:lvl w:ilvl="0">
      <w:lvlJc w:val="left"/>
      <w:lvlText w:val="(%1)"/>
      <w:numFmt w:val="lowerRoman"/>
      <w:start w:val="4"/>
    </w:lvl>
  </w:abstractNum>
  <w:abstractNum w:abstractNumId="95">
    <w:nsid w:val="1849C29B"/>
    <w:multiLevelType w:val="hybridMultilevel"/>
    <w:lvl w:ilvl="0">
      <w:lvlJc w:val="left"/>
      <w:lvlText w:val="(%1)"/>
      <w:numFmt w:val="lowerRoman"/>
      <w:start w:val="7"/>
    </w:lvl>
  </w:abstractNum>
  <w:abstractNum w:abstractNumId="96">
    <w:nsid w:val="7DFF9D09"/>
    <w:multiLevelType w:val="hybridMultilevel"/>
    <w:lvl w:ilvl="0">
      <w:lvlJc w:val="left"/>
      <w:lvlText w:val="(%1)"/>
      <w:numFmt w:val="lowerLetter"/>
      <w:start w:val="1"/>
    </w:lvl>
    <w:lvl w:ilvl="1">
      <w:lvlJc w:val="left"/>
      <w:lvlText w:val="(%2)"/>
      <w:numFmt w:val="lowerRoman"/>
      <w:start w:val="1"/>
    </w:lvl>
  </w:abstractNum>
  <w:abstractNum w:abstractNumId="97">
    <w:nsid w:val="754342"/>
    <w:multiLevelType w:val="hybridMultilevel"/>
    <w:lvl w:ilvl="0">
      <w:lvlJc w:val="left"/>
      <w:lvlText w:val="%1"/>
      <w:numFmt w:val="lowerLetter"/>
      <w:start w:val="1"/>
    </w:lvl>
    <w:lvl w:ilvl="1">
      <w:lvlJc w:val="left"/>
      <w:lvlText w:val="(%2)"/>
      <w:numFmt w:val="lowerRoman"/>
      <w:start w:val="3"/>
    </w:lvl>
  </w:abstractNum>
  <w:abstractNum w:abstractNumId="98">
    <w:nsid w:val="69E7F3E5"/>
    <w:multiLevelType w:val="hybridMultilevel"/>
    <w:lvl w:ilvl="0">
      <w:lvlJc w:val="left"/>
      <w:lvlText w:val="(%1)"/>
      <w:numFmt w:val="lowerLetter"/>
      <w:start w:val="3"/>
    </w:lvl>
    <w:lvl w:ilvl="1">
      <w:lvlJc w:val="left"/>
      <w:lvlText w:val="(%2)"/>
      <w:numFmt w:val="lowerRoman"/>
      <w:start w:val="1"/>
    </w:lvl>
  </w:abstractNum>
  <w:abstractNum w:abstractNumId="99">
    <w:nsid w:val="2A6DE806"/>
    <w:multiLevelType w:val="hybridMultilevel"/>
    <w:lvl w:ilvl="0">
      <w:lvlJc w:val="left"/>
      <w:lvlText w:val="(%1)"/>
      <w:numFmt w:val="lowerRoman"/>
      <w:start w:val="3"/>
    </w:lvl>
  </w:abstractNum>
  <w:abstractNum w:abstractNumId="100">
    <w:nsid w:val="1816F8C4"/>
    <w:multiLevelType w:val="hybridMultilevel"/>
    <w:lvl w:ilvl="0">
      <w:lvlJc w:val="left"/>
      <w:lvlText w:val="(%1)"/>
      <w:numFmt w:val="lowerRoman"/>
      <w:start w:val="7"/>
    </w:lvl>
    <w:lvl w:ilvl="1">
      <w:lvlJc w:val="left"/>
      <w:lvlText w:val="(%2)"/>
      <w:numFmt w:val="upperLetter"/>
      <w:start w:val="1"/>
    </w:lvl>
  </w:abstractNum>
  <w:abstractNum w:abstractNumId="101">
    <w:nsid w:val="37DF2233"/>
    <w:multiLevelType w:val="hybridMultilevel"/>
    <w:lvl w:ilvl="0">
      <w:lvlJc w:val="left"/>
      <w:lvlText w:val="(%1)"/>
      <w:numFmt w:val="upperLetter"/>
      <w:start w:val="3"/>
    </w:lvl>
  </w:abstractNum>
  <w:abstractNum w:abstractNumId="102">
    <w:nsid w:val="7AB49DAF"/>
    <w:multiLevelType w:val="hybridMultilevel"/>
    <w:lvl w:ilvl="0">
      <w:lvlJc w:val="left"/>
      <w:lvlText w:val="(%1)"/>
      <w:numFmt w:val="lowerRoman"/>
      <w:start w:val="1"/>
    </w:lvl>
  </w:abstractNum>
  <w:abstractNum w:abstractNumId="103">
    <w:nsid w:val="759F82CD"/>
    <w:multiLevelType w:val="hybridMultilevel"/>
    <w:lvl w:ilvl="0">
      <w:lvlJc w:val="left"/>
      <w:lvlText w:val="(%1)"/>
      <w:numFmt w:val="lowerRoman"/>
      <w:start w:val="11"/>
    </w:lvl>
    <w:lvl w:ilvl="1">
      <w:lvlJc w:val="left"/>
      <w:lvlText w:val="(%2)"/>
      <w:numFmt w:val="upperLetter"/>
      <w:start w:val="1"/>
    </w:lvl>
  </w:abstractNum>
  <w:abstractNum w:abstractNumId="104">
    <w:nsid w:val="61E74EA3"/>
    <w:multiLevelType w:val="hybridMultilevel"/>
    <w:lvl w:ilvl="0">
      <w:lvlJc w:val="left"/>
      <w:lvlText w:val="(%1)"/>
      <w:numFmt w:val="upperLetter"/>
      <w:start w:val="2"/>
    </w:lvl>
  </w:abstractNum>
  <w:abstractNum w:abstractNumId="105">
    <w:nsid w:val="597B4D84"/>
    <w:multiLevelType w:val="hybridMultilevel"/>
    <w:lvl w:ilvl="0">
      <w:lvlJc w:val="left"/>
      <w:lvlText w:val="(%1)"/>
      <w:numFmt w:val="lowerLetter"/>
      <w:start w:val="1"/>
    </w:lvl>
    <w:lvl w:ilvl="1">
      <w:lvlJc w:val="left"/>
      <w:lvlText w:val="(%2)"/>
      <w:numFmt w:val="lowerLetter"/>
      <w:start w:val="9"/>
    </w:lvl>
  </w:abstractNum>
  <w:abstractNum w:abstractNumId="106">
    <w:nsid w:val="F819E7F"/>
    <w:multiLevelType w:val="hybridMultilevel"/>
    <w:lvl w:ilvl="0">
      <w:lvlJc w:val="left"/>
      <w:lvlText w:val="%1"/>
      <w:numFmt w:val="lowerLetter"/>
      <w:start w:val="1"/>
    </w:lvl>
    <w:lvl w:ilvl="1">
      <w:lvlJc w:val="left"/>
      <w:lvlText w:val="(%2)"/>
      <w:numFmt w:val="lowerRoman"/>
      <w:start w:val="2"/>
    </w:lvl>
  </w:abstractNum>
  <w:abstractNum w:abstractNumId="107">
    <w:nsid w:val="57C7D42D"/>
    <w:multiLevelType w:val="hybridMultilevel"/>
    <w:lvl w:ilvl="0">
      <w:lvlJc w:val="left"/>
      <w:lvlText w:val="(%1)"/>
      <w:numFmt w:val="lowerLetter"/>
      <w:start w:val="3"/>
    </w:lvl>
    <w:lvl w:ilvl="1">
      <w:lvlJc w:val="left"/>
      <w:lvlText w:val="%2"/>
      <w:numFmt w:val="lowerRoman"/>
      <w:start w:val="1"/>
    </w:lvl>
  </w:abstractNum>
  <w:abstractNum w:abstractNumId="108">
    <w:nsid w:val="312167AD"/>
    <w:multiLevelType w:val="hybridMultilevel"/>
    <w:lvl w:ilvl="0">
      <w:lvlJc w:val="left"/>
      <w:lvlText w:val="(%1)"/>
      <w:numFmt w:val="lowerLetter"/>
      <w:start w:val="4"/>
    </w:lvl>
  </w:abstractNum>
  <w:abstractNum w:abstractNumId="109">
    <w:nsid w:val="631B64D4"/>
    <w:multiLevelType w:val="hybridMultilevel"/>
    <w:lvl w:ilvl="0">
      <w:lvlJc w:val="left"/>
      <w:lvlText w:val="(%1)"/>
      <w:numFmt w:val="lowerLetter"/>
      <w:start w:val="8"/>
    </w:lvl>
  </w:abstractNum>
  <w:abstractNum w:abstractNumId="110">
    <w:nsid w:val="78B5E776"/>
    <w:multiLevelType w:val="hybridMultilevel"/>
    <w:lvl w:ilvl="0">
      <w:lvlJc w:val="left"/>
      <w:lvlText w:val="(%1)"/>
      <w:numFmt w:val="lowerLetter"/>
      <w:start w:val="1"/>
    </w:lvl>
  </w:abstractNum>
  <w:abstractNum w:abstractNumId="111">
    <w:nsid w:val="75486E47"/>
    <w:multiLevelType w:val="hybridMultilevel"/>
    <w:lvl w:ilvl="0">
      <w:lvlJc w:val="left"/>
      <w:lvlText w:val="(%1)"/>
      <w:numFmt w:val="lowerLetter"/>
      <w:start w:val="2"/>
    </w:lvl>
  </w:abstractNum>
  <w:abstractNum w:abstractNumId="112">
    <w:nsid w:val="6E534CDE"/>
    <w:multiLevelType w:val="hybridMultilevel"/>
    <w:lvl w:ilvl="0">
      <w:lvlJc w:val="left"/>
      <w:lvlText w:val="(%1)"/>
      <w:numFmt w:val="lowerLetter"/>
      <w:start w:val="1"/>
    </w:lvl>
    <w:lvl w:ilvl="1">
      <w:lvlJc w:val="left"/>
      <w:lvlText w:val="(%2)"/>
      <w:numFmt w:val="lowerRoman"/>
      <w:start w:val="1"/>
    </w:lvl>
  </w:abstractNum>
  <w:abstractNum w:abstractNumId="113">
    <w:nsid w:val="1A0DDE32"/>
    <w:multiLevelType w:val="hybridMultilevel"/>
    <w:lvl w:ilvl="0">
      <w:lvlJc w:val="left"/>
      <w:lvlText w:val="(%1)"/>
      <w:numFmt w:val="lowerRoman"/>
      <w:start w:val="3"/>
    </w:lvl>
  </w:abstractNum>
  <w:abstractNum w:abstractNumId="114">
    <w:nsid w:val="65968C1C"/>
    <w:multiLevelType w:val="hybridMultilevel"/>
    <w:lvl w:ilvl="0">
      <w:lvlJc w:val="left"/>
      <w:lvlText w:val="(%1)"/>
      <w:numFmt w:val="lowerRoman"/>
      <w:start w:val="9"/>
    </w:lvl>
  </w:abstractNum>
  <w:abstractNum w:abstractNumId="115">
    <w:nsid w:val="46263D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3"/>
    </w:lvl>
  </w:abstractNum>
  <w:abstractNum w:abstractNumId="116">
    <w:nsid w:val="260D8C4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7">
    <w:nsid w:val="73D4D3C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8">
    <w:nsid w:val="746F2E30"/>
    <w:multiLevelType w:val="hybridMultilevel"/>
    <w:lvl w:ilvl="0">
      <w:lvlJc w:val="left"/>
      <w:lvlText w:val="(%1)"/>
      <w:numFmt w:val="lowerLetter"/>
      <w:start w:val="1"/>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lowerLetter"/>
      <w:start w:val="3"/>
    </w:lvl>
  </w:abstractNum>
  <w:abstractNum w:abstractNumId="121">
    <w:nsid w:val="49C0E823"/>
    <w:multiLevelType w:val="hybridMultilevel"/>
    <w:lvl w:ilvl="0">
      <w:lvlJc w:val="left"/>
      <w:lvlText w:val="%1"/>
      <w:numFmt w:val="lowerLetter"/>
      <w:start w:val="1"/>
    </w:lvl>
    <w:lvl w:ilvl="1">
      <w:lvlJc w:val="left"/>
      <w:lvlText w:val="(%2)"/>
      <w:numFmt w:val="lowerLetter"/>
      <w:start w:val="1"/>
    </w:lvl>
  </w:abstractNum>
  <w:abstractNum w:abstractNumId="122">
    <w:nsid w:val="14D53685"/>
    <w:multiLevelType w:val="hybridMultilevel"/>
    <w:lvl w:ilvl="0">
      <w:lvlJc w:val="left"/>
      <w:lvlText w:val="(%1)"/>
      <w:numFmt w:val="lowerLetter"/>
      <w:start w:val="35"/>
    </w:lvl>
    <w:lvl w:ilvl="1">
      <w:lvlJc w:val="left"/>
      <w:lvlText w:val="(%2)"/>
      <w:numFmt w:val="lowerLetter"/>
      <w:start w:val="2"/>
    </w:lvl>
  </w:abstractNum>
  <w:abstractNum w:abstractNumId="123">
    <w:nsid w:val="230F856C"/>
    <w:multiLevelType w:val="hybridMultilevel"/>
    <w:lvl w:ilvl="0">
      <w:lvlJc w:val="left"/>
      <w:lvlText w:val="(%1)"/>
      <w:numFmt w:val="lowerLetter"/>
      <w:start w:val="3"/>
    </w:lvl>
  </w:abstractNum>
  <w:abstractNum w:abstractNumId="124">
    <w:nsid w:val="6EAA85FB"/>
    <w:multiLevelType w:val="hybridMultilevel"/>
    <w:lvl w:ilvl="0">
      <w:lvlJc w:val="left"/>
      <w:lvlText w:val="(%1)"/>
      <w:numFmt w:val="lowerLetter"/>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1)"/>
      <w:numFmt w:val="lowerLetter"/>
      <w:start w:val="6"/>
    </w:lvl>
  </w:abstractNum>
  <w:abstractNum w:abstractNumId="127">
    <w:nsid w:val="6CAA2304"/>
    <w:multiLevelType w:val="hybridMultilevel"/>
    <w:lvl w:ilvl="0">
      <w:lvlJc w:val="left"/>
      <w:lvlText w:val="(%1)"/>
      <w:numFmt w:val="lowerLetter"/>
      <w:start w:val="1"/>
    </w:lvl>
  </w:abstractNum>
  <w:abstractNum w:abstractNumId="128">
    <w:nsid w:val="3F7C2FF4"/>
    <w:multiLevelType w:val="hybridMultilevel"/>
    <w:lvl w:ilvl="0">
      <w:lvlJc w:val="left"/>
      <w:lvlText w:val="(%1)"/>
      <w:numFmt w:val="lowerLetter"/>
      <w:start w:val="2"/>
    </w:lvl>
  </w:abstractNum>
  <w:abstractNum w:abstractNumId="129">
    <w:nsid w:val="25413BEC"/>
    <w:multiLevelType w:val="hybridMultilevel"/>
    <w:lvl w:ilvl="0">
      <w:lvlJc w:val="left"/>
      <w:lvlText w:val="(%1)"/>
      <w:numFmt w:val="lowerLetter"/>
      <w:start w:val="3"/>
    </w:lvl>
  </w:abstractNum>
  <w:abstractNum w:abstractNumId="130">
    <w:nsid w:val="17180B0B"/>
    <w:multiLevelType w:val="hybridMultilevel"/>
    <w:lvl w:ilvl="0">
      <w:lvlJc w:val="left"/>
      <w:lvlText w:val="(%1)"/>
      <w:numFmt w:val="lowerLetter"/>
      <w:start w:val="1"/>
    </w:lvl>
  </w:abstractNum>
  <w:abstractNum w:abstractNumId="131">
    <w:nsid w:val="579328B9"/>
    <w:multiLevelType w:val="hybridMultilevel"/>
    <w:lvl w:ilvl="0">
      <w:lvlJc w:val="left"/>
      <w:lvlText w:val="(%1)"/>
      <w:numFmt w:val="lowerLetter"/>
      <w:start w:val="1"/>
    </w:lvl>
  </w:abstractNum>
  <w:abstractNum w:abstractNumId="132">
    <w:nsid w:val="5D205E20"/>
    <w:multiLevelType w:val="hybridMultilevel"/>
    <w:lvl w:ilvl="0">
      <w:lvlJc w:val="left"/>
      <w:lvlText w:val="(%1)"/>
      <w:numFmt w:val="lowerLetter"/>
      <w:start w:val="2"/>
    </w:lvl>
  </w:abstractNum>
  <w:abstractNum w:abstractNumId="133">
    <w:nsid w:val="11CCA8BA"/>
    <w:multiLevelType w:val="hybridMultilevel"/>
    <w:lvl w:ilvl="0">
      <w:lvlJc w:val="left"/>
      <w:lvlText w:val="(%1)"/>
      <w:numFmt w:val="lowerLetter"/>
      <w:start w:val="4"/>
    </w:lvl>
  </w:abstractNum>
  <w:abstractNum w:abstractNumId="134">
    <w:nsid w:val="4D32AB86"/>
    <w:multiLevelType w:val="hybridMultilevel"/>
    <w:lvl w:ilvl="0">
      <w:lvlJc w:val="left"/>
      <w:lvlText w:val="(%1)"/>
      <w:numFmt w:val="lowerLetter"/>
      <w:start w:val="1"/>
    </w:lvl>
  </w:abstractNum>
  <w:abstractNum w:abstractNumId="135">
    <w:nsid w:val="3F07ACC3"/>
    <w:multiLevelType w:val="hybridMultilevel"/>
    <w:lvl w:ilvl="0">
      <w:lvlJc w:val="left"/>
      <w:lvlText w:val="(%1)"/>
      <w:numFmt w:val="lowerLetter"/>
      <w:start w:val="1"/>
    </w:lvl>
  </w:abstractNum>
  <w:abstractNum w:abstractNumId="136">
    <w:nsid w:val="6B47F63E"/>
    <w:multiLevelType w:val="hybridMultilevel"/>
    <w:lvl w:ilvl="0">
      <w:lvlJc w:val="left"/>
      <w:lvlText w:val="(%1)"/>
      <w:numFmt w:val="lowerLetter"/>
      <w:start w:val="2"/>
    </w:lvl>
  </w:abstractNum>
  <w:abstractNum w:abstractNumId="137">
    <w:nsid w:val="5CB44A05"/>
    <w:multiLevelType w:val="hybridMultilevel"/>
    <w:lvl w:ilvl="0">
      <w:lvlJc w:val="left"/>
      <w:lvlText w:val="(%1)"/>
      <w:numFmt w:val="lowerLetter"/>
      <w:start w:val="4"/>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2"/>
    </w:lvl>
  </w:abstractNum>
  <w:abstractNum w:abstractNumId="140">
    <w:nsid w:val="3FCFAED9"/>
    <w:multiLevelType w:val="hybridMultilevel"/>
    <w:lvl w:ilvl="0">
      <w:lvlJc w:val="left"/>
      <w:lvlText w:val="(%1)"/>
      <w:numFmt w:val="lowerLetter"/>
      <w:start w:val="1"/>
    </w:lvl>
  </w:abstractNum>
  <w:abstractNum w:abstractNumId="141">
    <w:nsid w:val="F856867"/>
    <w:multiLevelType w:val="hybridMultilevel"/>
    <w:lvl w:ilvl="0">
      <w:lvlJc w:val="left"/>
      <w:lvlText w:val="(%1)"/>
      <w:numFmt w:val="lowerLetter"/>
      <w:start w:val="2"/>
    </w:lvl>
  </w:abstractNum>
  <w:abstractNum w:abstractNumId="142">
    <w:nsid w:val="11B1CC33"/>
    <w:multiLevelType w:val="hybridMultilevel"/>
    <w:lvl w:ilvl="0">
      <w:lvlJc w:val="left"/>
      <w:lvlText w:val="(%1)"/>
      <w:numFmt w:val="lowerLetter"/>
      <w:start w:val="1"/>
    </w:lvl>
  </w:abstractNum>
  <w:abstractNum w:abstractNumId="143">
    <w:nsid w:val="2E22FBB7"/>
    <w:multiLevelType w:val="hybridMultilevel"/>
    <w:lvl w:ilvl="0">
      <w:lvlJc w:val="left"/>
      <w:lvlText w:val="(%1)"/>
      <w:numFmt w:val="lowerLetter"/>
      <w:start w:val="2"/>
    </w:lvl>
  </w:abstractNum>
  <w:abstractNum w:abstractNumId="144">
    <w:nsid w:val="29934699"/>
    <w:multiLevelType w:val="hybridMultilevel"/>
    <w:lvl w:ilvl="0">
      <w:lvlJc w:val="left"/>
      <w:lvlText w:val="(%1)"/>
      <w:numFmt w:val="lowerLetter"/>
      <w:start w:val="1"/>
    </w:lvl>
    <w:lvl w:ilvl="1">
      <w:lvlJc w:val="left"/>
      <w:lvlText w:val="(%2)"/>
      <w:numFmt w:val="lowerRoman"/>
      <w:start w:val="1"/>
    </w:lvl>
  </w:abstractNum>
  <w:abstractNum w:abstractNumId="145">
    <w:nsid w:val="77485850"/>
    <w:multiLevelType w:val="hybridMultilevel"/>
    <w:lvl w:ilvl="0">
      <w:lvlJc w:val="left"/>
      <w:lvlText w:val="(%1)"/>
      <w:numFmt w:val="lowerRoman"/>
      <w:start w:val="6"/>
    </w:lvl>
  </w:abstractNum>
  <w:abstractNum w:abstractNumId="146">
    <w:nsid w:val="744939A3"/>
    <w:multiLevelType w:val="hybridMultilevel"/>
    <w:lvl w:ilvl="0">
      <w:lvlJc w:val="left"/>
      <w:lvlText w:val="(%1)"/>
      <w:numFmt w:val="lowerLetter"/>
      <w:start w:val="2"/>
    </w:lvl>
  </w:abstractNum>
  <w:abstractNum w:abstractNumId="147">
    <w:nsid w:val="4FA0D2E3"/>
    <w:multiLevelType w:val="hybridMultilevel"/>
    <w:lvl w:ilvl="0">
      <w:lvlJc w:val="left"/>
      <w:lvlText w:val="(%1)"/>
      <w:numFmt w:val="lowerLetter"/>
      <w:start w:val="1"/>
    </w:lvl>
  </w:abstractNum>
  <w:abstractNum w:abstractNumId="148">
    <w:nsid w:val="6B1D2C14"/>
    <w:multiLevelType w:val="hybridMultilevel"/>
    <w:lvl w:ilvl="0">
      <w:lvlJc w:val="left"/>
      <w:lvlText w:val="(%1)"/>
      <w:numFmt w:val="lowerLetter"/>
      <w:start w:val="2"/>
    </w:lvl>
  </w:abstractNum>
  <w:abstractNum w:abstractNumId="149">
    <w:nsid w:val="68B867D3"/>
    <w:multiLevelType w:val="hybridMultilevel"/>
    <w:lvl w:ilvl="0">
      <w:lvlJc w:val="left"/>
      <w:lvlText w:val="(%1)"/>
      <w:numFmt w:val="lowerLetter"/>
      <w:start w:val="1"/>
    </w:lvl>
  </w:abstractNum>
  <w:abstractNum w:abstractNumId="150">
    <w:nsid w:val="3F7F5DD9"/>
    <w:multiLevelType w:val="hybridMultilevel"/>
    <w:lvl w:ilvl="0">
      <w:lvlJc w:val="left"/>
      <w:lvlText w:val="(%1)"/>
      <w:numFmt w:val="lowerLetter"/>
      <w:start w:val="5"/>
    </w:lvl>
  </w:abstractNum>
  <w:abstractNum w:abstractNumId="151">
    <w:nsid w:val="2AE05A34"/>
    <w:multiLevelType w:val="hybridMultilevel"/>
    <w:lvl w:ilvl="0">
      <w:lvlJc w:val="left"/>
      <w:lvlText w:val="(%1)"/>
      <w:numFmt w:val="lowerRoman"/>
      <w:start w:val="1"/>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lowerLetter"/>
      <w:start w:val="2"/>
    </w:lvl>
  </w:abstractNum>
  <w:abstractNum w:abstractNumId="154">
    <w:nsid w:val="4DEFDFA0"/>
    <w:multiLevelType w:val="hybridMultilevel"/>
    <w:lvl w:ilvl="0">
      <w:lvlJc w:val="left"/>
      <w:lvlText w:val="%1"/>
      <w:numFmt w:val="lowerLetter"/>
      <w:start w:val="1"/>
    </w:lvl>
    <w:lvl w:ilvl="1">
      <w:lvlJc w:val="left"/>
      <w:lvlText w:val="(%2)"/>
      <w:numFmt w:val="lowerLetter"/>
      <w:start w:val="1"/>
    </w:lvl>
  </w:abstractNum>
  <w:abstractNum w:abstractNumId="155">
    <w:nsid w:val="2123D5F2"/>
    <w:multiLevelType w:val="hybridMultilevel"/>
    <w:lvl w:ilvl="0">
      <w:lvlJc w:val="left"/>
      <w:lvlText w:val="(%1)"/>
      <w:numFmt w:val="lowerLetter"/>
      <w:start w:val="35"/>
    </w:lvl>
    <w:lvl w:ilvl="1">
      <w:lvlJc w:val="left"/>
      <w:lvlText w:val="%2"/>
      <w:numFmt w:val="lowerLetter"/>
      <w:start w:val="1"/>
    </w:lvl>
  </w:abstractNum>
  <w:abstractNum w:abstractNumId="156">
    <w:nsid w:val="135B8110"/>
    <w:multiLevelType w:val="hybridMultilevel"/>
    <w:lvl w:ilvl="0">
      <w:lvlJc w:val="left"/>
      <w:lvlText w:val="(%1)"/>
      <w:numFmt w:val="lowerLetter"/>
      <w:start w:val="5"/>
    </w:lvl>
  </w:abstractNum>
  <w:abstractNum w:abstractNumId="157">
    <w:nsid w:val="94927A8"/>
    <w:multiLevelType w:val="hybridMultilevel"/>
    <w:lvl w:ilvl="0">
      <w:lvlJc w:val="left"/>
      <w:lvlText w:val="(%1)"/>
      <w:numFmt w:val="lowerLetter"/>
      <w:start w:val="8"/>
    </w:lvl>
  </w:abstractNum>
  <w:abstractNum w:abstractNumId="158">
    <w:nsid w:val="DCDF8F6"/>
    <w:multiLevelType w:val="hybridMultilevel"/>
    <w:lvl w:ilvl="0">
      <w:lvlJc w:val="left"/>
      <w:lvlText w:val="%1"/>
      <w:numFmt w:val="lowerLetter"/>
      <w:start w:val="1"/>
    </w:lvl>
    <w:lvl w:ilvl="1">
      <w:lvlJc w:val="left"/>
      <w:lvlText w:val="(%2)"/>
      <w:numFmt w:val="lowerLetter"/>
      <w:start w:val="1"/>
    </w:lvl>
  </w:abstractNum>
  <w:abstractNum w:abstractNumId="159">
    <w:nsid w:val="52D7B105"/>
    <w:multiLevelType w:val="hybridMultilevel"/>
    <w:lvl w:ilvl="0">
      <w:lvlJc w:val="left"/>
      <w:lvlText w:val="(%1)"/>
      <w:numFmt w:val="lowerLetter"/>
      <w:start w:val="35"/>
    </w:lvl>
    <w:lvl w:ilvl="1">
      <w:lvlJc w:val="left"/>
      <w:lvlText w:val="%2"/>
      <w:numFmt w:val="lowerLetter"/>
      <w:start w:val="1"/>
    </w:lvl>
  </w:abstractNum>
  <w:abstractNum w:abstractNumId="160">
    <w:nsid w:val="2E8A6394"/>
    <w:multiLevelType w:val="hybridMultilevel"/>
    <w:lvl w:ilvl="0">
      <w:lvlJc w:val="left"/>
      <w:lvlText w:val="(%1)"/>
      <w:numFmt w:val="lowerLetter"/>
      <w:start w:val="3"/>
    </w:lvl>
  </w:abstractNum>
  <w:abstractNum w:abstractNumId="161">
    <w:nsid w:val="24E60401"/>
    <w:multiLevelType w:val="hybridMultilevel"/>
    <w:lvl w:ilvl="0">
      <w:lvlJc w:val="left"/>
      <w:lvlText w:val="(%1)"/>
      <w:numFmt w:val="lowerLetter"/>
      <w:start w:val="1"/>
    </w:lvl>
  </w:abstractNum>
  <w:abstractNum w:abstractNumId="162">
    <w:nsid w:val="2A6AD9BE"/>
    <w:multiLevelType w:val="hybridMultilevel"/>
    <w:lvl w:ilvl="0">
      <w:lvlJc w:val="left"/>
      <w:lvlText w:val="(%1)"/>
      <w:numFmt w:val="lowerLetter"/>
      <w:start w:val="4"/>
    </w:lvl>
  </w:abstractNum>
  <w:abstractNum w:abstractNumId="163">
    <w:nsid w:val="BAAC1B4"/>
    <w:multiLevelType w:val="hybridMultilevel"/>
    <w:lvl w:ilvl="0">
      <w:lvlJc w:val="left"/>
      <w:lvlText w:val="(%1)"/>
      <w:numFmt w:val="lowerLetter"/>
      <w:start w:val="2"/>
    </w:lvl>
  </w:abstractNum>
  <w:abstractNum w:abstractNumId="164">
    <w:nsid w:val="36B2ACBC"/>
    <w:multiLevelType w:val="hybridMultilevel"/>
    <w:lvl w:ilvl="0">
      <w:lvlJc w:val="left"/>
      <w:lvlText w:val="(%1)"/>
      <w:numFmt w:val="lowerLetter"/>
      <w:start w:val="1"/>
    </w:lvl>
  </w:abstractNum>
  <w:abstractNum w:abstractNumId="165">
    <w:nsid w:val="779D8544"/>
    <w:multiLevelType w:val="hybridMultilevel"/>
    <w:lvl w:ilvl="0">
      <w:lvlJc w:val="left"/>
      <w:lvlText w:val="(%1)"/>
      <w:numFmt w:val="lowerLetter"/>
      <w:start w:val="2"/>
    </w:lvl>
  </w:abstractNum>
  <w:abstractNum w:abstractNumId="166">
    <w:nsid w:val="4AB26E78"/>
    <w:multiLevelType w:val="hybridMultilevel"/>
    <w:lvl w:ilvl="0">
      <w:lvlJc w:val="left"/>
      <w:lvlText w:val="%1"/>
      <w:numFmt w:val="lowerLetter"/>
      <w:start w:val="1"/>
    </w:lvl>
    <w:lvl w:ilvl="1">
      <w:lvlJc w:val="left"/>
      <w:lvlText w:val="(%2)"/>
      <w:numFmt w:val="lowerLetter"/>
      <w:start w:val="1"/>
    </w:lvl>
  </w:abstractNum>
  <w:abstractNum w:abstractNumId="167">
    <w:nsid w:val="21FAA2FA"/>
    <w:multiLevelType w:val="hybridMultilevel"/>
    <w:lvl w:ilvl="0">
      <w:lvlJc w:val="left"/>
      <w:lvlText w:val="(%1)"/>
      <w:numFmt w:val="lowerLetter"/>
      <w:start w:val="35"/>
    </w:lvl>
    <w:lvl w:ilvl="1">
      <w:lvlJc w:val="left"/>
      <w:lvlText w:val="(%2)"/>
      <w:numFmt w:val="lowerLetter"/>
      <w:start w:val="5"/>
    </w:lvl>
  </w:abstractNum>
  <w:abstractNum w:abstractNumId="168">
    <w:nsid w:val="5451CF49"/>
    <w:multiLevelType w:val="hybridMultilevel"/>
    <w:lvl w:ilvl="0">
      <w:lvlJc w:val="left"/>
      <w:lvlText w:val="(%1)"/>
      <w:numFmt w:val="lowerLetter"/>
      <w:start w:val="6"/>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2"/>
    </w:lvl>
  </w:abstractNum>
  <w:abstractNum w:abstractNumId="171">
    <w:nsid w:val="14217E23"/>
    <w:multiLevelType w:val="hybridMultilevel"/>
    <w:lvl w:ilvl="0">
      <w:lvlJc w:val="left"/>
      <w:lvlText w:val="(%1)"/>
      <w:numFmt w:val="lowerLetter"/>
      <w:start w:val="1"/>
    </w:lvl>
    <w:lvl w:ilvl="1">
      <w:lvlJc w:val="left"/>
      <w:lvlText w:val="(%2)"/>
      <w:numFmt w:val="lowerRoman"/>
      <w:start w:val="1"/>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Letter"/>
      <w:start w:val="2"/>
    </w:lvl>
  </w:abstractNum>
  <w:abstractNum w:abstractNumId="174">
    <w:nsid w:val="424479DA"/>
    <w:multiLevelType w:val="hybridMultilevel"/>
    <w:lvl w:ilvl="0">
      <w:lvlJc w:val="left"/>
      <w:lvlText w:val="(%1)"/>
      <w:numFmt w:val="lowerLetter"/>
      <w:start w:val="3"/>
    </w:lvl>
  </w:abstractNum>
  <w:abstractNum w:abstractNumId="175">
    <w:nsid w:val="1A9A9E69"/>
    <w:multiLevelType w:val="hybridMultilevel"/>
    <w:lvl w:ilvl="0">
      <w:lvlJc w:val="left"/>
      <w:lvlText w:val="(%1)"/>
      <w:numFmt w:val="lowerLetter"/>
      <w:start w:val="1"/>
    </w:lvl>
    <w:lvl w:ilvl="1">
      <w:lvlJc w:val="left"/>
      <w:lvlText w:val="(%2)"/>
      <w:numFmt w:val="lowerRoman"/>
      <w:start w:val="1"/>
    </w:lvl>
  </w:abstractNum>
  <w:abstractNum w:abstractNumId="176">
    <w:nsid w:val="475E256A"/>
    <w:multiLevelType w:val="hybridMultilevel"/>
    <w:lvl w:ilvl="0">
      <w:lvlJc w:val="left"/>
      <w:lvlText w:val="o"/>
      <w:numFmt w:val="bullet"/>
      <w:start w:val="1"/>
    </w:lvl>
  </w:abstractNum>
  <w:abstractNum w:abstractNumId="177">
    <w:nsid w:val="368DB37E"/>
    <w:multiLevelType w:val="hybridMultilevel"/>
    <w:lvl w:ilvl="0">
      <w:lvlJc w:val="left"/>
      <w:lvlText w:val="%1."/>
      <w:numFmt w:val="upperLetter"/>
      <w:start w:val="1"/>
    </w:lvl>
    <w:lvl w:ilvl="1">
      <w:lvlJc w:val="left"/>
      <w:lvlText w:val="%2."/>
      <w:numFmt w:val="decimal"/>
      <w:start w:val="1"/>
    </w:lvl>
  </w:abstractNum>
  <w:abstractNum w:abstractNumId="178">
    <w:nsid w:val="6A3B714C"/>
    <w:multiLevelType w:val="hybridMultilevel"/>
    <w:lvl w:ilvl="0">
      <w:lvlJc w:val="left"/>
      <w:lvlText w:val="%1."/>
      <w:numFmt w:val="upperLetter"/>
      <w:start w:val="2"/>
    </w:lvl>
  </w:abstractNum>
  <w:abstractNum w:abstractNumId="179">
    <w:nsid w:val="327B517E"/>
    <w:multiLevelType w:val="hybridMultilevel"/>
    <w:lvl w:ilvl="0">
      <w:lvlJc w:val="left"/>
      <w:lvlText w:val="%1."/>
      <w:numFmt w:val="decimal"/>
      <w:start w:val="1"/>
    </w:lvl>
  </w:abstractNum>
  <w:abstractNum w:abstractNumId="180">
    <w:nsid w:val="1F461B51"/>
    <w:multiLevelType w:val="hybridMultilevel"/>
    <w:lvl w:ilvl="0">
      <w:lvlJc w:val="left"/>
      <w:lvlText w:val="o"/>
      <w:numFmt w:val="bullet"/>
      <w:start w:val="1"/>
    </w:lvl>
  </w:abstractNum>
  <w:abstractNum w:abstractNumId="181">
    <w:nsid w:val="29BACF25"/>
    <w:multiLevelType w:val="hybridMultilevel"/>
    <w:lvl w:ilvl="0">
      <w:lvlJc w:val="left"/>
      <w:lvlText w:val="%1."/>
      <w:numFmt w:val="upperLetter"/>
      <w:start w:val="1"/>
    </w:lvl>
    <w:lvl w:ilvl="1">
      <w:lvlJc w:val="left"/>
      <w:lvlText w:val="%2."/>
      <w:numFmt w:val="decimal"/>
      <w:start w:val="1"/>
    </w:lvl>
  </w:abstractNum>
  <w:abstractNum w:abstractNumId="182">
    <w:nsid w:val="5D5BABB3"/>
    <w:multiLevelType w:val="hybridMultilevel"/>
    <w:lvl w:ilvl="0">
      <w:lvlJc w:val="left"/>
      <w:lvlText w:val="%1."/>
      <w:numFmt w:val="upperLetter"/>
      <w:start w:val="2"/>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2020-01-18T13:52:19Z</dcterms:created>
  <dcterms:modified xsi:type="dcterms:W3CDTF">2020-01-18T13:52:19Z</dcterms:modified>
</cp:coreProperties>
</file>