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ind w:left="34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29845</wp:posOffset>
            </wp:positionH>
            <wp:positionV relativeFrom="paragraph">
              <wp:posOffset>-224790</wp:posOffset>
            </wp:positionV>
            <wp:extent cx="125095" cy="12509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095" cy="125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9"/>
        </w:trPr>
        <w:tc>
          <w:tcPr>
            <w:tcW w:w="6160" w:type="dxa"/>
            <w:vAlign w:val="bottom"/>
          </w:tcPr>
          <w:p>
            <w:pPr>
              <w:jc w:val="center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160" w:type="dxa"/>
            <w:vAlign w:val="bottom"/>
            <w:vMerge w:val="restart"/>
          </w:tcPr>
          <w:p>
            <w:pPr>
              <w:jc w:val="center"/>
              <w:ind w:right="3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6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60" w:type="dxa"/>
            <w:vAlign w:val="bottom"/>
            <w:vMerge w:val="restart"/>
          </w:tcPr>
          <w:p>
            <w:pPr>
              <w:jc w:val="center"/>
              <w:ind w:right="340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61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60" w:type="dxa"/>
            <w:vAlign w:val="bottom"/>
            <w:vMerge w:val="restart"/>
          </w:tcPr>
          <w:p>
            <w:pPr>
              <w:jc w:val="center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5183505</wp:posOffset>
            </wp:positionH>
            <wp:positionV relativeFrom="paragraph">
              <wp:posOffset>-596900</wp:posOffset>
            </wp:positionV>
            <wp:extent cx="56515" cy="6102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" cy="610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3896360</wp:posOffset>
            </wp:positionH>
            <wp:positionV relativeFrom="paragraph">
              <wp:posOffset>-596900</wp:posOffset>
            </wp:positionV>
            <wp:extent cx="56515" cy="6102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" cy="610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-1727835</wp:posOffset>
            </wp:positionH>
            <wp:positionV relativeFrom="paragraph">
              <wp:posOffset>24765</wp:posOffset>
            </wp:positionV>
            <wp:extent cx="6999605" cy="44564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9605" cy="4456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140" w:space="560"/>
            <w:col w:w="8380"/>
          </w:cols>
          <w:pgMar w:left="460" w:top="213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0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Chiang Willie CW</w:t>
        </w:r>
      </w:hyperlink>
    </w:p>
    <w:p>
      <w:pPr>
        <w:spacing w:after="0" w:line="27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333 CLAY STREET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SUITE 1600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2.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118"/>
        <w:spacing w:after="0"/>
        <w:rPr>
          <w:rFonts w:ascii="Times New Roman" w:cs="Times New Roman" w:eastAsia="Times New Roman" w:hAnsi="Times New Roman"/>
          <w:sz w:val="19"/>
          <w:szCs w:val="19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19"/>
            <w:szCs w:val="19"/>
            <w:u w:val="single" w:color="auto"/>
            <w:color w:val="0000EE"/>
          </w:rPr>
          <w:t>PLAINS GP HOLDINGS LP</w:t>
        </w:r>
        <w:r>
          <w:rPr>
            <w:rFonts w:ascii="Times New Roman" w:cs="Times New Roman" w:eastAsia="Times New Roman" w:hAnsi="Times New Roman"/>
            <w:sz w:val="19"/>
            <w:szCs w:val="19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[</w:t>
      </w:r>
      <w:r>
        <w:rPr>
          <w:rFonts w:ascii="Times New Roman" w:cs="Times New Roman" w:eastAsia="Times New Roman" w:hAnsi="Times New Roman"/>
          <w:sz w:val="19"/>
          <w:szCs w:val="19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4"/>
          <w:szCs w:val="14"/>
          <w:color w:val="0000FF"/>
        </w:rPr>
        <w:t>PAGP</w:t>
      </w:r>
      <w:r>
        <w:rPr>
          <w:rFonts w:ascii="Times New Roman" w:cs="Times New Roman" w:eastAsia="Times New Roman" w:hAnsi="Times New Roman"/>
          <w:sz w:val="19"/>
          <w:szCs w:val="19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01/04/2023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2" w:right="760" w:hanging="2"/>
        <w:spacing w:after="0" w:line="266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Director</w:t>
            </w:r>
          </w:p>
        </w:tc>
        <w:tc>
          <w:tcPr>
            <w:tcW w:w="11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Officer (give title</w:t>
            </w:r>
          </w:p>
        </w:tc>
        <w:tc>
          <w:tcPr>
            <w:tcW w:w="11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100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Chairman &amp; CEO</w:t>
      </w:r>
    </w:p>
    <w:p>
      <w:pPr>
        <w:spacing w:after="0" w:line="5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8" w:space="720"/>
            <w:col w:w="3342"/>
          </w:cols>
          <w:pgMar w:left="460" w:top="213" w:right="359" w:bottom="1440" w:gutter="0" w:footer="0" w:header="0"/>
          <w:type w:val="continuous"/>
        </w:sectPr>
      </w:pPr>
    </w:p>
    <w:p>
      <w:pPr>
        <w:spacing w:after="0" w:line="7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0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9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HOUSTON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TX</w:t>
            </w:r>
          </w:p>
        </w:tc>
        <w:tc>
          <w:tcPr>
            <w:tcW w:w="10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77002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X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4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One Reporting Person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(Zip)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5. Amount of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</w:tcPr>
          <w:p>
            <w:pPr>
              <w:ind w:left="9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1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</w:tcPr>
          <w:p>
            <w:pPr>
              <w:ind w:left="9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ind w:left="1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1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60" w:type="dxa"/>
            <w:vAlign w:val="bottom"/>
            <w:gridSpan w:val="10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1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2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1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1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6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2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Class B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  <w:w w:val="85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Class 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353,489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jc w:val="right"/>
              <w:ind w:right="142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01/04/2023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375,521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Units/Class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right"/>
              <w:ind w:right="264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jc w:val="right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3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Units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B Shares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Class A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  <w:w w:val="85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Class 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353,489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Units/Class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jc w:val="right"/>
              <w:ind w:right="142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01/04/2023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353,489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right"/>
              <w:ind w:right="264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right"/>
              <w:ind w:right="18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353,489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9"/>
              </w:rPr>
              <w:t>Shares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B Shares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-1939290</wp:posOffset>
            </wp:positionV>
            <wp:extent cx="28575" cy="1944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944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 w:right="200" w:hanging="5"/>
        <w:spacing w:after="0" w:line="253" w:lineRule="auto"/>
        <w:tabs>
          <w:tab w:leader="none" w:pos="16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Pursuant to the limited partnership agreement of Plains AAP, L.P. ("AAP"), a holder of vested Class B Units of AAP, (the "Class B Units") may convert (the "Conversion Right"), at any time and from time to time, such Class B Units into Class A Units of AAP (the "Class A Units") and Class B Shares (the "Class B Shares") of Plains GP Holdings, L.P. ("PAGP"), at a conversion ratio of approximately 0.941 Class A Units and Class B Shares for each Class B Unit. The Conversion Right does not expire. On January 4, 2023, the Reporting Person exercised his right to convert 375,521 vested Class B Units into 353,489 Class A Units and Class B shares.</w:t>
      </w:r>
    </w:p>
    <w:p>
      <w:pPr>
        <w:spacing w:after="0" w:line="18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40" w:right="420" w:hanging="5"/>
        <w:spacing w:after="0" w:line="272" w:lineRule="auto"/>
        <w:tabs>
          <w:tab w:leader="none" w:pos="16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Pursuant to the limited partnership agreement of AAP, Reporting Person has the right, at any time and from time to time, to exchange (the "Exchange Right") his Class A Units, together with like number of Class B Shares, for Class A Shares of PAGP on a one-for-one basis. The Reporting Person has not yet exercised the Exchange Right; the Exchange Right does not expire.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19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/s/ Ann F. Gullion, as attorney-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5"/>
              </w:rPr>
              <w:t>01/05/2023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in-fact for Willie CW Chiang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18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** Signature of Reporting Person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960" w:hanging="5"/>
        <w:spacing w:after="0" w:line="320" w:lineRule="auto"/>
        <w:tabs>
          <w:tab w:leader="none" w:pos="170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3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21559" TargetMode="External"/><Relationship Id="rId13" Type="http://schemas.openxmlformats.org/officeDocument/2006/relationships/hyperlink" Target="http://www.sec.gov/cgi-bin/browse-edgar?action=getcompany&amp;CIK=00015819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2023-01-05T17:26:40Z</dcterms:created>
  <dcterms:modified xsi:type="dcterms:W3CDTF">2023-01-05T17:26:40Z</dcterms:modified>
</cp:coreProperties>
</file>