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0"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As filed with the Securities and Exchange Commission on September 8, 2021</w:t>
      </w:r>
    </w:p>
    <w:p>
      <w:pPr>
        <w:spacing w:after="0" w:line="25" w:lineRule="exact"/>
        <w:rPr>
          <w:sz w:val="24"/>
          <w:szCs w:val="24"/>
          <w:color w:val="auto"/>
        </w:rPr>
      </w:pPr>
    </w:p>
    <w:p>
      <w:pPr>
        <w:ind w:left="86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68580</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115"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UNITED STATES</w:t>
      </w:r>
    </w:p>
    <w:p>
      <w:pPr>
        <w:jc w:val="center"/>
        <w:ind w:right="-519"/>
        <w:spacing w:after="0" w:line="22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60325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3"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S-3</w:t>
      </w:r>
    </w:p>
    <w:p>
      <w:pPr>
        <w:jc w:val="center"/>
        <w:ind w:right="-479"/>
        <w:spacing w:after="0" w:line="201" w:lineRule="auto"/>
        <w:rPr>
          <w:sz w:val="20"/>
          <w:szCs w:val="20"/>
          <w:color w:val="auto"/>
        </w:rPr>
      </w:pPr>
      <w:r>
        <w:rPr>
          <w:rFonts w:ascii="Arial" w:cs="Arial" w:eastAsia="Arial" w:hAnsi="Arial"/>
          <w:sz w:val="14"/>
          <w:szCs w:val="14"/>
          <w:b w:val="1"/>
          <w:bCs w:val="1"/>
          <w:color w:val="auto"/>
        </w:rPr>
        <w:t>REGISTRATION STATEMENT</w:t>
      </w:r>
    </w:p>
    <w:p>
      <w:pPr>
        <w:jc w:val="center"/>
        <w:ind w:right="-479"/>
        <w:spacing w:after="0" w:line="201" w:lineRule="auto"/>
        <w:rPr>
          <w:sz w:val="20"/>
          <w:szCs w:val="20"/>
          <w:color w:val="auto"/>
        </w:rPr>
      </w:pPr>
      <w:r>
        <w:rPr>
          <w:rFonts w:ascii="Arial" w:cs="Arial" w:eastAsia="Arial" w:hAnsi="Arial"/>
          <w:sz w:val="14"/>
          <w:szCs w:val="14"/>
          <w:b w:val="1"/>
          <w:bCs w:val="1"/>
          <w:color w:val="auto"/>
        </w:rPr>
        <w:t>UNDER</w:t>
      </w:r>
    </w:p>
    <w:p>
      <w:pPr>
        <w:jc w:val="center"/>
        <w:ind w:right="-5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56515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2" w:lineRule="exact"/>
        <w:rPr>
          <w:sz w:val="24"/>
          <w:szCs w:val="24"/>
          <w:color w:val="auto"/>
        </w:rPr>
      </w:pPr>
    </w:p>
    <w:tbl>
      <w:tblPr>
        <w:tblLayout w:type="fixed"/>
        <w:tblInd w:w="500" w:type="dxa"/>
        <w:tblCellMar>
          <w:top w:w="0" w:type="dxa"/>
          <w:left w:w="0" w:type="dxa"/>
          <w:bottom w:w="0" w:type="dxa"/>
          <w:right w:w="0" w:type="dxa"/>
        </w:tblCellMar>
      </w:tblPr>
      <w:tr>
        <w:trPr>
          <w:trHeight w:val="253"/>
        </w:trPr>
        <w:tc>
          <w:tcPr>
            <w:tcW w:w="6840" w:type="dxa"/>
            <w:vAlign w:val="bottom"/>
            <w:gridSpan w:val="3"/>
          </w:tcPr>
          <w:p>
            <w:pPr>
              <w:ind w:left="2860"/>
              <w:spacing w:after="0"/>
              <w:rPr>
                <w:sz w:val="20"/>
                <w:szCs w:val="20"/>
                <w:color w:val="auto"/>
              </w:rPr>
            </w:pPr>
            <w:r>
              <w:rPr>
                <w:rFonts w:ascii="Arial" w:cs="Arial" w:eastAsia="Arial" w:hAnsi="Arial"/>
                <w:sz w:val="22"/>
                <w:szCs w:val="22"/>
                <w:b w:val="1"/>
                <w:bCs w:val="1"/>
                <w:color w:val="auto"/>
                <w:w w:val="95"/>
              </w:rPr>
              <w:t>PLAINS ALL AMERICAN PIPELINE, L.P.</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40" w:type="dxa"/>
            <w:vAlign w:val="bottom"/>
            <w:gridSpan w:val="3"/>
          </w:tcPr>
          <w:p>
            <w:pPr>
              <w:ind w:left="3820"/>
              <w:spacing w:after="0" w:line="242" w:lineRule="exact"/>
              <w:rPr>
                <w:sz w:val="20"/>
                <w:szCs w:val="20"/>
                <w:color w:val="auto"/>
              </w:rPr>
            </w:pPr>
            <w:r>
              <w:rPr>
                <w:rFonts w:ascii="Arial" w:cs="Arial" w:eastAsia="Arial" w:hAnsi="Arial"/>
                <w:sz w:val="22"/>
                <w:szCs w:val="22"/>
                <w:b w:val="1"/>
                <w:bCs w:val="1"/>
                <w:color w:val="auto"/>
              </w:rPr>
              <w:t>PAA FINANCE CORP.</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6840" w:type="dxa"/>
            <w:vAlign w:val="bottom"/>
            <w:gridSpan w:val="3"/>
          </w:tcPr>
          <w:p>
            <w:pPr>
              <w:jc w:val="center"/>
              <w:ind w:left="2806"/>
              <w:spacing w:after="0"/>
              <w:rPr>
                <w:sz w:val="20"/>
                <w:szCs w:val="20"/>
                <w:color w:val="auto"/>
              </w:rPr>
            </w:pPr>
            <w:r>
              <w:rPr>
                <w:rFonts w:ascii="Arial" w:cs="Arial" w:eastAsia="Arial" w:hAnsi="Arial"/>
                <w:sz w:val="13"/>
                <w:szCs w:val="13"/>
                <w:color w:val="auto"/>
                <w:w w:val="92"/>
              </w:rPr>
              <w:t>(Exact Name of Registrant as Specified in its Charter)</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84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1"/>
              </w:rPr>
              <w:t>Delaware</w:t>
            </w:r>
          </w:p>
        </w:tc>
        <w:tc>
          <w:tcPr>
            <w:tcW w:w="2420" w:type="dxa"/>
            <w:vAlign w:val="bottom"/>
          </w:tcPr>
          <w:p>
            <w:pPr>
              <w:jc w:val="center"/>
              <w:ind w:right="1353"/>
              <w:spacing w:after="0"/>
              <w:rPr>
                <w:sz w:val="20"/>
                <w:szCs w:val="20"/>
                <w:color w:val="auto"/>
              </w:rPr>
            </w:pPr>
            <w:r>
              <w:rPr>
                <w:rFonts w:ascii="Arial" w:cs="Arial" w:eastAsia="Arial" w:hAnsi="Arial"/>
                <w:sz w:val="14"/>
                <w:szCs w:val="14"/>
                <w:b w:val="1"/>
                <w:bCs w:val="1"/>
                <w:color w:val="auto"/>
                <w:w w:val="90"/>
              </w:rPr>
              <w:t>76-0582150</w:t>
            </w:r>
          </w:p>
        </w:tc>
        <w:tc>
          <w:tcPr>
            <w:tcW w:w="0" w:type="dxa"/>
            <w:vAlign w:val="bottom"/>
          </w:tcPr>
          <w:p>
            <w:pPr>
              <w:spacing w:after="0"/>
              <w:rPr>
                <w:sz w:val="1"/>
                <w:szCs w:val="1"/>
                <w:color w:val="auto"/>
              </w:rPr>
            </w:pPr>
          </w:p>
        </w:tc>
      </w:tr>
      <w:tr>
        <w:trPr>
          <w:trHeight w:val="186"/>
        </w:trPr>
        <w:tc>
          <w:tcPr>
            <w:tcW w:w="6840" w:type="dxa"/>
            <w:vAlign w:val="bottom"/>
            <w:gridSpan w:val="3"/>
          </w:tcPr>
          <w:p>
            <w:pPr>
              <w:ind w:left="2080"/>
              <w:spacing w:after="0"/>
              <w:rPr>
                <w:sz w:val="20"/>
                <w:szCs w:val="20"/>
                <w:color w:val="auto"/>
              </w:rPr>
            </w:pPr>
            <w:r>
              <w:rPr>
                <w:rFonts w:ascii="Arial" w:cs="Arial" w:eastAsia="Arial" w:hAnsi="Arial"/>
                <w:sz w:val="14"/>
                <w:szCs w:val="14"/>
                <w:b w:val="1"/>
                <w:bCs w:val="1"/>
                <w:color w:val="auto"/>
              </w:rPr>
              <w:t>Delaware</w:t>
            </w:r>
          </w:p>
        </w:tc>
        <w:tc>
          <w:tcPr>
            <w:tcW w:w="2420" w:type="dxa"/>
            <w:vAlign w:val="bottom"/>
            <w:vMerge w:val="restart"/>
          </w:tcPr>
          <w:p>
            <w:pPr>
              <w:jc w:val="center"/>
              <w:ind w:right="1353"/>
              <w:spacing w:after="0"/>
              <w:rPr>
                <w:sz w:val="20"/>
                <w:szCs w:val="20"/>
                <w:color w:val="auto"/>
              </w:rPr>
            </w:pPr>
            <w:r>
              <w:rPr>
                <w:rFonts w:ascii="Arial" w:cs="Arial" w:eastAsia="Arial" w:hAnsi="Arial"/>
                <w:sz w:val="14"/>
                <w:szCs w:val="14"/>
                <w:b w:val="1"/>
                <w:bCs w:val="1"/>
                <w:color w:val="auto"/>
                <w:w w:val="90"/>
              </w:rPr>
              <w:t>56-2464313</w:t>
            </w:r>
          </w:p>
        </w:tc>
        <w:tc>
          <w:tcPr>
            <w:tcW w:w="0" w:type="dxa"/>
            <w:vAlign w:val="bottom"/>
          </w:tcPr>
          <w:p>
            <w:pPr>
              <w:spacing w:after="0"/>
              <w:rPr>
                <w:sz w:val="1"/>
                <w:szCs w:val="1"/>
                <w:color w:val="auto"/>
              </w:rPr>
            </w:pPr>
          </w:p>
        </w:tc>
      </w:tr>
      <w:tr>
        <w:trPr>
          <w:trHeight w:val="54"/>
        </w:trPr>
        <w:tc>
          <w:tcPr>
            <w:tcW w:w="6840" w:type="dxa"/>
            <w:vAlign w:val="bottom"/>
            <w:gridSpan w:val="3"/>
            <w:vMerge w:val="restart"/>
          </w:tcPr>
          <w:p>
            <w:pPr>
              <w:jc w:val="center"/>
              <w:ind w:right="2140"/>
              <w:spacing w:after="0"/>
              <w:rPr>
                <w:sz w:val="20"/>
                <w:szCs w:val="20"/>
                <w:color w:val="auto"/>
              </w:rPr>
            </w:pPr>
            <w:r>
              <w:rPr>
                <w:rFonts w:ascii="Arial" w:cs="Arial" w:eastAsia="Arial" w:hAnsi="Arial"/>
                <w:sz w:val="13"/>
                <w:szCs w:val="13"/>
                <w:color w:val="auto"/>
                <w:w w:val="91"/>
              </w:rPr>
              <w:t>(State or Other Jurisdiction</w:t>
            </w: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840" w:type="dxa"/>
            <w:vAlign w:val="bottom"/>
            <w:gridSpan w:val="3"/>
            <w:vMerge w:val="continue"/>
          </w:tcPr>
          <w:p>
            <w:pPr>
              <w:spacing w:after="0"/>
              <w:rPr>
                <w:sz w:val="12"/>
                <w:szCs w:val="12"/>
                <w:color w:val="auto"/>
              </w:rPr>
            </w:pPr>
          </w:p>
        </w:tc>
        <w:tc>
          <w:tcPr>
            <w:tcW w:w="2420" w:type="dxa"/>
            <w:vAlign w:val="bottom"/>
            <w:vMerge w:val="restart"/>
          </w:tcPr>
          <w:p>
            <w:pPr>
              <w:ind w:left="40"/>
              <w:spacing w:after="0"/>
              <w:rPr>
                <w:sz w:val="20"/>
                <w:szCs w:val="20"/>
                <w:color w:val="auto"/>
              </w:rPr>
            </w:pPr>
            <w:r>
              <w:rPr>
                <w:rFonts w:ascii="Arial" w:cs="Arial" w:eastAsia="Arial" w:hAnsi="Arial"/>
                <w:sz w:val="13"/>
                <w:szCs w:val="13"/>
                <w:color w:val="auto"/>
              </w:rPr>
              <w:t>(I.R.S. Employer</w:t>
            </w:r>
          </w:p>
        </w:tc>
        <w:tc>
          <w:tcPr>
            <w:tcW w:w="0" w:type="dxa"/>
            <w:vAlign w:val="bottom"/>
          </w:tcPr>
          <w:p>
            <w:pPr>
              <w:spacing w:after="0"/>
              <w:rPr>
                <w:sz w:val="1"/>
                <w:szCs w:val="1"/>
                <w:color w:val="auto"/>
              </w:rPr>
            </w:pPr>
          </w:p>
        </w:tc>
      </w:tr>
      <w:tr>
        <w:trPr>
          <w:trHeight w:val="81"/>
        </w:trPr>
        <w:tc>
          <w:tcPr>
            <w:tcW w:w="6840" w:type="dxa"/>
            <w:vAlign w:val="bottom"/>
            <w:gridSpan w:val="3"/>
            <w:vMerge w:val="restart"/>
          </w:tcPr>
          <w:p>
            <w:pPr>
              <w:jc w:val="center"/>
              <w:ind w:right="2100"/>
              <w:spacing w:after="0"/>
              <w:rPr>
                <w:sz w:val="20"/>
                <w:szCs w:val="20"/>
                <w:color w:val="auto"/>
              </w:rPr>
            </w:pPr>
            <w:r>
              <w:rPr>
                <w:rFonts w:ascii="Arial" w:cs="Arial" w:eastAsia="Arial" w:hAnsi="Arial"/>
                <w:sz w:val="13"/>
                <w:szCs w:val="13"/>
                <w:color w:val="auto"/>
                <w:w w:val="95"/>
              </w:rPr>
              <w:t>of Incorporation or Organization)</w:t>
            </w: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840" w:type="dxa"/>
            <w:vAlign w:val="bottom"/>
            <w:gridSpan w:val="3"/>
            <w:vMerge w:val="continue"/>
          </w:tcPr>
          <w:p>
            <w:pPr>
              <w:spacing w:after="0"/>
              <w:rPr>
                <w:sz w:val="8"/>
                <w:szCs w:val="8"/>
                <w:color w:val="auto"/>
              </w:rPr>
            </w:pPr>
          </w:p>
        </w:tc>
        <w:tc>
          <w:tcPr>
            <w:tcW w:w="2420" w:type="dxa"/>
            <w:vAlign w:val="bottom"/>
            <w:vMerge w:val="restart"/>
          </w:tcPr>
          <w:p>
            <w:pPr>
              <w:jc w:val="center"/>
              <w:ind w:right="1373"/>
              <w:spacing w:after="0"/>
              <w:rPr>
                <w:sz w:val="20"/>
                <w:szCs w:val="20"/>
                <w:color w:val="auto"/>
              </w:rPr>
            </w:pPr>
            <w:r>
              <w:rPr>
                <w:rFonts w:ascii="Arial" w:cs="Arial" w:eastAsia="Arial" w:hAnsi="Arial"/>
                <w:sz w:val="13"/>
                <w:szCs w:val="13"/>
                <w:color w:val="auto"/>
                <w:w w:val="96"/>
              </w:rPr>
              <w:t>Identification No.)</w:t>
            </w: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3900" w:type="dxa"/>
            <w:vAlign w:val="bottom"/>
          </w:tcPr>
          <w:p>
            <w:pPr>
              <w:spacing w:after="0"/>
              <w:rPr>
                <w:sz w:val="24"/>
                <w:szCs w:val="24"/>
                <w:color w:val="auto"/>
              </w:rPr>
            </w:pPr>
          </w:p>
        </w:tc>
        <w:tc>
          <w:tcPr>
            <w:tcW w:w="29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333 Clay Street, Suite 1600</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940" w:type="dxa"/>
            <w:vAlign w:val="bottom"/>
            <w:gridSpan w:val="2"/>
          </w:tcPr>
          <w:p>
            <w:pPr>
              <w:jc w:val="center"/>
              <w:ind w:right="1060"/>
              <w:spacing w:after="0" w:line="135" w:lineRule="exact"/>
              <w:rPr>
                <w:sz w:val="20"/>
                <w:szCs w:val="20"/>
                <w:color w:val="auto"/>
              </w:rPr>
            </w:pPr>
            <w:r>
              <w:rPr>
                <w:rFonts w:ascii="Arial" w:cs="Arial" w:eastAsia="Arial" w:hAnsi="Arial"/>
                <w:sz w:val="14"/>
                <w:szCs w:val="14"/>
                <w:b w:val="1"/>
                <w:bCs w:val="1"/>
                <w:color w:val="auto"/>
                <w:w w:val="87"/>
              </w:rPr>
              <w:t>Houston, Texas 77002</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40" w:type="dxa"/>
            <w:vAlign w:val="bottom"/>
            <w:gridSpan w:val="2"/>
          </w:tcPr>
          <w:p>
            <w:pPr>
              <w:jc w:val="center"/>
              <w:ind w:left="3826"/>
              <w:spacing w:after="0"/>
              <w:rPr>
                <w:sz w:val="20"/>
                <w:szCs w:val="20"/>
                <w:color w:val="auto"/>
              </w:rPr>
            </w:pPr>
            <w:r>
              <w:rPr>
                <w:rFonts w:ascii="Arial" w:cs="Arial" w:eastAsia="Arial" w:hAnsi="Arial"/>
                <w:sz w:val="14"/>
                <w:szCs w:val="14"/>
                <w:b w:val="1"/>
                <w:bCs w:val="1"/>
                <w:color w:val="auto"/>
                <w:w w:val="89"/>
              </w:rPr>
              <w:t>(713) 646-4100</w:t>
            </w:r>
          </w:p>
        </w:tc>
        <w:tc>
          <w:tcPr>
            <w:tcW w:w="1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260" w:type="dxa"/>
            <w:vAlign w:val="bottom"/>
            <w:gridSpan w:val="4"/>
          </w:tcPr>
          <w:p>
            <w:pPr>
              <w:jc w:val="center"/>
              <w:ind w:left="406"/>
              <w:spacing w:after="0"/>
              <w:rPr>
                <w:sz w:val="20"/>
                <w:szCs w:val="20"/>
                <w:color w:val="auto"/>
              </w:rPr>
            </w:pPr>
            <w:r>
              <w:rPr>
                <w:rFonts w:ascii="Arial" w:cs="Arial" w:eastAsia="Arial" w:hAnsi="Arial"/>
                <w:sz w:val="13"/>
                <w:szCs w:val="13"/>
                <w:color w:val="auto"/>
                <w:w w:val="93"/>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43"/>
        </w:trPr>
        <w:tc>
          <w:tcPr>
            <w:tcW w:w="39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29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2"/>
              </w:rPr>
              <w:t>Richard McGee</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840" w:type="dxa"/>
            <w:vAlign w:val="bottom"/>
            <w:gridSpan w:val="3"/>
          </w:tcPr>
          <w:p>
            <w:pPr>
              <w:jc w:val="center"/>
              <w:ind w:left="2786"/>
              <w:spacing w:after="0" w:line="135" w:lineRule="exact"/>
              <w:rPr>
                <w:sz w:val="20"/>
                <w:szCs w:val="20"/>
                <w:color w:val="auto"/>
              </w:rPr>
            </w:pPr>
            <w:r>
              <w:rPr>
                <w:rFonts w:ascii="Arial" w:cs="Arial" w:eastAsia="Arial" w:hAnsi="Arial"/>
                <w:sz w:val="14"/>
                <w:szCs w:val="14"/>
                <w:b w:val="1"/>
                <w:bCs w:val="1"/>
                <w:color w:val="auto"/>
                <w:w w:val="87"/>
              </w:rPr>
              <w:t>Executive Vice President, General</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940" w:type="dxa"/>
            <w:vAlign w:val="bottom"/>
            <w:gridSpan w:val="2"/>
          </w:tcPr>
          <w:p>
            <w:pPr>
              <w:jc w:val="center"/>
              <w:ind w:right="1040"/>
              <w:spacing w:after="0" w:line="135" w:lineRule="exact"/>
              <w:rPr>
                <w:sz w:val="20"/>
                <w:szCs w:val="20"/>
                <w:color w:val="auto"/>
              </w:rPr>
            </w:pPr>
            <w:r>
              <w:rPr>
                <w:rFonts w:ascii="Arial" w:cs="Arial" w:eastAsia="Arial" w:hAnsi="Arial"/>
                <w:sz w:val="14"/>
                <w:szCs w:val="14"/>
                <w:b w:val="1"/>
                <w:bCs w:val="1"/>
                <w:color w:val="auto"/>
                <w:w w:val="88"/>
              </w:rPr>
              <w:t>Counsel and Secretary</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940" w:type="dxa"/>
            <w:vAlign w:val="bottom"/>
            <w:gridSpan w:val="2"/>
          </w:tcPr>
          <w:p>
            <w:pPr>
              <w:jc w:val="center"/>
              <w:ind w:right="1040"/>
              <w:spacing w:after="0" w:line="135" w:lineRule="exact"/>
              <w:rPr>
                <w:sz w:val="20"/>
                <w:szCs w:val="20"/>
                <w:color w:val="auto"/>
              </w:rPr>
            </w:pPr>
            <w:r>
              <w:rPr>
                <w:rFonts w:ascii="Arial" w:cs="Arial" w:eastAsia="Arial" w:hAnsi="Arial"/>
                <w:sz w:val="14"/>
                <w:szCs w:val="14"/>
                <w:b w:val="1"/>
                <w:bCs w:val="1"/>
                <w:color w:val="auto"/>
                <w:w w:val="89"/>
              </w:rPr>
              <w:t>333 Clay Street, Suite 1600</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940" w:type="dxa"/>
            <w:vAlign w:val="bottom"/>
            <w:gridSpan w:val="2"/>
          </w:tcPr>
          <w:p>
            <w:pPr>
              <w:jc w:val="center"/>
              <w:ind w:right="1060"/>
              <w:spacing w:after="0" w:line="135" w:lineRule="exact"/>
              <w:rPr>
                <w:sz w:val="20"/>
                <w:szCs w:val="20"/>
                <w:color w:val="auto"/>
              </w:rPr>
            </w:pPr>
            <w:r>
              <w:rPr>
                <w:rFonts w:ascii="Arial" w:cs="Arial" w:eastAsia="Arial" w:hAnsi="Arial"/>
                <w:sz w:val="14"/>
                <w:szCs w:val="14"/>
                <w:b w:val="1"/>
                <w:bCs w:val="1"/>
                <w:color w:val="auto"/>
                <w:w w:val="87"/>
              </w:rPr>
              <w:t>Houston, Texas 77002</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40" w:type="dxa"/>
            <w:vAlign w:val="bottom"/>
            <w:gridSpan w:val="2"/>
          </w:tcPr>
          <w:p>
            <w:pPr>
              <w:jc w:val="center"/>
              <w:ind w:left="3826"/>
              <w:spacing w:after="0"/>
              <w:rPr>
                <w:sz w:val="20"/>
                <w:szCs w:val="20"/>
                <w:color w:val="auto"/>
              </w:rPr>
            </w:pPr>
            <w:r>
              <w:rPr>
                <w:rFonts w:ascii="Arial" w:cs="Arial" w:eastAsia="Arial" w:hAnsi="Arial"/>
                <w:sz w:val="14"/>
                <w:szCs w:val="14"/>
                <w:b w:val="1"/>
                <w:bCs w:val="1"/>
                <w:color w:val="auto"/>
                <w:w w:val="89"/>
              </w:rPr>
              <w:t>(713) 646-4100</w:t>
            </w:r>
          </w:p>
        </w:tc>
        <w:tc>
          <w:tcPr>
            <w:tcW w:w="1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260" w:type="dxa"/>
            <w:vAlign w:val="bottom"/>
            <w:gridSpan w:val="4"/>
          </w:tcPr>
          <w:p>
            <w:pPr>
              <w:jc w:val="center"/>
              <w:ind w:left="386"/>
              <w:spacing w:after="0"/>
              <w:rPr>
                <w:sz w:val="20"/>
                <w:szCs w:val="20"/>
                <w:color w:val="auto"/>
              </w:rPr>
            </w:pPr>
            <w:r>
              <w:rPr>
                <w:rFonts w:ascii="Arial" w:cs="Arial" w:eastAsia="Arial" w:hAnsi="Arial"/>
                <w:sz w:val="13"/>
                <w:szCs w:val="13"/>
                <w:color w:val="auto"/>
                <w:w w:val="92"/>
              </w:rPr>
              <w:t>(Name, Address, Including Zip Code, and Telephone Number, Including Area Code, of Agent for Service)</w:t>
            </w:r>
          </w:p>
        </w:tc>
        <w:tc>
          <w:tcPr>
            <w:tcW w:w="0" w:type="dxa"/>
            <w:vAlign w:val="bottom"/>
          </w:tcPr>
          <w:p>
            <w:pPr>
              <w:spacing w:after="0"/>
              <w:rPr>
                <w:sz w:val="1"/>
                <w:szCs w:val="1"/>
                <w:color w:val="auto"/>
              </w:rPr>
            </w:pPr>
          </w:p>
        </w:tc>
      </w:tr>
      <w:tr>
        <w:trPr>
          <w:trHeight w:val="43"/>
        </w:trPr>
        <w:tc>
          <w:tcPr>
            <w:tcW w:w="39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900" w:type="dxa"/>
            <w:vAlign w:val="bottom"/>
          </w:tcPr>
          <w:p>
            <w:pPr>
              <w:spacing w:after="0"/>
              <w:rPr>
                <w:sz w:val="19"/>
                <w:szCs w:val="19"/>
                <w:color w:val="auto"/>
              </w:rPr>
            </w:pPr>
          </w:p>
        </w:tc>
        <w:tc>
          <w:tcPr>
            <w:tcW w:w="29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Copies to:</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3900" w:type="dxa"/>
            <w:vAlign w:val="bottom"/>
          </w:tcPr>
          <w:p>
            <w:pPr>
              <w:spacing w:after="0"/>
              <w:rPr>
                <w:sz w:val="13"/>
                <w:szCs w:val="13"/>
                <w:color w:val="auto"/>
              </w:rPr>
            </w:pPr>
          </w:p>
        </w:tc>
        <w:tc>
          <w:tcPr>
            <w:tcW w:w="2940" w:type="dxa"/>
            <w:vAlign w:val="bottom"/>
            <w:gridSpan w:val="2"/>
          </w:tcPr>
          <w:p>
            <w:pPr>
              <w:jc w:val="center"/>
              <w:ind w:right="1060"/>
              <w:spacing w:after="0" w:line="151" w:lineRule="exact"/>
              <w:rPr>
                <w:sz w:val="20"/>
                <w:szCs w:val="20"/>
                <w:color w:val="auto"/>
              </w:rPr>
            </w:pPr>
            <w:r>
              <w:rPr>
                <w:rFonts w:ascii="Arial" w:cs="Arial" w:eastAsia="Arial" w:hAnsi="Arial"/>
                <w:sz w:val="14"/>
                <w:szCs w:val="14"/>
                <w:b w:val="1"/>
                <w:bCs w:val="1"/>
                <w:color w:val="auto"/>
                <w:w w:val="90"/>
              </w:rPr>
              <w:t>David P. Oelman</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9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1"/>
              </w:rPr>
              <w:t>Alan Beck</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9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1"/>
              </w:rPr>
              <w:t>Vinson &amp; Elkins L.L.P.</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9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1001 Fannin Street, Suite 2500</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9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Houston, Texas 77002</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840" w:type="dxa"/>
            <w:vAlign w:val="bottom"/>
            <w:gridSpan w:val="2"/>
          </w:tcPr>
          <w:p>
            <w:pPr>
              <w:jc w:val="center"/>
              <w:ind w:left="3826"/>
              <w:spacing w:after="0"/>
              <w:rPr>
                <w:sz w:val="20"/>
                <w:szCs w:val="20"/>
                <w:color w:val="auto"/>
              </w:rPr>
            </w:pPr>
            <w:r>
              <w:rPr>
                <w:rFonts w:ascii="Arial" w:cs="Arial" w:eastAsia="Arial" w:hAnsi="Arial"/>
                <w:sz w:val="14"/>
                <w:szCs w:val="14"/>
                <w:b w:val="1"/>
                <w:bCs w:val="1"/>
                <w:color w:val="auto"/>
                <w:w w:val="89"/>
              </w:rPr>
              <w:t>(713) 758-2222</w:t>
            </w:r>
          </w:p>
        </w:tc>
        <w:tc>
          <w:tcPr>
            <w:tcW w:w="1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9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6840" w:type="dxa"/>
            <w:vAlign w:val="bottom"/>
            <w:gridSpan w:val="3"/>
          </w:tcPr>
          <w:p>
            <w:pPr>
              <w:jc w:val="center"/>
              <w:ind w:left="2766"/>
              <w:spacing w:after="0"/>
              <w:rPr>
                <w:sz w:val="20"/>
                <w:szCs w:val="20"/>
                <w:color w:val="auto"/>
              </w:rPr>
            </w:pPr>
            <w:r>
              <w:rPr>
                <w:rFonts w:ascii="Arial" w:cs="Arial" w:eastAsia="Arial" w:hAnsi="Arial"/>
                <w:sz w:val="14"/>
                <w:szCs w:val="14"/>
                <w:b w:val="1"/>
                <w:bCs w:val="1"/>
                <w:color w:val="auto"/>
                <w:w w:val="87"/>
              </w:rPr>
              <w:t>Approximate date of commencement of proposed sale to the public:</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9260" w:type="dxa"/>
            <w:vAlign w:val="bottom"/>
            <w:gridSpan w:val="4"/>
          </w:tcPr>
          <w:p>
            <w:pPr>
              <w:jc w:val="center"/>
              <w:ind w:left="406"/>
              <w:spacing w:after="0"/>
              <w:rPr>
                <w:sz w:val="20"/>
                <w:szCs w:val="20"/>
                <w:color w:val="auto"/>
              </w:rPr>
            </w:pPr>
            <w:r>
              <w:rPr>
                <w:rFonts w:ascii="Arial" w:cs="Arial" w:eastAsia="Arial" w:hAnsi="Arial"/>
                <w:sz w:val="14"/>
                <w:szCs w:val="14"/>
                <w:b w:val="1"/>
                <w:bCs w:val="1"/>
                <w:color w:val="auto"/>
                <w:w w:val="88"/>
              </w:rPr>
              <w:t>From time to time after the effective date of this Registration Statement.</w:t>
            </w:r>
          </w:p>
        </w:tc>
        <w:tc>
          <w:tcPr>
            <w:tcW w:w="0" w:type="dxa"/>
            <w:vAlign w:val="bottom"/>
          </w:tcPr>
          <w:p>
            <w:pPr>
              <w:spacing w:after="0"/>
              <w:rPr>
                <w:sz w:val="1"/>
                <w:szCs w:val="1"/>
                <w:color w:val="auto"/>
              </w:rPr>
            </w:pPr>
          </w:p>
        </w:tc>
      </w:tr>
      <w:tr>
        <w:trPr>
          <w:trHeight w:val="140"/>
        </w:trPr>
        <w:tc>
          <w:tcPr>
            <w:tcW w:w="9260" w:type="dxa"/>
            <w:vAlign w:val="bottom"/>
            <w:gridSpan w:val="4"/>
          </w:tcPr>
          <w:p>
            <w:pPr>
              <w:ind w:left="360"/>
              <w:spacing w:after="0" w:line="141" w:lineRule="exact"/>
              <w:rPr>
                <w:sz w:val="20"/>
                <w:szCs w:val="20"/>
                <w:color w:val="auto"/>
              </w:rPr>
            </w:pPr>
            <w:r>
              <w:rPr>
                <w:rFonts w:ascii="Arial" w:cs="Arial" w:eastAsia="Arial" w:hAnsi="Arial"/>
                <w:sz w:val="14"/>
                <w:szCs w:val="14"/>
                <w:color w:val="auto"/>
                <w:w w:val="97"/>
              </w:rPr>
              <w:t>If the only securities being registered on this Form are being offered pursuant to dividend or interest reinvestment plans, please check the following</w:t>
            </w:r>
          </w:p>
        </w:tc>
        <w:tc>
          <w:tcPr>
            <w:tcW w:w="0" w:type="dxa"/>
            <w:vAlign w:val="bottom"/>
          </w:tcPr>
          <w:p>
            <w:pPr>
              <w:spacing w:after="0"/>
              <w:rPr>
                <w:sz w:val="1"/>
                <w:szCs w:val="1"/>
                <w:color w:val="auto"/>
              </w:rPr>
            </w:pPr>
          </w:p>
        </w:tc>
      </w:tr>
      <w:tr>
        <w:trPr>
          <w:trHeight w:val="196"/>
        </w:trPr>
        <w:tc>
          <w:tcPr>
            <w:tcW w:w="6840" w:type="dxa"/>
            <w:vAlign w:val="bottom"/>
            <w:gridSpan w:val="3"/>
          </w:tcPr>
          <w:p>
            <w:pPr>
              <w:spacing w:after="0" w:line="161" w:lineRule="exact"/>
              <w:rPr>
                <w:sz w:val="20"/>
                <w:szCs w:val="20"/>
                <w:color w:val="auto"/>
              </w:rPr>
            </w:pPr>
            <w:r>
              <w:rPr>
                <w:rFonts w:ascii="Arial" w:cs="Arial" w:eastAsia="Arial" w:hAnsi="Arial"/>
                <w:sz w:val="14"/>
                <w:szCs w:val="14"/>
                <w:color w:val="auto"/>
              </w:rPr>
              <w:t xml:space="preserve">box. </w:t>
            </w:r>
            <w:r>
              <w:rPr>
                <w:rFonts w:ascii="MS PGothic" w:cs="MS PGothic" w:eastAsia="MS PGothic" w:hAnsi="MS PGothic"/>
                <w:sz w:val="14"/>
                <w:szCs w:val="14"/>
                <w:color w:val="auto"/>
              </w:rPr>
              <w:t>☐</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right="200" w:firstLine="360"/>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00" w:firstLine="360"/>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80" w:firstLine="36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60" w:firstLine="360"/>
        <w:spacing w:after="0" w:line="162"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00" w:firstLine="360"/>
        <w:spacing w:after="0" w:line="162"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80" w:firstLine="360"/>
        <w:spacing w:after="0" w:line="23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860"/>
        <w:spacing w:after="0" w:line="161" w:lineRule="exact"/>
        <w:tabs>
          <w:tab w:leader="none" w:pos="3140" w:val="left"/>
          <w:tab w:leader="none" w:pos="5440" w:val="left"/>
          <w:tab w:leader="none" w:pos="77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4" w:lineRule="exact"/>
        <w:rPr>
          <w:sz w:val="24"/>
          <w:szCs w:val="24"/>
          <w:color w:val="auto"/>
        </w:rPr>
      </w:pPr>
    </w:p>
    <w:p>
      <w:pPr>
        <w:ind w:left="77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0" w:lineRule="exact"/>
        <w:rPr>
          <w:sz w:val="24"/>
          <w:szCs w:val="24"/>
          <w:color w:val="auto"/>
        </w:rPr>
      </w:pPr>
    </w:p>
    <w:p>
      <w:pPr>
        <w:ind w:left="500" w:right="80" w:firstLine="3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CALCULATION OF REGISTRATION FEE</w:t>
      </w:r>
    </w:p>
    <w:p>
      <w:pPr>
        <w:spacing w:after="0" w:line="45"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5920" w:type="dxa"/>
            <w:vAlign w:val="bottom"/>
            <w:tcBorders>
              <w:top w:val="single" w:sz="8" w:color="auto"/>
              <w:bottom w:val="single" w:sz="8" w:color="auto"/>
            </w:tcBorders>
          </w:tcPr>
          <w:p>
            <w:pPr>
              <w:spacing w:after="0"/>
              <w:rPr>
                <w:sz w:val="3"/>
                <w:szCs w:val="3"/>
                <w:color w:val="auto"/>
              </w:rPr>
            </w:pPr>
          </w:p>
        </w:tc>
        <w:tc>
          <w:tcPr>
            <w:tcW w:w="278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r>
      <w:tr>
        <w:trPr>
          <w:trHeight w:val="157"/>
        </w:trPr>
        <w:tc>
          <w:tcPr>
            <w:tcW w:w="5920" w:type="dxa"/>
            <w:vAlign w:val="bottom"/>
            <w:tcBorders>
              <w:right w:val="single" w:sz="8" w:color="auto"/>
            </w:tcBorders>
          </w:tcPr>
          <w:p>
            <w:pPr>
              <w:spacing w:after="0"/>
              <w:rPr>
                <w:sz w:val="13"/>
                <w:szCs w:val="13"/>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Amount to be Registered/Proposed Maximum</w:t>
            </w:r>
          </w:p>
        </w:tc>
        <w:tc>
          <w:tcPr>
            <w:tcW w:w="1020" w:type="dxa"/>
            <w:vAlign w:val="bottom"/>
          </w:tcPr>
          <w:p>
            <w:pPr>
              <w:spacing w:after="0"/>
              <w:rPr>
                <w:sz w:val="13"/>
                <w:szCs w:val="13"/>
                <w:color w:val="auto"/>
              </w:rPr>
            </w:pPr>
          </w:p>
        </w:tc>
      </w:tr>
      <w:tr>
        <w:trPr>
          <w:trHeight w:val="141"/>
        </w:trPr>
        <w:tc>
          <w:tcPr>
            <w:tcW w:w="5920" w:type="dxa"/>
            <w:vAlign w:val="bottom"/>
            <w:tcBorders>
              <w:right w:val="single" w:sz="8" w:color="auto"/>
            </w:tcBorders>
          </w:tcPr>
          <w:p>
            <w:pPr>
              <w:spacing w:after="0"/>
              <w:rPr>
                <w:sz w:val="12"/>
                <w:szCs w:val="12"/>
                <w:color w:val="auto"/>
              </w:rPr>
            </w:pPr>
          </w:p>
        </w:tc>
        <w:tc>
          <w:tcPr>
            <w:tcW w:w="27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2"/>
              </w:rPr>
              <w:t>Offering Price Per Unit/Proposed Maximum</w:t>
            </w:r>
          </w:p>
        </w:tc>
        <w:tc>
          <w:tcPr>
            <w:tcW w:w="10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Amount of</w:t>
            </w:r>
          </w:p>
        </w:tc>
      </w:tr>
      <w:tr>
        <w:trPr>
          <w:trHeight w:val="223"/>
        </w:trPr>
        <w:tc>
          <w:tcPr>
            <w:tcW w:w="5920" w:type="dxa"/>
            <w:vAlign w:val="bottom"/>
            <w:tcBorders>
              <w:bottom w:val="single" w:sz="8" w:color="auto"/>
              <w:right w:val="single" w:sz="8" w:color="auto"/>
            </w:tcBorders>
          </w:tcPr>
          <w:p>
            <w:pPr>
              <w:ind w:left="158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Aggregate Offering Price</w:t>
            </w:r>
            <w:r>
              <w:rPr>
                <w:rFonts w:ascii="Arial" w:cs="Arial" w:eastAsia="Arial" w:hAnsi="Arial"/>
                <w:sz w:val="19"/>
                <w:szCs w:val="19"/>
                <w:b w:val="1"/>
                <w:bCs w:val="1"/>
                <w:color w:val="auto"/>
                <w:w w:val="88"/>
                <w:vertAlign w:val="superscript"/>
              </w:rPr>
              <w:t>(1)</w:t>
            </w:r>
          </w:p>
        </w:tc>
        <w:tc>
          <w:tcPr>
            <w:tcW w:w="102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w w:val="90"/>
              </w:rPr>
              <w:t>Registration Fee</w:t>
            </w:r>
          </w:p>
        </w:tc>
      </w:tr>
      <w:tr>
        <w:trPr>
          <w:trHeight w:val="228"/>
        </w:trPr>
        <w:tc>
          <w:tcPr>
            <w:tcW w:w="592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Common units representing limited partner interests</w:t>
            </w:r>
          </w:p>
        </w:tc>
        <w:tc>
          <w:tcPr>
            <w:tcW w:w="2780" w:type="dxa"/>
            <w:vAlign w:val="bottom"/>
            <w:tcBorders>
              <w:bottom w:val="single" w:sz="8" w:color="CCEEFF"/>
              <w:right w:val="single" w:sz="8" w:color="auto"/>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198"/>
        </w:trPr>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Preferred units representing limited partner interests</w:t>
            </w:r>
          </w:p>
        </w:tc>
        <w:tc>
          <w:tcPr>
            <w:tcW w:w="278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5"/>
        </w:trPr>
        <w:tc>
          <w:tcPr>
            <w:tcW w:w="59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592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Debt Securities</w:t>
            </w:r>
          </w:p>
        </w:tc>
        <w:tc>
          <w:tcPr>
            <w:tcW w:w="2780" w:type="dxa"/>
            <w:vAlign w:val="bottom"/>
            <w:tcBorders>
              <w:bottom w:val="single" w:sz="8" w:color="CCEEFF"/>
              <w:right w:val="single" w:sz="8" w:color="auto"/>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198"/>
        </w:trPr>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Total</w:t>
            </w:r>
          </w:p>
        </w:tc>
        <w:tc>
          <w:tcPr>
            <w:tcW w:w="2780" w:type="dxa"/>
            <w:vAlign w:val="bottom"/>
            <w:tcBorders>
              <w:top w:val="single" w:sz="8" w:color="auto"/>
              <w:right w:val="single" w:sz="8" w:color="auto"/>
            </w:tcBorders>
          </w:tcPr>
          <w:p>
            <w:pPr>
              <w:jc w:val="right"/>
              <w:ind w:right="1211"/>
              <w:spacing w:after="0"/>
              <w:rPr>
                <w:sz w:val="20"/>
                <w:szCs w:val="20"/>
                <w:color w:val="auto"/>
              </w:rPr>
            </w:pPr>
            <w:r>
              <w:rPr>
                <w:rFonts w:ascii="Arial" w:cs="Arial" w:eastAsia="Arial" w:hAnsi="Arial"/>
                <w:sz w:val="14"/>
                <w:szCs w:val="14"/>
                <w:color w:val="auto"/>
              </w:rPr>
              <w:t>(1)</w:t>
            </w:r>
          </w:p>
        </w:tc>
        <w:tc>
          <w:tcPr>
            <w:tcW w:w="102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rPr>
              <w:t>(1)</w:t>
            </w:r>
          </w:p>
        </w:tc>
      </w:tr>
      <w:tr>
        <w:trPr>
          <w:trHeight w:val="26"/>
        </w:trPr>
        <w:tc>
          <w:tcPr>
            <w:tcW w:w="59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9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2" w:lineRule="exact"/>
        <w:rPr>
          <w:sz w:val="24"/>
          <w:szCs w:val="24"/>
          <w:color w:val="auto"/>
        </w:rPr>
      </w:pPr>
    </w:p>
    <w:p>
      <w:pPr>
        <w:sectPr>
          <w:pgSz w:w="11900" w:h="16838" w:orient="portrait"/>
          <w:cols w:equalWidth="0" w:num="1">
            <w:col w:w="10220"/>
          </w:cols>
          <w:pgMar w:left="580" w:top="239" w:right="1099" w:bottom="1440" w:gutter="0" w:footer="0" w:header="0"/>
        </w:sectPr>
      </w:pPr>
    </w:p>
    <w:p>
      <w:pPr>
        <w:ind w:left="860" w:hanging="368"/>
        <w:spacing w:after="0" w:line="347" w:lineRule="auto"/>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aggregate initial offering price or number of the securities of each identified class is being registered as may from time to time be offered hereunder at indeterminate prices. In accordance with Rules 456(b) and 457(r) under the Securities Act of 1933, as amended, the registrant is deferring payment of all of the registration fee and will pay the registration fee subsequently in advance or on a pay-as-you-go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13970</wp:posOffset>
            </wp:positionV>
            <wp:extent cx="6189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40005</wp:posOffset>
            </wp:positionV>
            <wp:extent cx="618934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301625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239" w:right="109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780"/>
        <w:spacing w:after="0"/>
        <w:rPr>
          <w:sz w:val="20"/>
          <w:szCs w:val="20"/>
          <w:color w:val="auto"/>
        </w:rPr>
      </w:pPr>
      <w:r>
        <w:rPr>
          <w:rFonts w:ascii="Arial" w:cs="Arial" w:eastAsia="Arial" w:hAnsi="Arial"/>
          <w:sz w:val="32"/>
          <w:szCs w:val="32"/>
          <w:b w:val="1"/>
          <w:bCs w:val="1"/>
          <w:color w:val="auto"/>
        </w:rPr>
        <w:t>PLAINS ALL AMERICAN PIPELINE, L.P.</w:t>
      </w:r>
    </w:p>
    <w:p>
      <w:pPr>
        <w:spacing w:after="0" w:line="19" w:lineRule="exact"/>
        <w:rPr>
          <w:sz w:val="20"/>
          <w:szCs w:val="20"/>
          <w:color w:val="auto"/>
        </w:rPr>
      </w:pPr>
    </w:p>
    <w:p>
      <w:pPr>
        <w:jc w:val="center"/>
        <w:ind w:right="-860"/>
        <w:spacing w:after="0"/>
        <w:rPr>
          <w:sz w:val="20"/>
          <w:szCs w:val="20"/>
          <w:color w:val="auto"/>
        </w:rPr>
      </w:pPr>
      <w:r>
        <w:rPr>
          <w:rFonts w:ascii="Arial" w:cs="Arial" w:eastAsia="Arial" w:hAnsi="Arial"/>
          <w:sz w:val="32"/>
          <w:szCs w:val="32"/>
          <w:b w:val="1"/>
          <w:bCs w:val="1"/>
          <w:color w:val="auto"/>
        </w:rPr>
        <w:t>PAA FINANCE CORP.</w:t>
      </w:r>
    </w:p>
    <w:p>
      <w:pPr>
        <w:spacing w:after="0" w:line="181" w:lineRule="exact"/>
        <w:rPr>
          <w:sz w:val="20"/>
          <w:szCs w:val="20"/>
          <w:color w:val="auto"/>
        </w:rPr>
      </w:pPr>
    </w:p>
    <w:p>
      <w:pPr>
        <w:ind w:left="4540"/>
        <w:spacing w:after="0"/>
        <w:rPr>
          <w:sz w:val="20"/>
          <w:szCs w:val="20"/>
          <w:color w:val="auto"/>
        </w:rPr>
      </w:pPr>
      <w:r>
        <w:rPr>
          <w:rFonts w:ascii="Arial" w:cs="Arial" w:eastAsia="Arial" w:hAnsi="Arial"/>
          <w:sz w:val="25"/>
          <w:szCs w:val="25"/>
          <w:b w:val="1"/>
          <w:bCs w:val="1"/>
          <w:color w:val="auto"/>
        </w:rPr>
        <w:t>Common Units</w:t>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5"/>
          <w:szCs w:val="25"/>
          <w:b w:val="1"/>
          <w:bCs w:val="1"/>
          <w:color w:val="auto"/>
        </w:rPr>
        <w:t>Preferred Units</w:t>
      </w:r>
    </w:p>
    <w:p>
      <w:pPr>
        <w:ind w:left="4580"/>
        <w:spacing w:after="0"/>
        <w:rPr>
          <w:sz w:val="20"/>
          <w:szCs w:val="20"/>
          <w:color w:val="auto"/>
        </w:rPr>
      </w:pPr>
      <w:r>
        <w:rPr>
          <w:rFonts w:ascii="Arial" w:cs="Arial" w:eastAsia="Arial" w:hAnsi="Arial"/>
          <w:sz w:val="25"/>
          <w:szCs w:val="25"/>
          <w:b w:val="1"/>
          <w:bCs w:val="1"/>
          <w:color w:val="auto"/>
        </w:rPr>
        <w:t>Debt Securities</w:t>
      </w:r>
    </w:p>
    <w:p>
      <w:pPr>
        <w:spacing w:after="0" w:line="12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0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123" w:lineRule="exact"/>
        <w:rPr>
          <w:sz w:val="20"/>
          <w:szCs w:val="20"/>
          <w:color w:val="auto"/>
        </w:rPr>
      </w:pPr>
    </w:p>
    <w:p>
      <w:pPr>
        <w:ind w:left="1260" w:right="459" w:firstLine="360"/>
        <w:spacing w:after="0" w:line="343"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Investing in our common units, preferred units and debt securities involves risks. Limited partnerships are inherently different from corporations. You should carefully consider the risk factors described under “Risk Factors” beginning on page </w:t>
      </w:r>
      <w:hyperlink w:anchor="page8">
        <w:r>
          <w:rPr>
            <w:rFonts w:ascii="Arial" w:cs="Arial" w:eastAsia="Arial" w:hAnsi="Arial"/>
            <w:sz w:val="15"/>
            <w:szCs w:val="15"/>
            <w:b w:val="1"/>
            <w:bCs w:val="1"/>
            <w:u w:val="single" w:color="auto"/>
            <w:color w:val="0000EE"/>
          </w:rPr>
          <w:t>3</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before you make an investment in our securities.</w:t>
      </w:r>
    </w:p>
    <w:p>
      <w:pPr>
        <w:spacing w:after="0" w:line="61" w:lineRule="exact"/>
        <w:rPr>
          <w:sz w:val="20"/>
          <w:szCs w:val="20"/>
          <w:color w:val="auto"/>
        </w:rPr>
      </w:pPr>
    </w:p>
    <w:p>
      <w:pPr>
        <w:jc w:val="both"/>
        <w:ind w:left="1260" w:right="639" w:firstLine="360"/>
        <w:spacing w:after="0" w:line="263" w:lineRule="auto"/>
        <w:rPr>
          <w:sz w:val="20"/>
          <w:szCs w:val="20"/>
          <w:color w:val="auto"/>
        </w:rPr>
      </w:pPr>
      <w:r>
        <w:rPr>
          <w:rFonts w:ascii="Arial" w:cs="Arial" w:eastAsia="Arial" w:hAnsi="Arial"/>
          <w:sz w:val="18"/>
          <w:szCs w:val="18"/>
          <w:color w:val="auto"/>
        </w:rPr>
        <w:t>Our common units are traded on the Nasdaq Global Select Market under the symbol “PAA.” We will provide information in the prospectus supplement for the trading market, if any, for any preferred units or debt securities we may offer.</w:t>
      </w:r>
    </w:p>
    <w:p>
      <w:pPr>
        <w:spacing w:after="0" w:line="99" w:lineRule="exact"/>
        <w:rPr>
          <w:sz w:val="20"/>
          <w:szCs w:val="20"/>
          <w:color w:val="auto"/>
        </w:rPr>
      </w:pPr>
    </w:p>
    <w:p>
      <w:pPr>
        <w:ind w:left="1260" w:right="55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date of this prospectus is 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3124835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1720" w:type="dxa"/>
            <w:vAlign w:val="bottom"/>
            <w:tcBorders>
              <w:bottom w:val="single" w:sz="8" w:color="0000EE"/>
            </w:tcBorders>
            <w:gridSpan w:val="6"/>
            <w:shd w:val="clear" w:color="auto" w:fill="CCEEFF"/>
          </w:tcPr>
          <w:p>
            <w:pPr>
              <w:spacing w:after="0" w:line="162" w:lineRule="exact"/>
              <w:rPr>
                <w:rFonts w:ascii="Arial" w:cs="Arial" w:eastAsia="Arial" w:hAnsi="Arial"/>
                <w:sz w:val="18"/>
                <w:szCs w:val="18"/>
                <w:color w:val="0000EE"/>
                <w:w w:val="93"/>
              </w:rPr>
            </w:pPr>
            <w:hyperlink w:anchor="page2">
              <w:r>
                <w:rPr>
                  <w:rFonts w:ascii="Arial" w:cs="Arial" w:eastAsia="Arial" w:hAnsi="Arial"/>
                  <w:sz w:val="18"/>
                  <w:szCs w:val="18"/>
                  <w:color w:val="0000EE"/>
                  <w:w w:val="93"/>
                </w:rPr>
                <w:t>About This Prospectus</w:t>
              </w:r>
            </w:hyperlink>
          </w:p>
        </w:tc>
        <w:tc>
          <w:tcPr>
            <w:tcW w:w="6300" w:type="dxa"/>
            <w:vAlign w:val="bottom"/>
            <w:tcBorders>
              <w:bottom w:val="single" w:sz="8" w:color="CCEEFF"/>
            </w:tcBorders>
            <w:gridSpan w:val="9"/>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line="162" w:lineRule="exact"/>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w:t>
              </w:r>
            </w:hyperlink>
          </w:p>
        </w:tc>
      </w:tr>
      <w:tr>
        <w:trPr>
          <w:trHeight w:val="216"/>
        </w:trPr>
        <w:tc>
          <w:tcPr>
            <w:tcW w:w="80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20" w:type="dxa"/>
            <w:vAlign w:val="bottom"/>
          </w:tcPr>
          <w:p>
            <w:pPr>
              <w:spacing w:after="0"/>
              <w:rPr>
                <w:sz w:val="18"/>
                <w:szCs w:val="18"/>
                <w:color w:val="auto"/>
              </w:rPr>
            </w:pPr>
          </w:p>
        </w:tc>
        <w:tc>
          <w:tcPr>
            <w:tcW w:w="1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8020" w:type="dxa"/>
            <w:vAlign w:val="bottom"/>
            <w:gridSpan w:val="15"/>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180" w:type="dxa"/>
            <w:vAlign w:val="bottom"/>
            <w:gridSpan w:val="4"/>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iii</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802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Plains All American Pipeline, L.P.</w:t>
              </w:r>
            </w:hyperlink>
          </w:p>
        </w:tc>
        <w:tc>
          <w:tcPr>
            <w:tcW w:w="1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8020" w:type="dxa"/>
            <w:vAlign w:val="bottom"/>
            <w:gridSpan w:val="15"/>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80" w:type="dxa"/>
            <w:vAlign w:val="bottom"/>
            <w:gridSpan w:val="4"/>
            <w:shd w:val="clear" w:color="auto" w:fill="CCEEFF"/>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802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18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2640" w:type="dxa"/>
            <w:vAlign w:val="bottom"/>
            <w:gridSpan w:val="10"/>
            <w:shd w:val="clear" w:color="auto" w:fill="CCEEFF"/>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Description of Our Debt Securities</w:t>
              </w:r>
            </w:hyperlink>
          </w:p>
        </w:tc>
        <w:tc>
          <w:tcPr>
            <w:tcW w:w="5380" w:type="dxa"/>
            <w:vAlign w:val="bottom"/>
            <w:gridSpan w:val="5"/>
            <w:shd w:val="clear" w:color="auto" w:fill="CCEEFF"/>
          </w:tcPr>
          <w:p>
            <w:pPr>
              <w:spacing w:after="0"/>
              <w:rPr>
                <w:sz w:val="19"/>
                <w:szCs w:val="19"/>
                <w:color w:val="auto"/>
              </w:rPr>
            </w:pPr>
          </w:p>
        </w:tc>
        <w:tc>
          <w:tcPr>
            <w:tcW w:w="180" w:type="dxa"/>
            <w:vAlign w:val="bottom"/>
            <w:gridSpan w:val="4"/>
            <w:shd w:val="clear" w:color="auto" w:fill="CCEEFF"/>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5</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264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Description of Our Preferred Units</w:t>
              </w:r>
            </w:hyperlink>
          </w:p>
        </w:tc>
        <w:tc>
          <w:tcPr>
            <w:tcW w:w="5380" w:type="dxa"/>
            <w:vAlign w:val="bottom"/>
            <w:gridSpan w:val="5"/>
          </w:tcPr>
          <w:p>
            <w:pPr>
              <w:spacing w:after="0"/>
              <w:rPr>
                <w:sz w:val="19"/>
                <w:szCs w:val="19"/>
                <w:color w:val="auto"/>
              </w:rPr>
            </w:pPr>
          </w:p>
        </w:tc>
        <w:tc>
          <w:tcPr>
            <w:tcW w:w="180" w:type="dxa"/>
            <w:vAlign w:val="bottom"/>
            <w:tcBorders>
              <w:bottom w:val="single" w:sz="8" w:color="0000EE"/>
            </w:tcBorders>
            <w:gridSpan w:val="4"/>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13</w:t>
              </w:r>
            </w:hyperlink>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62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Description of Our Common Units</w:t>
              </w:r>
            </w:hyperlink>
          </w:p>
        </w:tc>
        <w:tc>
          <w:tcPr>
            <w:tcW w:w="5400" w:type="dxa"/>
            <w:vAlign w:val="bottom"/>
            <w:tcBorders>
              <w:bottom w:val="single" w:sz="8" w:color="CCEEFF"/>
            </w:tcBorders>
            <w:gridSpan w:val="6"/>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15</w:t>
              </w:r>
            </w:hyperlink>
          </w:p>
        </w:tc>
      </w:tr>
      <w:tr>
        <w:trPr>
          <w:trHeight w:val="229"/>
        </w:trPr>
        <w:tc>
          <w:tcPr>
            <w:tcW w:w="802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Cash Distribution Policy</w:t>
              </w:r>
            </w:hyperlink>
          </w:p>
        </w:tc>
        <w:tc>
          <w:tcPr>
            <w:tcW w:w="180" w:type="dxa"/>
            <w:vAlign w:val="bottom"/>
            <w:gridSpan w:val="4"/>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18</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322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Description of Our Partnership Agreement</w:t>
              </w:r>
            </w:hyperlink>
          </w:p>
        </w:tc>
        <w:tc>
          <w:tcPr>
            <w:tcW w:w="48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20</w:t>
              </w:r>
            </w:hyperlink>
          </w:p>
        </w:tc>
      </w:tr>
      <w:tr>
        <w:trPr>
          <w:trHeight w:val="229"/>
        </w:trPr>
        <w:tc>
          <w:tcPr>
            <w:tcW w:w="802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Material U.S. Federal Income Tax Consequences</w:t>
              </w:r>
            </w:hyperlink>
          </w:p>
        </w:tc>
        <w:tc>
          <w:tcPr>
            <w:tcW w:w="180" w:type="dxa"/>
            <w:vAlign w:val="bottom"/>
            <w:gridSpan w:val="4"/>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24</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50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Plan of Distribution</w:t>
              </w:r>
            </w:hyperlink>
          </w:p>
        </w:tc>
        <w:tc>
          <w:tcPr>
            <w:tcW w:w="6520" w:type="dxa"/>
            <w:vAlign w:val="bottom"/>
            <w:tcBorders>
              <w:bottom w:val="single" w:sz="8" w:color="CCEEFF"/>
            </w:tcBorders>
            <w:gridSpan w:val="10"/>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40</w:t>
              </w:r>
            </w:hyperlink>
          </w:p>
        </w:tc>
      </w:tr>
      <w:tr>
        <w:trPr>
          <w:trHeight w:val="229"/>
        </w:trPr>
        <w:tc>
          <w:tcPr>
            <w:tcW w:w="8020" w:type="dxa"/>
            <w:vAlign w:val="bottom"/>
            <w:gridSpan w:val="1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180" w:type="dxa"/>
            <w:vAlign w:val="bottom"/>
            <w:gridSpan w:val="4"/>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42</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8020" w:type="dxa"/>
            <w:vAlign w:val="bottom"/>
            <w:gridSpan w:val="15"/>
            <w:shd w:val="clear" w:color="auto" w:fill="CCEEFF"/>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180" w:type="dxa"/>
            <w:vAlign w:val="bottom"/>
            <w:gridSpan w:val="4"/>
            <w:shd w:val="clear" w:color="auto" w:fill="CCEEFF"/>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42</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bl>
    <w:p>
      <w:pPr>
        <w:spacing w:after="0" w:line="134"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07" w:lineRule="exact"/>
        <w:rPr>
          <w:sz w:val="20"/>
          <w:szCs w:val="20"/>
          <w:color w:val="auto"/>
        </w:rPr>
      </w:pPr>
    </w:p>
    <w:p>
      <w:pPr>
        <w:ind w:left="1260" w:right="579" w:firstLine="360"/>
        <w:spacing w:after="0" w:line="292"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6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24" w:lineRule="exact"/>
        <w:rPr>
          <w:sz w:val="20"/>
          <w:szCs w:val="20"/>
          <w:color w:val="auto"/>
        </w:rPr>
      </w:pPr>
    </w:p>
    <w:p>
      <w:pPr>
        <w:jc w:val="both"/>
        <w:ind w:left="1260" w:right="479" w:firstLine="360"/>
        <w:spacing w:after="0" w:line="271" w:lineRule="auto"/>
        <w:rPr>
          <w:sz w:val="20"/>
          <w:szCs w:val="20"/>
          <w:color w:val="auto"/>
        </w:rPr>
      </w:pPr>
      <w:r>
        <w:rPr>
          <w:rFonts w:ascii="Arial" w:cs="Arial" w:eastAsia="Arial" w:hAnsi="Arial"/>
          <w:sz w:val="17"/>
          <w:szCs w:val="17"/>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w:t>
      </w:r>
    </w:p>
    <w:p>
      <w:pPr>
        <w:ind w:left="1500" w:hanging="240"/>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until all offerings under this registration statement are completed:</w:t>
      </w:r>
    </w:p>
    <w:p>
      <w:pPr>
        <w:spacing w:after="0" w:line="102" w:lineRule="exact"/>
        <w:rPr>
          <w:rFonts w:ascii="Arial" w:cs="Arial" w:eastAsia="Arial" w:hAnsi="Arial"/>
          <w:sz w:val="18"/>
          <w:szCs w:val="18"/>
          <w:color w:val="auto"/>
        </w:rPr>
      </w:pPr>
    </w:p>
    <w:p>
      <w:pPr>
        <w:ind w:left="1800" w:hanging="180"/>
        <w:spacing w:after="0"/>
        <w:tabs>
          <w:tab w:leader="none" w:pos="1800" w:val="left"/>
        </w:tabs>
        <w:numPr>
          <w:ilvl w:val="1"/>
          <w:numId w:val="2"/>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Annual Report on Form 10-K for the fiscal year ended December 31, 2020;</w:t>
        </w:r>
      </w:hyperlink>
    </w:p>
    <w:p>
      <w:pPr>
        <w:spacing w:after="0" w:line="117" w:lineRule="exact"/>
        <w:rPr>
          <w:rFonts w:ascii="Arial" w:cs="Arial" w:eastAsia="Arial" w:hAnsi="Arial"/>
          <w:sz w:val="18"/>
          <w:szCs w:val="18"/>
          <w:u w:val="single" w:color="auto"/>
          <w:color w:val="0000EE"/>
        </w:rPr>
      </w:pPr>
    </w:p>
    <w:p>
      <w:pPr>
        <w:ind w:left="1800" w:hanging="180"/>
        <w:spacing w:after="0"/>
        <w:tabs>
          <w:tab w:leader="none" w:pos="1800" w:val="left"/>
        </w:tabs>
        <w:numPr>
          <w:ilvl w:val="1"/>
          <w:numId w:val="2"/>
        </w:numPr>
        <w:rPr>
          <w:rFonts w:ascii="Arial" w:cs="Arial" w:eastAsia="Arial" w:hAnsi="Arial"/>
          <w:sz w:val="17"/>
          <w:szCs w:val="17"/>
          <w:color w:val="auto"/>
        </w:rPr>
      </w:pPr>
      <w:r>
        <w:rPr>
          <w:rFonts w:ascii="Arial" w:cs="Arial" w:eastAsia="Arial" w:hAnsi="Arial"/>
          <w:sz w:val="17"/>
          <w:szCs w:val="17"/>
          <w:color w:val="auto"/>
        </w:rPr>
        <w:t xml:space="preserve">Quarterly Reports on Form 10-Q for the quarterly periods ended </w:t>
      </w:r>
      <w:hyperlink r:id="rId18">
        <w:r>
          <w:rPr>
            <w:rFonts w:ascii="Arial" w:cs="Arial" w:eastAsia="Arial" w:hAnsi="Arial"/>
            <w:sz w:val="17"/>
            <w:szCs w:val="17"/>
            <w:u w:val="single" w:color="auto"/>
            <w:color w:val="0000EE"/>
          </w:rPr>
          <w:t>March 31,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19">
        <w:r>
          <w:rPr>
            <w:rFonts w:ascii="Arial" w:cs="Arial" w:eastAsia="Arial" w:hAnsi="Arial"/>
            <w:sz w:val="17"/>
            <w:szCs w:val="17"/>
            <w:u w:val="single" w:color="auto"/>
            <w:color w:val="0000EE"/>
          </w:rPr>
          <w:t>June 30, 2021</w:t>
        </w:r>
      </w:hyperlink>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800" w:right="719" w:hanging="180"/>
        <w:spacing w:after="0" w:line="277" w:lineRule="auto"/>
        <w:tabs>
          <w:tab w:leader="none" w:pos="1800" w:val="left"/>
        </w:tabs>
        <w:numPr>
          <w:ilvl w:val="1"/>
          <w:numId w:val="2"/>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on </w:t>
      </w:r>
      <w:hyperlink r:id="rId20">
        <w:r>
          <w:rPr>
            <w:rFonts w:ascii="Arial" w:cs="Arial" w:eastAsia="Arial" w:hAnsi="Arial"/>
            <w:sz w:val="18"/>
            <w:szCs w:val="18"/>
            <w:u w:val="single" w:color="auto"/>
            <w:color w:val="0000EE"/>
          </w:rPr>
          <w:t>March 3, 2021</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May 25, 2021</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July 2, 2021</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July 13, 2021</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August 24,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5">
        <w:r>
          <w:rPr>
            <w:rFonts w:ascii="Arial" w:cs="Arial" w:eastAsia="Arial" w:hAnsi="Arial"/>
            <w:sz w:val="18"/>
            <w:szCs w:val="18"/>
            <w:u w:val="single" w:color="auto"/>
            <w:color w:val="0000EE"/>
          </w:rPr>
          <w:t xml:space="preserve">August 25,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6">
        <w:r>
          <w:rPr>
            <w:rFonts w:ascii="Arial" w:cs="Arial" w:eastAsia="Arial" w:hAnsi="Arial"/>
            <w:sz w:val="18"/>
            <w:szCs w:val="18"/>
            <w:u w:val="single" w:color="auto"/>
            <w:color w:val="0000EE"/>
          </w:rPr>
          <w:t>August 26,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62" w:lineRule="exact"/>
        <w:rPr>
          <w:rFonts w:ascii="Arial" w:cs="Arial" w:eastAsia="Arial" w:hAnsi="Arial"/>
          <w:sz w:val="18"/>
          <w:szCs w:val="18"/>
          <w:color w:val="0000EE"/>
        </w:rPr>
      </w:pPr>
    </w:p>
    <w:p>
      <w:pPr>
        <w:ind w:left="1800" w:right="499" w:hanging="180"/>
        <w:spacing w:after="0" w:line="263" w:lineRule="auto"/>
        <w:tabs>
          <w:tab w:leader="none" w:pos="1800" w:val="left"/>
        </w:tabs>
        <w:numPr>
          <w:ilvl w:val="1"/>
          <w:numId w:val="2"/>
        </w:numPr>
        <w:rPr>
          <w:rFonts w:ascii="Arial" w:cs="Arial" w:eastAsia="Arial" w:hAnsi="Arial"/>
          <w:sz w:val="18"/>
          <w:szCs w:val="18"/>
          <w:color w:val="0000EE"/>
        </w:rPr>
      </w:pPr>
      <w:r>
        <w:rPr>
          <w:rFonts w:ascii="Arial" w:cs="Arial" w:eastAsia="Arial" w:hAnsi="Arial"/>
          <w:sz w:val="18"/>
          <w:szCs w:val="18"/>
          <w:color w:val="auto"/>
        </w:rPr>
        <w:t xml:space="preserve">the description of our common units contained in our </w:t>
      </w:r>
      <w:hyperlink r:id="rId27">
        <w:r>
          <w:rPr>
            <w:rFonts w:ascii="Arial" w:cs="Arial" w:eastAsia="Arial" w:hAnsi="Arial"/>
            <w:sz w:val="18"/>
            <w:szCs w:val="18"/>
            <w:u w:val="single" w:color="auto"/>
            <w:color w:val="0000EE"/>
          </w:rPr>
          <w:t>Form 8-A/A dated November 16,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8">
        <w:r>
          <w:rPr>
            <w:rFonts w:ascii="Arial" w:cs="Arial" w:eastAsia="Arial" w:hAnsi="Arial"/>
            <w:sz w:val="18"/>
            <w:szCs w:val="18"/>
            <w:u w:val="single" w:color="auto"/>
            <w:color w:val="0000EE"/>
          </w:rPr>
          <w:t>Form 8-A dated December 11, 2020,</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any subsequent amendment thereto filed for the purpose of</w:t>
      </w:r>
      <w:r>
        <w:rPr>
          <w:rFonts w:ascii="Arial" w:cs="Arial" w:eastAsia="Arial" w:hAnsi="Arial"/>
          <w:sz w:val="18"/>
          <w:szCs w:val="18"/>
          <w:color w:val="0000EE"/>
        </w:rPr>
        <w:t xml:space="preserve"> </w:t>
      </w:r>
      <w:r>
        <w:rPr>
          <w:rFonts w:ascii="Arial" w:cs="Arial" w:eastAsia="Arial" w:hAnsi="Arial"/>
          <w:sz w:val="18"/>
          <w:szCs w:val="18"/>
          <w:color w:val="000000"/>
        </w:rPr>
        <w:t>updating such description.</w:t>
      </w:r>
    </w:p>
    <w:p>
      <w:pPr>
        <w:spacing w:after="0" w:line="116" w:lineRule="exact"/>
        <w:rPr>
          <w:rFonts w:ascii="Arial" w:cs="Arial" w:eastAsia="Arial" w:hAnsi="Arial"/>
          <w:sz w:val="18"/>
          <w:szCs w:val="18"/>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03" w:lineRule="exact"/>
        <w:rPr>
          <w:rFonts w:ascii="Arial" w:cs="Arial" w:eastAsia="Arial" w:hAnsi="Arial"/>
          <w:sz w:val="18"/>
          <w:szCs w:val="18"/>
          <w:color w:val="auto"/>
        </w:rPr>
      </w:pPr>
    </w:p>
    <w:p>
      <w:pPr>
        <w:ind w:left="4040"/>
        <w:spacing w:after="0"/>
        <w:rPr>
          <w:sz w:val="20"/>
          <w:szCs w:val="20"/>
          <w:color w:val="auto"/>
        </w:rPr>
      </w:pPr>
      <w:r>
        <w:rPr>
          <w:rFonts w:ascii="Arial" w:cs="Arial" w:eastAsia="Arial" w:hAnsi="Arial"/>
          <w:sz w:val="18"/>
          <w:szCs w:val="18"/>
          <w:color w:val="auto"/>
        </w:rPr>
        <w:t>Plains All American Pipeline, L.P.</w:t>
      </w:r>
    </w:p>
    <w:p>
      <w:pPr>
        <w:spacing w:after="0" w:line="23" w:lineRule="exact"/>
        <w:rPr>
          <w:rFonts w:ascii="Arial" w:cs="Arial" w:eastAsia="Arial" w:hAnsi="Arial"/>
          <w:sz w:val="18"/>
          <w:szCs w:val="18"/>
          <w:color w:val="auto"/>
        </w:rPr>
      </w:pPr>
    </w:p>
    <w:p>
      <w:pPr>
        <w:ind w:left="4300"/>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ind w:left="4500"/>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ind w:left="4180"/>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8"/>
          <w:szCs w:val="18"/>
          <w:color w:val="auto"/>
        </w:rPr>
      </w:pPr>
    </w:p>
    <w:p>
      <w:pPr>
        <w:ind w:left="4340"/>
        <w:spacing w:after="0"/>
        <w:rPr>
          <w:sz w:val="20"/>
          <w:szCs w:val="20"/>
          <w:color w:val="auto"/>
        </w:rPr>
      </w:pPr>
      <w:r>
        <w:rPr>
          <w:rFonts w:ascii="Arial" w:cs="Arial" w:eastAsia="Arial" w:hAnsi="Arial"/>
          <w:sz w:val="18"/>
          <w:szCs w:val="18"/>
          <w:color w:val="auto"/>
        </w:rPr>
        <w:t>Telephone: (713) 646-4100</w:t>
      </w:r>
    </w:p>
    <w:p>
      <w:pPr>
        <w:spacing w:after="0" w:line="143" w:lineRule="exact"/>
        <w:rPr>
          <w:rFonts w:ascii="Arial" w:cs="Arial" w:eastAsia="Arial" w:hAnsi="Arial"/>
          <w:sz w:val="18"/>
          <w:szCs w:val="18"/>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 xml:space="preserve">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t>
      </w:r>
      <w:r>
        <w:rPr>
          <w:rFonts w:ascii="Arial" w:cs="Arial" w:eastAsia="Arial" w:hAnsi="Arial"/>
          <w:sz w:val="18"/>
          <w:szCs w:val="18"/>
          <w:i w:val="1"/>
          <w:iCs w:val="1"/>
          <w:color w:val="auto"/>
        </w:rPr>
        <w:t>www.plainsallamerican.com</w:t>
      </w:r>
      <w:r>
        <w:rPr>
          <w:rFonts w:ascii="Arial" w:cs="Arial" w:eastAsia="Arial" w:hAnsi="Arial"/>
          <w:sz w:val="18"/>
          <w:szCs w:val="18"/>
          <w:color w:val="auto"/>
        </w:rPr>
        <w:t xml:space="preserve">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76" w:lineRule="exact"/>
        <w:rPr>
          <w:sz w:val="20"/>
          <w:szCs w:val="20"/>
          <w:color w:val="auto"/>
        </w:rPr>
      </w:pPr>
    </w:p>
    <w:p>
      <w:pPr>
        <w:ind w:left="1800" w:right="499" w:hanging="180"/>
        <w:spacing w:after="0" w:line="270"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59" w:lineRule="exact"/>
        <w:rPr>
          <w:rFonts w:ascii="Arial" w:cs="Arial" w:eastAsia="Arial" w:hAnsi="Arial"/>
          <w:sz w:val="17"/>
          <w:szCs w:val="17"/>
          <w:color w:val="auto"/>
        </w:rPr>
      </w:pPr>
    </w:p>
    <w:p>
      <w:pPr>
        <w:ind w:left="1800" w:right="639" w:hanging="180"/>
        <w:spacing w:after="0" w:line="286"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43" w:lineRule="exact"/>
        <w:rPr>
          <w:rFonts w:ascii="Arial" w:cs="Arial" w:eastAsia="Arial" w:hAnsi="Arial"/>
          <w:sz w:val="17"/>
          <w:szCs w:val="17"/>
          <w:color w:val="auto"/>
        </w:rPr>
      </w:pPr>
    </w:p>
    <w:p>
      <w:pPr>
        <w:ind w:left="1800" w:right="71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75"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48"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48" w:lineRule="exact"/>
        <w:rPr>
          <w:rFonts w:ascii="Arial" w:cs="Arial" w:eastAsia="Arial" w:hAnsi="Arial"/>
          <w:sz w:val="18"/>
          <w:szCs w:val="18"/>
          <w:color w:val="auto"/>
        </w:rPr>
      </w:pPr>
    </w:p>
    <w:p>
      <w:pPr>
        <w:jc w:val="both"/>
        <w:ind w:left="1800" w:right="99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48"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48"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48" w:lineRule="exact"/>
        <w:rPr>
          <w:rFonts w:ascii="Arial" w:cs="Arial" w:eastAsia="Arial" w:hAnsi="Arial"/>
          <w:sz w:val="18"/>
          <w:szCs w:val="18"/>
          <w:color w:val="auto"/>
        </w:rPr>
      </w:pPr>
    </w:p>
    <w:p>
      <w:pPr>
        <w:ind w:left="1800" w:right="559" w:hanging="180"/>
        <w:spacing w:after="0" w:line="273"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56" w:lineRule="exact"/>
        <w:rPr>
          <w:rFonts w:ascii="Arial" w:cs="Arial" w:eastAsia="Arial" w:hAnsi="Arial"/>
          <w:sz w:val="17"/>
          <w:szCs w:val="17"/>
          <w:color w:val="auto"/>
        </w:rPr>
      </w:pPr>
    </w:p>
    <w:p>
      <w:pPr>
        <w:ind w:left="1800" w:right="61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48"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03" w:lineRule="exact"/>
        <w:rPr>
          <w:rFonts w:ascii="Arial" w:cs="Arial" w:eastAsia="Arial" w:hAnsi="Arial"/>
          <w:sz w:val="18"/>
          <w:szCs w:val="18"/>
          <w:color w:val="auto"/>
        </w:rPr>
      </w:pPr>
    </w:p>
    <w:p>
      <w:pPr>
        <w:ind w:left="1800" w:right="559" w:hanging="180"/>
        <w:spacing w:after="0" w:line="279"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63" w:lineRule="exact"/>
        <w:rPr>
          <w:rFonts w:ascii="Arial" w:cs="Arial" w:eastAsia="Arial" w:hAnsi="Arial"/>
          <w:sz w:val="17"/>
          <w:szCs w:val="17"/>
          <w:color w:val="auto"/>
        </w:rPr>
      </w:pPr>
    </w:p>
    <w:p>
      <w:pPr>
        <w:ind w:left="1800" w:right="799" w:hanging="180"/>
        <w:spacing w:after="0" w:line="286"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3" w:lineRule="exact"/>
        <w:rPr>
          <w:rFonts w:ascii="Arial" w:cs="Arial" w:eastAsia="Arial" w:hAnsi="Arial"/>
          <w:sz w:val="17"/>
          <w:szCs w:val="17"/>
          <w:color w:val="auto"/>
        </w:rPr>
      </w:pPr>
    </w:p>
    <w:p>
      <w:pPr>
        <w:ind w:left="1800" w:right="57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of producers, who have made commitments to our pipelines, to access capital to fund their drilling and completion activities;</w:t>
      </w:r>
    </w:p>
    <w:p>
      <w:pPr>
        <w:spacing w:after="0" w:line="48"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79"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48"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jc w:val="both"/>
        <w:ind w:left="1800" w:right="6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03"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03" w:lineRule="exact"/>
        <w:rPr>
          <w:sz w:val="20"/>
          <w:szCs w:val="20"/>
          <w:color w:val="auto"/>
        </w:rPr>
      </w:pPr>
    </w:p>
    <w:p>
      <w:pPr>
        <w:ind w:left="1260" w:right="659" w:firstLine="360"/>
        <w:spacing w:after="0"/>
        <w:rPr>
          <w:rFonts w:ascii="Arial" w:cs="Arial" w:eastAsia="Arial" w:hAnsi="Arial"/>
          <w:sz w:val="18"/>
          <w:szCs w:val="18"/>
          <w:color w:val="0000EE"/>
        </w:rPr>
      </w:pPr>
      <w:r>
        <w:rPr>
          <w:rFonts w:ascii="Arial" w:cs="Arial" w:eastAsia="Arial" w:hAnsi="Arial"/>
          <w:sz w:val="18"/>
          <w:szCs w:val="18"/>
          <w:color w:val="auto"/>
        </w:rPr>
        <w:t xml:space="preserve">Other factors described herein or incorporated by reference, as well as factors that are unknown or unpredictable, could also have a material adverse effect on future results. Please read “Risk Factors” </w:t>
      </w:r>
      <w:hyperlink r:id="rId17">
        <w:r>
          <w:rPr>
            <w:rFonts w:ascii="Arial" w:cs="Arial" w:eastAsia="Arial" w:hAnsi="Arial"/>
            <w:sz w:val="18"/>
            <w:szCs w:val="18"/>
            <w:color w:val="auto"/>
          </w:rPr>
          <w:t xml:space="preserve">beginning on page 3 of this prospectus and discussed in Item 1A. of our </w:t>
        </w:r>
        <w:r>
          <w:rPr>
            <w:rFonts w:ascii="Arial" w:cs="Arial" w:eastAsia="Arial" w:hAnsi="Arial"/>
            <w:sz w:val="18"/>
            <w:szCs w:val="18"/>
            <w:u w:val="single" w:color="auto"/>
            <w:color w:val="0000EE"/>
          </w:rPr>
          <w:t>Annual Report on Form 10- K for</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the year ended December 31, 2020 (File No. 001-14569)</w:t>
        </w:r>
        <w:r>
          <w:rPr>
            <w:rFonts w:ascii="Arial" w:cs="Arial" w:eastAsia="Arial" w:hAnsi="Arial"/>
            <w:sz w:val="18"/>
            <w:szCs w:val="18"/>
            <w:color w:val="000000"/>
          </w:rPr>
          <w:t>, which is incorporated into this prospectus by</w:t>
        </w:r>
      </w:hyperlink>
      <w:r>
        <w:rPr>
          <w:rFonts w:ascii="Arial" w:cs="Arial" w:eastAsia="Arial" w:hAnsi="Arial"/>
          <w:sz w:val="18"/>
          <w:szCs w:val="18"/>
          <w:color w:val="0000EE"/>
        </w:rPr>
        <w:t xml:space="preserve"> </w:t>
      </w:r>
      <w:r>
        <w:rPr>
          <w:rFonts w:ascii="Arial" w:cs="Arial" w:eastAsia="Arial" w:hAnsi="Arial"/>
          <w:sz w:val="18"/>
          <w:szCs w:val="18"/>
          <w:color w:val="000000"/>
        </w:rPr>
        <w:t>reference. Except as required by applicable securities laws, we do not intend to update these forward-looking statements and information.</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Our assets and the services we provide are primarily focused on crude oil, NGL and natural gas.</w:t>
      </w:r>
    </w:p>
    <w:p>
      <w:pPr>
        <w:spacing w:after="0" w:line="116"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19"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06"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12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 xml:space="preserve">Our principal executive offices are located at 333 Clay Street, Suite 1600, Houston, Texas 77002 and our telephone number is (713) 646-4100. We maintain a website at </w:t>
      </w:r>
      <w:r>
        <w:rPr>
          <w:rFonts w:ascii="Arial" w:cs="Arial" w:eastAsia="Arial" w:hAnsi="Arial"/>
          <w:sz w:val="17"/>
          <w:szCs w:val="17"/>
          <w:i w:val="1"/>
          <w:iCs w:val="1"/>
          <w:color w:val="auto"/>
        </w:rPr>
        <w:t>www.plainsallamerican.com</w:t>
      </w:r>
      <w:r>
        <w:rPr>
          <w:rFonts w:ascii="Arial" w:cs="Arial" w:eastAsia="Arial" w:hAnsi="Arial"/>
          <w:sz w:val="17"/>
          <w:szCs w:val="17"/>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Information</w:t>
      </w:r>
    </w:p>
    <w:p>
      <w:pPr>
        <w:spacing w:after="0" w:line="148" w:lineRule="exact"/>
        <w:rPr>
          <w:sz w:val="20"/>
          <w:szCs w:val="20"/>
          <w:color w:val="auto"/>
        </w:rPr>
      </w:pPr>
    </w:p>
    <w:p>
      <w:pPr>
        <w:ind w:left="1260" w:right="439" w:firstLine="360"/>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For additional information about us please refer to the documents set forth under “Where You Can Find </w:t>
      </w:r>
      <w:hyperlink r:id="rId17">
        <w:r>
          <w:rPr>
            <w:rFonts w:ascii="Arial" w:cs="Arial" w:eastAsia="Arial" w:hAnsi="Arial"/>
            <w:sz w:val="18"/>
            <w:szCs w:val="18"/>
            <w:color w:val="auto"/>
          </w:rPr>
          <w:t xml:space="preserve">More Information” in this prospectus, including our </w:t>
        </w:r>
        <w:r>
          <w:rPr>
            <w:rFonts w:ascii="Arial" w:cs="Arial" w:eastAsia="Arial" w:hAnsi="Arial"/>
            <w:sz w:val="18"/>
            <w:szCs w:val="18"/>
            <w:u w:val="single" w:color="auto"/>
            <w:color w:val="0000EE"/>
          </w:rPr>
          <w:t>Annual Report on Form 10-K for the fiscal year ended</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December 31, 2020 (File No. 001-14569)</w:t>
        </w:r>
        <w:r>
          <w:rPr>
            <w:rFonts w:ascii="Arial" w:cs="Arial" w:eastAsia="Arial" w:hAnsi="Arial"/>
            <w:sz w:val="18"/>
            <w:szCs w:val="18"/>
            <w:color w:val="000000"/>
          </w:rPr>
          <w:t>, which is incorporated by reference herein.</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19" w:firstLine="360"/>
        <w:spacing w:after="0" w:line="253" w:lineRule="auto"/>
        <w:rPr>
          <w:rFonts w:ascii="Arial" w:cs="Arial" w:eastAsia="Arial" w:hAnsi="Arial"/>
          <w:sz w:val="18"/>
          <w:szCs w:val="18"/>
          <w:color w:val="0000EE"/>
        </w:rPr>
      </w:pPr>
      <w:r>
        <w:rPr>
          <w:rFonts w:ascii="Arial" w:cs="Arial" w:eastAsia="Arial" w:hAnsi="Arial"/>
          <w:sz w:val="18"/>
          <w:szCs w:val="18"/>
          <w:color w:val="auto"/>
        </w:rPr>
        <w:t xml:space="preserve">An investment in our securities involves a high degree of risk. Before you invest in our securities, you </w:t>
      </w:r>
      <w:hyperlink r:id="rId17">
        <w:r>
          <w:rPr>
            <w:rFonts w:ascii="Arial" w:cs="Arial" w:eastAsia="Arial" w:hAnsi="Arial"/>
            <w:sz w:val="18"/>
            <w:szCs w:val="18"/>
            <w:color w:val="auto"/>
          </w:rPr>
          <w:t xml:space="preserve">should carefully consider the risk factors included in Item 1A. “Risk Factors” in our </w:t>
        </w:r>
        <w:r>
          <w:rPr>
            <w:rFonts w:ascii="Arial" w:cs="Arial" w:eastAsia="Arial" w:hAnsi="Arial"/>
            <w:sz w:val="18"/>
            <w:szCs w:val="18"/>
            <w:u w:val="single" w:color="auto"/>
            <w:color w:val="0000EE"/>
          </w:rPr>
          <w:t>Annual Report on Form</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10-K for the year ended December 31, 2020 (File No. 001-14569)</w:t>
        </w:r>
        <w:r>
          <w:rPr>
            <w:rFonts w:ascii="Arial" w:cs="Arial" w:eastAsia="Arial" w:hAnsi="Arial"/>
            <w:sz w:val="18"/>
            <w:szCs w:val="18"/>
            <w:color w:val="000000"/>
          </w:rPr>
          <w:t>, which is incorporated into this</w:t>
        </w:r>
      </w:hyperlink>
      <w:r>
        <w:rPr>
          <w:rFonts w:ascii="Arial" w:cs="Arial" w:eastAsia="Arial" w:hAnsi="Arial"/>
          <w:sz w:val="18"/>
          <w:szCs w:val="18"/>
          <w:color w:val="0000EE"/>
        </w:rPr>
        <w:t xml:space="preserve"> </w:t>
      </w:r>
      <w:r>
        <w:rPr>
          <w:rFonts w:ascii="Arial" w:cs="Arial" w:eastAsia="Arial" w:hAnsi="Arial"/>
          <w:sz w:val="18"/>
          <w:szCs w:val="18"/>
          <w:color w:val="000000"/>
        </w:rPr>
        <w:t>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w:t>
      </w:r>
    </w:p>
    <w:p>
      <w:pPr>
        <w:spacing w:after="0" w:line="119" w:lineRule="exact"/>
        <w:rPr>
          <w:sz w:val="20"/>
          <w:szCs w:val="20"/>
          <w:color w:val="auto"/>
        </w:rPr>
      </w:pPr>
    </w:p>
    <w:p>
      <w:pPr>
        <w:ind w:left="1260" w:right="799" w:firstLine="360"/>
        <w:spacing w:after="0" w:line="308" w:lineRule="auto"/>
        <w:rPr>
          <w:sz w:val="20"/>
          <w:szCs w:val="20"/>
          <w:color w:val="auto"/>
        </w:rPr>
      </w:pPr>
      <w:r>
        <w:rPr>
          <w:rFonts w:ascii="Arial" w:cs="Arial" w:eastAsia="Arial" w:hAnsi="Arial"/>
          <w:sz w:val="17"/>
          <w:szCs w:val="17"/>
          <w:color w:val="auto"/>
        </w:rPr>
        <w:t>Any specific allocation of the net proceeds of an offering of securities to a specific purpose will be determined at the time of the offering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debt securities will be:</w:t>
      </w:r>
    </w:p>
    <w:p>
      <w:pPr>
        <w:spacing w:after="0" w:line="117" w:lineRule="exact"/>
        <w:rPr>
          <w:sz w:val="20"/>
          <w:szCs w:val="20"/>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117" w:lineRule="exact"/>
        <w:rPr>
          <w:rFonts w:ascii="Arial" w:cs="Arial" w:eastAsia="Arial" w:hAnsi="Arial"/>
          <w:sz w:val="18"/>
          <w:szCs w:val="18"/>
          <w:color w:val="auto"/>
        </w:rPr>
      </w:pPr>
    </w:p>
    <w:p>
      <w:pPr>
        <w:ind w:left="1800" w:right="779" w:hanging="180"/>
        <w:spacing w:after="0" w:line="308" w:lineRule="auto"/>
        <w:tabs>
          <w:tab w:leader="none" w:pos="1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issued under separate indentures (which may be existing indentures) among Plains All American Pipeline, PAA Finance and U.S. Bank National Association, as successor Trustee.</w:t>
      </w:r>
    </w:p>
    <w:p>
      <w:pPr>
        <w:spacing w:after="0" w:line="6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2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162"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76"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117" w:lineRule="exact"/>
        <w:rPr>
          <w:rFonts w:ascii="Arial" w:cs="Arial" w:eastAsia="Arial" w:hAnsi="Arial"/>
          <w:sz w:val="18"/>
          <w:szCs w:val="18"/>
          <w:color w:val="auto"/>
        </w:rPr>
      </w:pPr>
    </w:p>
    <w:p>
      <w:pPr>
        <w:ind w:left="1800" w:right="479" w:hanging="180"/>
        <w:spacing w:after="0" w:line="308"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we will issue the debt securities in individual certificates to each holder in registered form, or in the form of temporary or permanent global securities held by a depository on behalf of holders;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17" w:lineRule="exact"/>
        <w:rPr>
          <w:rFonts w:ascii="Arial" w:cs="Arial" w:eastAsia="Arial" w:hAnsi="Arial"/>
          <w:sz w:val="18"/>
          <w:szCs w:val="18"/>
          <w:color w:val="auto"/>
        </w:rPr>
      </w:pPr>
    </w:p>
    <w:p>
      <w:pPr>
        <w:ind w:left="1800" w:right="11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5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Possible Future Guarantees</w:t>
      </w:r>
    </w:p>
    <w:p>
      <w:pPr>
        <w:spacing w:after="0" w:line="162" w:lineRule="exact"/>
        <w:rPr>
          <w:sz w:val="20"/>
          <w:szCs w:val="20"/>
          <w:color w:val="auto"/>
        </w:rPr>
      </w:pPr>
    </w:p>
    <w:p>
      <w:pPr>
        <w:ind w:left="1260" w:right="639" w:firstLine="360"/>
        <w:spacing w:after="0" w:line="241" w:lineRule="auto"/>
        <w:rPr>
          <w:sz w:val="20"/>
          <w:szCs w:val="20"/>
          <w:color w:val="auto"/>
        </w:rPr>
      </w:pPr>
      <w:r>
        <w:rPr>
          <w:rFonts w:ascii="Arial" w:cs="Arial" w:eastAsia="Arial" w:hAnsi="Arial"/>
          <w:sz w:val="18"/>
          <w:szCs w:val="18"/>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12"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 Merger or Asset Sale</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08"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74" w:lineRule="exact"/>
        <w:rPr>
          <w:sz w:val="20"/>
          <w:szCs w:val="20"/>
          <w:color w:val="auto"/>
        </w:rPr>
      </w:pPr>
    </w:p>
    <w:p>
      <w:pPr>
        <w:ind w:left="1800" w:right="419" w:hanging="180"/>
        <w:spacing w:after="0" w:line="259"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103"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 Events of Default and Remedies” below) may exist.</w:t>
      </w:r>
    </w:p>
    <w:p>
      <w:pPr>
        <w:spacing w:after="0" w:line="10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62"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33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Indentures</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73" w:lineRule="exact"/>
        <w:rPr>
          <w:sz w:val="20"/>
          <w:szCs w:val="20"/>
          <w:color w:val="auto"/>
        </w:rPr>
      </w:pPr>
    </w:p>
    <w:p>
      <w:pPr>
        <w:ind w:left="1800" w:right="107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103" w:lineRule="exact"/>
        <w:rPr>
          <w:rFonts w:ascii="Arial" w:cs="Arial" w:eastAsia="Arial" w:hAnsi="Arial"/>
          <w:sz w:val="18"/>
          <w:szCs w:val="18"/>
          <w:color w:val="auto"/>
        </w:rPr>
      </w:pPr>
    </w:p>
    <w:p>
      <w:pPr>
        <w:jc w:val="both"/>
        <w:ind w:left="1800" w:right="51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103"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78"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103"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62"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75"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(except as may be permitted in the case of a particular series of debt securities);</w:t>
      </w:r>
    </w:p>
    <w:p>
      <w:pPr>
        <w:spacing w:after="0" w:line="62"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103"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63"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800" w:right="599" w:hanging="180"/>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provide for the assumption of an issuer’s obligations to holders of debt securities in the case of a merger or consolidation or disposition of all or substantially all of such issuer’s assets;</w:t>
      </w:r>
    </w:p>
    <w:p>
      <w:pPr>
        <w:spacing w:after="0" w:line="38" w:lineRule="exact"/>
        <w:rPr>
          <w:rFonts w:ascii="Arial" w:cs="Arial" w:eastAsia="Arial" w:hAnsi="Arial"/>
          <w:sz w:val="17"/>
          <w:szCs w:val="17"/>
          <w:color w:val="auto"/>
        </w:rPr>
      </w:pPr>
    </w:p>
    <w:p>
      <w:pPr>
        <w:jc w:val="both"/>
        <w:ind w:left="1800" w:right="699" w:hanging="180"/>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5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75"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evidence or provide for the acceptance of appointment under the indenture of a successor Trustee;</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 and Remedies</w:t>
      </w:r>
    </w:p>
    <w:p>
      <w:pPr>
        <w:spacing w:after="0" w:line="1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62"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to pay when due any sinking fund payment with respect to any debt securities of that series;</w:t>
      </w:r>
    </w:p>
    <w:p>
      <w:pPr>
        <w:spacing w:after="0" w:line="128" w:lineRule="exact"/>
        <w:rPr>
          <w:rFonts w:ascii="Arial" w:cs="Arial" w:eastAsia="Arial" w:hAnsi="Arial"/>
          <w:sz w:val="17"/>
          <w:szCs w:val="17"/>
          <w:color w:val="auto"/>
        </w:rPr>
      </w:pPr>
    </w:p>
    <w:p>
      <w:pPr>
        <w:ind w:left="1800" w:right="77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Consolidation, Merger or Asset Sale;”</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44" w:lineRule="exact"/>
        <w:rPr>
          <w:sz w:val="20"/>
          <w:szCs w:val="20"/>
          <w:color w:val="auto"/>
        </w:rPr>
      </w:pPr>
    </w:p>
    <w:p>
      <w:pPr>
        <w:jc w:val="both"/>
        <w:ind w:left="1260" w:right="439" w:firstLine="360"/>
        <w:spacing w:after="0" w:line="279" w:lineRule="auto"/>
        <w:rPr>
          <w:sz w:val="20"/>
          <w:szCs w:val="20"/>
          <w:color w:val="auto"/>
        </w:rPr>
      </w:pPr>
      <w:r>
        <w:rPr>
          <w:rFonts w:ascii="Arial" w:cs="Arial" w:eastAsia="Arial" w:hAnsi="Arial"/>
          <w:sz w:val="17"/>
          <w:szCs w:val="17"/>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0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20" w:lineRule="exact"/>
        <w:rPr>
          <w:sz w:val="20"/>
          <w:szCs w:val="20"/>
          <w:color w:val="auto"/>
        </w:rPr>
      </w:pPr>
    </w:p>
    <w:p>
      <w:pPr>
        <w:ind w:left="1260" w:right="619" w:firstLine="360"/>
        <w:spacing w:after="0" w:line="273" w:lineRule="auto"/>
        <w:rPr>
          <w:sz w:val="20"/>
          <w:szCs w:val="20"/>
          <w:color w:val="auto"/>
        </w:rPr>
      </w:pPr>
      <w:r>
        <w:rPr>
          <w:rFonts w:ascii="Arial" w:cs="Arial" w:eastAsia="Arial" w:hAnsi="Arial"/>
          <w:sz w:val="17"/>
          <w:szCs w:val="17"/>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14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of Notes</w:t>
      </w:r>
    </w:p>
    <w:p>
      <w:pPr>
        <w:spacing w:after="0" w:line="162"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We will issue debt securities of a series only in registered form, without coupons, unless otherwise indicated in the prospectus supplement.</w:t>
      </w: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Minimum Denominations</w:t>
      </w:r>
    </w:p>
    <w:p>
      <w:pPr>
        <w:spacing w:after="0" w:line="148"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Personal Liability</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Payment and Transfer</w:t>
      </w:r>
    </w:p>
    <w:p>
      <w:pPr>
        <w:spacing w:after="0" w:line="148"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01"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05"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Registration and Transfer</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not be required to:</w:t>
      </w:r>
    </w:p>
    <w:p>
      <w:pPr>
        <w:spacing w:after="0" w:line="104" w:lineRule="exact"/>
        <w:rPr>
          <w:sz w:val="20"/>
          <w:szCs w:val="20"/>
          <w:color w:val="auto"/>
        </w:rPr>
      </w:pPr>
    </w:p>
    <w:p>
      <w:pPr>
        <w:ind w:left="1800" w:right="479" w:hanging="180"/>
        <w:spacing w:after="0" w:line="259"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3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148"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144" w:lineRule="exact"/>
        <w:rPr>
          <w:sz w:val="20"/>
          <w:szCs w:val="20"/>
          <w:color w:val="auto"/>
        </w:rPr>
      </w:pPr>
    </w:p>
    <w:p>
      <w:pPr>
        <w:ind w:left="1260" w:right="599" w:firstLine="360"/>
        <w:spacing w:after="0" w:line="291" w:lineRule="auto"/>
        <w:rPr>
          <w:sz w:val="20"/>
          <w:szCs w:val="20"/>
          <w:color w:val="auto"/>
        </w:rPr>
      </w:pPr>
      <w:r>
        <w:rPr>
          <w:rFonts w:ascii="Arial" w:cs="Arial" w:eastAsia="Arial" w:hAnsi="Arial"/>
          <w:sz w:val="17"/>
          <w:szCs w:val="17"/>
          <w:color w:val="auto"/>
        </w:rPr>
        <w:t>The subordinated debt securities will rank junior in right of payment to all of the Senior Indebtedness of Plains All American Pipeline. “Senior Indebtedness” will be defined in a supplemental indenture or</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authorizing resolutions respecting any issuance of a series of subordinated debt securities, and the definition will be set forth in the prospectus supplement.</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144"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76" w:lineRule="exact"/>
        <w:rPr>
          <w:sz w:val="20"/>
          <w:szCs w:val="20"/>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117"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78"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158"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 Entry, Delivery and Form</w:t>
      </w:r>
    </w:p>
    <w:p>
      <w:pPr>
        <w:spacing w:after="0" w:line="148"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11"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03"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00"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16"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10"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49" w:lineRule="exact"/>
        <w:rPr>
          <w:sz w:val="20"/>
          <w:szCs w:val="20"/>
          <w:color w:val="auto"/>
        </w:rPr>
      </w:pPr>
    </w:p>
    <w:p>
      <w:pPr>
        <w:jc w:val="both"/>
        <w:ind w:left="1800" w:right="819" w:hanging="180"/>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35"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48"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Each indenture will be discharged and will cease to be of further effect as to all outstanding debt securities of any series issued thereunder, when:</w:t>
      </w:r>
    </w:p>
    <w:p>
      <w:pPr>
        <w:spacing w:after="0" w:line="76" w:lineRule="exact"/>
        <w:rPr>
          <w:sz w:val="20"/>
          <w:szCs w:val="20"/>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w:t>
      </w:r>
    </w:p>
    <w:p>
      <w:pPr>
        <w:spacing w:after="0" w:line="144" w:lineRule="exact"/>
        <w:rPr>
          <w:rFonts w:ascii="Arial" w:cs="Arial" w:eastAsia="Arial" w:hAnsi="Arial"/>
          <w:sz w:val="18"/>
          <w:szCs w:val="18"/>
          <w:color w:val="auto"/>
        </w:rPr>
      </w:pPr>
    </w:p>
    <w:p>
      <w:pPr>
        <w:ind w:left="2340" w:right="519" w:hanging="360"/>
        <w:spacing w:after="0" w:line="259" w:lineRule="auto"/>
        <w:tabs>
          <w:tab w:leader="none" w:pos="2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05" w:lineRule="exact"/>
        <w:rPr>
          <w:rFonts w:ascii="Arial" w:cs="Arial" w:eastAsia="Arial" w:hAnsi="Arial"/>
          <w:sz w:val="18"/>
          <w:szCs w:val="18"/>
          <w:color w:val="auto"/>
        </w:rPr>
      </w:pPr>
    </w:p>
    <w:p>
      <w:pPr>
        <w:ind w:left="2340" w:right="419" w:hanging="360"/>
        <w:spacing w:after="0" w:line="269" w:lineRule="auto"/>
        <w:tabs>
          <w:tab w:leader="none" w:pos="23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87" w:lineRule="exact"/>
        <w:rPr>
          <w:rFonts w:ascii="Arial" w:cs="Arial" w:eastAsia="Arial" w:hAnsi="Arial"/>
          <w:sz w:val="17"/>
          <w:szCs w:val="17"/>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44" w:lineRule="exact"/>
        <w:rPr>
          <w:rFonts w:ascii="Arial" w:cs="Arial" w:eastAsia="Arial" w:hAnsi="Arial"/>
          <w:sz w:val="18"/>
          <w:szCs w:val="18"/>
          <w:color w:val="auto"/>
        </w:rPr>
      </w:pPr>
    </w:p>
    <w:p>
      <w:pPr>
        <w:ind w:left="1980" w:right="599" w:hanging="360"/>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03" w:lineRule="exact"/>
        <w:rPr>
          <w:sz w:val="20"/>
          <w:szCs w:val="20"/>
          <w:color w:val="auto"/>
        </w:rPr>
      </w:pPr>
    </w:p>
    <w:p>
      <w:pPr>
        <w:ind w:left="1620" w:right="839" w:firstLine="360"/>
        <w:spacing w:after="0" w:line="261"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Trustee</w:t>
      </w:r>
    </w:p>
    <w:p>
      <w:pPr>
        <w:spacing w:after="0" w:line="135"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144" w:lineRule="exact"/>
        <w:rPr>
          <w:sz w:val="20"/>
          <w:szCs w:val="20"/>
          <w:color w:val="auto"/>
        </w:rPr>
      </w:pPr>
    </w:p>
    <w:p>
      <w:pPr>
        <w:jc w:val="both"/>
        <w:ind w:left="1260" w:right="579" w:firstLine="360"/>
        <w:spacing w:after="0" w:line="248" w:lineRule="auto"/>
        <w:rPr>
          <w:sz w:val="20"/>
          <w:szCs w:val="20"/>
          <w:color w:val="auto"/>
        </w:rPr>
      </w:pPr>
      <w:r>
        <w:rPr>
          <w:rFonts w:ascii="Arial" w:cs="Arial" w:eastAsia="Arial" w:hAnsi="Arial"/>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Any resignation will require the appointment of a successor trustee under the applicable indenture in accordance with the terms and conditions of such indenture.</w:t>
      </w:r>
    </w:p>
    <w:p>
      <w:pPr>
        <w:spacing w:after="0" w:line="89"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158"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15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indenture and all of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DESCRIPTION OF OUR PREFERRED UNITS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A Preferred Units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On January 28, 2016, we completed a private placement of 61,030,127 Series A Convertible Preferred Units representing limited partner interests in us (the “Series A preferred units”) for a cash purchase price of $26.25 per unit (the “Issue Price”) .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equal to an annual rate of 8% of the Issue Price ($2.10 per unit annualized). With respect to each quarter ended on or prior to December 31, 2017 (the “Initial Distribution Period”), we had the option, which we elected, to pay distributions on the Series A preferred units in additional Series A preferred units. With respect to each quarter ending after the Initial Distribution Period, we have paid distributions on the Series A preferred units in cash. For a period of</w:t>
      </w:r>
    </w:p>
    <w:p>
      <w:pPr>
        <w:spacing w:after="0" w:line="5" w:lineRule="exact"/>
        <w:rPr>
          <w:sz w:val="20"/>
          <w:szCs w:val="20"/>
          <w:color w:val="auto"/>
        </w:rPr>
      </w:pPr>
    </w:p>
    <w:p>
      <w:pPr>
        <w:ind w:left="1260" w:right="499"/>
        <w:spacing w:after="0" w:line="250" w:lineRule="auto"/>
        <w:rPr>
          <w:sz w:val="20"/>
          <w:szCs w:val="20"/>
          <w:color w:val="auto"/>
        </w:rPr>
      </w:pPr>
      <w:r>
        <w:rPr>
          <w:rFonts w:ascii="Arial" w:cs="Arial" w:eastAsia="Arial" w:hAnsi="Arial"/>
          <w:sz w:val="17"/>
          <w:szCs w:val="17"/>
          <w:color w:val="auto"/>
        </w:rPr>
        <w:t>30 days following (a) the fifth anniversary of the issue date of the Series A preferred units and (b) each subsequent anniversary of the issue date, the holders of Series A preferred units, acting by majority vote, may make a one-time election to reset the Series A preferred unit distribution rate to equal the then applicable rate of ten-year U.S. Treasury Securities plus 5.85% (the “Preferred Distribution Rate Reset Option”). If the holders of Series A preferred units have exercised the Preferred Distribution Rate Reset Option,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2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holders of Series A preferred units may convert such units into common units, generally on a one-for- one basis and subject to customary anti -dilution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B Preferred Units</w:t>
      </w:r>
    </w:p>
    <w:p>
      <w:pPr>
        <w:spacing w:after="0" w:line="162"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10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Series B Three-Month LIBOR (as defined in and calculated pursuant to our partnership agreement) plus a spread of 4.11%.</w:t>
      </w:r>
    </w:p>
    <w:p>
      <w:pPr>
        <w:spacing w:after="0" w:line="101"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Series B preferred units have a liquidation preference of $1,000 per unit. 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w:t>
      </w:r>
    </w:p>
    <w:p>
      <w:pPr>
        <w:spacing w:after="0" w:line="3"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Future Issuances of Preferred Units</w:t>
      </w:r>
    </w:p>
    <w:p>
      <w:pPr>
        <w:spacing w:after="0" w:line="1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A</w:t>
      </w:r>
    </w:p>
    <w:p>
      <w:pPr>
        <w:spacing w:after="0" w:line="2"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w:t>
      </w:r>
    </w:p>
    <w:p>
      <w:pPr>
        <w:spacing w:after="0" w:line="125"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76" w:lineRule="exact"/>
        <w:rPr>
          <w:sz w:val="20"/>
          <w:szCs w:val="20"/>
          <w:color w:val="auto"/>
        </w:rPr>
      </w:pPr>
    </w:p>
    <w:p>
      <w:pPr>
        <w:ind w:left="1800" w:right="79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stated value, and liquidation preference of the preferred units and the number of preferred units offered;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initial public offering price at which the preferred units will be issued;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conversion or exchange provisions of the preferred units;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units;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distribution rights of the preferred units, if any;</w:t>
      </w:r>
    </w:p>
    <w:p>
      <w:pPr>
        <w:spacing w:after="0" w:line="117" w:lineRule="exact"/>
        <w:rPr>
          <w:rFonts w:ascii="Arial" w:cs="Arial" w:eastAsia="Arial" w:hAnsi="Arial"/>
          <w:sz w:val="18"/>
          <w:szCs w:val="18"/>
          <w:color w:val="auto"/>
        </w:rPr>
      </w:pPr>
    </w:p>
    <w:p>
      <w:pPr>
        <w:ind w:left="1800" w:right="15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considerations regarding the preferred units;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DESCRIPTION OF OUR COMMON UNITS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20"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Our outstanding common units are listed on NASDAQ under the symbol “PAA.” Any additional common units we issue will also be listed on NASDAQ.</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transfer agent and registrar for our common units is American Stock Transfer &amp; Trust Company.</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w:t>
      </w:r>
    </w:p>
    <w:p>
      <w:pPr>
        <w:spacing w:after="0" w:line="14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 In addition, our partnership agreement limits fiduciary duties our general partner may owe to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2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Our general partner manages our day-to -day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w:t>
      </w:r>
    </w:p>
    <w:p>
      <w:pPr>
        <w:spacing w:after="0" w:line="120"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Subject to limited exceptions, PAGP GP’s Third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93"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board is divided into three staggered classes. At each annual meeting, only the eligible directors of a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12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PAGP holds annual shareholder meetings for the purpose of electing eligible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eligible directors at PAGP’s annual meeting. We will vote (or refrain from voting) our Class C shares for the election of eligible directors at the direction and on behalf of our eligible common and Series A preferred unitholders in the same proportion as the votes received from or withheld by our limited partners. At our annual meetings, common units held by AAP will not be voted on the election of directors and other routine matters and will not be counted for purposes of determining whether a quorum exists.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62"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Except as described under “Description of Our Partnership Agreement — Limited Liability,” the common units will be fully paid, and common unitholders will not be required to make additional capital contributions to us.</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08" w:lineRule="exact"/>
        <w:rPr>
          <w:sz w:val="20"/>
          <w:szCs w:val="20"/>
          <w:color w:val="auto"/>
        </w:rPr>
      </w:pPr>
    </w:p>
    <w:p>
      <w:pPr>
        <w:ind w:left="1260" w:right="639" w:firstLine="360"/>
        <w:spacing w:after="0" w:line="239" w:lineRule="auto"/>
        <w:rPr>
          <w:sz w:val="20"/>
          <w:szCs w:val="20"/>
          <w:color w:val="auto"/>
        </w:rPr>
      </w:pPr>
      <w:r>
        <w:rPr>
          <w:rFonts w:ascii="Arial" w:cs="Arial" w:eastAsia="Arial" w:hAnsi="Arial"/>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Right</w:t>
      </w:r>
    </w:p>
    <w:p>
      <w:pPr>
        <w:spacing w:after="0" w:line="16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any), in each case, to PAGP. The AAP Class A units transferred to AAP will be canceled, the PAGP Class B shares transferred to PAGP will be canceled and the general partner units transferred to PAGP will remain outstanding and increase PAGP’s ownership percentage in PAGP GP.</w:t>
      </w:r>
    </w:p>
    <w:p>
      <w:pPr>
        <w:spacing w:after="0" w:line="12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As long as PAGP’s Class A shares are publicly traded, a holder of Class B units of AAP (the “AAP management units”) will be entitled to convert his or her vested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vested AAP management units who convert such units into AAP Class A units and PAGP Class B shares will not receive general partner units and thus will not need to include any general partner units in a transfer or the exercise of their Redemption Right.</w:t>
      </w:r>
    </w:p>
    <w:p>
      <w:pPr>
        <w:spacing w:after="0" w:line="113"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Reports and Records</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0"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95"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62"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75" w:lineRule="exact"/>
        <w:rPr>
          <w:rFonts w:ascii="Arial" w:cs="Arial" w:eastAsia="Arial" w:hAnsi="Arial"/>
          <w:sz w:val="18"/>
          <w:szCs w:val="18"/>
          <w:color w:val="auto"/>
        </w:rPr>
      </w:pPr>
    </w:p>
    <w:p>
      <w:pPr>
        <w:ind w:left="1800" w:right="599" w:hanging="180"/>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copies of our partnership agreement, our certificate of limited partnership, amendments to either of them and powers of attorney which have been executed under our partnership agreement;</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44" w:lineRule="exact"/>
        <w:rPr>
          <w:sz w:val="20"/>
          <w:szCs w:val="20"/>
          <w:color w:val="auto"/>
        </w:rPr>
      </w:pPr>
    </w:p>
    <w:p>
      <w:pPr>
        <w:ind w:left="1260" w:right="619" w:firstLine="360"/>
        <w:spacing w:after="0" w:line="286" w:lineRule="auto"/>
        <w:rPr>
          <w:sz w:val="20"/>
          <w:szCs w:val="20"/>
          <w:color w:val="auto"/>
        </w:rPr>
      </w:pPr>
      <w:r>
        <w:rPr>
          <w:rFonts w:ascii="Arial" w:cs="Arial" w:eastAsia="Arial" w:hAnsi="Arial"/>
          <w:sz w:val="17"/>
          <w:szCs w:val="17"/>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of Available Cash</w:t>
      </w:r>
    </w:p>
    <w:p>
      <w:pPr>
        <w:spacing w:after="0" w:line="148"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described below.</w:t>
      </w:r>
    </w:p>
    <w:p>
      <w:pPr>
        <w:spacing w:after="0" w:line="103"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all cash and cash equivalents on hand at the end of that quarter less reserves established in the reasonable discretion of the general partner for future requirements to:</w:t>
      </w:r>
    </w:p>
    <w:p>
      <w:pPr>
        <w:spacing w:after="0" w:line="76" w:lineRule="exact"/>
        <w:rPr>
          <w:sz w:val="20"/>
          <w:szCs w:val="20"/>
          <w:color w:val="auto"/>
        </w:rPr>
      </w:pPr>
    </w:p>
    <w:p>
      <w:pPr>
        <w:ind w:left="1800" w:right="959" w:hanging="180"/>
        <w:spacing w:after="0" w:line="308"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for the proper conduct of our business and the business of our operating partnerships (including reserves for future capital expenditures and for our anticipated future credit needs);</w:t>
      </w:r>
    </w:p>
    <w:p>
      <w:pPr>
        <w:spacing w:after="0" w:line="51" w:lineRule="exact"/>
        <w:rPr>
          <w:rFonts w:ascii="Arial" w:cs="Arial" w:eastAsia="Arial" w:hAnsi="Arial"/>
          <w:sz w:val="17"/>
          <w:szCs w:val="17"/>
          <w:color w:val="auto"/>
        </w:rPr>
      </w:pPr>
    </w:p>
    <w:p>
      <w:pPr>
        <w:ind w:left="1800" w:right="45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 with applicable law or any loan agreement, security agreement, mortgage, debt instrument or other agreement or obligation; or</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funds for distributions to our Series A and Series B preferred unitholders or distributions to our common unitholders for any one or more of the next four quarters.</w:t>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available cash also includes cash on hand resulting from borrowings made after the end of the quarter.</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62"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Cash distributions to our common unitholders will be characterized as either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surplus or capital surplus. We distribute available cash from operating surplus differently than available cash from capital surplus. See “— Quarterly Distributions of Available Cash.”</w:t>
      </w:r>
    </w:p>
    <w:p>
      <w:pPr>
        <w:spacing w:after="0" w:line="116" w:lineRule="exact"/>
        <w:rPr>
          <w:sz w:val="20"/>
          <w:szCs w:val="20"/>
          <w:color w:val="auto"/>
        </w:rPr>
      </w:pPr>
    </w:p>
    <w:p>
      <w:pPr>
        <w:ind w:left="1620"/>
        <w:spacing w:after="0"/>
        <w:tabs>
          <w:tab w:leader="none" w:pos="4200" w:val="left"/>
        </w:tabs>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Operating surplus refers generally to:</w:t>
      </w:r>
    </w:p>
    <w:p>
      <w:pPr>
        <w:spacing w:after="0" w:line="117" w:lineRule="exact"/>
        <w:rPr>
          <w:sz w:val="20"/>
          <w:szCs w:val="20"/>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117"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16" w:lineRule="exact"/>
        <w:rPr>
          <w:sz w:val="20"/>
          <w:szCs w:val="20"/>
          <w:color w:val="auto"/>
        </w:rPr>
      </w:pPr>
    </w:p>
    <w:p>
      <w:pPr>
        <w:ind w:left="1620"/>
        <w:spacing w:after="0"/>
        <w:tabs>
          <w:tab w:leader="none" w:pos="4000" w:val="left"/>
        </w:tabs>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Capital surplus will generally be generated only by:</w:t>
      </w:r>
    </w:p>
    <w:p>
      <w:pPr>
        <w:spacing w:after="0" w:line="117"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17"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assets in the ordinary course of business.</w:t>
      </w:r>
    </w:p>
    <w:p>
      <w:pPr>
        <w:spacing w:after="0" w:line="10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06" w:lineRule="exact"/>
        <w:rPr>
          <w:sz w:val="20"/>
          <w:szCs w:val="20"/>
          <w:color w:val="auto"/>
        </w:rPr>
      </w:pPr>
    </w:p>
    <w:p>
      <w:pPr>
        <w:ind w:left="1260" w:right="619" w:firstLine="360"/>
        <w:spacing w:after="0" w:line="279" w:lineRule="auto"/>
        <w:rPr>
          <w:sz w:val="20"/>
          <w:szCs w:val="20"/>
          <w:color w:val="auto"/>
        </w:rPr>
      </w:pPr>
      <w:r>
        <w:rPr>
          <w:rFonts w:ascii="Arial" w:cs="Arial" w:eastAsia="Arial" w:hAnsi="Arial"/>
          <w:sz w:val="17"/>
          <w:szCs w:val="17"/>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162" w:lineRule="exact"/>
        <w:rPr>
          <w:sz w:val="20"/>
          <w:szCs w:val="20"/>
          <w:color w:val="auto"/>
        </w:rPr>
      </w:pPr>
    </w:p>
    <w:p>
      <w:pPr>
        <w:ind w:left="1260" w:right="419" w:firstLine="360"/>
        <w:spacing w:after="0" w:line="308" w:lineRule="auto"/>
        <w:rPr>
          <w:sz w:val="20"/>
          <w:szCs w:val="20"/>
          <w:color w:val="auto"/>
        </w:rPr>
      </w:pPr>
      <w:r>
        <w:rPr>
          <w:rFonts w:ascii="Arial" w:cs="Arial" w:eastAsia="Arial" w:hAnsi="Arial"/>
          <w:sz w:val="17"/>
          <w:szCs w:val="17"/>
          <w:color w:val="auto"/>
        </w:rPr>
        <w:t>We can issue additional common units or other equity securities for consideration and under terms and conditions approved by our general partner in its sole discretion and without the approval of our unitholders,</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3" w:lineRule="auto"/>
        <w:rPr>
          <w:sz w:val="20"/>
          <w:szCs w:val="20"/>
          <w:color w:val="auto"/>
        </w:rPr>
      </w:pPr>
      <w:r>
        <w:rPr>
          <w:rFonts w:ascii="Arial" w:cs="Arial" w:eastAsia="Arial" w:hAnsi="Arial"/>
          <w:sz w:val="18"/>
          <w:szCs w:val="18"/>
          <w:color w:val="auto"/>
        </w:rPr>
        <w:t>other than current holders of our Series A preferred units and Series B preferred units in certain circumstances. We may fund acquisitions through the issuance of additional common units or other equity securities.</w:t>
      </w:r>
    </w:p>
    <w:p>
      <w:pPr>
        <w:spacing w:after="0" w:line="103"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A Convertible Preferred Units</w:t>
      </w:r>
    </w:p>
    <w:p>
      <w:pPr>
        <w:spacing w:after="0" w:line="16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The terms of our Series A preferred units and notable provisions with respect to distributions on the Series A preferred units are described under “Description of Our Preferred Units — Series A Preferred Units.”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B Convertible Preferred Units</w:t>
      </w:r>
    </w:p>
    <w:p>
      <w:pPr>
        <w:spacing w:after="0" w:line="16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The terms of our Series B preferred units and notable provisions with respect to distributions on the Series B preferred units are described under “Description of Our Preferred Units — Series B Preferred Units.”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148"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from Operating Surplus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from Capital Surplus</w:t>
      </w:r>
    </w:p>
    <w:p>
      <w:pPr>
        <w:spacing w:after="0" w:line="162" w:lineRule="exact"/>
        <w:rPr>
          <w:sz w:val="20"/>
          <w:szCs w:val="20"/>
          <w:color w:val="auto"/>
        </w:rPr>
      </w:pPr>
    </w:p>
    <w:p>
      <w:pPr>
        <w:ind w:left="1260" w:right="619" w:firstLine="360"/>
        <w:spacing w:after="0" w:line="235" w:lineRule="auto"/>
        <w:rPr>
          <w:sz w:val="20"/>
          <w:szCs w:val="20"/>
          <w:color w:val="auto"/>
        </w:rPr>
      </w:pPr>
      <w:r>
        <w:rPr>
          <w:rFonts w:ascii="Arial" w:cs="Arial" w:eastAsia="Arial" w:hAnsi="Arial"/>
          <w:sz w:val="18"/>
          <w:szCs w:val="18"/>
          <w:color w:val="auto"/>
        </w:rPr>
        <w:t xml:space="preserve">We will make distributions of available cash from capital surplus to all common unitholders pro rata. We may not make distributions of capital surplus without the approval of (i) holders of at least 75% of the outstanding Series A preferred units and (ii) holders of at least 66 </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Series B preferred units.</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148" w:lineRule="exact"/>
        <w:rPr>
          <w:sz w:val="20"/>
          <w:szCs w:val="20"/>
          <w:color w:val="auto"/>
        </w:rPr>
      </w:pPr>
    </w:p>
    <w:p>
      <w:pPr>
        <w:ind w:left="1260" w:right="799" w:firstLine="360"/>
        <w:spacing w:after="0" w:line="274" w:lineRule="auto"/>
        <w:rPr>
          <w:sz w:val="20"/>
          <w:szCs w:val="20"/>
          <w:color w:val="auto"/>
        </w:rPr>
      </w:pPr>
      <w:r>
        <w:rPr>
          <w:rFonts w:ascii="Arial" w:cs="Arial" w:eastAsia="Arial" w:hAnsi="Arial"/>
          <w:sz w:val="17"/>
          <w:szCs w:val="17"/>
          <w:color w:val="auto"/>
        </w:rPr>
        <w:t>If we dissolve and liquidate, we will sell or otherwise dispose of our assets and adjust the partners’ capital account balances to reflect any resulting gain or loss. We will apply the proceeds of liquidation</w:t>
      </w:r>
    </w:p>
    <w:p>
      <w:pPr>
        <w:ind w:left="1260" w:right="459"/>
        <w:spacing w:after="0" w:line="253" w:lineRule="auto"/>
        <w:tabs>
          <w:tab w:leader="none" w:pos="14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48"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63"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rights of holders of our preferred units are described under “Description of our Preferred Units;” and</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rights of holders of our common units are described under “Description of Our Common Units.”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Purpose</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162"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Issuance of Additional Securities</w:t>
      </w:r>
    </w:p>
    <w:p>
      <w:pPr>
        <w:spacing w:after="0" w:line="148"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20"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22" w:lineRule="exact"/>
        <w:rPr>
          <w:sz w:val="20"/>
          <w:szCs w:val="20"/>
          <w:color w:val="auto"/>
        </w:rPr>
      </w:pPr>
    </w:p>
    <w:p>
      <w:pPr>
        <w:jc w:val="both"/>
        <w:ind w:left="1260" w:right="619" w:firstLine="360"/>
        <w:spacing w:after="0" w:line="24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01"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14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22"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7"/>
          <w:szCs w:val="17"/>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100"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 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122"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14" w:lineRule="exact"/>
        <w:rPr>
          <w:sz w:val="20"/>
          <w:szCs w:val="20"/>
          <w:color w:val="auto"/>
        </w:rPr>
      </w:pPr>
    </w:p>
    <w:p>
      <w:pPr>
        <w:jc w:val="both"/>
        <w:ind w:left="1260" w:right="479" w:firstLine="360"/>
        <w:spacing w:after="0" w:line="291" w:lineRule="auto"/>
        <w:rPr>
          <w:sz w:val="20"/>
          <w:szCs w:val="20"/>
          <w:color w:val="auto"/>
        </w:rPr>
      </w:pPr>
      <w:r>
        <w:rPr>
          <w:rFonts w:ascii="Arial" w:cs="Arial" w:eastAsia="Arial" w:hAnsi="Arial"/>
          <w:sz w:val="17"/>
          <w:szCs w:val="17"/>
          <w:color w:val="auto"/>
        </w:rPr>
        <w:t>In addition, our partnership agreement expressly permits the sale, in whole or in part, of the ownership of our general partner. Our general partner may also transfer, in whole or in part, the common units it owns.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4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80" w:lineRule="exact"/>
        <w:rPr>
          <w:sz w:val="20"/>
          <w:szCs w:val="20"/>
          <w:color w:val="auto"/>
        </w:rPr>
      </w:pPr>
    </w:p>
    <w:p>
      <w:pPr>
        <w:ind w:left="1800" w:right="11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w:t>
      </w:r>
    </w:p>
    <w:p>
      <w:pPr>
        <w:spacing w:after="0" w:line="35" w:lineRule="exact"/>
        <w:rPr>
          <w:rFonts w:ascii="Arial" w:cs="Arial" w:eastAsia="Arial" w:hAnsi="Arial"/>
          <w:sz w:val="18"/>
          <w:szCs w:val="18"/>
          <w:color w:val="auto"/>
        </w:rPr>
      </w:pPr>
    </w:p>
    <w:p>
      <w:pPr>
        <w:ind w:left="1800" w:right="89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finally, to all partners in accordance with the positive balance in their respective capital accounts.</w:t>
      </w:r>
    </w:p>
    <w:p>
      <w:pPr>
        <w:spacing w:after="0" w:line="156"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Change of Management Provisions</w:t>
      </w:r>
    </w:p>
    <w:p>
      <w:pPr>
        <w:spacing w:after="0" w:line="148"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Our partnership agreement contains the following specific provisions that are intended to discourage a person or group from attempting to remove our general partner or otherwise change management:</w:t>
      </w:r>
    </w:p>
    <w:p>
      <w:pPr>
        <w:spacing w:after="0" w:line="39" w:lineRule="exact"/>
        <w:rPr>
          <w:sz w:val="20"/>
          <w:szCs w:val="20"/>
          <w:color w:val="auto"/>
        </w:rPr>
      </w:pPr>
    </w:p>
    <w:p>
      <w:pPr>
        <w:jc w:val="both"/>
        <w:ind w:left="1800" w:right="65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75" w:lineRule="exact"/>
        <w:rPr>
          <w:rFonts w:ascii="Arial" w:cs="Arial" w:eastAsia="Arial" w:hAnsi="Arial"/>
          <w:sz w:val="18"/>
          <w:szCs w:val="18"/>
          <w:color w:val="auto"/>
        </w:rPr>
      </w:pPr>
    </w:p>
    <w:p>
      <w:pPr>
        <w:jc w:val="both"/>
        <w:ind w:left="1800" w:right="73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Limited Call Right</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at any time our general partner and its affiliates (other than, with respect to the Series A</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preferred units, such affiliates that originally purchased Series A preferred units) own 80% or more of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issued and outstanding limited partner interests of any class, our general partner will have the right to</w:t>
      </w:r>
    </w:p>
    <w:p>
      <w:pPr>
        <w:ind w:left="1260"/>
        <w:spacing w:after="0"/>
        <w:rPr>
          <w:sz w:val="20"/>
          <w:szCs w:val="20"/>
          <w:color w:val="auto"/>
        </w:rPr>
      </w:pPr>
      <w:r>
        <w:rPr>
          <w:rFonts w:ascii="Arial" w:cs="Arial" w:eastAsia="Arial" w:hAnsi="Arial"/>
          <w:sz w:val="17"/>
          <w:szCs w:val="17"/>
          <w:color w:val="auto"/>
        </w:rPr>
        <w:t>purchase all, but not less than all, of the outstanding limited partner interests of that class that are held by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non-affiliated persons. The record date for determining ownership of the limited partner interests would be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selected by our general partner on at least 10 but not more than 60 days’ notice. The purchase price in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event of a purchase under these provisions would be the greater of (1) the current market price (as defined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our agreement) of the limited partner interests of the class as of the date three days prior to the date that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notice is mailed to the limited partners as provided in our partnership agreement and (2) the highest cash</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price paid by our general partner or any of its affiliates for any limited partner interest of the class</w:t>
      </w:r>
    </w:p>
    <w:p>
      <w:pPr>
        <w:ind w:left="1260"/>
        <w:spacing w:after="0"/>
        <w:rPr>
          <w:sz w:val="20"/>
          <w:szCs w:val="20"/>
          <w:color w:val="auto"/>
        </w:rPr>
      </w:pPr>
      <w:r>
        <w:rPr>
          <w:rFonts w:ascii="Arial" w:cs="Arial" w:eastAsia="Arial" w:hAnsi="Arial"/>
          <w:sz w:val="17"/>
          <w:szCs w:val="17"/>
          <w:color w:val="auto"/>
        </w:rPr>
        <w:t>purchased within the 90 days preceding the date our general partner mails notice of its election to purchase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units.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26" w:lineRule="exact"/>
        <w:rPr>
          <w:sz w:val="20"/>
          <w:szCs w:val="20"/>
          <w:color w:val="auto"/>
        </w:rPr>
      </w:pPr>
    </w:p>
    <w:p>
      <w:pPr>
        <w:jc w:val="both"/>
        <w:ind w:left="1260" w:right="619" w:firstLine="360"/>
        <w:spacing w:after="0" w:line="263"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Limited Liability</w:t>
      </w:r>
    </w:p>
    <w:p>
      <w:pPr>
        <w:spacing w:after="0" w:line="148" w:lineRule="exact"/>
        <w:rPr>
          <w:sz w:val="20"/>
          <w:szCs w:val="20"/>
          <w:color w:val="auto"/>
        </w:rPr>
      </w:pPr>
    </w:p>
    <w:p>
      <w:pPr>
        <w:jc w:val="both"/>
        <w:ind w:left="1260" w:right="499" w:firstLine="360"/>
        <w:spacing w:after="0" w:line="275" w:lineRule="auto"/>
        <w:rPr>
          <w:sz w:val="20"/>
          <w:szCs w:val="20"/>
          <w:color w:val="auto"/>
        </w:rPr>
      </w:pPr>
      <w:r>
        <w:rPr>
          <w:rFonts w:ascii="Arial" w:cs="Arial" w:eastAsia="Arial" w:hAnsi="Arial"/>
          <w:sz w:val="17"/>
          <w:szCs w:val="17"/>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09" w:lineRule="exact"/>
        <w:rPr>
          <w:sz w:val="20"/>
          <w:szCs w:val="20"/>
          <w:color w:val="auto"/>
        </w:rPr>
      </w:pPr>
    </w:p>
    <w:p>
      <w:pPr>
        <w:jc w:val="both"/>
        <w:ind w:left="1260" w:right="699" w:firstLine="360"/>
        <w:spacing w:after="0" w:line="308" w:lineRule="auto"/>
        <w:rPr>
          <w:sz w:val="20"/>
          <w:szCs w:val="20"/>
          <w:color w:val="auto"/>
        </w:rPr>
      </w:pPr>
      <w:r>
        <w:rPr>
          <w:rFonts w:ascii="Arial" w:cs="Arial" w:eastAsia="Arial" w:hAnsi="Arial"/>
          <w:sz w:val="17"/>
          <w:szCs w:val="17"/>
          <w:color w:val="auto"/>
        </w:rPr>
        <w:t>Under the Delaware Act, a limited partnership may not make a distribution to a partner to the extent that at the time of the distribution, after giving effect to the distribution, all liabilities of the partnership,</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12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114" w:lineRule="exact"/>
        <w:rPr>
          <w:sz w:val="20"/>
          <w:szCs w:val="20"/>
          <w:color w:val="auto"/>
        </w:rPr>
      </w:pPr>
    </w:p>
    <w:p>
      <w:pPr>
        <w:ind w:left="1260" w:right="959" w:firstLine="360"/>
        <w:spacing w:after="0" w:line="340" w:lineRule="auto"/>
        <w:rPr>
          <w:sz w:val="20"/>
          <w:szCs w:val="20"/>
          <w:color w:val="auto"/>
        </w:rPr>
      </w:pPr>
      <w:r>
        <w:rPr>
          <w:rFonts w:ascii="Arial" w:cs="Arial" w:eastAsia="Arial" w:hAnsi="Arial"/>
          <w:sz w:val="15"/>
          <w:szCs w:val="15"/>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50"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14"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w:t>
      </w:r>
    </w:p>
    <w:p>
      <w:pPr>
        <w:spacing w:after="0" w:line="62" w:lineRule="exact"/>
        <w:rPr>
          <w:sz w:val="20"/>
          <w:szCs w:val="20"/>
          <w:color w:val="auto"/>
        </w:rPr>
      </w:pPr>
    </w:p>
    <w:p>
      <w:pPr>
        <w:ind w:left="1800" w:right="67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treatment of a unitholder whose units are the subject of a securities loan (e.g., a loan to a short seller to cover a short sale of units) (please read “— Tax Consequences of Unit Ownership — Treatment of Securities Loans”);</w:t>
      </w:r>
    </w:p>
    <w:p>
      <w:pPr>
        <w:spacing w:after="0" w:line="89"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Units — Allocations Between Transferors and Transferees”);</w:t>
      </w:r>
    </w:p>
    <w:p>
      <w:pPr>
        <w:spacing w:after="0" w:line="89"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our method for taking into account Section 743 adjustments is sustainable in certain cases (please read “— Tax Consequences of Unit Ownership — Section 754 Election” and “— Disposition of Units — Uniformity of Units”);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86"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57" w:lineRule="exact"/>
        <w:rPr>
          <w:rFonts w:ascii="Arial" w:cs="Arial" w:eastAsia="Arial" w:hAnsi="Arial"/>
          <w:sz w:val="17"/>
          <w:szCs w:val="17"/>
          <w:color w:val="auto"/>
        </w:rPr>
      </w:pPr>
    </w:p>
    <w:p>
      <w:pPr>
        <w:jc w:val="both"/>
        <w:ind w:left="1800" w:right="579" w:hanging="180"/>
        <w:spacing w:after="0" w:line="263"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our allocations of income, gain, loss and deduction will be given effect for federal income tax purposes (please read “— Tax Consequences of Unit Ownership — Allocation of Income, Gain, Loss and Deduction”).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of the Partnership</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144"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We expect to be treated as a partnership for federal income tax purposes and, therefore, subject to the discussion below under “— Administrative Matters — Information Returns and Audit Procedures”, generally will not be liable for entity -level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0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22" w:lineRule="exact"/>
        <w:rPr>
          <w:sz w:val="20"/>
          <w:szCs w:val="20"/>
          <w:color w:val="auto"/>
        </w:rPr>
      </w:pPr>
    </w:p>
    <w:p>
      <w:pPr>
        <w:ind w:left="1620" w:right="699" w:firstLine="292"/>
        <w:spacing w:after="0" w:line="261" w:lineRule="auto"/>
        <w:tabs>
          <w:tab w:leader="none" w:pos="21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03" w:lineRule="exact"/>
        <w:rPr>
          <w:rFonts w:ascii="Arial" w:cs="Arial" w:eastAsia="Arial" w:hAnsi="Arial"/>
          <w:sz w:val="18"/>
          <w:szCs w:val="18"/>
          <w:color w:val="auto"/>
        </w:rPr>
      </w:pPr>
    </w:p>
    <w:p>
      <w:pPr>
        <w:jc w:val="both"/>
        <w:ind w:left="1620" w:right="499" w:firstLine="292"/>
        <w:spacing w:after="0" w:line="248" w:lineRule="auto"/>
        <w:tabs>
          <w:tab w:leader="none" w:pos="21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00" w:lineRule="exact"/>
        <w:rPr>
          <w:rFonts w:ascii="Arial" w:cs="Arial" w:eastAsia="Arial" w:hAnsi="Arial"/>
          <w:sz w:val="18"/>
          <w:szCs w:val="18"/>
          <w:color w:val="auto"/>
        </w:rPr>
      </w:pPr>
    </w:p>
    <w:p>
      <w:pPr>
        <w:ind w:left="1620" w:right="479" w:firstLine="292"/>
        <w:spacing w:after="0" w:line="262" w:lineRule="auto"/>
        <w:tabs>
          <w:tab w:leader="none" w:pos="2171"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58"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1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25"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20"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07"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19"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09"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The remainder of this discussion is based on the opinion of Vinson &amp; Elkins L.L.P. that we will be treated as a partnership for federal income tax purposes.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of Unit Ownership</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14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20" w:lineRule="exact"/>
        <w:rPr>
          <w:sz w:val="20"/>
          <w:szCs w:val="20"/>
          <w:color w:val="auto"/>
        </w:rPr>
      </w:pPr>
    </w:p>
    <w:p>
      <w:pPr>
        <w:ind w:left="1260" w:right="599" w:firstLine="360"/>
        <w:spacing w:after="0" w:line="272" w:lineRule="auto"/>
        <w:rPr>
          <w:sz w:val="20"/>
          <w:szCs w:val="20"/>
          <w:color w:val="auto"/>
        </w:rPr>
      </w:pPr>
      <w:r>
        <w:rPr>
          <w:rFonts w:ascii="Arial" w:cs="Arial" w:eastAsia="Arial" w:hAnsi="Arial"/>
          <w:sz w:val="17"/>
          <w:szCs w:val="17"/>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w:t>
      </w:r>
    </w:p>
    <w:p>
      <w:pPr>
        <w:spacing w:after="0" w:line="90"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Subject to the discussion below under “— Entity-Level Collections of Unitholder Taxes” and</w:t>
      </w:r>
    </w:p>
    <w:p>
      <w:pPr>
        <w:spacing w:after="0" w:line="12" w:lineRule="exact"/>
        <w:rPr>
          <w:sz w:val="20"/>
          <w:szCs w:val="20"/>
          <w:color w:val="auto"/>
        </w:rPr>
      </w:pPr>
    </w:p>
    <w:p>
      <w:pPr>
        <w:ind w:left="1260" w:right="559"/>
        <w:spacing w:after="0" w:line="237" w:lineRule="auto"/>
        <w:rPr>
          <w:sz w:val="20"/>
          <w:szCs w:val="20"/>
          <w:color w:val="auto"/>
        </w:rPr>
      </w:pPr>
      <w:r>
        <w:rPr>
          <w:rFonts w:ascii="Arial" w:cs="Arial" w:eastAsia="Arial" w:hAnsi="Arial"/>
          <w:sz w:val="18"/>
          <w:szCs w:val="18"/>
          <w:color w:val="auto"/>
        </w:rPr>
        <w:t>“—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Units</w:t>
      </w:r>
    </w:p>
    <w:p>
      <w:pPr>
        <w:spacing w:after="0" w:line="158" w:lineRule="exact"/>
        <w:rPr>
          <w:sz w:val="20"/>
          <w:szCs w:val="20"/>
          <w:color w:val="auto"/>
        </w:rPr>
      </w:pPr>
    </w:p>
    <w:p>
      <w:pPr>
        <w:ind w:left="1260" w:right="679" w:firstLine="360"/>
        <w:spacing w:after="0" w:line="258" w:lineRule="auto"/>
        <w:rPr>
          <w:sz w:val="20"/>
          <w:szCs w:val="20"/>
          <w:color w:val="auto"/>
        </w:rPr>
      </w:pPr>
      <w:r>
        <w:rPr>
          <w:rFonts w:ascii="Arial" w:cs="Arial" w:eastAsia="Arial" w:hAnsi="Arial"/>
          <w:sz w:val="17"/>
          <w:szCs w:val="17"/>
          <w:color w:val="auto"/>
        </w:rPr>
        <w:t>A unitholder’s tax basis in its units initially will be the amount paid or treated as paid for those units increased by the unitholder’s initial allocable share of our liabilities. That basis generally will be</w:t>
      </w:r>
    </w:p>
    <w:p>
      <w:pPr>
        <w:spacing w:after="0" w:line="1" w:lineRule="exact"/>
        <w:rPr>
          <w:sz w:val="20"/>
          <w:szCs w:val="20"/>
          <w:color w:val="auto"/>
        </w:rPr>
      </w:pPr>
    </w:p>
    <w:p>
      <w:pPr>
        <w:ind w:left="1260" w:right="419"/>
        <w:spacing w:after="0" w:line="237" w:lineRule="auto"/>
        <w:tabs>
          <w:tab w:leader="none" w:pos="14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14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120"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110"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3" w:lineRule="exact"/>
        <w:rPr>
          <w:sz w:val="20"/>
          <w:szCs w:val="20"/>
          <w:color w:val="auto"/>
        </w:rPr>
      </w:pPr>
    </w:p>
    <w:p>
      <w:pPr>
        <w:ind w:left="1260" w:right="779"/>
        <w:spacing w:after="0" w:line="260" w:lineRule="auto"/>
        <w:tabs>
          <w:tab w:leader="none" w:pos="15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unitholder’s tax basis (typically zero) in the Section 751 Assets deemed to be relinquished in the exchange.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144"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3" w:lineRule="auto"/>
        <w:rPr>
          <w:sz w:val="20"/>
          <w:szCs w:val="20"/>
          <w:color w:val="auto"/>
        </w:rPr>
      </w:pPr>
      <w:r>
        <w:rPr>
          <w:rFonts w:ascii="Arial" w:cs="Arial" w:eastAsia="Arial" w:hAnsi="Arial"/>
          <w:sz w:val="17"/>
          <w:szCs w:val="17"/>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spacing w:after="0" w:line="2" w:lineRule="exact"/>
        <w:rPr>
          <w:sz w:val="20"/>
          <w:szCs w:val="20"/>
          <w:color w:val="auto"/>
        </w:rPr>
      </w:pPr>
    </w:p>
    <w:p>
      <w:pPr>
        <w:ind w:left="1260" w:right="439"/>
        <w:spacing w:after="0" w:line="237" w:lineRule="auto"/>
        <w:tabs>
          <w:tab w:leader="none" w:pos="15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08"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23"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In addition to the basis and at risk limitations, passive activity loss limitations limit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16"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For taxpayers other than corporations in taxable years beginning after December 31, 2020,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(increased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144"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39" w:lineRule="auto"/>
        <w:rPr>
          <w:sz w:val="20"/>
          <w:szCs w:val="20"/>
          <w:color w:val="auto"/>
        </w:rPr>
      </w:pPr>
      <w:r>
        <w:rPr>
          <w:rFonts w:ascii="Arial" w:cs="Arial" w:eastAsia="Arial" w:hAnsi="Arial"/>
          <w:sz w:val="18"/>
          <w:szCs w:val="18"/>
          <w:color w:val="auto"/>
        </w:rPr>
        <w:t>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1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113"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74"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portion of interest expense incurred to purchase or carry an interest in a passive activity to the extent allocable against portfolio income.</w:t>
      </w:r>
    </w:p>
    <w:p>
      <w:pPr>
        <w:spacing w:after="0" w:line="8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1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above) to the unitholder who was allocated the deduction giving rise to that recapture income in order to minimize the recognition of ordinary income by other unitholders.</w:t>
      </w:r>
    </w:p>
    <w:p>
      <w:pPr>
        <w:spacing w:after="0" w:line="90"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12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An allocation of items of our income, gain, loss or deduction, other than an allocation required by the Code to eliminate a Book -Tax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15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10"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Rates</w:t>
      </w:r>
    </w:p>
    <w:p>
      <w:pPr>
        <w:spacing w:after="0" w:line="158"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2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07" w:lineRule="exact"/>
        <w:rPr>
          <w:sz w:val="20"/>
          <w:szCs w:val="20"/>
          <w:color w:val="auto"/>
        </w:rPr>
      </w:pPr>
    </w:p>
    <w:p>
      <w:pPr>
        <w:jc w:val="both"/>
        <w:ind w:left="1260" w:right="599" w:firstLine="360"/>
        <w:spacing w:after="0" w:line="270" w:lineRule="auto"/>
        <w:rPr>
          <w:sz w:val="20"/>
          <w:szCs w:val="20"/>
          <w:color w:val="auto"/>
        </w:rPr>
      </w:pPr>
      <w:r>
        <w:rPr>
          <w:rFonts w:ascii="Arial" w:cs="Arial" w:eastAsia="Arial" w:hAnsi="Arial"/>
          <w:sz w:val="17"/>
          <w:szCs w:val="17"/>
          <w:color w:val="auto"/>
        </w:rPr>
        <w:t>For taxable years beginning after December 31, 2017 and ending on or before December 31, 2025, an individual unitholder is entitled to a deduction equal to 20% of his or her allocable share of our “qualified business income.” For purposes of this deduction, our “qualified business income” is equal to the sum of:</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19" w:hanging="180"/>
        <w:spacing w:after="0" w:line="279"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63" w:lineRule="exact"/>
        <w:rPr>
          <w:rFonts w:ascii="Arial" w:cs="Arial" w:eastAsia="Arial" w:hAnsi="Arial"/>
          <w:sz w:val="17"/>
          <w:szCs w:val="17"/>
          <w:color w:val="auto"/>
        </w:rPr>
      </w:pPr>
    </w:p>
    <w:p>
      <w:pPr>
        <w:ind w:left="1800" w:right="57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03"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spacing w:after="0" w:line="1" w:lineRule="exact"/>
        <w:rPr>
          <w:sz w:val="20"/>
          <w:szCs w:val="20"/>
          <w:color w:val="auto"/>
        </w:rPr>
      </w:pPr>
    </w:p>
    <w:p>
      <w:pPr>
        <w:ind w:left="1260" w:right="619"/>
        <w:spacing w:after="0" w:line="260" w:lineRule="auto"/>
        <w:tabs>
          <w:tab w:leader="none" w:pos="15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its share of the tax basis in our assets as to all unitholders and (2) its Section 743(b) adjustment to that tax basis (which may be positive or negative).</w:t>
      </w:r>
    </w:p>
    <w:p>
      <w:pPr>
        <w:spacing w:after="0" w:line="104"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Under our partnership agreement, we are authorized to take a position to preserve the uniformity</w:t>
      </w:r>
    </w:p>
    <w:p>
      <w:pPr>
        <w:spacing w:after="0" w:line="23"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125"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or Section 734(b) adjustments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w:t>
      </w:r>
    </w:p>
    <w:p>
      <w:pPr>
        <w:spacing w:after="0" w:line="1" w:lineRule="exact"/>
        <w:rPr>
          <w:sz w:val="20"/>
          <w:szCs w:val="20"/>
          <w:color w:val="auto"/>
        </w:rPr>
      </w:pPr>
    </w:p>
    <w:p>
      <w:pPr>
        <w:ind w:left="1260" w:right="599"/>
        <w:spacing w:after="0" w:line="290" w:lineRule="auto"/>
        <w:rPr>
          <w:sz w:val="20"/>
          <w:szCs w:val="20"/>
          <w:color w:val="auto"/>
        </w:rPr>
      </w:pPr>
      <w:r>
        <w:rPr>
          <w:rFonts w:ascii="Arial" w:cs="Arial" w:eastAsia="Arial" w:hAnsi="Arial"/>
          <w:sz w:val="17"/>
          <w:szCs w:val="17"/>
          <w:color w:val="auto"/>
        </w:rPr>
        <w:t>“— Disposition of Units — Recognition of Gain or Loss.” If a challenge to such treatment were sustained, the gain from the sale of units may be increased without the benefit of additional deductions.</w:t>
      </w:r>
    </w:p>
    <w:p>
      <w:pPr>
        <w:spacing w:after="0" w:line="80"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57" w:lineRule="auto"/>
        <w:rPr>
          <w:sz w:val="20"/>
          <w:szCs w:val="20"/>
          <w:color w:val="auto"/>
        </w:rPr>
      </w:pPr>
      <w:r>
        <w:rPr>
          <w:rFonts w:ascii="Arial" w:cs="Arial" w:eastAsia="Arial" w:hAnsi="Arial"/>
          <w:sz w:val="18"/>
          <w:szCs w:val="18"/>
          <w:color w:val="auto"/>
        </w:rPr>
        <w:t>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Treatment of Operations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144"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spacing w:after="0" w:line="2" w:lineRule="exact"/>
        <w:rPr>
          <w:sz w:val="20"/>
          <w:szCs w:val="20"/>
          <w:color w:val="auto"/>
        </w:rPr>
      </w:pPr>
    </w:p>
    <w:p>
      <w:pPr>
        <w:ind w:left="1260" w:right="439"/>
        <w:spacing w:after="0" w:line="273" w:lineRule="auto"/>
        <w:rPr>
          <w:sz w:val="20"/>
          <w:szCs w:val="20"/>
          <w:color w:val="auto"/>
        </w:rPr>
      </w:pPr>
      <w:r>
        <w:rPr>
          <w:rFonts w:ascii="Arial" w:cs="Arial" w:eastAsia="Arial" w:hAnsi="Arial"/>
          <w:sz w:val="17"/>
          <w:szCs w:val="17"/>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2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111"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 depreciation deduction instead of the 100% deduction for our first taxable year ending after September 27, 2017.</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previously reported by a unitholder could change, and such unitholder could be required to adjust its tax liability for prior years and incur interest and penalties with respect to those adjustments.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Disposition of Units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14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126"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121"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10"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2" w:lineRule="exact"/>
        <w:rPr>
          <w:sz w:val="20"/>
          <w:szCs w:val="20"/>
          <w:color w:val="auto"/>
        </w:rPr>
      </w:pPr>
    </w:p>
    <w:p>
      <w:pPr>
        <w:jc w:val="both"/>
        <w:ind w:left="1260" w:right="479"/>
        <w:spacing w:after="0" w:line="239" w:lineRule="auto"/>
        <w:rPr>
          <w:sz w:val="20"/>
          <w:szCs w:val="20"/>
          <w:color w:val="auto"/>
        </w:rPr>
      </w:pPr>
      <w:r>
        <w:rPr>
          <w:rFonts w:ascii="Arial" w:cs="Arial" w:eastAsia="Arial" w:hAnsi="Arial"/>
          <w:sz w:val="18"/>
          <w:szCs w:val="18"/>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122"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64" w:lineRule="exact"/>
        <w:rPr>
          <w:sz w:val="20"/>
          <w:szCs w:val="20"/>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117"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1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124"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144"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158" w:lineRule="exact"/>
        <w:rPr>
          <w:sz w:val="20"/>
          <w:szCs w:val="20"/>
          <w:color w:val="auto"/>
        </w:rPr>
      </w:pPr>
    </w:p>
    <w:p>
      <w:pPr>
        <w:jc w:val="both"/>
        <w:ind w:left="1260" w:right="579" w:firstLine="360"/>
        <w:spacing w:after="0" w:line="241"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12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110"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ind w:left="1260" w:right="459"/>
        <w:spacing w:after="0" w:line="277" w:lineRule="auto"/>
        <w:rPr>
          <w:sz w:val="20"/>
          <w:szCs w:val="20"/>
          <w:color w:val="auto"/>
        </w:rPr>
      </w:pPr>
      <w:r>
        <w:rPr>
          <w:rFonts w:ascii="Arial" w:cs="Arial" w:eastAsia="Arial" w:hAnsi="Arial"/>
          <w:sz w:val="16"/>
          <w:szCs w:val="16"/>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162" w:lineRule="exact"/>
        <w:rPr>
          <w:sz w:val="20"/>
          <w:szCs w:val="20"/>
          <w:color w:val="auto"/>
        </w:rPr>
      </w:pPr>
    </w:p>
    <w:p>
      <w:pPr>
        <w:jc w:val="both"/>
        <w:ind w:left="1260" w:right="499" w:firstLine="360"/>
        <w:spacing w:after="0" w:line="241" w:lineRule="auto"/>
        <w:rPr>
          <w:sz w:val="20"/>
          <w:szCs w:val="20"/>
          <w:color w:val="auto"/>
        </w:rPr>
      </w:pPr>
      <w:r>
        <w:rPr>
          <w:rFonts w:ascii="Arial" w:cs="Arial" w:eastAsia="Arial" w:hAnsi="Arial"/>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2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Tax -exempt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03" w:lineRule="exact"/>
        <w:rPr>
          <w:sz w:val="20"/>
          <w:szCs w:val="20"/>
          <w:color w:val="auto"/>
        </w:rPr>
      </w:pPr>
    </w:p>
    <w:p>
      <w:pPr>
        <w:jc w:val="both"/>
        <w:ind w:left="1260" w:right="479" w:firstLine="360"/>
        <w:spacing w:after="0" w:line="255" w:lineRule="auto"/>
        <w:rPr>
          <w:sz w:val="20"/>
          <w:szCs w:val="20"/>
          <w:color w:val="auto"/>
        </w:rPr>
      </w:pPr>
      <w:r>
        <w:rPr>
          <w:rFonts w:ascii="Arial" w:cs="Arial" w:eastAsia="Arial" w:hAnsi="Arial"/>
          <w:sz w:val="17"/>
          <w:szCs w:val="17"/>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ind w:left="1260" w:right="519"/>
        <w:spacing w:after="0" w:line="251" w:lineRule="auto"/>
        <w:rPr>
          <w:sz w:val="20"/>
          <w:szCs w:val="20"/>
          <w:color w:val="auto"/>
        </w:rPr>
      </w:pPr>
      <w:r>
        <w:rPr>
          <w:rFonts w:ascii="Arial" w:cs="Arial" w:eastAsia="Arial" w:hAnsi="Arial"/>
          <w:sz w:val="17"/>
          <w:szCs w:val="17"/>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15"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color w:val="auto"/>
        </w:rPr>
        <w:t>In addition, if a Non-U.S. Unitholder is classified as a non- 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2"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A Non-U.S. Unitholder who sells or otherwise disposes of a unit will be subject to federal income tax on gain realized from the sale or disposition of that unit to the extent the gain is effectively connected with a</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11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recently issued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The Treasury regulations, as amended by recently published IRS guidance, further provide that withholding on a transfer of an interest in a publicly traded partnership will not be imposed on a transfer that occurs prior to January 1, 2023. For a transfer of interests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units.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Administrative Matters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27"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95"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19"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color w:val="auto"/>
        </w:rPr>
        <w:t>partner, it may assess and collect any taxes (including penalties and interest) resulting from such audit adjustment directly from such entity.</w:t>
      </w:r>
    </w:p>
    <w:p>
      <w:pPr>
        <w:spacing w:after="0" w:line="90"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w:t>
      </w:r>
    </w:p>
    <w:p>
      <w:pPr>
        <w:spacing w:after="0" w:line="6" w:lineRule="exact"/>
        <w:rPr>
          <w:sz w:val="20"/>
          <w:szCs w:val="20"/>
          <w:color w:val="auto"/>
        </w:rPr>
      </w:pPr>
    </w:p>
    <w:p>
      <w:pPr>
        <w:jc w:val="both"/>
        <w:ind w:left="1260" w:right="459"/>
        <w:spacing w:after="0" w:line="239" w:lineRule="auto"/>
        <w:rPr>
          <w:sz w:val="20"/>
          <w:szCs w:val="20"/>
          <w:color w:val="auto"/>
        </w:rPr>
      </w:pPr>
      <w:r>
        <w:rPr>
          <w:rFonts w:ascii="Arial" w:cs="Arial" w:eastAsia="Arial" w:hAnsi="Arial"/>
          <w:sz w:val="18"/>
          <w:szCs w:val="18"/>
          <w:color w:val="auto"/>
        </w:rPr>
        <w:t>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2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Additionally, pursuant to the Bipartisan Budget Act of 2015, the Code will no longer require that we designate a Tax Matters Partner. Instead, for taxable years beginning after December 31, 2017, we 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15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spacing w:after="0" w:line="2" w:lineRule="exact"/>
        <w:rPr>
          <w:sz w:val="20"/>
          <w:szCs w:val="20"/>
          <w:color w:val="auto"/>
        </w:rPr>
      </w:pPr>
    </w:p>
    <w:p>
      <w:pPr>
        <w:ind w:left="1260" w:right="479"/>
        <w:spacing w:after="0" w:line="251" w:lineRule="auto"/>
        <w:tabs>
          <w:tab w:leader="none" w:pos="148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102"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23"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7"/>
          <w:szCs w:val="17"/>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117"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117" w:lineRule="exact"/>
        <w:rPr>
          <w:rFonts w:ascii="Arial" w:cs="Arial" w:eastAsia="Arial" w:hAnsi="Arial"/>
          <w:sz w:val="18"/>
          <w:szCs w:val="18"/>
          <w:color w:val="auto"/>
        </w:rPr>
      </w:pPr>
    </w:p>
    <w:p>
      <w:pPr>
        <w:ind w:left="2160" w:hanging="180"/>
        <w:spacing w:after="0"/>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117" w:lineRule="exact"/>
        <w:rPr>
          <w:rFonts w:ascii="Arial" w:cs="Arial" w:eastAsia="Arial" w:hAnsi="Arial"/>
          <w:sz w:val="18"/>
          <w:szCs w:val="18"/>
          <w:color w:val="auto"/>
        </w:rPr>
      </w:pPr>
    </w:p>
    <w:p>
      <w:pPr>
        <w:ind w:left="2160" w:right="1259" w:hanging="180"/>
        <w:spacing w:after="0" w:line="277" w:lineRule="auto"/>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wholly-owned agency or instrumentality of either of the foregoing; or</w:t>
      </w:r>
    </w:p>
    <w:p>
      <w:pPr>
        <w:spacing w:after="0" w:line="62" w:lineRule="exact"/>
        <w:rPr>
          <w:rFonts w:ascii="Arial" w:cs="Arial" w:eastAsia="Arial" w:hAnsi="Arial"/>
          <w:sz w:val="18"/>
          <w:szCs w:val="18"/>
          <w:color w:val="auto"/>
        </w:rPr>
      </w:pPr>
    </w:p>
    <w:p>
      <w:pPr>
        <w:ind w:left="2160" w:hanging="180"/>
        <w:spacing w:after="0"/>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17" w:lineRule="exact"/>
        <w:rPr>
          <w:rFonts w:ascii="Arial" w:cs="Arial" w:eastAsia="Arial" w:hAnsi="Arial"/>
          <w:sz w:val="18"/>
          <w:szCs w:val="18"/>
          <w:color w:val="auto"/>
        </w:rPr>
      </w:pPr>
    </w:p>
    <w:p>
      <w:pPr>
        <w:ind w:left="1800" w:right="859" w:hanging="180"/>
        <w:spacing w:after="0" w:line="308" w:lineRule="auto"/>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specific information including the dates of acquisitions and transfers, means of acquisitions and transfers, and acquisition cost for purchases, as well as the amount of net proceeds from sales.</w:t>
      </w:r>
    </w:p>
    <w:p>
      <w:pPr>
        <w:spacing w:after="0" w:line="79"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144"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1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of Ownership of Preferred Units</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14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16" w:lineRule="exact"/>
        <w:rPr>
          <w:sz w:val="20"/>
          <w:szCs w:val="20"/>
          <w:color w:val="auto"/>
        </w:rPr>
      </w:pPr>
    </w:p>
    <w:p>
      <w:pPr>
        <w:ind w:left="1260" w:right="439" w:firstLine="360"/>
        <w:spacing w:after="0" w:line="352" w:lineRule="auto"/>
        <w:rPr>
          <w:sz w:val="20"/>
          <w:szCs w:val="20"/>
          <w:color w:val="auto"/>
        </w:rPr>
      </w:pPr>
      <w:r>
        <w:rPr>
          <w:rFonts w:ascii="Arial" w:cs="Arial" w:eastAsia="Arial" w:hAnsi="Arial"/>
          <w:sz w:val="13"/>
          <w:szCs w:val="13"/>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spacing w:after="0" w:line="1" w:lineRule="exact"/>
        <w:rPr>
          <w:sz w:val="20"/>
          <w:szCs w:val="20"/>
          <w:color w:val="auto"/>
        </w:rPr>
      </w:pPr>
    </w:p>
    <w:p>
      <w:pPr>
        <w:ind w:left="1260" w:right="1239"/>
        <w:spacing w:after="0" w:line="260" w:lineRule="auto"/>
        <w:tabs>
          <w:tab w:leader="none" w:pos="1438"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Elkins L.L.P. has not rendered an opinion on the state, local, alternative minimum tax or non-U.S. tax consequences of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117" w:lineRule="exact"/>
        <w:rPr>
          <w:sz w:val="20"/>
          <w:szCs w:val="20"/>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90"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48"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35"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NASDAQ;</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price our securities at:</w:t>
      </w:r>
    </w:p>
    <w:p>
      <w:pPr>
        <w:spacing w:after="0" w:line="117" w:lineRule="exact"/>
        <w:rPr>
          <w:sz w:val="20"/>
          <w:szCs w:val="20"/>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44"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103"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06"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3"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20"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4" w:lineRule="exact"/>
        <w:rPr>
          <w:sz w:val="20"/>
          <w:szCs w:val="20"/>
          <w:color w:val="auto"/>
        </w:rPr>
      </w:pPr>
    </w:p>
    <w:p>
      <w:pPr>
        <w:jc w:val="both"/>
        <w:ind w:left="1260" w:right="439" w:firstLine="360"/>
        <w:spacing w:after="0" w:line="24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01"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03"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1260" w:right="479" w:firstLine="360"/>
        <w:spacing w:after="0" w:line="255"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659"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17">
        <w:r>
          <w:rPr>
            <w:rFonts w:ascii="Arial" w:cs="Arial" w:eastAsia="Arial" w:hAnsi="Arial"/>
            <w:sz w:val="18"/>
            <w:szCs w:val="18"/>
            <w:color w:val="auto"/>
          </w:rPr>
          <w:t xml:space="preserve">Reporting) incorporated in this Prospectus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ended December 31, 2020</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 PricewaterhouseCoopers</w:t>
        </w:r>
      </w:hyperlink>
      <w:r>
        <w:rPr>
          <w:rFonts w:ascii="Arial" w:cs="Arial" w:eastAsia="Arial" w:hAnsi="Arial"/>
          <w:sz w:val="18"/>
          <w:szCs w:val="18"/>
          <w:color w:val="0000EE"/>
        </w:rPr>
        <w:t xml:space="preserve"> </w:t>
      </w:r>
      <w:r>
        <w:rPr>
          <w:rFonts w:ascii="Arial" w:cs="Arial" w:eastAsia="Arial" w:hAnsi="Arial"/>
          <w:sz w:val="18"/>
          <w:szCs w:val="18"/>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4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20" w:type="dxa"/>
            <w:vAlign w:val="bottom"/>
            <w:gridSpan w:val="3"/>
          </w:tcPr>
          <w:p>
            <w:pPr>
              <w:ind w:left="360"/>
              <w:spacing w:after="0"/>
              <w:rPr>
                <w:sz w:val="20"/>
                <w:szCs w:val="20"/>
                <w:color w:val="auto"/>
              </w:rPr>
            </w:pPr>
            <w:r>
              <w:rPr>
                <w:rFonts w:ascii="Arial" w:cs="Arial" w:eastAsia="Arial" w:hAnsi="Arial"/>
                <w:sz w:val="18"/>
                <w:szCs w:val="18"/>
                <w:color w:val="auto"/>
              </w:rPr>
              <w:t>Legal fees and expenses</w:t>
            </w: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0" w:type="dxa"/>
            <w:vAlign w:val="bottom"/>
          </w:tcPr>
          <w:p>
            <w:pPr>
              <w:spacing w:after="0"/>
              <w:rPr>
                <w:sz w:val="22"/>
                <w:szCs w:val="22"/>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120" w:type="dxa"/>
            <w:vAlign w:val="bottom"/>
            <w:gridSpan w:val="3"/>
          </w:tcPr>
          <w:p>
            <w:pPr>
              <w:ind w:left="360"/>
              <w:spacing w:after="0"/>
              <w:rPr>
                <w:sz w:val="20"/>
                <w:szCs w:val="20"/>
                <w:color w:val="auto"/>
              </w:rPr>
            </w:pPr>
            <w:r>
              <w:rPr>
                <w:rFonts w:ascii="Arial" w:cs="Arial" w:eastAsia="Arial" w:hAnsi="Arial"/>
                <w:sz w:val="18"/>
                <w:szCs w:val="18"/>
                <w:color w:val="auto"/>
              </w:rPr>
              <w:t>Printing and engraving expenses</w:t>
            </w: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0" w:type="dxa"/>
            <w:vAlign w:val="bottom"/>
          </w:tcPr>
          <w:p>
            <w:pPr>
              <w:spacing w:after="0"/>
              <w:rPr>
                <w:sz w:val="22"/>
                <w:szCs w:val="22"/>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expenses</w:t>
            </w:r>
          </w:p>
        </w:tc>
        <w:tc>
          <w:tcPr>
            <w:tcW w:w="32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120" w:type="dxa"/>
            <w:vAlign w:val="bottom"/>
            <w:gridSpan w:val="3"/>
          </w:tcPr>
          <w:p>
            <w:pPr>
              <w:ind w:left="360"/>
              <w:spacing w:after="0"/>
              <w:rPr>
                <w:sz w:val="20"/>
                <w:szCs w:val="20"/>
                <w:color w:val="auto"/>
              </w:rPr>
            </w:pPr>
            <w:r>
              <w:rPr>
                <w:rFonts w:ascii="Arial" w:cs="Arial" w:eastAsia="Arial" w:hAnsi="Arial"/>
                <w:sz w:val="18"/>
                <w:szCs w:val="18"/>
                <w:color w:val="auto"/>
              </w:rPr>
              <w:t>Miscellaneous</w:t>
            </w: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5"/>
        </w:trPr>
        <w:tc>
          <w:tcPr>
            <w:tcW w:w="360" w:type="dxa"/>
            <w:vAlign w:val="bottom"/>
          </w:tcPr>
          <w:p>
            <w:pPr>
              <w:spacing w:after="0"/>
              <w:rPr>
                <w:sz w:val="24"/>
                <w:szCs w:val="24"/>
                <w:color w:val="auto"/>
              </w:rPr>
            </w:pPr>
          </w:p>
        </w:tc>
        <w:tc>
          <w:tcPr>
            <w:tcW w:w="6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5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-282575</wp:posOffset>
            </wp:positionV>
            <wp:extent cx="42945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47" w:lineRule="exact"/>
        <w:rPr>
          <w:sz w:val="20"/>
          <w:szCs w:val="20"/>
          <w:color w:val="auto"/>
        </w:rPr>
      </w:pPr>
    </w:p>
    <w:p>
      <w:pPr>
        <w:ind w:left="1620" w:hanging="360"/>
        <w:spacing w:after="0"/>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 is deferring payment of the registration fee in reliance on Rule 456(b) and Rule 457(r).</w:t>
      </w:r>
    </w:p>
    <w:p>
      <w:pPr>
        <w:spacing w:after="0" w:line="156" w:lineRule="exact"/>
        <w:rPr>
          <w:sz w:val="20"/>
          <w:szCs w:val="20"/>
          <w:color w:val="auto"/>
        </w:rPr>
      </w:pPr>
    </w:p>
    <w:p>
      <w:pPr>
        <w:ind w:left="1620" w:right="979" w:hanging="360"/>
        <w:spacing w:after="0" w:line="27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fees are calculated based on the number of issuances and amount of securities offered and accordingly cannot be estimated at this time.</w:t>
      </w:r>
    </w:p>
    <w:p>
      <w:pPr>
        <w:spacing w:after="0" w:line="166"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Officers and Members of Our Board of Directors</w:t>
      </w:r>
    </w:p>
    <w:p>
      <w:pPr>
        <w:spacing w:after="0" w:line="162"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or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335"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the PAA GP Holdings LLC or its affiliates for the cost of) insurance against liabilities asserted against and expenses incurred by such persons in connection with Plains All American Pipeline, L.P.’s activities, regardless of whether Plains All American Pipeline, L.P. would have the power to indemnify such person against such liabilities under the provisions described above.</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Section 18-108 of the Delaware Limited Liability Company Act provides that, subject to such standards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restrictions, if any, as are set forth in its limited liability company agreement, a Delaware limited</w:t>
      </w:r>
    </w:p>
    <w:p>
      <w:pPr>
        <w:ind w:left="1260"/>
        <w:spacing w:after="0"/>
        <w:rPr>
          <w:sz w:val="20"/>
          <w:szCs w:val="20"/>
          <w:color w:val="auto"/>
        </w:rPr>
      </w:pPr>
      <w:r>
        <w:rPr>
          <w:rFonts w:ascii="Arial" w:cs="Arial" w:eastAsia="Arial" w:hAnsi="Arial"/>
          <w:sz w:val="17"/>
          <w:szCs w:val="17"/>
          <w:color w:val="auto"/>
        </w:rPr>
        <w:t>liability company may, and has the power to, indemnify and hold harmless any member or manager or other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person from and against any and all claims and demands whatsoever. The limited liability company</w:t>
      </w:r>
    </w:p>
    <w:p>
      <w:pPr>
        <w:ind w:left="1260"/>
        <w:spacing w:after="0" w:line="234" w:lineRule="auto"/>
        <w:rPr>
          <w:sz w:val="20"/>
          <w:szCs w:val="20"/>
          <w:color w:val="auto"/>
        </w:rPr>
      </w:pPr>
      <w:r>
        <w:rPr>
          <w:rFonts w:ascii="Arial" w:cs="Arial" w:eastAsia="Arial" w:hAnsi="Arial"/>
          <w:sz w:val="18"/>
          <w:szCs w:val="18"/>
          <w:color w:val="auto"/>
        </w:rPr>
        <w:t>agreement of PAA GP Holdings LLC provides for the indemnification of (a) any of its original members</w:t>
      </w:r>
    </w:p>
    <w:p>
      <w:pPr>
        <w:ind w:left="1260"/>
        <w:spacing w:after="0" w:line="235" w:lineRule="auto"/>
        <w:rPr>
          <w:sz w:val="20"/>
          <w:szCs w:val="20"/>
          <w:color w:val="auto"/>
        </w:rPr>
      </w:pPr>
      <w:r>
        <w:rPr>
          <w:rFonts w:ascii="Arial" w:cs="Arial" w:eastAsia="Arial" w:hAnsi="Arial"/>
          <w:sz w:val="18"/>
          <w:szCs w:val="18"/>
          <w:color w:val="auto"/>
        </w:rPr>
        <w:t>(“Existing Owner”) or any owner of a direct or indirect 10% ownership interest in Plains AAP, L.P.’s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Class A units (“Qualifying Interest Holder”), (b) any Person who is or was an affiliate of PAA GP Holdings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LLC, any Existing Owner or any Qualifying Interest Holder, (c) any person who is or was a managing</w:t>
      </w:r>
    </w:p>
    <w:p>
      <w:pPr>
        <w:ind w:left="1260"/>
        <w:spacing w:after="0" w:line="234" w:lineRule="auto"/>
        <w:rPr>
          <w:sz w:val="20"/>
          <w:szCs w:val="20"/>
          <w:color w:val="auto"/>
        </w:rPr>
      </w:pPr>
      <w:r>
        <w:rPr>
          <w:rFonts w:ascii="Arial" w:cs="Arial" w:eastAsia="Arial" w:hAnsi="Arial"/>
          <w:sz w:val="18"/>
          <w:szCs w:val="18"/>
          <w:color w:val="auto"/>
        </w:rPr>
        <w:t>member, manager, general partner, shareholder, director, officer, fiduciary, agent or trustee of PAA GP</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Holdings LLC, any Existing Owner or any Qualifying Interest Holder or any affiliate thereof, (d) any Person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who is or was serving at the request of PAA GP Holdings LLC, any Existing Owner or any Qualifying</w:t>
      </w:r>
    </w:p>
    <w:p>
      <w:pPr>
        <w:ind w:left="1260"/>
        <w:spacing w:after="0"/>
        <w:rPr>
          <w:sz w:val="20"/>
          <w:szCs w:val="20"/>
          <w:color w:val="auto"/>
        </w:rPr>
      </w:pPr>
      <w:r>
        <w:rPr>
          <w:rFonts w:ascii="Arial" w:cs="Arial" w:eastAsia="Arial" w:hAnsi="Arial"/>
          <w:sz w:val="17"/>
          <w:szCs w:val="17"/>
          <w:color w:val="auto"/>
        </w:rPr>
        <w:t>Interest Holder or any affiliate of thereof as a member, manager, partner, director, officer, fiduciary, agent 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trustee of another person in furtherance of the business or affairs of PAA GP Holdings LLC or its</w:t>
      </w:r>
    </w:p>
    <w:p>
      <w:pPr>
        <w:ind w:left="1260"/>
        <w:spacing w:after="0"/>
        <w:rPr>
          <w:sz w:val="20"/>
          <w:szCs w:val="20"/>
          <w:color w:val="auto"/>
        </w:rPr>
      </w:pPr>
      <w:r>
        <w:rPr>
          <w:rFonts w:ascii="Arial" w:cs="Arial" w:eastAsia="Arial" w:hAnsi="Arial"/>
          <w:sz w:val="17"/>
          <w:szCs w:val="17"/>
          <w:color w:val="auto"/>
        </w:rPr>
        <w:t>subsidiaries (provided, that a person shall not be indemnified by reason of providing, on a fee-for-services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basis, trustee, fiduciary or custodial services), and (e) any person the board of directors of PAA GP</w:t>
      </w:r>
    </w:p>
    <w:p>
      <w:pPr>
        <w:ind w:left="1260"/>
        <w:spacing w:after="0" w:line="234" w:lineRule="auto"/>
        <w:rPr>
          <w:sz w:val="20"/>
          <w:szCs w:val="20"/>
          <w:color w:val="auto"/>
        </w:rPr>
      </w:pPr>
      <w:r>
        <w:rPr>
          <w:rFonts w:ascii="Arial" w:cs="Arial" w:eastAsia="Arial" w:hAnsi="Arial"/>
          <w:sz w:val="18"/>
          <w:szCs w:val="18"/>
          <w:color w:val="auto"/>
        </w:rPr>
        <w:t>Holdings LLC designates an indemnitee (collectively, the “Indemnitees”), from and against any and all</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losses, claims, demands, costs, damages, liabilities, expenses of any nature (including reasonable attorneys’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fees and disbursements), judgments, fines, settlements and other amounts arising from any and all claims,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demands, actions, suits or proceedings, civil, criminal, administrative or investigative, in which such person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be involved, or threatened to be involved, as a party or otherwise, by reason of his, her or its status as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 Indemnitee, regardless of whether an Indemnitee continues to be an Indemnitee at the time any such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liability or expense is paid or incurred, if such Indemnitee acted in good faith and in a manner he, she or it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reasonably believed to be in, or not opposed to, the interests of PAA GP Holdings LLC and with respect 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any criminal proceeding, had no reason to believe his, her or its conduct was unlawful. Expenses incurred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by an Indemnitee in defending any such claim, demand, action, suit or proceeding will, from time to time,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be advanced by PAA GP Holdings LLC prior to the final disposition of such claim, demand, action, suit or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proceeding upon receipt by PAA GP Holdings LLC of an undertaking by or on behalf of the Indemnitee 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repay such amounts if it is ultimately determined that the Indemnitee is not entitled to be indemnified. PAA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GP Holdings LLC is authorized to purchase and maintain insurance, on behalf of the members of its board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directors, its officers and such other persons as its board of directors may determine, against any liability</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that may be asserted against or expense that may be incurred by such person in connection with the</w:t>
      </w:r>
    </w:p>
    <w:p>
      <w:pPr>
        <w:ind w:left="1260"/>
        <w:spacing w:after="0"/>
        <w:rPr>
          <w:sz w:val="20"/>
          <w:szCs w:val="20"/>
          <w:color w:val="auto"/>
        </w:rPr>
      </w:pPr>
      <w:r>
        <w:rPr>
          <w:rFonts w:ascii="Arial" w:cs="Arial" w:eastAsia="Arial" w:hAnsi="Arial"/>
          <w:sz w:val="18"/>
          <w:szCs w:val="18"/>
          <w:color w:val="auto"/>
        </w:rPr>
        <w:t>activities of PAA GP Holdings LLC.</w:t>
      </w:r>
    </w:p>
    <w:p>
      <w:pPr>
        <w:spacing w:after="0" w:line="115"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other court shall deem proper. PAA Finance Corp.’s certificate of incorporation and bylaws provide that indemnification shall be to the fullest extent permitted by the DGCL for all its current or former directors or officers. As permitted by the DGCL, PAA Finance Corp.’s certificate of incorporation provides that</w:t>
      </w:r>
    </w:p>
    <w:p>
      <w:pPr>
        <w:spacing w:after="0" w:line="3"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misconduct or knowing violation of law, (3) under Section 174 of the DGCL or (4) for any transaction from which a director derived an improper personal benefit.</w:t>
      </w:r>
    </w:p>
    <w:p>
      <w:pPr>
        <w:spacing w:after="0" w:line="110"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61"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62" w:lineRule="exact"/>
        <w:rPr>
          <w:sz w:val="20"/>
          <w:szCs w:val="20"/>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158"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Registration Statement, and such Exhibit Index is incorporated herein by reference.</w:t>
      </w:r>
    </w:p>
    <w:p>
      <w:pPr>
        <w:spacing w:after="0" w:line="166"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48" w:lineRule="exact"/>
        <w:rPr>
          <w:sz w:val="20"/>
          <w:szCs w:val="20"/>
          <w:color w:val="auto"/>
        </w:rPr>
      </w:pPr>
    </w:p>
    <w:p>
      <w:pPr>
        <w:ind w:left="1980" w:hanging="360"/>
        <w:spacing w:after="0"/>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157" w:lineRule="exact"/>
        <w:rPr>
          <w:rFonts w:ascii="Arial" w:cs="Arial" w:eastAsia="Arial" w:hAnsi="Arial"/>
          <w:sz w:val="18"/>
          <w:szCs w:val="18"/>
          <w:color w:val="auto"/>
        </w:rPr>
      </w:pPr>
    </w:p>
    <w:p>
      <w:pPr>
        <w:ind w:left="2340" w:right="1339" w:hanging="360"/>
        <w:spacing w:after="0" w:line="277" w:lineRule="auto"/>
        <w:tabs>
          <w:tab w:leader="none" w:pos="23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2700" w:hanging="360"/>
        <w:spacing w:after="0"/>
        <w:tabs>
          <w:tab w:leader="none" w:pos="27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44" w:lineRule="exact"/>
        <w:rPr>
          <w:rFonts w:ascii="Arial" w:cs="Arial" w:eastAsia="Arial" w:hAnsi="Arial"/>
          <w:sz w:val="18"/>
          <w:szCs w:val="18"/>
          <w:color w:val="auto"/>
        </w:rPr>
      </w:pPr>
    </w:p>
    <w:p>
      <w:pPr>
        <w:ind w:left="2700" w:right="459" w:hanging="360"/>
        <w:spacing w:after="0" w:line="253" w:lineRule="auto"/>
        <w:tabs>
          <w:tab w:leader="none" w:pos="27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24" w:lineRule="exact"/>
        <w:rPr>
          <w:rFonts w:ascii="Arial" w:cs="Arial" w:eastAsia="Arial" w:hAnsi="Arial"/>
          <w:sz w:val="18"/>
          <w:szCs w:val="18"/>
          <w:color w:val="auto"/>
        </w:rPr>
      </w:pPr>
    </w:p>
    <w:p>
      <w:pPr>
        <w:jc w:val="both"/>
        <w:ind w:left="2700" w:right="1199" w:hanging="360"/>
        <w:spacing w:after="0" w:line="263" w:lineRule="auto"/>
        <w:tabs>
          <w:tab w:leader="none" w:pos="27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the information in this registration statement;</w:t>
      </w:r>
    </w:p>
    <w:p>
      <w:pPr>
        <w:spacing w:after="0" w:line="116" w:lineRule="exact"/>
        <w:rPr>
          <w:sz w:val="20"/>
          <w:szCs w:val="20"/>
          <w:color w:val="auto"/>
        </w:rPr>
      </w:pPr>
    </w:p>
    <w:p>
      <w:pPr>
        <w:ind w:left="1620" w:right="499"/>
        <w:spacing w:after="0" w:line="275"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(l)(a), (l)(b) and (1)(c) above do not apply if the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95" w:lineRule="exact"/>
        <w:rPr>
          <w:sz w:val="20"/>
          <w:szCs w:val="20"/>
          <w:color w:val="auto"/>
        </w:rPr>
      </w:pPr>
    </w:p>
    <w:p>
      <w:pPr>
        <w:ind w:left="2340" w:right="539" w:hanging="360"/>
        <w:spacing w:after="0" w:line="259" w:lineRule="auto"/>
        <w:tabs>
          <w:tab w:leader="none" w:pos="2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119" w:lineRule="exact"/>
        <w:rPr>
          <w:rFonts w:ascii="Arial" w:cs="Arial" w:eastAsia="Arial" w:hAnsi="Arial"/>
          <w:sz w:val="18"/>
          <w:szCs w:val="18"/>
          <w:color w:val="auto"/>
        </w:rPr>
      </w:pPr>
    </w:p>
    <w:p>
      <w:pPr>
        <w:ind w:left="2340" w:right="739" w:hanging="360"/>
        <w:spacing w:after="0" w:line="277" w:lineRule="auto"/>
        <w:tabs>
          <w:tab w:leader="none" w:pos="2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hanging="360"/>
        <w:spacing w:after="0"/>
        <w:tabs>
          <w:tab w:leader="none" w:pos="23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44" w:lineRule="exact"/>
        <w:rPr>
          <w:rFonts w:ascii="Arial" w:cs="Arial" w:eastAsia="Arial" w:hAnsi="Arial"/>
          <w:sz w:val="18"/>
          <w:szCs w:val="18"/>
          <w:color w:val="auto"/>
        </w:rPr>
      </w:pPr>
    </w:p>
    <w:p>
      <w:pPr>
        <w:ind w:left="2700" w:right="539" w:hanging="360"/>
        <w:spacing w:after="0" w:line="263" w:lineRule="auto"/>
        <w:tabs>
          <w:tab w:leader="none" w:pos="27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2" w:lineRule="exact"/>
        <w:rPr>
          <w:rFonts w:ascii="Arial" w:cs="Arial" w:eastAsia="Arial" w:hAnsi="Arial"/>
          <w:sz w:val="18"/>
          <w:szCs w:val="18"/>
          <w:color w:val="auto"/>
        </w:rPr>
      </w:pPr>
    </w:p>
    <w:p>
      <w:pPr>
        <w:ind w:left="2700" w:right="419" w:hanging="360"/>
        <w:spacing w:after="0" w:line="267" w:lineRule="auto"/>
        <w:tabs>
          <w:tab w:leader="none" w:pos="2700" w:val="left"/>
        </w:tabs>
        <w:numPr>
          <w:ilvl w:val="2"/>
          <w:numId w:val="46"/>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2" w:lineRule="exact"/>
        <w:rPr>
          <w:rFonts w:ascii="Arial" w:cs="Arial" w:eastAsia="Arial" w:hAnsi="Arial"/>
          <w:sz w:val="17"/>
          <w:szCs w:val="17"/>
          <w:color w:val="auto"/>
        </w:rPr>
      </w:pPr>
    </w:p>
    <w:p>
      <w:pPr>
        <w:ind w:left="2340" w:right="419" w:hanging="360"/>
        <w:spacing w:after="0" w:line="254" w:lineRule="auto"/>
        <w:tabs>
          <w:tab w:leader="none" w:pos="23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7" w:lineRule="exact"/>
        <w:rPr>
          <w:rFonts w:ascii="Arial" w:cs="Arial" w:eastAsia="Arial" w:hAnsi="Arial"/>
          <w:sz w:val="18"/>
          <w:szCs w:val="18"/>
          <w:color w:val="auto"/>
        </w:rPr>
      </w:pPr>
    </w:p>
    <w:p>
      <w:pPr>
        <w:ind w:left="2700" w:right="699" w:hanging="360"/>
        <w:spacing w:after="0" w:line="277" w:lineRule="auto"/>
        <w:tabs>
          <w:tab w:leader="none" w:pos="27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2700" w:right="919" w:hanging="360"/>
        <w:spacing w:after="0" w:line="308" w:lineRule="auto"/>
        <w:tabs>
          <w:tab w:leader="none" w:pos="2700" w:val="left"/>
        </w:tabs>
        <w:numPr>
          <w:ilvl w:val="2"/>
          <w:numId w:val="46"/>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78" w:lineRule="exact"/>
        <w:rPr>
          <w:rFonts w:ascii="Arial" w:cs="Arial" w:eastAsia="Arial" w:hAnsi="Arial"/>
          <w:sz w:val="17"/>
          <w:szCs w:val="17"/>
          <w:color w:val="auto"/>
        </w:rPr>
      </w:pPr>
    </w:p>
    <w:p>
      <w:pPr>
        <w:ind w:left="2700" w:right="559" w:hanging="360"/>
        <w:spacing w:after="0" w:line="263" w:lineRule="auto"/>
        <w:tabs>
          <w:tab w:leader="none" w:pos="27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2700" w:right="999" w:hanging="360"/>
        <w:spacing w:after="0" w:line="277" w:lineRule="auto"/>
        <w:tabs>
          <w:tab w:leader="none" w:pos="27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ind w:left="1980" w:right="479" w:hanging="360"/>
        <w:spacing w:after="0" w:line="272" w:lineRule="auto"/>
        <w:tabs>
          <w:tab w:leader="none" w:pos="1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of the undersigned registrants hereby undertakes that, for purposes of determining any liability under the Securities Act, each filing of Plains All American Pipeline, L.P.’s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96" w:lineRule="exact"/>
        <w:rPr>
          <w:rFonts w:ascii="Arial" w:cs="Arial" w:eastAsia="Arial" w:hAnsi="Arial"/>
          <w:sz w:val="17"/>
          <w:szCs w:val="17"/>
          <w:color w:val="auto"/>
        </w:rPr>
      </w:pPr>
    </w:p>
    <w:p>
      <w:pPr>
        <w:ind w:left="1980" w:right="479" w:hanging="360"/>
        <w:spacing w:after="0" w:line="275" w:lineRule="auto"/>
        <w:tabs>
          <w:tab w:leader="none" w:pos="1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19"/>
        <w:spacing w:after="0" w:line="254" w:lineRule="auto"/>
        <w:rPr>
          <w:sz w:val="20"/>
          <w:szCs w:val="20"/>
          <w:color w:val="auto"/>
        </w:rPr>
      </w:pPr>
      <w:r>
        <w:rPr>
          <w:rFonts w:ascii="Arial" w:cs="Arial" w:eastAsia="Arial" w:hAnsi="Arial"/>
          <w:sz w:val="18"/>
          <w:szCs w:val="18"/>
          <w:color w:val="auto"/>
        </w:rPr>
        <w:t>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20" w:type="dxa"/>
            <w:vAlign w:val="bottom"/>
            <w:gridSpan w:val="18"/>
          </w:tcPr>
          <w:p>
            <w:pPr>
              <w:ind w:left="860"/>
              <w:spacing w:after="0"/>
              <w:rPr>
                <w:sz w:val="20"/>
                <w:szCs w:val="20"/>
                <w:color w:val="auto"/>
              </w:rPr>
            </w:pPr>
            <w:r>
              <w:rPr>
                <w:rFonts w:ascii="Arial" w:cs="Arial" w:eastAsia="Arial" w:hAnsi="Arial"/>
                <w:sz w:val="18"/>
                <w:szCs w:val="18"/>
                <w:b w:val="1"/>
                <w:bCs w:val="1"/>
                <w:color w:val="auto"/>
              </w:rPr>
              <w:t>INDEX TO EXHIBITS</w:t>
            </w:r>
          </w:p>
        </w:tc>
      </w:tr>
      <w:tr>
        <w:trPr>
          <w:trHeight w:val="315"/>
        </w:trPr>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6"/>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60" w:type="dxa"/>
            <w:vAlign w:val="bottom"/>
            <w:gridSpan w:val="15"/>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7480" w:type="dxa"/>
            <w:vAlign w:val="bottom"/>
            <w:gridSpan w:val="19"/>
          </w:tcPr>
          <w:p>
            <w:pPr>
              <w:spacing w:after="0"/>
              <w:rPr>
                <w:sz w:val="20"/>
                <w:szCs w:val="20"/>
                <w:color w:val="auto"/>
              </w:rPr>
            </w:pPr>
            <w:r>
              <w:rPr>
                <w:rFonts w:ascii="Arial" w:cs="Arial" w:eastAsia="Arial" w:hAnsi="Arial"/>
                <w:sz w:val="18"/>
                <w:szCs w:val="18"/>
                <w:color w:val="auto"/>
              </w:rPr>
              <w:t>Form of Underwriting Agreement</w:t>
            </w:r>
          </w:p>
        </w:tc>
      </w:tr>
      <w:tr>
        <w:trPr>
          <w:trHeight w:val="203"/>
        </w:trPr>
        <w:tc>
          <w:tcPr>
            <w:tcW w:w="5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7300" w:type="dxa"/>
            <w:vAlign w:val="bottom"/>
            <w:tcBorders>
              <w:bottom w:val="single" w:sz="8" w:color="0000EE"/>
            </w:tcBorders>
            <w:gridSpan w:val="17"/>
          </w:tcPr>
          <w:p>
            <w:pPr>
              <w:spacing w:after="0" w:line="202" w:lineRule="exact"/>
              <w:rPr>
                <w:rFonts w:ascii="Arial" w:cs="Arial" w:eastAsia="Arial" w:hAnsi="Arial"/>
                <w:sz w:val="18"/>
                <w:szCs w:val="18"/>
                <w:color w:val="0000EE"/>
                <w:w w:val="94"/>
              </w:rPr>
            </w:pPr>
            <w:hyperlink r:id="rId80">
              <w:r>
                <w:rPr>
                  <w:rFonts w:ascii="Arial" w:cs="Arial" w:eastAsia="Arial" w:hAnsi="Arial"/>
                  <w:sz w:val="18"/>
                  <w:szCs w:val="18"/>
                  <w:color w:val="0000EE"/>
                  <w:w w:val="94"/>
                </w:rPr>
                <w:t>Indenture for Senior Debt Securities dated as of September 25, 2002 among Plains All American</w:t>
              </w:r>
            </w:hyperlink>
          </w:p>
        </w:tc>
        <w:tc>
          <w:tcPr>
            <w:tcW w:w="180" w:type="dxa"/>
            <w:vAlign w:val="bottom"/>
            <w:gridSpan w:val="2"/>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6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80">
              <w:r>
                <w:rPr>
                  <w:rFonts w:ascii="Arial" w:cs="Arial" w:eastAsia="Arial" w:hAnsi="Arial"/>
                  <w:sz w:val="18"/>
                  <w:szCs w:val="18"/>
                  <w:color w:val="0000EE"/>
                  <w:w w:val="95"/>
                </w:rPr>
                <w:t>Pipeline, L.P., PAA Finance Corp. and Wachovia Bank, National Association, as original trustee</w:t>
              </w:r>
            </w:hyperlink>
          </w:p>
        </w:tc>
        <w:tc>
          <w:tcPr>
            <w:tcW w:w="220" w:type="dxa"/>
            <w:vAlign w:val="bottom"/>
            <w:gridSpan w:val="4"/>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80">
              <w:r>
                <w:rPr>
                  <w:rFonts w:ascii="Arial" w:cs="Arial" w:eastAsia="Arial" w:hAnsi="Arial"/>
                  <w:sz w:val="18"/>
                  <w:szCs w:val="18"/>
                  <w:color w:val="0000EE"/>
                  <w:w w:val="95"/>
                </w:rPr>
                <w:t>(incorporated by reference to Exhibit 4.1 of the Partnership’s Quarterly Report on Form 10-Q for</w:t>
              </w:r>
            </w:hyperlink>
          </w:p>
        </w:tc>
        <w:tc>
          <w:tcPr>
            <w:tcW w:w="1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r:id="rId80">
              <w:r>
                <w:rPr>
                  <w:rFonts w:ascii="Arial" w:cs="Arial" w:eastAsia="Arial" w:hAnsi="Arial"/>
                  <w:sz w:val="18"/>
                  <w:szCs w:val="18"/>
                  <w:color w:val="0000EE"/>
                  <w:w w:val="94"/>
                </w:rPr>
                <w:t>the quarter ended September 30, 2002 (File No. 001-14569)).</w:t>
              </w:r>
            </w:hyperlink>
          </w:p>
        </w:tc>
        <w:tc>
          <w:tcPr>
            <w:tcW w:w="2840" w:type="dxa"/>
            <w:vAlign w:val="bottom"/>
            <w:gridSpan w:val="11"/>
          </w:tcPr>
          <w:p>
            <w:pPr>
              <w:spacing w:after="0"/>
              <w:rPr>
                <w:sz w:val="17"/>
                <w:szCs w:val="17"/>
                <w:color w:val="auto"/>
              </w:rPr>
            </w:pPr>
          </w:p>
        </w:tc>
      </w:tr>
      <w:tr>
        <w:trPr>
          <w:trHeight w:val="236"/>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0"/>
                <w:szCs w:val="20"/>
                <w:color w:val="auto"/>
              </w:rPr>
            </w:pPr>
          </w:p>
        </w:tc>
        <w:tc>
          <w:tcPr>
            <w:tcW w:w="7200" w:type="dxa"/>
            <w:vAlign w:val="bottom"/>
            <w:tcBorders>
              <w:bottom w:val="single" w:sz="8" w:color="0000EE"/>
            </w:tcBorders>
            <w:gridSpan w:val="14"/>
          </w:tcPr>
          <w:p>
            <w:pPr>
              <w:spacing w:after="0"/>
              <w:rPr>
                <w:rFonts w:ascii="Arial" w:cs="Arial" w:eastAsia="Arial" w:hAnsi="Arial"/>
                <w:sz w:val="18"/>
                <w:szCs w:val="18"/>
                <w:color w:val="0000EE"/>
                <w:w w:val="94"/>
              </w:rPr>
            </w:pPr>
            <w:hyperlink r:id="rId81">
              <w:r>
                <w:rPr>
                  <w:rFonts w:ascii="Arial" w:cs="Arial" w:eastAsia="Arial" w:hAnsi="Arial"/>
                  <w:sz w:val="18"/>
                  <w:szCs w:val="18"/>
                  <w:color w:val="0000EE"/>
                  <w:w w:val="94"/>
                </w:rPr>
                <w:t>Form of Subordinated Indenture for Subordinated Debt Securities (incorporated by reference to</w:t>
              </w:r>
            </w:hyperlink>
          </w:p>
        </w:tc>
        <w:tc>
          <w:tcPr>
            <w:tcW w:w="280" w:type="dxa"/>
            <w:vAlign w:val="bottom"/>
            <w:gridSpan w:val="5"/>
          </w:tcPr>
          <w:p>
            <w:pPr>
              <w:spacing w:after="0"/>
              <w:rPr>
                <w:sz w:val="20"/>
                <w:szCs w:val="20"/>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6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81">
              <w:r>
                <w:rPr>
                  <w:rFonts w:ascii="Arial" w:cs="Arial" w:eastAsia="Arial" w:hAnsi="Arial"/>
                  <w:sz w:val="18"/>
                  <w:szCs w:val="18"/>
                  <w:color w:val="0000EE"/>
                  <w:w w:val="95"/>
                </w:rPr>
                <w:t>Exhibit 4.2 of the Partnership’s Registration Statement on Form S-3 filed on August 27, 2001</w:t>
              </w:r>
            </w:hyperlink>
          </w:p>
        </w:tc>
        <w:tc>
          <w:tcPr>
            <w:tcW w:w="420" w:type="dxa"/>
            <w:vAlign w:val="bottom"/>
            <w:gridSpan w:val="6"/>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19"/>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(File No. 333-68446))</w:t>
              </w:r>
            </w:hyperlink>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90"/>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7480" w:type="dxa"/>
            <w:vAlign w:val="bottom"/>
            <w:gridSpan w:val="19"/>
          </w:tcPr>
          <w:p>
            <w:pPr>
              <w:spacing w:after="0"/>
              <w:rPr>
                <w:sz w:val="20"/>
                <w:szCs w:val="20"/>
                <w:color w:val="auto"/>
              </w:rPr>
            </w:pPr>
            <w:r>
              <w:rPr>
                <w:rFonts w:ascii="Arial" w:cs="Arial" w:eastAsia="Arial" w:hAnsi="Arial"/>
                <w:sz w:val="18"/>
                <w:szCs w:val="18"/>
                <w:color w:val="auto"/>
              </w:rPr>
              <w:t>Form of Senior Debt Securities</w:t>
            </w:r>
          </w:p>
        </w:tc>
      </w:tr>
      <w:tr>
        <w:trPr>
          <w:trHeight w:val="257"/>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2"/>
                <w:szCs w:val="22"/>
                <w:color w:val="auto"/>
              </w:rPr>
            </w:pPr>
          </w:p>
        </w:tc>
        <w:tc>
          <w:tcPr>
            <w:tcW w:w="7480" w:type="dxa"/>
            <w:vAlign w:val="bottom"/>
            <w:gridSpan w:val="19"/>
          </w:tcPr>
          <w:p>
            <w:pPr>
              <w:spacing w:after="0"/>
              <w:rPr>
                <w:sz w:val="20"/>
                <w:szCs w:val="20"/>
                <w:color w:val="auto"/>
              </w:rPr>
            </w:pPr>
            <w:r>
              <w:rPr>
                <w:rFonts w:ascii="Arial" w:cs="Arial" w:eastAsia="Arial" w:hAnsi="Arial"/>
                <w:sz w:val="18"/>
                <w:szCs w:val="18"/>
                <w:color w:val="auto"/>
              </w:rPr>
              <w:t>Form of Subordinated Debt Securities</w:t>
            </w:r>
          </w:p>
        </w:tc>
      </w:tr>
      <w:tr>
        <w:trPr>
          <w:trHeight w:val="229"/>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748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Opinion of Vinson &amp; Elkins L.L.P. as to the legality of the securities being registered</w:t>
              </w:r>
            </w:hyperlink>
          </w:p>
        </w:tc>
      </w:tr>
      <w:tr>
        <w:trPr>
          <w:trHeight w:val="25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1"/>
                <w:szCs w:val="21"/>
                <w:color w:val="auto"/>
              </w:rPr>
            </w:pPr>
          </w:p>
        </w:tc>
        <w:tc>
          <w:tcPr>
            <w:tcW w:w="6420" w:type="dxa"/>
            <w:vAlign w:val="bottom"/>
            <w:tcBorders>
              <w:top w:val="single" w:sz="8" w:color="0000EE"/>
            </w:tcBorders>
            <w:gridSpan w:val="1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Opinion of Vinson &amp; Elkins L.L.P. relating to tax matters</w:t>
              </w:r>
            </w:hyperlink>
          </w:p>
        </w:tc>
        <w:tc>
          <w:tcPr>
            <w:tcW w:w="1060" w:type="dxa"/>
            <w:vAlign w:val="bottom"/>
            <w:gridSpan w:val="7"/>
          </w:tcPr>
          <w:p>
            <w:pPr>
              <w:spacing w:after="0"/>
              <w:rPr>
                <w:sz w:val="21"/>
                <w:szCs w:val="21"/>
                <w:color w:val="auto"/>
              </w:rPr>
            </w:pPr>
          </w:p>
        </w:tc>
      </w:tr>
      <w:tr>
        <w:trPr>
          <w:trHeight w:val="250"/>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23.1*</w:t>
            </w:r>
          </w:p>
        </w:tc>
        <w:tc>
          <w:tcPr>
            <w:tcW w:w="200" w:type="dxa"/>
            <w:vAlign w:val="bottom"/>
          </w:tcPr>
          <w:p>
            <w:pPr>
              <w:spacing w:after="0"/>
              <w:rPr>
                <w:sz w:val="21"/>
                <w:szCs w:val="21"/>
                <w:color w:val="auto"/>
              </w:rPr>
            </w:pPr>
          </w:p>
        </w:tc>
        <w:tc>
          <w:tcPr>
            <w:tcW w:w="31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Consent of PricewaterhouseCoopers LLP</w:t>
              </w:r>
            </w:hyperlink>
          </w:p>
        </w:tc>
        <w:tc>
          <w:tcPr>
            <w:tcW w:w="1200" w:type="dxa"/>
            <w:vAlign w:val="bottom"/>
            <w:tcBorders>
              <w:top w:val="single" w:sz="8" w:color="0000EE"/>
            </w:tcBorders>
            <w:gridSpan w:val="2"/>
          </w:tcPr>
          <w:p>
            <w:pPr>
              <w:spacing w:after="0"/>
              <w:rPr>
                <w:sz w:val="21"/>
                <w:szCs w:val="21"/>
                <w:color w:val="auto"/>
              </w:rPr>
            </w:pPr>
          </w:p>
        </w:tc>
        <w:tc>
          <w:tcPr>
            <w:tcW w:w="3160" w:type="dxa"/>
            <w:vAlign w:val="bottom"/>
            <w:gridSpan w:val="13"/>
          </w:tcPr>
          <w:p>
            <w:pPr>
              <w:spacing w:after="0"/>
              <w:rPr>
                <w:sz w:val="21"/>
                <w:szCs w:val="21"/>
                <w:color w:val="auto"/>
              </w:rPr>
            </w:pPr>
          </w:p>
        </w:tc>
      </w:tr>
      <w:tr>
        <w:trPr>
          <w:trHeight w:val="250"/>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23.2*</w:t>
            </w:r>
          </w:p>
        </w:tc>
        <w:tc>
          <w:tcPr>
            <w:tcW w:w="200" w:type="dxa"/>
            <w:vAlign w:val="bottom"/>
          </w:tcPr>
          <w:p>
            <w:pPr>
              <w:spacing w:after="0"/>
              <w:rPr>
                <w:sz w:val="21"/>
                <w:szCs w:val="21"/>
                <w:color w:val="auto"/>
              </w:rPr>
            </w:pPr>
          </w:p>
        </w:tc>
        <w:tc>
          <w:tcPr>
            <w:tcW w:w="748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Vinson &amp; Elkins L.L.P. (contained in </w:t>
            </w:r>
            <w:hyperlink w:anchor="page59">
              <w:r>
                <w:rPr>
                  <w:rFonts w:ascii="Arial" w:cs="Arial" w:eastAsia="Arial" w:hAnsi="Arial"/>
                  <w:sz w:val="18"/>
                  <w:szCs w:val="18"/>
                  <w:color w:val="0000EE"/>
                </w:rPr>
                <w:t>Exhibits 5.1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62">
              <w:r>
                <w:rPr>
                  <w:rFonts w:ascii="Arial" w:cs="Arial" w:eastAsia="Arial" w:hAnsi="Arial"/>
                  <w:sz w:val="18"/>
                  <w:szCs w:val="18"/>
                  <w:color w:val="0000EE"/>
                </w:rPr>
                <w:t>8.1</w:t>
              </w:r>
            </w:hyperlink>
            <w:r>
              <w:rPr>
                <w:rFonts w:ascii="Arial" w:cs="Arial" w:eastAsia="Arial" w:hAnsi="Arial"/>
                <w:sz w:val="18"/>
                <w:szCs w:val="18"/>
                <w:color w:val="auto"/>
              </w:rPr>
              <w:t>)</w:t>
            </w: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24.1*</w:t>
            </w:r>
          </w:p>
        </w:tc>
        <w:tc>
          <w:tcPr>
            <w:tcW w:w="200" w:type="dxa"/>
            <w:vAlign w:val="bottom"/>
          </w:tcPr>
          <w:p>
            <w:pPr>
              <w:spacing w:after="0"/>
              <w:rPr>
                <w:sz w:val="21"/>
                <w:szCs w:val="21"/>
                <w:color w:val="auto"/>
              </w:rPr>
            </w:pPr>
          </w:p>
        </w:tc>
        <w:tc>
          <w:tcPr>
            <w:tcW w:w="616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Powers of Attorney (included on the signature page of this registration statement)</w:t>
              </w:r>
            </w:hyperlink>
          </w:p>
        </w:tc>
        <w:tc>
          <w:tcPr>
            <w:tcW w:w="1320" w:type="dxa"/>
            <w:vAlign w:val="bottom"/>
            <w:gridSpan w:val="8"/>
          </w:tcPr>
          <w:p>
            <w:pPr>
              <w:spacing w:after="0"/>
              <w:rPr>
                <w:sz w:val="21"/>
                <w:szCs w:val="21"/>
                <w:color w:val="auto"/>
              </w:rPr>
            </w:pPr>
          </w:p>
        </w:tc>
      </w:tr>
      <w:tr>
        <w:trPr>
          <w:trHeight w:val="237"/>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25.1*</w:t>
            </w:r>
          </w:p>
        </w:tc>
        <w:tc>
          <w:tcPr>
            <w:tcW w:w="200" w:type="dxa"/>
            <w:vAlign w:val="bottom"/>
          </w:tcPr>
          <w:p>
            <w:pPr>
              <w:spacing w:after="0"/>
              <w:rPr>
                <w:sz w:val="20"/>
                <w:szCs w:val="20"/>
                <w:color w:val="auto"/>
              </w:rPr>
            </w:pPr>
          </w:p>
        </w:tc>
        <w:tc>
          <w:tcPr>
            <w:tcW w:w="7480" w:type="dxa"/>
            <w:vAlign w:val="bottom"/>
            <w:gridSpan w:val="19"/>
          </w:tcPr>
          <w:p>
            <w:pP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Form T-1 Statement of Eligibility and Qualification under the Trust Indenture Act of 1939 of the</w:t>
              </w:r>
            </w:hyperlink>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trustee under the Senior Indenture</w:t>
              </w:r>
            </w:hyperlink>
          </w:p>
        </w:tc>
        <w:tc>
          <w:tcPr>
            <w:tcW w:w="200" w:type="dxa"/>
            <w:vAlign w:val="bottom"/>
            <w:gridSpan w:val="3"/>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0" w:type="dxa"/>
            <w:vAlign w:val="bottom"/>
            <w:gridSpan w:val="16"/>
          </w:tcPr>
          <w:p>
            <w:pPr>
              <w:spacing w:after="0" w:line="20" w:lineRule="exact"/>
              <w:rPr>
                <w:sz w:val="1"/>
                <w:szCs w:val="1"/>
                <w:color w:val="auto"/>
              </w:rPr>
            </w:pPr>
          </w:p>
        </w:tc>
      </w:tr>
      <w:tr>
        <w:trPr>
          <w:trHeight w:val="250"/>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25.2*</w:t>
            </w:r>
          </w:p>
        </w:tc>
        <w:tc>
          <w:tcPr>
            <w:tcW w:w="200" w:type="dxa"/>
            <w:vAlign w:val="bottom"/>
          </w:tcPr>
          <w:p>
            <w:pPr>
              <w:spacing w:after="0"/>
              <w:rPr>
                <w:sz w:val="21"/>
                <w:szCs w:val="21"/>
                <w:color w:val="auto"/>
              </w:rPr>
            </w:pPr>
          </w:p>
        </w:tc>
        <w:tc>
          <w:tcPr>
            <w:tcW w:w="7480" w:type="dxa"/>
            <w:vAlign w:val="bottom"/>
            <w:gridSpan w:val="19"/>
          </w:tcPr>
          <w:p>
            <w:pPr>
              <w:spacing w:after="0"/>
              <w:rPr>
                <w:rFonts w:ascii="Arial" w:cs="Arial" w:eastAsia="Arial" w:hAnsi="Arial"/>
                <w:sz w:val="18"/>
                <w:szCs w:val="18"/>
                <w:color w:val="0000EE"/>
                <w:w w:val="99"/>
              </w:rPr>
            </w:pPr>
            <w:hyperlink w:anchor="page72">
              <w:r>
                <w:rPr>
                  <w:rFonts w:ascii="Arial" w:cs="Arial" w:eastAsia="Arial" w:hAnsi="Arial"/>
                  <w:sz w:val="18"/>
                  <w:szCs w:val="18"/>
                  <w:color w:val="0000EE"/>
                  <w:w w:val="99"/>
                </w:rPr>
                <w:t>Form T-1 Statement of Eligibility and Qualification under the Trust Indenture Act of 1939 of the</w:t>
              </w:r>
            </w:hyperlink>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trustee under the Subordinated Indenture</w:t>
              </w:r>
            </w:hyperlink>
          </w:p>
        </w:tc>
        <w:tc>
          <w:tcPr>
            <w:tcW w:w="4200" w:type="dxa"/>
            <w:vAlign w:val="bottom"/>
            <w:tcBorders>
              <w:top w:val="single" w:sz="8" w:color="0000EE"/>
            </w:tcBorders>
            <w:gridSpan w:val="13"/>
          </w:tcPr>
          <w:p>
            <w:pPr>
              <w:spacing w:after="0"/>
              <w:rPr>
                <w:sz w:val="17"/>
                <w:szCs w:val="17"/>
                <w:color w:val="auto"/>
              </w:rPr>
            </w:pPr>
          </w:p>
        </w:tc>
        <w:tc>
          <w:tcPr>
            <w:tcW w:w="20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ind w:left="1620" w:hanging="360"/>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ind w:left="1620" w:right="439" w:hanging="360"/>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be filed as an exhibit to a report pursuant to Section 13(a) or 15(d) of the Exchange Act or in a post-effective amendment 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8, 2021.</w:t>
      </w:r>
    </w:p>
    <w:p>
      <w:pPr>
        <w:spacing w:after="0" w:line="18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PLAINS ALL AMERICAN PIPELINE, L.P.</w:t>
      </w:r>
    </w:p>
    <w:p>
      <w:pPr>
        <w:spacing w:after="0" w:line="1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PAA GP LLC, its general partner</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Plains AAP, L.P., its sole member</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Plains All American GP LLC, its general partner</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Plains GP Holdings, L.P., its sole member</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PAA GP Holdings LLC, its general partner</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24" w:lineRule="exact"/>
        <w:rPr>
          <w:sz w:val="20"/>
          <w:szCs w:val="20"/>
          <w:color w:val="auto"/>
        </w:rPr>
      </w:pPr>
    </w:p>
    <w:p>
      <w:pPr>
        <w:ind w:left="5580"/>
        <w:spacing w:after="0"/>
        <w:tabs>
          <w:tab w:leader="none" w:pos="6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Richard K. McGee</w:t>
      </w:r>
    </w:p>
    <w:p>
      <w:pPr>
        <w:spacing w:after="0" w:line="50" w:lineRule="exact"/>
        <w:rPr>
          <w:sz w:val="20"/>
          <w:szCs w:val="20"/>
          <w:color w:val="auto"/>
        </w:rPr>
      </w:pPr>
    </w:p>
    <w:p>
      <w:pPr>
        <w:jc w:val="both"/>
        <w:ind w:left="558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General Counsel</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14"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 below.</w:t>
      </w:r>
    </w:p>
    <w:p>
      <w:pPr>
        <w:spacing w:after="0" w:line="75"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b w:val="1"/>
          <w:bCs w:val="1"/>
          <w:color w:val="auto"/>
        </w:rPr>
        <w:t>PAA GP HOLDINGS LLC, for itself and as the general partner of PLAINS GP HOLDINGS, L.P., which is the sole member of PLAINS ALL AMERICAN GP LLC, which is the general partner of PLAINS AAP, L.P., which is the sole member of PAA GP LLC, which is the general partner of PLAINS ALL AMERICAN PIPELINE, L.P.</w:t>
      </w:r>
    </w:p>
    <w:p>
      <w:pPr>
        <w:spacing w:after="0" w:line="121" w:lineRule="exact"/>
        <w:rPr>
          <w:sz w:val="20"/>
          <w:szCs w:val="20"/>
          <w:color w:val="auto"/>
        </w:rPr>
      </w:pPr>
    </w:p>
    <w:p>
      <w:pPr>
        <w:ind w:left="2380"/>
        <w:spacing w:after="0"/>
        <w:tabs>
          <w:tab w:leader="none" w:pos="5920" w:val="left"/>
          <w:tab w:leader="none" w:pos="86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89"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/s/ WILLIE C.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50165</wp:posOffset>
            </wp:positionV>
            <wp:extent cx="16459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Willie C. Chiang</w:t>
      </w:r>
    </w:p>
    <w:p>
      <w:pPr>
        <w:spacing w:after="0" w:line="37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50165</wp:posOffset>
            </wp:positionV>
            <wp:extent cx="16459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Harry N. Pefanis</w:t>
      </w:r>
    </w:p>
    <w:p>
      <w:pPr>
        <w:spacing w:after="0" w:line="250"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50165</wp:posOffset>
            </wp:positionV>
            <wp:extent cx="16459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Al Swanson</w:t>
      </w:r>
    </w:p>
    <w:p>
      <w:pPr>
        <w:spacing w:after="0" w:line="37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50165</wp:posOffset>
            </wp:positionV>
            <wp:extent cx="16459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Chris Herbold</w:t>
      </w:r>
    </w:p>
    <w:p>
      <w:pPr>
        <w:spacing w:after="0" w:line="37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50165</wp:posOffset>
            </wp:positionV>
            <wp:extent cx="16459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Greg L. Armstrong</w:t>
      </w:r>
    </w:p>
    <w:p>
      <w:pPr>
        <w:spacing w:after="0" w:line="264"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50165</wp:posOffset>
            </wp:positionV>
            <wp:extent cx="16459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Victor Burk</w:t>
      </w:r>
    </w:p>
    <w:p>
      <w:pPr>
        <w:spacing w:after="0" w:line="250"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/s/ KEVIN S.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50165</wp:posOffset>
            </wp:positionV>
            <wp:extent cx="16459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Kevin S. McCarthy</w:t>
      </w:r>
    </w:p>
    <w:p>
      <w:pPr>
        <w:spacing w:after="0" w:line="250"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50165</wp:posOffset>
            </wp:positionV>
            <wp:extent cx="16459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Gary R. Petersen</w:t>
      </w:r>
    </w:p>
    <w:p>
      <w:pPr>
        <w:spacing w:after="0" w:line="250"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50165</wp:posOffset>
            </wp:positionV>
            <wp:extent cx="16459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82" w:lineRule="exact"/>
        <w:rPr>
          <w:sz w:val="20"/>
          <w:szCs w:val="20"/>
          <w:color w:val="auto"/>
        </w:rPr>
      </w:pPr>
    </w:p>
    <w:p>
      <w:pPr>
        <w:jc w:val="center"/>
        <w:ind w:left="1240"/>
        <w:spacing w:after="0"/>
        <w:rPr>
          <w:sz w:val="20"/>
          <w:szCs w:val="20"/>
          <w:color w:val="auto"/>
        </w:rPr>
      </w:pPr>
      <w:r>
        <w:rPr>
          <w:rFonts w:ascii="Arial" w:cs="Arial" w:eastAsia="Arial" w:hAnsi="Arial"/>
          <w:sz w:val="17"/>
          <w:szCs w:val="17"/>
          <w:color w:val="auto"/>
        </w:rPr>
        <w:t>Alexandra D. Pruner</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jc w:val="center"/>
              <w:ind w:right="215"/>
              <w:spacing w:after="0"/>
              <w:rPr>
                <w:sz w:val="20"/>
                <w:szCs w:val="20"/>
                <w:color w:val="auto"/>
              </w:rPr>
            </w:pPr>
            <w:r>
              <w:rPr>
                <w:rFonts w:ascii="Arial" w:cs="Arial" w:eastAsia="Arial" w:hAnsi="Arial"/>
                <w:sz w:val="17"/>
                <w:szCs w:val="17"/>
                <w:color w:val="auto"/>
                <w:w w:val="95"/>
              </w:rPr>
              <w:t>Chairman of the Board and Chief</w:t>
            </w:r>
          </w:p>
        </w:tc>
        <w:tc>
          <w:tcPr>
            <w:tcW w:w="1640" w:type="dxa"/>
            <w:vAlign w:val="bottom"/>
          </w:tcPr>
          <w:p>
            <w:pPr>
              <w:ind w:left="300"/>
              <w:spacing w:after="0"/>
              <w:rPr>
                <w:sz w:val="20"/>
                <w:szCs w:val="20"/>
                <w:color w:val="auto"/>
              </w:rPr>
            </w:pPr>
            <w:r>
              <w:rPr>
                <w:rFonts w:ascii="Arial" w:cs="Arial" w:eastAsia="Arial" w:hAnsi="Arial"/>
                <w:sz w:val="17"/>
                <w:szCs w:val="17"/>
                <w:color w:val="auto"/>
                <w:w w:val="91"/>
              </w:rPr>
              <w:t>September 8, 2021</w:t>
            </w:r>
          </w:p>
        </w:tc>
      </w:tr>
      <w:tr>
        <w:trPr>
          <w:trHeight w:val="203"/>
        </w:trPr>
        <w:tc>
          <w:tcPr>
            <w:tcW w:w="3240" w:type="dxa"/>
            <w:vAlign w:val="bottom"/>
          </w:tcPr>
          <w:p>
            <w:pPr>
              <w:jc w:val="center"/>
              <w:ind w:right="215"/>
              <w:spacing w:after="0"/>
              <w:rPr>
                <w:sz w:val="20"/>
                <w:szCs w:val="20"/>
                <w:color w:val="auto"/>
              </w:rPr>
            </w:pPr>
            <w:r>
              <w:rPr>
                <w:rFonts w:ascii="Arial" w:cs="Arial" w:eastAsia="Arial" w:hAnsi="Arial"/>
                <w:sz w:val="17"/>
                <w:szCs w:val="17"/>
                <w:color w:val="auto"/>
                <w:w w:val="98"/>
              </w:rPr>
              <w:t>Executive Officer</w:t>
            </w:r>
          </w:p>
        </w:tc>
        <w:tc>
          <w:tcPr>
            <w:tcW w:w="1640" w:type="dxa"/>
            <w:vAlign w:val="bottom"/>
          </w:tcPr>
          <w:p>
            <w:pPr>
              <w:spacing w:after="0"/>
              <w:rPr>
                <w:sz w:val="17"/>
                <w:szCs w:val="17"/>
                <w:color w:val="auto"/>
              </w:rPr>
            </w:pPr>
          </w:p>
        </w:tc>
      </w:tr>
      <w:tr>
        <w:trPr>
          <w:trHeight w:val="216"/>
        </w:trPr>
        <w:tc>
          <w:tcPr>
            <w:tcW w:w="3240" w:type="dxa"/>
            <w:vAlign w:val="bottom"/>
          </w:tcPr>
          <w:p>
            <w:pPr>
              <w:jc w:val="center"/>
              <w:ind w:right="175"/>
              <w:spacing w:after="0"/>
              <w:rPr>
                <w:sz w:val="20"/>
                <w:szCs w:val="20"/>
                <w:color w:val="auto"/>
              </w:rPr>
            </w:pPr>
            <w:r>
              <w:rPr>
                <w:rFonts w:ascii="Arial" w:cs="Arial" w:eastAsia="Arial" w:hAnsi="Arial"/>
                <w:sz w:val="17"/>
                <w:szCs w:val="17"/>
                <w:color w:val="auto"/>
              </w:rPr>
              <w:t>(Principal Executive Officer)</w:t>
            </w:r>
          </w:p>
        </w:tc>
        <w:tc>
          <w:tcPr>
            <w:tcW w:w="1640" w:type="dxa"/>
            <w:vAlign w:val="bottom"/>
          </w:tcPr>
          <w:p>
            <w:pPr>
              <w:spacing w:after="0"/>
              <w:rPr>
                <w:sz w:val="18"/>
                <w:szCs w:val="18"/>
                <w:color w:val="auto"/>
              </w:rPr>
            </w:pPr>
          </w:p>
        </w:tc>
      </w:tr>
      <w:tr>
        <w:trPr>
          <w:trHeight w:val="459"/>
        </w:trPr>
        <w:tc>
          <w:tcPr>
            <w:tcW w:w="3240" w:type="dxa"/>
            <w:vAlign w:val="bottom"/>
          </w:tcPr>
          <w:p>
            <w:pPr>
              <w:jc w:val="center"/>
              <w:ind w:right="175"/>
              <w:spacing w:after="0"/>
              <w:rPr>
                <w:sz w:val="20"/>
                <w:szCs w:val="20"/>
                <w:color w:val="auto"/>
              </w:rPr>
            </w:pPr>
            <w:r>
              <w:rPr>
                <w:rFonts w:ascii="Arial" w:cs="Arial" w:eastAsia="Arial" w:hAnsi="Arial"/>
                <w:sz w:val="17"/>
                <w:szCs w:val="17"/>
                <w:color w:val="auto"/>
                <w:w w:val="95"/>
              </w:rPr>
              <w:t>President and Director</w:t>
            </w:r>
          </w:p>
        </w:tc>
        <w:tc>
          <w:tcPr>
            <w:tcW w:w="1640" w:type="dxa"/>
            <w:vAlign w:val="bottom"/>
          </w:tcPr>
          <w:p>
            <w:pPr>
              <w:ind w:left="300"/>
              <w:spacing w:after="0"/>
              <w:rPr>
                <w:sz w:val="20"/>
                <w:szCs w:val="20"/>
                <w:color w:val="auto"/>
              </w:rPr>
            </w:pPr>
            <w:r>
              <w:rPr>
                <w:rFonts w:ascii="Arial" w:cs="Arial" w:eastAsia="Arial" w:hAnsi="Arial"/>
                <w:sz w:val="17"/>
                <w:szCs w:val="17"/>
                <w:color w:val="auto"/>
                <w:w w:val="91"/>
              </w:rPr>
              <w:t>September 8, 2021</w:t>
            </w:r>
          </w:p>
        </w:tc>
      </w:tr>
      <w:tr>
        <w:trPr>
          <w:trHeight w:val="729"/>
        </w:trPr>
        <w:tc>
          <w:tcPr>
            <w:tcW w:w="3240" w:type="dxa"/>
            <w:vAlign w:val="bottom"/>
          </w:tcPr>
          <w:p>
            <w:pPr>
              <w:jc w:val="center"/>
              <w:ind w:right="215"/>
              <w:spacing w:after="0"/>
              <w:rPr>
                <w:sz w:val="20"/>
                <w:szCs w:val="20"/>
                <w:color w:val="auto"/>
              </w:rPr>
            </w:pPr>
            <w:r>
              <w:rPr>
                <w:rFonts w:ascii="Arial" w:cs="Arial" w:eastAsia="Arial" w:hAnsi="Arial"/>
                <w:sz w:val="17"/>
                <w:szCs w:val="17"/>
                <w:color w:val="auto"/>
                <w:w w:val="95"/>
              </w:rPr>
              <w:t>Executive Vice President and Chief</w:t>
            </w:r>
          </w:p>
        </w:tc>
        <w:tc>
          <w:tcPr>
            <w:tcW w:w="1640" w:type="dxa"/>
            <w:vAlign w:val="bottom"/>
          </w:tcPr>
          <w:p>
            <w:pPr>
              <w:ind w:left="300"/>
              <w:spacing w:after="0"/>
              <w:rPr>
                <w:sz w:val="20"/>
                <w:szCs w:val="20"/>
                <w:color w:val="auto"/>
              </w:rPr>
            </w:pPr>
            <w:r>
              <w:rPr>
                <w:rFonts w:ascii="Arial" w:cs="Arial" w:eastAsia="Arial" w:hAnsi="Arial"/>
                <w:sz w:val="17"/>
                <w:szCs w:val="17"/>
                <w:color w:val="auto"/>
                <w:w w:val="91"/>
              </w:rPr>
              <w:t>September 8, 2021</w:t>
            </w:r>
          </w:p>
        </w:tc>
      </w:tr>
      <w:tr>
        <w:trPr>
          <w:trHeight w:val="203"/>
        </w:trPr>
        <w:tc>
          <w:tcPr>
            <w:tcW w:w="3240" w:type="dxa"/>
            <w:vAlign w:val="bottom"/>
          </w:tcPr>
          <w:p>
            <w:pPr>
              <w:jc w:val="center"/>
              <w:ind w:right="215"/>
              <w:spacing w:after="0"/>
              <w:rPr>
                <w:sz w:val="20"/>
                <w:szCs w:val="20"/>
                <w:color w:val="auto"/>
              </w:rPr>
            </w:pPr>
            <w:r>
              <w:rPr>
                <w:rFonts w:ascii="Arial" w:cs="Arial" w:eastAsia="Arial" w:hAnsi="Arial"/>
                <w:sz w:val="17"/>
                <w:szCs w:val="17"/>
                <w:color w:val="auto"/>
                <w:w w:val="99"/>
              </w:rPr>
              <w:t>Financial Officer</w:t>
            </w:r>
          </w:p>
        </w:tc>
        <w:tc>
          <w:tcPr>
            <w:tcW w:w="1640" w:type="dxa"/>
            <w:vAlign w:val="bottom"/>
          </w:tcPr>
          <w:p>
            <w:pPr>
              <w:spacing w:after="0"/>
              <w:rPr>
                <w:sz w:val="17"/>
                <w:szCs w:val="17"/>
                <w:color w:val="auto"/>
              </w:rPr>
            </w:pPr>
          </w:p>
        </w:tc>
      </w:tr>
      <w:tr>
        <w:trPr>
          <w:trHeight w:val="216"/>
        </w:trPr>
        <w:tc>
          <w:tcPr>
            <w:tcW w:w="3240" w:type="dxa"/>
            <w:vAlign w:val="bottom"/>
          </w:tcPr>
          <w:p>
            <w:pPr>
              <w:jc w:val="center"/>
              <w:ind w:right="155"/>
              <w:spacing w:after="0"/>
              <w:rPr>
                <w:sz w:val="20"/>
                <w:szCs w:val="20"/>
                <w:color w:val="auto"/>
              </w:rPr>
            </w:pPr>
            <w:r>
              <w:rPr>
                <w:rFonts w:ascii="Arial" w:cs="Arial" w:eastAsia="Arial" w:hAnsi="Arial"/>
                <w:sz w:val="17"/>
                <w:szCs w:val="17"/>
                <w:color w:val="auto"/>
                <w:w w:val="99"/>
              </w:rPr>
              <w:t>(Principal Financial Officer)</w:t>
            </w:r>
          </w:p>
        </w:tc>
        <w:tc>
          <w:tcPr>
            <w:tcW w:w="1640" w:type="dxa"/>
            <w:vAlign w:val="bottom"/>
          </w:tcPr>
          <w:p>
            <w:pPr>
              <w:spacing w:after="0"/>
              <w:rPr>
                <w:sz w:val="18"/>
                <w:szCs w:val="18"/>
                <w:color w:val="auto"/>
              </w:rPr>
            </w:pPr>
          </w:p>
        </w:tc>
      </w:tr>
      <w:tr>
        <w:trPr>
          <w:trHeight w:val="445"/>
        </w:trPr>
        <w:tc>
          <w:tcPr>
            <w:tcW w:w="3240" w:type="dxa"/>
            <w:vAlign w:val="bottom"/>
          </w:tcPr>
          <w:p>
            <w:pPr>
              <w:jc w:val="center"/>
              <w:ind w:right="215"/>
              <w:spacing w:after="0"/>
              <w:rPr>
                <w:sz w:val="20"/>
                <w:szCs w:val="20"/>
                <w:color w:val="auto"/>
              </w:rPr>
            </w:pPr>
            <w:r>
              <w:rPr>
                <w:rFonts w:ascii="Arial" w:cs="Arial" w:eastAsia="Arial" w:hAnsi="Arial"/>
                <w:sz w:val="17"/>
                <w:szCs w:val="17"/>
                <w:color w:val="auto"/>
                <w:w w:val="94"/>
              </w:rPr>
              <w:t>Senior Vice President, Finance and Chief</w:t>
            </w:r>
          </w:p>
        </w:tc>
        <w:tc>
          <w:tcPr>
            <w:tcW w:w="1640" w:type="dxa"/>
            <w:vAlign w:val="bottom"/>
          </w:tcPr>
          <w:p>
            <w:pPr>
              <w:ind w:left="300"/>
              <w:spacing w:after="0"/>
              <w:rPr>
                <w:sz w:val="20"/>
                <w:szCs w:val="20"/>
                <w:color w:val="auto"/>
              </w:rPr>
            </w:pPr>
            <w:r>
              <w:rPr>
                <w:rFonts w:ascii="Arial" w:cs="Arial" w:eastAsia="Arial" w:hAnsi="Arial"/>
                <w:sz w:val="17"/>
                <w:szCs w:val="17"/>
                <w:color w:val="auto"/>
                <w:w w:val="91"/>
              </w:rPr>
              <w:t>September 8, 2021</w:t>
            </w:r>
          </w:p>
        </w:tc>
      </w:tr>
      <w:tr>
        <w:trPr>
          <w:trHeight w:val="203"/>
        </w:trPr>
        <w:tc>
          <w:tcPr>
            <w:tcW w:w="3240" w:type="dxa"/>
            <w:vAlign w:val="bottom"/>
          </w:tcPr>
          <w:p>
            <w:pPr>
              <w:jc w:val="center"/>
              <w:ind w:right="215"/>
              <w:spacing w:after="0"/>
              <w:rPr>
                <w:sz w:val="20"/>
                <w:szCs w:val="20"/>
                <w:color w:val="auto"/>
              </w:rPr>
            </w:pPr>
            <w:r>
              <w:rPr>
                <w:rFonts w:ascii="Arial" w:cs="Arial" w:eastAsia="Arial" w:hAnsi="Arial"/>
                <w:sz w:val="17"/>
                <w:szCs w:val="17"/>
                <w:color w:val="auto"/>
                <w:w w:val="99"/>
              </w:rPr>
              <w:t>Accounting Officer</w:t>
            </w:r>
          </w:p>
        </w:tc>
        <w:tc>
          <w:tcPr>
            <w:tcW w:w="1640" w:type="dxa"/>
            <w:vAlign w:val="bottom"/>
          </w:tcPr>
          <w:p>
            <w:pPr>
              <w:spacing w:after="0"/>
              <w:rPr>
                <w:sz w:val="17"/>
                <w:szCs w:val="17"/>
                <w:color w:val="auto"/>
              </w:rPr>
            </w:pPr>
          </w:p>
        </w:tc>
      </w:tr>
      <w:tr>
        <w:trPr>
          <w:trHeight w:val="216"/>
        </w:trPr>
        <w:tc>
          <w:tcPr>
            <w:tcW w:w="3240" w:type="dxa"/>
            <w:vAlign w:val="bottom"/>
          </w:tcPr>
          <w:p>
            <w:pPr>
              <w:jc w:val="center"/>
              <w:ind w:right="155"/>
              <w:spacing w:after="0"/>
              <w:rPr>
                <w:sz w:val="20"/>
                <w:szCs w:val="20"/>
                <w:color w:val="auto"/>
              </w:rPr>
            </w:pPr>
            <w:r>
              <w:rPr>
                <w:rFonts w:ascii="Arial" w:cs="Arial" w:eastAsia="Arial" w:hAnsi="Arial"/>
                <w:sz w:val="17"/>
                <w:szCs w:val="17"/>
                <w:color w:val="auto"/>
                <w:w w:val="99"/>
              </w:rPr>
              <w:t>(Principal Accounting Officer)</w:t>
            </w:r>
          </w:p>
        </w:tc>
        <w:tc>
          <w:tcPr>
            <w:tcW w:w="1640" w:type="dxa"/>
            <w:vAlign w:val="bottom"/>
          </w:tcPr>
          <w:p>
            <w:pPr>
              <w:spacing w:after="0"/>
              <w:rPr>
                <w:sz w:val="18"/>
                <w:szCs w:val="18"/>
                <w:color w:val="auto"/>
              </w:rPr>
            </w:pPr>
          </w:p>
        </w:tc>
      </w:tr>
      <w:tr>
        <w:trPr>
          <w:trHeight w:val="459"/>
        </w:trPr>
        <w:tc>
          <w:tcPr>
            <w:tcW w:w="3240" w:type="dxa"/>
            <w:vAlign w:val="bottom"/>
          </w:tcPr>
          <w:p>
            <w:pPr>
              <w:jc w:val="center"/>
              <w:ind w:right="175"/>
              <w:spacing w:after="0"/>
              <w:rPr>
                <w:sz w:val="20"/>
                <w:szCs w:val="20"/>
                <w:color w:val="auto"/>
              </w:rPr>
            </w:pPr>
            <w:r>
              <w:rPr>
                <w:rFonts w:ascii="Arial" w:cs="Arial" w:eastAsia="Arial" w:hAnsi="Arial"/>
                <w:sz w:val="17"/>
                <w:szCs w:val="17"/>
                <w:color w:val="auto"/>
                <w:w w:val="97"/>
              </w:rPr>
              <w:t>Director</w:t>
            </w:r>
          </w:p>
        </w:tc>
        <w:tc>
          <w:tcPr>
            <w:tcW w:w="1640" w:type="dxa"/>
            <w:vAlign w:val="bottom"/>
          </w:tcPr>
          <w:p>
            <w:pPr>
              <w:ind w:left="300"/>
              <w:spacing w:after="0"/>
              <w:rPr>
                <w:sz w:val="20"/>
                <w:szCs w:val="20"/>
                <w:color w:val="auto"/>
              </w:rPr>
            </w:pPr>
            <w:r>
              <w:rPr>
                <w:rFonts w:ascii="Arial" w:cs="Arial" w:eastAsia="Arial" w:hAnsi="Arial"/>
                <w:sz w:val="17"/>
                <w:szCs w:val="17"/>
                <w:color w:val="auto"/>
                <w:w w:val="91"/>
              </w:rPr>
              <w:t>September 8, 2021</w:t>
            </w:r>
          </w:p>
        </w:tc>
      </w:tr>
      <w:tr>
        <w:trPr>
          <w:trHeight w:val="756"/>
        </w:trPr>
        <w:tc>
          <w:tcPr>
            <w:tcW w:w="3240" w:type="dxa"/>
            <w:vAlign w:val="bottom"/>
          </w:tcPr>
          <w:p>
            <w:pPr>
              <w:jc w:val="center"/>
              <w:ind w:right="175"/>
              <w:spacing w:after="0"/>
              <w:rPr>
                <w:sz w:val="20"/>
                <w:szCs w:val="20"/>
                <w:color w:val="auto"/>
              </w:rPr>
            </w:pPr>
            <w:r>
              <w:rPr>
                <w:rFonts w:ascii="Arial" w:cs="Arial" w:eastAsia="Arial" w:hAnsi="Arial"/>
                <w:sz w:val="17"/>
                <w:szCs w:val="17"/>
                <w:color w:val="auto"/>
                <w:w w:val="97"/>
              </w:rPr>
              <w:t>Director</w:t>
            </w:r>
          </w:p>
        </w:tc>
        <w:tc>
          <w:tcPr>
            <w:tcW w:w="1640" w:type="dxa"/>
            <w:vAlign w:val="bottom"/>
          </w:tcPr>
          <w:p>
            <w:pPr>
              <w:ind w:left="300"/>
              <w:spacing w:after="0"/>
              <w:rPr>
                <w:sz w:val="20"/>
                <w:szCs w:val="20"/>
                <w:color w:val="auto"/>
              </w:rPr>
            </w:pPr>
            <w:r>
              <w:rPr>
                <w:rFonts w:ascii="Arial" w:cs="Arial" w:eastAsia="Arial" w:hAnsi="Arial"/>
                <w:sz w:val="17"/>
                <w:szCs w:val="17"/>
                <w:color w:val="auto"/>
                <w:w w:val="91"/>
              </w:rPr>
              <w:t>September 8, 2021</w:t>
            </w:r>
          </w:p>
        </w:tc>
      </w:tr>
      <w:tr>
        <w:trPr>
          <w:trHeight w:val="743"/>
        </w:trPr>
        <w:tc>
          <w:tcPr>
            <w:tcW w:w="3240" w:type="dxa"/>
            <w:vAlign w:val="bottom"/>
          </w:tcPr>
          <w:p>
            <w:pPr>
              <w:jc w:val="center"/>
              <w:ind w:right="175"/>
              <w:spacing w:after="0"/>
              <w:rPr>
                <w:sz w:val="20"/>
                <w:szCs w:val="20"/>
                <w:color w:val="auto"/>
              </w:rPr>
            </w:pPr>
            <w:r>
              <w:rPr>
                <w:rFonts w:ascii="Arial" w:cs="Arial" w:eastAsia="Arial" w:hAnsi="Arial"/>
                <w:sz w:val="17"/>
                <w:szCs w:val="17"/>
                <w:color w:val="auto"/>
                <w:w w:val="97"/>
              </w:rPr>
              <w:t>Director</w:t>
            </w:r>
          </w:p>
        </w:tc>
        <w:tc>
          <w:tcPr>
            <w:tcW w:w="1640" w:type="dxa"/>
            <w:vAlign w:val="bottom"/>
          </w:tcPr>
          <w:p>
            <w:pPr>
              <w:ind w:left="300"/>
              <w:spacing w:after="0"/>
              <w:rPr>
                <w:sz w:val="20"/>
                <w:szCs w:val="20"/>
                <w:color w:val="auto"/>
              </w:rPr>
            </w:pPr>
            <w:r>
              <w:rPr>
                <w:rFonts w:ascii="Arial" w:cs="Arial" w:eastAsia="Arial" w:hAnsi="Arial"/>
                <w:sz w:val="17"/>
                <w:szCs w:val="17"/>
                <w:color w:val="auto"/>
                <w:w w:val="91"/>
              </w:rPr>
              <w:t>September 8, 2021</w:t>
            </w:r>
          </w:p>
        </w:tc>
      </w:tr>
      <w:tr>
        <w:trPr>
          <w:trHeight w:val="743"/>
        </w:trPr>
        <w:tc>
          <w:tcPr>
            <w:tcW w:w="3240" w:type="dxa"/>
            <w:vAlign w:val="bottom"/>
          </w:tcPr>
          <w:p>
            <w:pPr>
              <w:jc w:val="center"/>
              <w:ind w:right="175"/>
              <w:spacing w:after="0"/>
              <w:rPr>
                <w:sz w:val="20"/>
                <w:szCs w:val="20"/>
                <w:color w:val="auto"/>
              </w:rPr>
            </w:pPr>
            <w:r>
              <w:rPr>
                <w:rFonts w:ascii="Arial" w:cs="Arial" w:eastAsia="Arial" w:hAnsi="Arial"/>
                <w:sz w:val="17"/>
                <w:szCs w:val="17"/>
                <w:color w:val="auto"/>
                <w:w w:val="97"/>
              </w:rPr>
              <w:t>Director</w:t>
            </w:r>
          </w:p>
        </w:tc>
        <w:tc>
          <w:tcPr>
            <w:tcW w:w="1640" w:type="dxa"/>
            <w:vAlign w:val="bottom"/>
          </w:tcPr>
          <w:p>
            <w:pPr>
              <w:ind w:left="300"/>
              <w:spacing w:after="0"/>
              <w:rPr>
                <w:sz w:val="20"/>
                <w:szCs w:val="20"/>
                <w:color w:val="auto"/>
              </w:rPr>
            </w:pPr>
            <w:r>
              <w:rPr>
                <w:rFonts w:ascii="Arial" w:cs="Arial" w:eastAsia="Arial" w:hAnsi="Arial"/>
                <w:sz w:val="17"/>
                <w:szCs w:val="17"/>
                <w:color w:val="auto"/>
                <w:w w:val="91"/>
              </w:rPr>
              <w:t>September 8, 2021</w:t>
            </w:r>
          </w:p>
        </w:tc>
      </w:tr>
      <w:tr>
        <w:trPr>
          <w:trHeight w:val="743"/>
        </w:trPr>
        <w:tc>
          <w:tcPr>
            <w:tcW w:w="3240" w:type="dxa"/>
            <w:vAlign w:val="bottom"/>
          </w:tcPr>
          <w:p>
            <w:pPr>
              <w:jc w:val="center"/>
              <w:ind w:right="175"/>
              <w:spacing w:after="0"/>
              <w:rPr>
                <w:sz w:val="20"/>
                <w:szCs w:val="20"/>
                <w:color w:val="auto"/>
              </w:rPr>
            </w:pPr>
            <w:r>
              <w:rPr>
                <w:rFonts w:ascii="Arial" w:cs="Arial" w:eastAsia="Arial" w:hAnsi="Arial"/>
                <w:sz w:val="17"/>
                <w:szCs w:val="17"/>
                <w:color w:val="auto"/>
                <w:w w:val="97"/>
              </w:rPr>
              <w:t>Director</w:t>
            </w:r>
          </w:p>
        </w:tc>
        <w:tc>
          <w:tcPr>
            <w:tcW w:w="1640" w:type="dxa"/>
            <w:vAlign w:val="bottom"/>
          </w:tcPr>
          <w:p>
            <w:pPr>
              <w:ind w:left="300"/>
              <w:spacing w:after="0"/>
              <w:rPr>
                <w:sz w:val="20"/>
                <w:szCs w:val="20"/>
                <w:color w:val="auto"/>
              </w:rPr>
            </w:pPr>
            <w:r>
              <w:rPr>
                <w:rFonts w:ascii="Arial" w:cs="Arial" w:eastAsia="Arial" w:hAnsi="Arial"/>
                <w:sz w:val="17"/>
                <w:szCs w:val="17"/>
                <w:color w:val="auto"/>
                <w:w w:val="91"/>
              </w:rPr>
              <w:t>September 8, 2021</w:t>
            </w:r>
          </w:p>
        </w:tc>
      </w:tr>
    </w:tbl>
    <w:p>
      <w:pPr>
        <w:spacing w:after="0" w:line="476" w:lineRule="exact"/>
        <w:rPr>
          <w:sz w:val="20"/>
          <w:szCs w:val="20"/>
          <w:color w:val="auto"/>
        </w:rPr>
      </w:pPr>
    </w:p>
    <w:p>
      <w:pPr>
        <w:sectPr>
          <w:pgSz w:w="11900" w:h="16838" w:orient="portrait"/>
          <w:cols w:equalWidth="0" w:num="2">
            <w:col w:w="3860" w:space="720"/>
            <w:col w:w="5299"/>
          </w:cols>
          <w:pgMar w:left="580" w:top="132" w:right="1440" w:bottom="1440" w:gutter="0" w:footer="0" w:header="0"/>
          <w:type w:val="continuous"/>
        </w:sect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740" w:type="dxa"/>
            <w:vAlign w:val="bottom"/>
          </w:tcPr>
          <w:p>
            <w:pPr>
              <w:spacing w:after="0"/>
              <w:rPr>
                <w:sz w:val="16"/>
                <w:szCs w:val="16"/>
                <w:color w:val="auto"/>
              </w:rPr>
            </w:pPr>
          </w:p>
        </w:tc>
        <w:tc>
          <w:tcPr>
            <w:tcW w:w="3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Title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26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35"/>
        </w:trPr>
        <w:tc>
          <w:tcPr>
            <w:tcW w:w="2600" w:type="dxa"/>
            <w:vAlign w:val="bottom"/>
          </w:tcPr>
          <w:p>
            <w:pPr>
              <w:jc w:val="center"/>
              <w:spacing w:after="0"/>
              <w:rPr>
                <w:sz w:val="20"/>
                <w:szCs w:val="20"/>
                <w:color w:val="auto"/>
              </w:rPr>
            </w:pPr>
            <w:r>
              <w:rPr>
                <w:rFonts w:ascii="Arial" w:cs="Arial" w:eastAsia="Arial" w:hAnsi="Arial"/>
                <w:sz w:val="17"/>
                <w:szCs w:val="17"/>
                <w:color w:val="auto"/>
                <w:w w:val="98"/>
              </w:rPr>
              <w:t>/s/ JOHN T. RAYMOND</w:t>
            </w:r>
          </w:p>
        </w:tc>
        <w:tc>
          <w:tcPr>
            <w:tcW w:w="740" w:type="dxa"/>
            <w:vAlign w:val="bottom"/>
          </w:tcPr>
          <w:p>
            <w:pPr>
              <w:spacing w:after="0"/>
              <w:rPr>
                <w:sz w:val="24"/>
                <w:szCs w:val="24"/>
                <w:color w:val="auto"/>
              </w:rPr>
            </w:pPr>
          </w:p>
        </w:tc>
        <w:tc>
          <w:tcPr>
            <w:tcW w:w="3520" w:type="dxa"/>
            <w:vAlign w:val="bottom"/>
            <w:gridSpan w:val="2"/>
          </w:tcPr>
          <w:p>
            <w:pPr>
              <w:jc w:val="center"/>
              <w:ind w:right="540"/>
              <w:spacing w:after="0"/>
              <w:rPr>
                <w:sz w:val="20"/>
                <w:szCs w:val="20"/>
                <w:color w:val="auto"/>
              </w:rPr>
            </w:pPr>
            <w:r>
              <w:rPr>
                <w:rFonts w:ascii="Arial" w:cs="Arial" w:eastAsia="Arial" w:hAnsi="Arial"/>
                <w:sz w:val="17"/>
                <w:szCs w:val="17"/>
                <w:color w:val="auto"/>
                <w:w w:val="97"/>
              </w:rPr>
              <w:t>Director</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September 8, 2021</w:t>
            </w:r>
          </w:p>
        </w:tc>
      </w:tr>
      <w:tr>
        <w:trPr>
          <w:trHeight w:val="44"/>
        </w:trPr>
        <w:tc>
          <w:tcPr>
            <w:tcW w:w="2600" w:type="dxa"/>
            <w:vAlign w:val="bottom"/>
            <w:tcBorders>
              <w:bottom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2600" w:type="dxa"/>
            <w:vAlign w:val="bottom"/>
          </w:tcPr>
          <w:p>
            <w:pPr>
              <w:jc w:val="center"/>
              <w:spacing w:after="0"/>
              <w:rPr>
                <w:sz w:val="20"/>
                <w:szCs w:val="20"/>
                <w:color w:val="auto"/>
              </w:rPr>
            </w:pPr>
            <w:r>
              <w:rPr>
                <w:rFonts w:ascii="Arial" w:cs="Arial" w:eastAsia="Arial" w:hAnsi="Arial"/>
                <w:sz w:val="17"/>
                <w:szCs w:val="17"/>
                <w:color w:val="auto"/>
                <w:w w:val="93"/>
              </w:rPr>
              <w:t>John T. Raymond</w:t>
            </w:r>
          </w:p>
        </w:tc>
        <w:tc>
          <w:tcPr>
            <w:tcW w:w="7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6"/>
        </w:trPr>
        <w:tc>
          <w:tcPr>
            <w:tcW w:w="2600" w:type="dxa"/>
            <w:vAlign w:val="bottom"/>
          </w:tcPr>
          <w:p>
            <w:pPr>
              <w:jc w:val="center"/>
              <w:spacing w:after="0"/>
              <w:rPr>
                <w:sz w:val="20"/>
                <w:szCs w:val="20"/>
                <w:color w:val="auto"/>
              </w:rPr>
            </w:pPr>
            <w:r>
              <w:rPr>
                <w:rFonts w:ascii="Arial" w:cs="Arial" w:eastAsia="Arial" w:hAnsi="Arial"/>
                <w:sz w:val="17"/>
                <w:szCs w:val="17"/>
                <w:color w:val="auto"/>
              </w:rPr>
              <w:t>/s/ BOBBY S. SHACKOULS</w:t>
            </w:r>
          </w:p>
        </w:tc>
        <w:tc>
          <w:tcPr>
            <w:tcW w:w="740" w:type="dxa"/>
            <w:vAlign w:val="bottom"/>
          </w:tcPr>
          <w:p>
            <w:pPr>
              <w:spacing w:after="0"/>
              <w:rPr>
                <w:sz w:val="24"/>
                <w:szCs w:val="24"/>
                <w:color w:val="auto"/>
              </w:rPr>
            </w:pPr>
          </w:p>
        </w:tc>
        <w:tc>
          <w:tcPr>
            <w:tcW w:w="3520" w:type="dxa"/>
            <w:vAlign w:val="bottom"/>
            <w:gridSpan w:val="2"/>
          </w:tcPr>
          <w:p>
            <w:pPr>
              <w:jc w:val="center"/>
              <w:ind w:right="540"/>
              <w:spacing w:after="0"/>
              <w:rPr>
                <w:sz w:val="20"/>
                <w:szCs w:val="20"/>
                <w:color w:val="auto"/>
              </w:rPr>
            </w:pPr>
            <w:r>
              <w:rPr>
                <w:rFonts w:ascii="Arial" w:cs="Arial" w:eastAsia="Arial" w:hAnsi="Arial"/>
                <w:sz w:val="17"/>
                <w:szCs w:val="17"/>
                <w:color w:val="auto"/>
                <w:w w:val="97"/>
              </w:rPr>
              <w:t>Director</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September 8, 2021</w:t>
            </w:r>
          </w:p>
        </w:tc>
      </w:tr>
      <w:tr>
        <w:trPr>
          <w:trHeight w:val="44"/>
        </w:trPr>
        <w:tc>
          <w:tcPr>
            <w:tcW w:w="2600" w:type="dxa"/>
            <w:vAlign w:val="bottom"/>
            <w:tcBorders>
              <w:bottom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2600" w:type="dxa"/>
            <w:vAlign w:val="bottom"/>
          </w:tcPr>
          <w:p>
            <w:pPr>
              <w:jc w:val="center"/>
              <w:spacing w:after="0"/>
              <w:rPr>
                <w:sz w:val="20"/>
                <w:szCs w:val="20"/>
                <w:color w:val="auto"/>
              </w:rPr>
            </w:pPr>
            <w:r>
              <w:rPr>
                <w:rFonts w:ascii="Arial" w:cs="Arial" w:eastAsia="Arial" w:hAnsi="Arial"/>
                <w:sz w:val="17"/>
                <w:szCs w:val="17"/>
                <w:color w:val="auto"/>
                <w:w w:val="94"/>
              </w:rPr>
              <w:t>Bobby S. Shackouls</w:t>
            </w:r>
          </w:p>
        </w:tc>
        <w:tc>
          <w:tcPr>
            <w:tcW w:w="7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6"/>
        </w:trPr>
        <w:tc>
          <w:tcPr>
            <w:tcW w:w="2600" w:type="dxa"/>
            <w:vAlign w:val="bottom"/>
          </w:tcPr>
          <w:p>
            <w:pPr>
              <w:jc w:val="center"/>
              <w:spacing w:after="0"/>
              <w:rPr>
                <w:sz w:val="20"/>
                <w:szCs w:val="20"/>
                <w:color w:val="auto"/>
              </w:rPr>
            </w:pPr>
            <w:r>
              <w:rPr>
                <w:rFonts w:ascii="Arial" w:cs="Arial" w:eastAsia="Arial" w:hAnsi="Arial"/>
                <w:sz w:val="17"/>
                <w:szCs w:val="17"/>
                <w:color w:val="auto"/>
                <w:w w:val="98"/>
              </w:rPr>
              <w:t>/s/ CHRISTOPHER M. TEMPLE</w:t>
            </w:r>
          </w:p>
        </w:tc>
        <w:tc>
          <w:tcPr>
            <w:tcW w:w="740" w:type="dxa"/>
            <w:vAlign w:val="bottom"/>
          </w:tcPr>
          <w:p>
            <w:pPr>
              <w:spacing w:after="0"/>
              <w:rPr>
                <w:sz w:val="24"/>
                <w:szCs w:val="24"/>
                <w:color w:val="auto"/>
              </w:rPr>
            </w:pPr>
          </w:p>
        </w:tc>
        <w:tc>
          <w:tcPr>
            <w:tcW w:w="3520" w:type="dxa"/>
            <w:vAlign w:val="bottom"/>
            <w:gridSpan w:val="2"/>
          </w:tcPr>
          <w:p>
            <w:pPr>
              <w:jc w:val="center"/>
              <w:ind w:right="540"/>
              <w:spacing w:after="0"/>
              <w:rPr>
                <w:sz w:val="20"/>
                <w:szCs w:val="20"/>
                <w:color w:val="auto"/>
              </w:rPr>
            </w:pPr>
            <w:r>
              <w:rPr>
                <w:rFonts w:ascii="Arial" w:cs="Arial" w:eastAsia="Arial" w:hAnsi="Arial"/>
                <w:sz w:val="17"/>
                <w:szCs w:val="17"/>
                <w:color w:val="auto"/>
                <w:w w:val="97"/>
              </w:rPr>
              <w:t>Director</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September 8, 2021</w:t>
            </w:r>
          </w:p>
        </w:tc>
      </w:tr>
      <w:tr>
        <w:trPr>
          <w:trHeight w:val="44"/>
        </w:trPr>
        <w:tc>
          <w:tcPr>
            <w:tcW w:w="2600" w:type="dxa"/>
            <w:vAlign w:val="bottom"/>
            <w:tcBorders>
              <w:bottom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2600" w:type="dxa"/>
            <w:vAlign w:val="bottom"/>
          </w:tcPr>
          <w:p>
            <w:pPr>
              <w:jc w:val="center"/>
              <w:spacing w:after="0"/>
              <w:rPr>
                <w:sz w:val="20"/>
                <w:szCs w:val="20"/>
                <w:color w:val="auto"/>
              </w:rPr>
            </w:pPr>
            <w:r>
              <w:rPr>
                <w:rFonts w:ascii="Arial" w:cs="Arial" w:eastAsia="Arial" w:hAnsi="Arial"/>
                <w:sz w:val="17"/>
                <w:szCs w:val="17"/>
                <w:color w:val="auto"/>
                <w:w w:val="95"/>
              </w:rPr>
              <w:t>Christopher M. Temple</w:t>
            </w:r>
          </w:p>
        </w:tc>
        <w:tc>
          <w:tcPr>
            <w:tcW w:w="7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6"/>
        </w:trPr>
        <w:tc>
          <w:tcPr>
            <w:tcW w:w="2600" w:type="dxa"/>
            <w:vAlign w:val="bottom"/>
          </w:tcPr>
          <w:p>
            <w:pPr>
              <w:jc w:val="center"/>
              <w:spacing w:after="0"/>
              <w:rPr>
                <w:sz w:val="20"/>
                <w:szCs w:val="20"/>
                <w:color w:val="auto"/>
              </w:rPr>
            </w:pPr>
            <w:r>
              <w:rPr>
                <w:rFonts w:ascii="Arial" w:cs="Arial" w:eastAsia="Arial" w:hAnsi="Arial"/>
                <w:sz w:val="17"/>
                <w:szCs w:val="17"/>
                <w:color w:val="auto"/>
              </w:rPr>
              <w:t>/s/ LAWRENCE M. ZIEMBA</w:t>
            </w:r>
          </w:p>
        </w:tc>
        <w:tc>
          <w:tcPr>
            <w:tcW w:w="740" w:type="dxa"/>
            <w:vAlign w:val="bottom"/>
          </w:tcPr>
          <w:p>
            <w:pPr>
              <w:spacing w:after="0"/>
              <w:rPr>
                <w:sz w:val="24"/>
                <w:szCs w:val="24"/>
                <w:color w:val="auto"/>
              </w:rPr>
            </w:pPr>
          </w:p>
        </w:tc>
        <w:tc>
          <w:tcPr>
            <w:tcW w:w="3520" w:type="dxa"/>
            <w:vAlign w:val="bottom"/>
            <w:gridSpan w:val="2"/>
          </w:tcPr>
          <w:p>
            <w:pPr>
              <w:jc w:val="center"/>
              <w:ind w:right="540"/>
              <w:spacing w:after="0"/>
              <w:rPr>
                <w:sz w:val="20"/>
                <w:szCs w:val="20"/>
                <w:color w:val="auto"/>
              </w:rPr>
            </w:pPr>
            <w:r>
              <w:rPr>
                <w:rFonts w:ascii="Arial" w:cs="Arial" w:eastAsia="Arial" w:hAnsi="Arial"/>
                <w:sz w:val="17"/>
                <w:szCs w:val="17"/>
                <w:color w:val="auto"/>
                <w:w w:val="97"/>
              </w:rPr>
              <w:t>Director</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September 8, 2021</w:t>
            </w:r>
          </w:p>
        </w:tc>
      </w:tr>
      <w:tr>
        <w:trPr>
          <w:trHeight w:val="44"/>
        </w:trPr>
        <w:tc>
          <w:tcPr>
            <w:tcW w:w="2600" w:type="dxa"/>
            <w:vAlign w:val="bottom"/>
            <w:tcBorders>
              <w:bottom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3"/>
        </w:trPr>
        <w:tc>
          <w:tcPr>
            <w:tcW w:w="2600" w:type="dxa"/>
            <w:vAlign w:val="bottom"/>
          </w:tcPr>
          <w:p>
            <w:pPr>
              <w:jc w:val="center"/>
              <w:spacing w:after="0"/>
              <w:rPr>
                <w:sz w:val="20"/>
                <w:szCs w:val="20"/>
                <w:color w:val="auto"/>
              </w:rPr>
            </w:pPr>
            <w:r>
              <w:rPr>
                <w:rFonts w:ascii="Arial" w:cs="Arial" w:eastAsia="Arial" w:hAnsi="Arial"/>
                <w:sz w:val="17"/>
                <w:szCs w:val="17"/>
                <w:color w:val="auto"/>
                <w:w w:val="97"/>
              </w:rPr>
              <w:t>Lawrence M. Ziemba</w:t>
            </w:r>
          </w:p>
        </w:tc>
        <w:tc>
          <w:tcPr>
            <w:tcW w:w="7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8, 2021.</w:t>
      </w:r>
    </w:p>
    <w:p>
      <w:pPr>
        <w:spacing w:after="0" w:line="18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PAA FINANCE CORP.</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48895</wp:posOffset>
            </wp:positionV>
            <wp:extent cx="22371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24"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Richard K. McGee</w:t>
      </w:r>
    </w:p>
    <w:p>
      <w:pPr>
        <w:spacing w:after="0" w:line="50"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General</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Counsel and Secretary</w:t>
      </w:r>
    </w:p>
    <w:p>
      <w:pPr>
        <w:spacing w:after="0" w:line="20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14"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 below.</w:t>
      </w:r>
    </w:p>
    <w:p>
      <w:pPr>
        <w:spacing w:after="0" w:line="14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PAA FINANCE CORP.</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00" w:type="dxa"/>
            <w:vAlign w:val="bottom"/>
          </w:tcPr>
          <w:p>
            <w:pPr>
              <w:spacing w:after="0"/>
              <w:rPr>
                <w:sz w:val="16"/>
                <w:szCs w:val="16"/>
                <w:color w:val="auto"/>
              </w:rPr>
            </w:pPr>
          </w:p>
        </w:tc>
        <w:tc>
          <w:tcPr>
            <w:tcW w:w="3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Title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2480" w:type="dxa"/>
            <w:vAlign w:val="bottom"/>
          </w:tcPr>
          <w:p>
            <w:pPr>
              <w:jc w:val="center"/>
              <w:spacing w:after="0"/>
              <w:rPr>
                <w:sz w:val="20"/>
                <w:szCs w:val="20"/>
                <w:color w:val="auto"/>
              </w:rPr>
            </w:pPr>
            <w:r>
              <w:rPr>
                <w:rFonts w:ascii="Arial" w:cs="Arial" w:eastAsia="Arial" w:hAnsi="Arial"/>
                <w:sz w:val="18"/>
                <w:szCs w:val="18"/>
                <w:color w:val="auto"/>
              </w:rPr>
              <w:t>/s/ WILLIE CHIANG</w:t>
            </w:r>
          </w:p>
        </w:tc>
        <w:tc>
          <w:tcPr>
            <w:tcW w:w="200" w:type="dxa"/>
            <w:vAlign w:val="bottom"/>
          </w:tcPr>
          <w:p>
            <w:pPr>
              <w:spacing w:after="0"/>
              <w:rPr>
                <w:sz w:val="24"/>
                <w:szCs w:val="24"/>
                <w:color w:val="auto"/>
              </w:rPr>
            </w:pPr>
          </w:p>
        </w:tc>
        <w:tc>
          <w:tcPr>
            <w:tcW w:w="308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Chief Executive Officer and 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c>
          <w:tcPr>
            <w:tcW w:w="0" w:type="dxa"/>
            <w:vAlign w:val="bottom"/>
          </w:tcPr>
          <w:p>
            <w:pPr>
              <w:spacing w:after="0"/>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30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(Principal Executive Officer)</w:t>
            </w: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98"/>
              </w:rPr>
              <w:t>Willie Chiang</w:t>
            </w:r>
          </w:p>
        </w:tc>
        <w:tc>
          <w:tcPr>
            <w:tcW w:w="200" w:type="dxa"/>
            <w:vAlign w:val="bottom"/>
            <w:vMerge w:val="continue"/>
          </w:tcPr>
          <w:p>
            <w:pPr>
              <w:spacing w:after="0"/>
              <w:rPr>
                <w:sz w:val="12"/>
                <w:szCs w:val="12"/>
                <w:color w:val="auto"/>
              </w:rPr>
            </w:pPr>
          </w:p>
        </w:tc>
        <w:tc>
          <w:tcPr>
            <w:tcW w:w="308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2480" w:type="dxa"/>
            <w:vAlign w:val="bottom"/>
          </w:tcPr>
          <w:p>
            <w:pPr>
              <w:jc w:val="center"/>
              <w:spacing w:after="0"/>
              <w:rPr>
                <w:sz w:val="20"/>
                <w:szCs w:val="20"/>
                <w:color w:val="auto"/>
              </w:rPr>
            </w:pPr>
            <w:r>
              <w:rPr>
                <w:rFonts w:ascii="Arial" w:cs="Arial" w:eastAsia="Arial" w:hAnsi="Arial"/>
                <w:sz w:val="18"/>
                <w:szCs w:val="18"/>
                <w:color w:val="auto"/>
                <w:w w:val="97"/>
              </w:rPr>
              <w:t>/s/ AL SWANSON</w:t>
            </w:r>
          </w:p>
        </w:tc>
        <w:tc>
          <w:tcPr>
            <w:tcW w:w="200" w:type="dxa"/>
            <w:vAlign w:val="bottom"/>
          </w:tcPr>
          <w:p>
            <w:pPr>
              <w:spacing w:after="0"/>
              <w:rPr>
                <w:sz w:val="24"/>
                <w:szCs w:val="24"/>
                <w:color w:val="auto"/>
              </w:rPr>
            </w:pPr>
          </w:p>
        </w:tc>
        <w:tc>
          <w:tcPr>
            <w:tcW w:w="30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Executive Vice President, Chief</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c>
          <w:tcPr>
            <w:tcW w:w="0" w:type="dxa"/>
            <w:vAlign w:val="bottom"/>
          </w:tcPr>
          <w:p>
            <w:pPr>
              <w:spacing w:after="0"/>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308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7"/>
              </w:rPr>
              <w:t>Financial Officer and Director</w:t>
            </w: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96"/>
              </w:rPr>
              <w:t>Al Swanson</w:t>
            </w:r>
          </w:p>
        </w:tc>
        <w:tc>
          <w:tcPr>
            <w:tcW w:w="200" w:type="dxa"/>
            <w:vAlign w:val="bottom"/>
            <w:vMerge w:val="continue"/>
          </w:tcPr>
          <w:p>
            <w:pPr>
              <w:spacing w:after="0"/>
              <w:rPr>
                <w:sz w:val="11"/>
                <w:szCs w:val="11"/>
                <w:color w:val="auto"/>
              </w:rPr>
            </w:pPr>
          </w:p>
        </w:tc>
        <w:tc>
          <w:tcPr>
            <w:tcW w:w="3080" w:type="dxa"/>
            <w:vAlign w:val="bottom"/>
            <w:gridSpan w:val="2"/>
            <w:vMerge w:val="continue"/>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(Principal Financial Officer)</w:t>
            </w: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gridSpan w:val="2"/>
            <w:vMerge w:val="continue"/>
          </w:tcPr>
          <w:p>
            <w:pPr>
              <w:spacing w:after="0"/>
              <w:rPr>
                <w:sz w:val="9"/>
                <w:szCs w:val="9"/>
                <w:color w:val="auto"/>
              </w:rPr>
            </w:pPr>
          </w:p>
        </w:tc>
        <w:tc>
          <w:tcPr>
            <w:tcW w:w="2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2480" w:type="dxa"/>
            <w:vAlign w:val="bottom"/>
          </w:tcPr>
          <w:p>
            <w:pPr>
              <w:jc w:val="center"/>
              <w:spacing w:after="0"/>
              <w:rPr>
                <w:sz w:val="20"/>
                <w:szCs w:val="20"/>
                <w:color w:val="auto"/>
              </w:rPr>
            </w:pPr>
            <w:r>
              <w:rPr>
                <w:rFonts w:ascii="Arial" w:cs="Arial" w:eastAsia="Arial" w:hAnsi="Arial"/>
                <w:sz w:val="18"/>
                <w:szCs w:val="18"/>
                <w:color w:val="auto"/>
                <w:w w:val="97"/>
              </w:rPr>
              <w:t>/s/ CHRIS HERBOLD</w:t>
            </w:r>
          </w:p>
        </w:tc>
        <w:tc>
          <w:tcPr>
            <w:tcW w:w="200" w:type="dxa"/>
            <w:vAlign w:val="bottom"/>
          </w:tcPr>
          <w:p>
            <w:pPr>
              <w:spacing w:after="0"/>
              <w:rPr>
                <w:sz w:val="24"/>
                <w:szCs w:val="24"/>
                <w:color w:val="auto"/>
              </w:rPr>
            </w:pP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Senior Vice President, Finance and</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c>
          <w:tcPr>
            <w:tcW w:w="0" w:type="dxa"/>
            <w:vAlign w:val="bottom"/>
          </w:tcPr>
          <w:p>
            <w:pPr>
              <w:spacing w:after="0"/>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308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8"/>
              </w:rPr>
              <w:t>Chief Accounting Officer</w:t>
            </w: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98"/>
              </w:rPr>
              <w:t>Chris Herbold</w:t>
            </w:r>
          </w:p>
        </w:tc>
        <w:tc>
          <w:tcPr>
            <w:tcW w:w="200" w:type="dxa"/>
            <w:vAlign w:val="bottom"/>
            <w:vMerge w:val="continue"/>
          </w:tcPr>
          <w:p>
            <w:pPr>
              <w:spacing w:after="0"/>
              <w:rPr>
                <w:sz w:val="11"/>
                <w:szCs w:val="11"/>
                <w:color w:val="auto"/>
              </w:rPr>
            </w:pPr>
          </w:p>
        </w:tc>
        <w:tc>
          <w:tcPr>
            <w:tcW w:w="3080" w:type="dxa"/>
            <w:vAlign w:val="bottom"/>
            <w:gridSpan w:val="2"/>
            <w:vMerge w:val="continue"/>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(Principal Accounting Officer)</w:t>
            </w: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gridSpan w:val="2"/>
            <w:vMerge w:val="continue"/>
          </w:tcPr>
          <w:p>
            <w:pPr>
              <w:spacing w:after="0"/>
              <w:rPr>
                <w:sz w:val="9"/>
                <w:szCs w:val="9"/>
                <w:color w:val="auto"/>
              </w:rPr>
            </w:pPr>
          </w:p>
        </w:tc>
        <w:tc>
          <w:tcPr>
            <w:tcW w:w="2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3"/>
        </w:trPr>
        <w:tc>
          <w:tcPr>
            <w:tcW w:w="2480" w:type="dxa"/>
            <w:vAlign w:val="bottom"/>
          </w:tcPr>
          <w:p>
            <w:pPr>
              <w:jc w:val="center"/>
              <w:spacing w:after="0"/>
              <w:rPr>
                <w:sz w:val="20"/>
                <w:szCs w:val="20"/>
                <w:color w:val="auto"/>
              </w:rPr>
            </w:pPr>
            <w:r>
              <w:rPr>
                <w:rFonts w:ascii="Arial" w:cs="Arial" w:eastAsia="Arial" w:hAnsi="Arial"/>
                <w:sz w:val="18"/>
                <w:szCs w:val="18"/>
                <w:color w:val="auto"/>
                <w:w w:val="97"/>
              </w:rPr>
              <w:t>/s/ HARRY N. PEFANIS</w:t>
            </w:r>
          </w:p>
        </w:tc>
        <w:tc>
          <w:tcPr>
            <w:tcW w:w="200" w:type="dxa"/>
            <w:vAlign w:val="bottom"/>
          </w:tcPr>
          <w:p>
            <w:pPr>
              <w:spacing w:after="0"/>
              <w:rPr>
                <w:sz w:val="24"/>
                <w:szCs w:val="24"/>
                <w:color w:val="auto"/>
              </w:rPr>
            </w:pP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President and 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c>
          <w:tcPr>
            <w:tcW w:w="0" w:type="dxa"/>
            <w:vAlign w:val="bottom"/>
          </w:tcPr>
          <w:p>
            <w:pPr>
              <w:spacing w:after="0"/>
              <w:rPr>
                <w:sz w:val="1"/>
                <w:szCs w:val="1"/>
                <w:color w:val="auto"/>
              </w:rPr>
            </w:pPr>
          </w:p>
        </w:tc>
      </w:tr>
      <w:tr>
        <w:trPr>
          <w:trHeight w:val="54"/>
        </w:trPr>
        <w:tc>
          <w:tcPr>
            <w:tcW w:w="2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80" w:type="dxa"/>
            <w:vAlign w:val="bottom"/>
          </w:tcPr>
          <w:p>
            <w:pPr>
              <w:jc w:val="center"/>
              <w:spacing w:after="0"/>
              <w:rPr>
                <w:sz w:val="20"/>
                <w:szCs w:val="20"/>
                <w:color w:val="auto"/>
              </w:rPr>
            </w:pPr>
            <w:r>
              <w:rPr>
                <w:rFonts w:ascii="Arial" w:cs="Arial" w:eastAsia="Arial" w:hAnsi="Arial"/>
                <w:sz w:val="18"/>
                <w:szCs w:val="18"/>
                <w:color w:val="auto"/>
                <w:w w:val="96"/>
              </w:rPr>
              <w:t>Harry N. Pefanis</w:t>
            </w:r>
          </w:p>
        </w:tc>
        <w:tc>
          <w:tcPr>
            <w:tcW w:w="2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ind w:left="10240"/>
        <w:spacing w:after="0"/>
        <w:rPr>
          <w:sz w:val="20"/>
          <w:szCs w:val="20"/>
          <w:color w:val="auto"/>
        </w:rPr>
      </w:pPr>
      <w:r>
        <w:rPr>
          <w:rFonts w:ascii="Arial" w:cs="Arial" w:eastAsia="Arial" w:hAnsi="Arial"/>
          <w:sz w:val="19"/>
          <w:szCs w:val="19"/>
          <w:b w:val="1"/>
          <w:bCs w:val="1"/>
          <w:color w:val="auto"/>
        </w:rPr>
        <w:t>Exhibit 5.1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acted as counsel for Plains All American Pipeline, L.P., a Delaware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with respect to the preparation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on the date hereof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in connection with the registration by the Partnership under the Securities Act of 1933, as amended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of the offer and sale by the Partnership from time to time, pursuant to Rule 415 under the Securities Act, of:</w:t>
      </w:r>
    </w:p>
    <w:p>
      <w:pPr>
        <w:spacing w:after="0" w:line="187" w:lineRule="exact"/>
        <w:rPr>
          <w:sz w:val="20"/>
          <w:szCs w:val="20"/>
          <w:color w:val="auto"/>
        </w:rPr>
      </w:pPr>
    </w:p>
    <w:p>
      <w:pPr>
        <w:ind w:left="1560" w:hanging="256"/>
        <w:spacing w:after="0"/>
        <w:tabs>
          <w:tab w:leader="none" w:pos="1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the Partnership (the “</w:t>
      </w:r>
      <w:r>
        <w:rPr>
          <w:rFonts w:ascii="Arial" w:cs="Arial" w:eastAsia="Arial" w:hAnsi="Arial"/>
          <w:sz w:val="18"/>
          <w:szCs w:val="18"/>
          <w:b w:val="1"/>
          <w:bCs w:val="1"/>
          <w:i w:val="1"/>
          <w:iCs w:val="1"/>
          <w:color w:val="auto"/>
        </w:rPr>
        <w:t>Common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preferred units representing limited partner interests in the Partnership (the “</w:t>
      </w:r>
      <w:r>
        <w:rPr>
          <w:rFonts w:ascii="Arial" w:cs="Arial" w:eastAsia="Arial" w:hAnsi="Arial"/>
          <w:sz w:val="18"/>
          <w:szCs w:val="18"/>
          <w:b w:val="1"/>
          <w:bCs w:val="1"/>
          <w:i w:val="1"/>
          <w:iCs w:val="1"/>
          <w:color w:val="auto"/>
        </w:rPr>
        <w:t>Preferred Units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5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securities, which may be co-issued by PAA Finance Corp., a Delaware corporation (“</w:t>
      </w:r>
      <w:r>
        <w:rPr>
          <w:rFonts w:ascii="Arial" w:cs="Arial" w:eastAsia="Arial" w:hAnsi="Arial"/>
          <w:sz w:val="18"/>
          <w:szCs w:val="18"/>
          <w:b w:val="1"/>
          <w:bCs w:val="1"/>
          <w:i w:val="1"/>
          <w:iCs w:val="1"/>
          <w:color w:val="auto"/>
        </w:rPr>
        <w:t>PAA Finance</w:t>
      </w:r>
      <w:r>
        <w:rPr>
          <w:rFonts w:ascii="Arial" w:cs="Arial" w:eastAsia="Arial" w:hAnsi="Arial"/>
          <w:sz w:val="18"/>
          <w:szCs w:val="18"/>
          <w:color w:val="auto"/>
        </w:rPr>
        <w:t>”), in one or more series, consisting of notes, debentures or other evidences of indebtedness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Units, the Preferred Units and Debt Securities are collectively referred to herein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also participated in the preparation of the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contained in the Registration Statement to which this opinion is an exhibit.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rendering the opinions set forth below, we have examined and relied upon (i) the Delaware Revised Uniform Limited Partnership Act (the “</w:t>
      </w:r>
      <w:r>
        <w:rPr>
          <w:rFonts w:ascii="Arial" w:cs="Arial" w:eastAsia="Arial" w:hAnsi="Arial"/>
          <w:sz w:val="16"/>
          <w:szCs w:val="16"/>
          <w:b w:val="1"/>
          <w:bCs w:val="1"/>
          <w:i w:val="1"/>
          <w:iCs w:val="1"/>
          <w:color w:val="auto"/>
        </w:rPr>
        <w:t>Delaware LP Act</w:t>
      </w:r>
      <w:r>
        <w:rPr>
          <w:rFonts w:ascii="Arial" w:cs="Arial" w:eastAsia="Arial" w:hAnsi="Arial"/>
          <w:sz w:val="16"/>
          <w:szCs w:val="16"/>
          <w:color w:val="auto"/>
        </w:rPr>
        <w:t>”), (ii)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(iii) the Registration Statement, including the Prospectus, (iv) the Senior Indenture (the “</w:t>
      </w:r>
      <w:r>
        <w:rPr>
          <w:rFonts w:ascii="Arial" w:cs="Arial" w:eastAsia="Arial" w:hAnsi="Arial"/>
          <w:sz w:val="16"/>
          <w:szCs w:val="16"/>
          <w:b w:val="1"/>
          <w:bCs w:val="1"/>
          <w:i w:val="1"/>
          <w:iCs w:val="1"/>
          <w:color w:val="auto"/>
        </w:rPr>
        <w:t>Senior Indenture</w:t>
      </w:r>
      <w:r>
        <w:rPr>
          <w:rFonts w:ascii="Arial" w:cs="Arial" w:eastAsia="Arial" w:hAnsi="Arial"/>
          <w:sz w:val="16"/>
          <w:szCs w:val="16"/>
          <w:color w:val="auto"/>
        </w:rPr>
        <w:t>”), incorporated by reference as Exhibit 4.1 to the Registration Statement, (v) the form of Subordinated Indenture (the “</w:t>
      </w:r>
      <w:r>
        <w:rPr>
          <w:rFonts w:ascii="Arial" w:cs="Arial" w:eastAsia="Arial" w:hAnsi="Arial"/>
          <w:sz w:val="16"/>
          <w:szCs w:val="16"/>
          <w:b w:val="1"/>
          <w:bCs w:val="1"/>
          <w:i w:val="1"/>
          <w:iCs w:val="1"/>
          <w:color w:val="auto"/>
        </w:rPr>
        <w:t>Subordinated Indenture</w:t>
      </w:r>
      <w:r>
        <w:rPr>
          <w:rFonts w:ascii="Arial" w:cs="Arial" w:eastAsia="Arial" w:hAnsi="Arial"/>
          <w:sz w:val="16"/>
          <w:szCs w:val="16"/>
          <w:color w:val="auto"/>
        </w:rPr>
        <w:t>,” together with the Senior Indenture, the “</w:t>
      </w:r>
      <w:r>
        <w:rPr>
          <w:rFonts w:ascii="Arial" w:cs="Arial" w:eastAsia="Arial" w:hAnsi="Arial"/>
          <w:sz w:val="16"/>
          <w:szCs w:val="16"/>
          <w:b w:val="1"/>
          <w:bCs w:val="1"/>
          <w:i w:val="1"/>
          <w:iCs w:val="1"/>
          <w:color w:val="auto"/>
        </w:rPr>
        <w:t>Indentures</w:t>
      </w:r>
      <w:r>
        <w:rPr>
          <w:rFonts w:ascii="Arial" w:cs="Arial" w:eastAsia="Arial" w:hAnsi="Arial"/>
          <w:sz w:val="16"/>
          <w:szCs w:val="16"/>
          <w:color w:val="auto"/>
        </w:rPr>
        <w:t>”), incorporated by reference as Exhibit 4.2 to the Registration Statement,</w:t>
      </w:r>
    </w:p>
    <w:p>
      <w:pPr>
        <w:spacing w:after="0" w:line="1" w:lineRule="exact"/>
        <w:rPr>
          <w:sz w:val="20"/>
          <w:szCs w:val="20"/>
          <w:color w:val="auto"/>
        </w:rPr>
      </w:pPr>
    </w:p>
    <w:p>
      <w:pPr>
        <w:jc w:val="both"/>
        <w:ind w:firstLine="8"/>
        <w:spacing w:after="0" w:line="253" w:lineRule="auto"/>
        <w:tabs>
          <w:tab w:leader="none" w:pos="3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Seventh Amended and Restated Agreement of Limited Partnership of the Partnership, as amended (the “</w:t>
      </w:r>
      <w:r>
        <w:rPr>
          <w:rFonts w:ascii="Arial" w:cs="Arial" w:eastAsia="Arial" w:hAnsi="Arial"/>
          <w:sz w:val="18"/>
          <w:szCs w:val="18"/>
          <w:b w:val="1"/>
          <w:bCs w:val="1"/>
          <w:i w:val="1"/>
          <w:iCs w:val="1"/>
          <w:color w:val="auto"/>
        </w:rPr>
        <w:t>Partnership Agreement</w:t>
      </w:r>
      <w:r>
        <w:rPr>
          <w:rFonts w:ascii="Arial" w:cs="Arial" w:eastAsia="Arial" w:hAnsi="Arial"/>
          <w:sz w:val="18"/>
          <w:szCs w:val="18"/>
          <w:color w:val="auto"/>
        </w:rPr>
        <w:t>”), (vii) the Certificate of Limited Partnership filed with the Secretary of State of Delaware pursuant to the Delaware LP Act in connection with the formation of the Partnership, (viii) the bylaws and certificate of incorporation of PAA Finance, and (ix) such other certificates, statutes and other instruments and documents as we consider appropriate for purposes of the opinions hereafter expressed. In addition, we have reviewed such questions of law as we consider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In connection with this opinion, we have assumed that:</w:t>
      </w:r>
    </w:p>
    <w:p>
      <w:pPr>
        <w:spacing w:after="0" w:line="225" w:lineRule="exact"/>
        <w:rPr>
          <w:sz w:val="20"/>
          <w:szCs w:val="20"/>
          <w:color w:val="auto"/>
        </w:rPr>
      </w:pPr>
    </w:p>
    <w:p>
      <w:pPr>
        <w:ind w:left="900" w:hanging="256"/>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Registration Statement, and any amendments thereto (including post-effective amendments), will have become effective;</w:t>
      </w:r>
    </w:p>
    <w:p>
      <w:pPr>
        <w:spacing w:after="0" w:line="236" w:lineRule="exact"/>
        <w:rPr>
          <w:rFonts w:ascii="Arial" w:cs="Arial" w:eastAsia="Arial" w:hAnsi="Arial"/>
          <w:sz w:val="17"/>
          <w:szCs w:val="17"/>
          <w:color w:val="auto"/>
        </w:rPr>
      </w:pPr>
    </w:p>
    <w:p>
      <w:pPr>
        <w:ind w:left="900" w:hanging="256"/>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Prospectus Supplement will have been prepared and filed with the Commission describing the Securities offered thereby;</w:t>
      </w:r>
    </w:p>
    <w:p>
      <w:pPr>
        <w:spacing w:after="0" w:line="236" w:lineRule="exact"/>
        <w:rPr>
          <w:rFonts w:ascii="Arial" w:cs="Arial" w:eastAsia="Arial" w:hAnsi="Arial"/>
          <w:sz w:val="17"/>
          <w:szCs w:val="17"/>
          <w:color w:val="auto"/>
        </w:rPr>
      </w:pPr>
    </w:p>
    <w:p>
      <w:pPr>
        <w:ind w:firstLine="644"/>
        <w:spacing w:after="0" w:line="277" w:lineRule="auto"/>
        <w:tabs>
          <w:tab w:leader="none" w:pos="9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Securities will be issued and sold in compliance with applicable federal and state securities laws and in the manner stated in the Registration Statement and the appropriate Prospectus Supplement;</w:t>
      </w:r>
    </w:p>
    <w:p>
      <w:pPr>
        <w:spacing w:after="0" w:line="170" w:lineRule="exact"/>
        <w:rPr>
          <w:rFonts w:ascii="Arial" w:cs="Arial" w:eastAsia="Arial" w:hAnsi="Arial"/>
          <w:sz w:val="18"/>
          <w:szCs w:val="18"/>
          <w:color w:val="auto"/>
        </w:rPr>
      </w:pPr>
    </w:p>
    <w:p>
      <w:pPr>
        <w:ind w:right="20" w:firstLine="644"/>
        <w:spacing w:after="0" w:line="277"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offered will have been duly authorized and validly executed and delivered by the Partnership and the other parties thereto; and</w:t>
      </w:r>
    </w:p>
    <w:p>
      <w:pPr>
        <w:spacing w:after="0" w:line="170" w:lineRule="exact"/>
        <w:rPr>
          <w:rFonts w:ascii="Arial" w:cs="Arial" w:eastAsia="Arial" w:hAnsi="Arial"/>
          <w:sz w:val="18"/>
          <w:szCs w:val="18"/>
          <w:color w:val="auto"/>
        </w:rPr>
      </w:pPr>
    </w:p>
    <w:p>
      <w:pPr>
        <w:ind w:right="20" w:firstLine="644"/>
        <w:spacing w:after="0" w:line="277" w:lineRule="auto"/>
        <w:tabs>
          <w:tab w:leader="none" w:pos="9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Securities issuable upon conversion, exchange or exercise of any Security being offered will be duly authorized, created, and, if appropriate, reserved for issuance upon such conversion, exercise or exchange.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jc w:val="both"/>
        <w:ind w:firstLine="644"/>
        <w:spacing w:after="0" w:line="255" w:lineRule="auto"/>
        <w:tabs>
          <w:tab w:leader="none" w:pos="9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Common Units, when (i) the Partnership has taken all necessary action to approve the issuance of such Common Units, the terms of the offering thereof and related matters; and (ii)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fully paid (to the extent required under the Partnership Agreement) and non-assessable (as such nonassessability may be limited by Sections 17-303, 17-607 and 17-804 of the Delaware LP Act or the Partnership Agreement).</w:t>
      </w:r>
    </w:p>
    <w:p>
      <w:pPr>
        <w:spacing w:after="0" w:line="192" w:lineRule="exact"/>
        <w:rPr>
          <w:rFonts w:ascii="Arial" w:cs="Arial" w:eastAsia="Arial" w:hAnsi="Arial"/>
          <w:sz w:val="18"/>
          <w:szCs w:val="18"/>
          <w:color w:val="auto"/>
        </w:rPr>
      </w:pPr>
    </w:p>
    <w:p>
      <w:pPr>
        <w:jc w:val="both"/>
        <w:ind w:firstLine="644"/>
        <w:spacing w:after="0" w:line="255" w:lineRule="auto"/>
        <w:tabs>
          <w:tab w:leader="none" w:pos="9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Preferred Units, when (i) the Partnership has taken all necessary action to approve the issuance of such Preferred Units, the terms of the offering thereof and related matters; and (ii) the Preferred Units have been issued and delivered in accordance with the terms of the applicable definitive purchase, underwriting or similar agreement approved by the Partnership upon payment of the consideration thereof or provided for therein, then the Preferred Units will be validly issued, fully paid (to the extent required under the Partnership Agreement) and non-assessable (as such nonassessability may be limited by Sections 17-303, 17-607 and 17-804 of the Delaware LP Act or the Partnership Agreement).</w:t>
      </w:r>
    </w:p>
    <w:p>
      <w:pPr>
        <w:spacing w:after="0" w:line="192" w:lineRule="exact"/>
        <w:rPr>
          <w:rFonts w:ascii="Arial" w:cs="Arial" w:eastAsia="Arial" w:hAnsi="Arial"/>
          <w:sz w:val="18"/>
          <w:szCs w:val="18"/>
          <w:color w:val="auto"/>
        </w:rPr>
      </w:pPr>
    </w:p>
    <w:p>
      <w:pPr>
        <w:jc w:val="both"/>
        <w:ind w:firstLine="644"/>
        <w:spacing w:after="0" w:line="269" w:lineRule="auto"/>
        <w:tabs>
          <w:tab w:leader="none" w:pos="906" w:val="left"/>
        </w:tabs>
        <w:numPr>
          <w:ilvl w:val="0"/>
          <w:numId w:val="53"/>
        </w:numPr>
        <w:rPr>
          <w:rFonts w:ascii="Arial" w:cs="Arial" w:eastAsia="Arial" w:hAnsi="Arial"/>
          <w:sz w:val="17"/>
          <w:szCs w:val="17"/>
          <w:color w:val="auto"/>
        </w:rPr>
      </w:pPr>
      <w:r>
        <w:rPr>
          <w:rFonts w:ascii="Arial" w:cs="Arial" w:eastAsia="Arial" w:hAnsi="Arial"/>
          <w:sz w:val="17"/>
          <w:szCs w:val="17"/>
          <w:color w:val="auto"/>
        </w:rPr>
        <w:t>With respect to the Debt Securities, when (i) the applicable Indenture has been duly qualified under the Trust Indenture Act of 1939, as amended; (ii) the Partnership and PAA Finance, as applicable, have taken all necessary action to duly authorize and approve the issuance and terms of such Debt Securities, the terms of the offering thereof and related matters; and (iii) such Debt Securities have been duly authorized, executed, authenticated, issued and delivered in accordance with the provisions of the applicable Indenture and the applicable definitive purchase, underwriting or similar agreement approved by the Partnership and PAA Finance, as applicable, upon payment of the consideration thereof or provided for therein, such Debt Securities will be legally issued and will constitute valid and legally binding obligations of the Partnership and PAA Finance, as applicable, enforceable against the Partnership and PAA Finance, as applicable, in accordance with their terms, except as such enforcement may be limited by (x) 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 (y) public policy, applicable law relating to fiduciary duties and indemnification and an implied covenant of good faith and fair dealing.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415925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jc w:val="both"/>
        <w:ind w:left="660" w:firstLine="644"/>
        <w:spacing w:after="0" w:line="263" w:lineRule="auto"/>
        <w:tabs>
          <w:tab w:leader="none" w:pos="15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83" w:lineRule="exact"/>
        <w:rPr>
          <w:rFonts w:ascii="Arial" w:cs="Arial" w:eastAsia="Arial" w:hAnsi="Arial"/>
          <w:sz w:val="18"/>
          <w:szCs w:val="18"/>
          <w:color w:val="auto"/>
        </w:rPr>
      </w:pPr>
    </w:p>
    <w:p>
      <w:pPr>
        <w:ind w:left="660" w:firstLine="644"/>
        <w:spacing w:after="0" w:line="308" w:lineRule="auto"/>
        <w:tabs>
          <w:tab w:leader="none" w:pos="1562"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have assumed, without independent verification, that the certificates for the Common Units will conform to the specimens thereof examined by us and will have been duly countersigned by a transfer agent and duly registered by a registrar of the Common Units.</w:t>
      </w:r>
    </w:p>
    <w:p>
      <w:pPr>
        <w:spacing w:after="0" w:line="146" w:lineRule="exact"/>
        <w:rPr>
          <w:rFonts w:ascii="Arial" w:cs="Arial" w:eastAsia="Arial" w:hAnsi="Arial"/>
          <w:sz w:val="17"/>
          <w:szCs w:val="17"/>
          <w:color w:val="auto"/>
        </w:rPr>
      </w:pPr>
    </w:p>
    <w:p>
      <w:pPr>
        <w:jc w:val="both"/>
        <w:ind w:left="660" w:firstLine="644"/>
        <w:spacing w:after="0" w:line="279" w:lineRule="auto"/>
        <w:tabs>
          <w:tab w:leader="none" w:pos="1574"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and (iv) each certificate from governmental officials reviewed by us is accurate, complete and authentic, and all official public records are accurate and complete.</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5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express no opinions concerning (i) the validity or enforceability of any provisions contained in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This opinion is limited in all respects to U.S. federal laws, the laws of the State of New York, the Delaware LP Act and the DGCL.</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Vinson &amp; Elkins L.L.P.</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731645" cy="266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173164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September 8, 2021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have acted as counsel for Plains All American Pipeline,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xml:space="preserve">), a Delaware limited partnership, with respect to certain legal matters in connection with the preparation of a Prospectus dated on or about the date hereof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xml:space="preserve">) forming part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xml:space="preserve">), to which this opinion is an exhibit. The Registration Statement relates to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common units representing limited partner interests in the Partnership, preferred units representing limited partner interests in the Partnership, and debt securities.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In addition, this opinion is based upon the factual representations of the Partnership concerning its business, properties and governing documents as set forth in the Registration Statement.</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8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360" w:type="dxa"/>
            <w:vAlign w:val="bottom"/>
          </w:tcPr>
          <w:p>
            <w:pPr>
              <w:ind w:left="144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rPr>
              <w:t>Austin Dallas Dubai Houston London Los Angeles New York</w:t>
            </w:r>
          </w:p>
        </w:tc>
        <w:tc>
          <w:tcPr>
            <w:tcW w:w="5360" w:type="dxa"/>
            <w:vAlign w:val="bottom"/>
          </w:tcPr>
          <w:p>
            <w:pPr>
              <w:ind w:left="1440"/>
              <w:spacing w:after="0"/>
              <w:rPr>
                <w:sz w:val="20"/>
                <w:szCs w:val="20"/>
                <w:color w:val="auto"/>
              </w:rPr>
            </w:pPr>
            <w:r>
              <w:rPr>
                <w:rFonts w:ascii="Arial" w:cs="Arial" w:eastAsia="Arial" w:hAnsi="Arial"/>
                <w:sz w:val="18"/>
                <w:szCs w:val="18"/>
                <w:color w:val="auto"/>
              </w:rPr>
              <w:t>Houston, TX 77002-6760</w:t>
            </w:r>
          </w:p>
        </w:tc>
      </w:tr>
      <w:tr>
        <w:trPr>
          <w:trHeight w:val="234"/>
        </w:trPr>
        <w:tc>
          <w:tcPr>
            <w:tcW w:w="5880" w:type="dxa"/>
            <w:vAlign w:val="bottom"/>
          </w:tcPr>
          <w:p>
            <w:pPr>
              <w:spacing w:after="0"/>
              <w:rPr>
                <w:sz w:val="20"/>
                <w:szCs w:val="20"/>
                <w:color w:val="auto"/>
              </w:rPr>
            </w:pPr>
            <w:r>
              <w:rPr>
                <w:rFonts w:ascii="Arial" w:cs="Arial" w:eastAsia="Arial" w:hAnsi="Arial"/>
                <w:sz w:val="18"/>
                <w:szCs w:val="18"/>
                <w:color w:val="auto"/>
              </w:rPr>
              <w:t>Richmond Riyadh San Francisco Tokyo Washington</w:t>
            </w:r>
          </w:p>
        </w:tc>
        <w:tc>
          <w:tcPr>
            <w:tcW w:w="5360" w:type="dxa"/>
            <w:vAlign w:val="bottom"/>
          </w:tcPr>
          <w:p>
            <w:pPr>
              <w:ind w:left="1440"/>
              <w:spacing w:after="0"/>
              <w:rPr>
                <w:sz w:val="20"/>
                <w:szCs w:val="20"/>
                <w:color w:val="auto"/>
              </w:rPr>
            </w:pPr>
            <w:r>
              <w:rPr>
                <w:rFonts w:ascii="Arial" w:cs="Arial" w:eastAsia="Arial" w:hAnsi="Arial"/>
                <w:sz w:val="18"/>
                <w:szCs w:val="18"/>
                <w:b w:val="1"/>
                <w:bCs w:val="1"/>
                <w:color w:val="auto"/>
                <w:w w:val="90"/>
              </w:rPr>
              <w:t xml:space="preserve">Tel </w:t>
            </w:r>
            <w:r>
              <w:rPr>
                <w:rFonts w:ascii="Arial" w:cs="Arial" w:eastAsia="Arial" w:hAnsi="Arial"/>
                <w:sz w:val="18"/>
                <w:szCs w:val="18"/>
                <w:color w:val="auto"/>
                <w:w w:val="90"/>
              </w:rPr>
              <w:t>+1.713.758.2222</w:t>
            </w:r>
            <w:r>
              <w:rPr>
                <w:rFonts w:ascii="Arial" w:cs="Arial" w:eastAsia="Arial" w:hAnsi="Arial"/>
                <w:sz w:val="18"/>
                <w:szCs w:val="18"/>
                <w:b w:val="1"/>
                <w:bCs w:val="1"/>
                <w:color w:val="auto"/>
                <w:w w:val="90"/>
              </w:rPr>
              <w:t xml:space="preserve"> Fax </w:t>
            </w:r>
            <w:r>
              <w:rPr>
                <w:rFonts w:ascii="Arial" w:cs="Arial" w:eastAsia="Arial" w:hAnsi="Arial"/>
                <w:sz w:val="18"/>
                <w:szCs w:val="18"/>
                <w:color w:val="auto"/>
                <w:w w:val="90"/>
              </w:rPr>
              <w:t>+1.713.758.2346 velaw.com</w:t>
            </w:r>
          </w:p>
        </w:tc>
      </w:tr>
      <w:tr>
        <w:trPr>
          <w:trHeight w:val="675"/>
        </w:trPr>
        <w:tc>
          <w:tcPr>
            <w:tcW w:w="58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62" w:name="page63"/>
    <w:bookmarkEnd w:id="62"/>
    <w:p>
      <w:pPr>
        <w:ind w:left="107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25475"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625475" cy="283210"/>
                    </a:xfrm>
                    <a:prstGeom prst="rect">
                      <a:avLst/>
                    </a:prstGeom>
                    <a:noFill/>
                  </pic:spPr>
                </pic:pic>
              </a:graphicData>
            </a:graphic>
          </wp:anchor>
        </w:drawing>
        <w:t>Page 2</w:t>
      </w:r>
    </w:p>
    <w:p>
      <w:pPr>
        <w:sectPr>
          <w:pgSz w:w="11900" w:h="16838" w:orient="portrait"/>
          <w:cols w:equalWidth="0" w:num="1">
            <w:col w:w="11240"/>
          </w:cols>
          <w:pgMar w:left="320" w:top="1016" w:right="339" w:bottom="1440" w:gutter="0" w:footer="0" w:header="0"/>
        </w:sectPr>
      </w:pPr>
    </w:p>
    <w:p>
      <w:pPr>
        <w:spacing w:after="0" w:line="3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hereby consent to the filing of this opinion of counsel as an exhibit to the Registration Statement and the use of our name in the Registration Statement. In giving such consent, we do not admit that we are within the category of persons whose consent is required under Section 7 of the Securities Act.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Plains All American Pipeline, L.P. of our report dated February 26, 2021 relating to the financial statements, and the effectiveness of internal control over financial reporting, which appears in Plains All American Pipeline, L.P.'s Annual Report on Form 10-K for the year ended December 31, 2020.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153035</wp:posOffset>
            </wp:positionV>
            <wp:extent cx="1783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T-1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ELIGIBILITY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 INDENTURE ACT OF 1939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 Trustee Pursuant to Section 305(b)(2) </w:t>
      </w:r>
      <w:r>
        <w:rPr>
          <w:sz w:val="1"/>
          <w:szCs w:val="1"/>
          <w:color w:val="auto"/>
        </w:rPr>
        <w:drawing>
          <wp:inline distT="0" distB="0" distL="0" distR="0">
            <wp:extent cx="222885"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222885" cy="1289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139700</wp:posOffset>
            </wp:positionV>
            <wp:extent cx="3206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BANK NATIONAL ASSOCIATION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800 Nicollet Mall</w:t>
            </w:r>
          </w:p>
        </w:tc>
        <w:tc>
          <w:tcPr>
            <w:tcW w:w="1400" w:type="dxa"/>
            <w:vAlign w:val="bottom"/>
            <w:tcBorders>
              <w:top w:val="single" w:sz="8" w:color="auto"/>
            </w:tcBorders>
          </w:tcPr>
          <w:p>
            <w:pPr>
              <w:spacing w:after="0"/>
              <w:rPr>
                <w:sz w:val="18"/>
                <w:szCs w:val="18"/>
                <w:color w:val="auto"/>
              </w:rPr>
            </w:pPr>
          </w:p>
        </w:tc>
        <w:tc>
          <w:tcPr>
            <w:tcW w:w="4200" w:type="dxa"/>
            <w:vAlign w:val="bottom"/>
            <w:tcBorders>
              <w:top w:val="single" w:sz="8" w:color="auto"/>
              <w:right w:val="single" w:sz="8" w:color="auto"/>
            </w:tcBorders>
          </w:tcPr>
          <w:p>
            <w:pPr>
              <w:spacing w:after="0"/>
              <w:rPr>
                <w:sz w:val="18"/>
                <w:szCs w:val="18"/>
                <w:color w:val="auto"/>
              </w:rPr>
            </w:pPr>
          </w:p>
        </w:tc>
      </w:tr>
      <w:tr>
        <w:trPr>
          <w:trHeight w:val="23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Minneapolis, Minnesota</w:t>
            </w:r>
          </w:p>
        </w:tc>
        <w:tc>
          <w:tcPr>
            <w:tcW w:w="140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1"/>
              </w:rPr>
              <w:t>55402</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1"/>
              </w:rPr>
              <w:t>(Zip Code)</w:t>
            </w:r>
          </w:p>
        </w:tc>
      </w:tr>
      <w:tr>
        <w:trPr>
          <w:trHeight w:val="411"/>
        </w:trPr>
        <w:tc>
          <w:tcPr>
            <w:tcW w:w="7040" w:type="dxa"/>
            <w:vAlign w:val="bottom"/>
            <w:gridSpan w:val="2"/>
          </w:tcPr>
          <w:p>
            <w:pPr>
              <w:jc w:val="center"/>
              <w:ind w:left="4106"/>
              <w:spacing w:after="0"/>
              <w:rPr>
                <w:sz w:val="20"/>
                <w:szCs w:val="20"/>
                <w:color w:val="auto"/>
              </w:rPr>
            </w:pPr>
            <w:r>
              <w:rPr>
                <w:rFonts w:ascii="Arial" w:cs="Arial" w:eastAsia="Arial" w:hAnsi="Arial"/>
                <w:sz w:val="18"/>
                <w:szCs w:val="18"/>
                <w:color w:val="auto"/>
                <w:w w:val="93"/>
              </w:rPr>
              <w:t>Alejandro Hoyos</w:t>
            </w:r>
          </w:p>
        </w:tc>
        <w:tc>
          <w:tcPr>
            <w:tcW w:w="4200" w:type="dxa"/>
            <w:vAlign w:val="bottom"/>
          </w:tcPr>
          <w:p>
            <w:pPr>
              <w:spacing w:after="0"/>
              <w:rPr>
                <w:sz w:val="24"/>
                <w:szCs w:val="24"/>
                <w:color w:val="auto"/>
              </w:rPr>
            </w:pPr>
          </w:p>
        </w:tc>
      </w:tr>
      <w:tr>
        <w:trPr>
          <w:trHeight w:val="216"/>
        </w:trPr>
        <w:tc>
          <w:tcPr>
            <w:tcW w:w="7040" w:type="dxa"/>
            <w:vAlign w:val="bottom"/>
            <w:gridSpan w:val="2"/>
          </w:tcPr>
          <w:p>
            <w:pPr>
              <w:jc w:val="center"/>
              <w:ind w:left="4126"/>
              <w:spacing w:after="0"/>
              <w:rPr>
                <w:sz w:val="20"/>
                <w:szCs w:val="20"/>
                <w:color w:val="auto"/>
              </w:rPr>
            </w:pPr>
            <w:r>
              <w:rPr>
                <w:rFonts w:ascii="Arial" w:cs="Arial" w:eastAsia="Arial" w:hAnsi="Arial"/>
                <w:sz w:val="18"/>
                <w:szCs w:val="18"/>
                <w:color w:val="auto"/>
                <w:w w:val="92"/>
              </w:rPr>
              <w:t>U.S. Bank National Association</w:t>
            </w:r>
          </w:p>
        </w:tc>
        <w:tc>
          <w:tcPr>
            <w:tcW w:w="4200" w:type="dxa"/>
            <w:vAlign w:val="bottom"/>
          </w:tcPr>
          <w:p>
            <w:pPr>
              <w:spacing w:after="0"/>
              <w:rPr>
                <w:sz w:val="18"/>
                <w:szCs w:val="18"/>
                <w:color w:val="auto"/>
              </w:rPr>
            </w:pPr>
          </w:p>
        </w:tc>
      </w:tr>
      <w:tr>
        <w:trPr>
          <w:trHeight w:val="216"/>
        </w:trPr>
        <w:tc>
          <w:tcPr>
            <w:tcW w:w="11240" w:type="dxa"/>
            <w:vAlign w:val="bottom"/>
            <w:gridSpan w:val="3"/>
          </w:tcPr>
          <w:p>
            <w:pPr>
              <w:jc w:val="center"/>
              <w:spacing w:after="0"/>
              <w:rPr>
                <w:sz w:val="20"/>
                <w:szCs w:val="20"/>
                <w:color w:val="auto"/>
              </w:rPr>
            </w:pPr>
            <w:r>
              <w:rPr>
                <w:rFonts w:ascii="Arial" w:cs="Arial" w:eastAsia="Arial" w:hAnsi="Arial"/>
                <w:sz w:val="18"/>
                <w:szCs w:val="18"/>
                <w:color w:val="auto"/>
                <w:w w:val="89"/>
              </w:rPr>
              <w:t>8 Greenway Plz Ste 1100, Houston, Texas 77046-0892</w:t>
            </w:r>
          </w:p>
        </w:tc>
      </w:tr>
      <w:tr>
        <w:trPr>
          <w:trHeight w:val="216"/>
        </w:trPr>
        <w:tc>
          <w:tcPr>
            <w:tcW w:w="7040" w:type="dxa"/>
            <w:vAlign w:val="bottom"/>
            <w:gridSpan w:val="2"/>
          </w:tcPr>
          <w:p>
            <w:pPr>
              <w:jc w:val="center"/>
              <w:ind w:left="4106"/>
              <w:spacing w:after="0"/>
              <w:rPr>
                <w:sz w:val="20"/>
                <w:szCs w:val="20"/>
                <w:color w:val="auto"/>
              </w:rPr>
            </w:pPr>
            <w:r>
              <w:rPr>
                <w:rFonts w:ascii="Arial" w:cs="Arial" w:eastAsia="Arial" w:hAnsi="Arial"/>
                <w:sz w:val="18"/>
                <w:szCs w:val="18"/>
                <w:color w:val="auto"/>
                <w:w w:val="90"/>
              </w:rPr>
              <w:t>(713) 212-7576</w:t>
            </w:r>
          </w:p>
        </w:tc>
        <w:tc>
          <w:tcPr>
            <w:tcW w:w="4200" w:type="dxa"/>
            <w:vAlign w:val="bottom"/>
          </w:tcPr>
          <w:p>
            <w:pPr>
              <w:spacing w:after="0"/>
              <w:rPr>
                <w:sz w:val="18"/>
                <w:szCs w:val="18"/>
                <w:color w:val="auto"/>
              </w:rPr>
            </w:pPr>
          </w:p>
        </w:tc>
      </w:tr>
      <w:tr>
        <w:trPr>
          <w:trHeight w:val="230"/>
        </w:trPr>
        <w:tc>
          <w:tcPr>
            <w:tcW w:w="11240" w:type="dxa"/>
            <w:vAlign w:val="bottom"/>
            <w:gridSpan w:val="3"/>
          </w:tcPr>
          <w:p>
            <w:pPr>
              <w:jc w:val="center"/>
              <w:spacing w:after="0"/>
              <w:rPr>
                <w:sz w:val="20"/>
                <w:szCs w:val="20"/>
                <w:color w:val="auto"/>
              </w:rPr>
            </w:pPr>
            <w:r>
              <w:rPr>
                <w:rFonts w:ascii="Arial" w:cs="Arial" w:eastAsia="Arial" w:hAnsi="Arial"/>
                <w:sz w:val="18"/>
                <w:szCs w:val="18"/>
                <w:color w:val="auto"/>
                <w:w w:val="89"/>
              </w:rPr>
              <w:t>(Name, address and telephone number of agent for service)</w:t>
            </w:r>
          </w:p>
        </w:tc>
      </w:tr>
      <w:tr>
        <w:trPr>
          <w:trHeight w:val="490"/>
        </w:trPr>
        <w:tc>
          <w:tcPr>
            <w:tcW w:w="11240" w:type="dxa"/>
            <w:vAlign w:val="bottom"/>
            <w:gridSpan w:val="3"/>
          </w:tcPr>
          <w:p>
            <w:pPr>
              <w:jc w:val="center"/>
              <w:spacing w:after="0"/>
              <w:rPr>
                <w:sz w:val="20"/>
                <w:szCs w:val="20"/>
                <w:color w:val="auto"/>
              </w:rPr>
            </w:pPr>
            <w:r>
              <w:rPr>
                <w:rFonts w:ascii="Arial" w:cs="Arial" w:eastAsia="Arial" w:hAnsi="Arial"/>
                <w:sz w:val="25"/>
                <w:szCs w:val="25"/>
                <w:b w:val="1"/>
                <w:bCs w:val="1"/>
                <w:color w:val="auto"/>
                <w:w w:val="91"/>
              </w:rPr>
              <w:t>Plains All American Pipeline, L.P.</w:t>
            </w:r>
          </w:p>
        </w:tc>
      </w:tr>
      <w:tr>
        <w:trPr>
          <w:trHeight w:val="306"/>
        </w:trPr>
        <w:tc>
          <w:tcPr>
            <w:tcW w:w="7040" w:type="dxa"/>
            <w:vAlign w:val="bottom"/>
            <w:gridSpan w:val="2"/>
          </w:tcPr>
          <w:p>
            <w:pPr>
              <w:jc w:val="center"/>
              <w:ind w:left="4126"/>
              <w:spacing w:after="0"/>
              <w:rPr>
                <w:sz w:val="20"/>
                <w:szCs w:val="20"/>
                <w:color w:val="auto"/>
              </w:rPr>
            </w:pPr>
            <w:r>
              <w:rPr>
                <w:rFonts w:ascii="Arial" w:cs="Arial" w:eastAsia="Arial" w:hAnsi="Arial"/>
                <w:sz w:val="25"/>
                <w:szCs w:val="25"/>
                <w:b w:val="1"/>
                <w:bCs w:val="1"/>
                <w:color w:val="auto"/>
                <w:w w:val="92"/>
              </w:rPr>
              <w:t>PAA Finance Corp.</w:t>
            </w:r>
          </w:p>
        </w:tc>
        <w:tc>
          <w:tcPr>
            <w:tcW w:w="4200" w:type="dxa"/>
            <w:vAlign w:val="bottom"/>
          </w:tcPr>
          <w:p>
            <w:pPr>
              <w:spacing w:after="0"/>
              <w:rPr>
                <w:sz w:val="24"/>
                <w:szCs w:val="24"/>
                <w:color w:val="auto"/>
              </w:rPr>
            </w:pPr>
          </w:p>
        </w:tc>
      </w:tr>
      <w:tr>
        <w:trPr>
          <w:trHeight w:val="230"/>
        </w:trPr>
        <w:tc>
          <w:tcPr>
            <w:tcW w:w="7040" w:type="dxa"/>
            <w:vAlign w:val="bottom"/>
            <w:gridSpan w:val="2"/>
          </w:tcPr>
          <w:p>
            <w:pPr>
              <w:jc w:val="center"/>
              <w:ind w:left="4106"/>
              <w:spacing w:after="0"/>
              <w:rPr>
                <w:sz w:val="20"/>
                <w:szCs w:val="20"/>
                <w:color w:val="auto"/>
              </w:rPr>
            </w:pPr>
            <w:r>
              <w:rPr>
                <w:rFonts w:ascii="Arial" w:cs="Arial" w:eastAsia="Arial" w:hAnsi="Arial"/>
                <w:sz w:val="18"/>
                <w:szCs w:val="18"/>
                <w:color w:val="auto"/>
                <w:w w:val="90"/>
              </w:rPr>
              <w:t>(Issuer with respect to the Securities)</w:t>
            </w:r>
          </w:p>
        </w:tc>
        <w:tc>
          <w:tcPr>
            <w:tcW w:w="4200" w:type="dxa"/>
            <w:vAlign w:val="bottom"/>
          </w:tcPr>
          <w:p>
            <w:pPr>
              <w:spacing w:after="0"/>
              <w:rPr>
                <w:sz w:val="20"/>
                <w:szCs w:val="20"/>
                <w:color w:val="auto"/>
              </w:rPr>
            </w:pPr>
          </w:p>
        </w:tc>
      </w:tr>
      <w:tr>
        <w:trPr>
          <w:trHeight w:val="216"/>
        </w:trPr>
        <w:tc>
          <w:tcPr>
            <w:tcW w:w="7040" w:type="dxa"/>
            <w:vAlign w:val="bottom"/>
            <w:tcBorders>
              <w:bottom w:val="single" w:sz="8" w:color="auto"/>
            </w:tcBorders>
            <w:gridSpan w:val="2"/>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r>
      <w:tr>
        <w:trPr>
          <w:trHeight w:val="195"/>
        </w:trPr>
        <w:tc>
          <w:tcPr>
            <w:tcW w:w="56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1400" w:type="dxa"/>
            <w:vAlign w:val="bottom"/>
          </w:tcPr>
          <w:p>
            <w:pPr>
              <w:spacing w:after="0"/>
              <w:rPr>
                <w:sz w:val="16"/>
                <w:szCs w:val="16"/>
                <w:color w:val="auto"/>
              </w:rPr>
            </w:pPr>
          </w:p>
        </w:tc>
        <w:tc>
          <w:tcPr>
            <w:tcW w:w="4200" w:type="dxa"/>
            <w:vAlign w:val="bottom"/>
            <w:tcBorders>
              <w:right w:val="single" w:sz="8" w:color="auto"/>
            </w:tcBorders>
          </w:tcPr>
          <w:p>
            <w:pPr>
              <w:jc w:val="center"/>
              <w:ind w:right="1330"/>
              <w:spacing w:after="0" w:line="195" w:lineRule="exact"/>
              <w:rPr>
                <w:sz w:val="20"/>
                <w:szCs w:val="20"/>
                <w:color w:val="auto"/>
              </w:rPr>
            </w:pPr>
            <w:r>
              <w:rPr>
                <w:rFonts w:ascii="Arial" w:cs="Arial" w:eastAsia="Arial" w:hAnsi="Arial"/>
                <w:sz w:val="18"/>
                <w:szCs w:val="18"/>
                <w:color w:val="auto"/>
                <w:w w:val="89"/>
              </w:rPr>
              <w:t>76-0582150</w:t>
            </w:r>
          </w:p>
        </w:tc>
      </w:tr>
      <w:tr>
        <w:trPr>
          <w:trHeight w:val="23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40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89"/>
              </w:rPr>
              <w:t>56-2464313</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4"/>
              </w:rPr>
              <w:t>(I.R.S. Employer Identification No.)</w:t>
            </w:r>
          </w:p>
        </w:tc>
      </w:tr>
      <w:tr>
        <w:trPr>
          <w:trHeight w:val="210"/>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spacing w:after="0"/>
              <w:rPr>
                <w:sz w:val="18"/>
                <w:szCs w:val="18"/>
                <w:color w:val="auto"/>
              </w:rPr>
            </w:pPr>
          </w:p>
        </w:tc>
      </w:tr>
      <w:tr>
        <w:trPr>
          <w:trHeight w:val="210"/>
        </w:trPr>
        <w:tc>
          <w:tcPr>
            <w:tcW w:w="7040" w:type="dxa"/>
            <w:vAlign w:val="bottom"/>
            <w:tcBorders>
              <w:bottom w:val="single" w:sz="8" w:color="auto"/>
            </w:tcBorders>
            <w:gridSpan w:val="2"/>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r>
      <w:tr>
        <w:trPr>
          <w:trHeight w:val="195"/>
        </w:trPr>
        <w:tc>
          <w:tcPr>
            <w:tcW w:w="56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333 Clay Street, Suite 1600</w:t>
            </w:r>
          </w:p>
        </w:tc>
        <w:tc>
          <w:tcPr>
            <w:tcW w:w="1400" w:type="dxa"/>
            <w:vAlign w:val="bottom"/>
          </w:tcPr>
          <w:p>
            <w:pPr>
              <w:spacing w:after="0"/>
              <w:rPr>
                <w:sz w:val="16"/>
                <w:szCs w:val="16"/>
                <w:color w:val="auto"/>
              </w:rPr>
            </w:pPr>
          </w:p>
        </w:tc>
        <w:tc>
          <w:tcPr>
            <w:tcW w:w="4200" w:type="dxa"/>
            <w:vAlign w:val="bottom"/>
            <w:tcBorders>
              <w:right w:val="single" w:sz="8" w:color="auto"/>
            </w:tcBorders>
          </w:tcPr>
          <w:p>
            <w:pPr>
              <w:jc w:val="center"/>
              <w:ind w:right="1330"/>
              <w:spacing w:after="0" w:line="195" w:lineRule="exact"/>
              <w:rPr>
                <w:sz w:val="20"/>
                <w:szCs w:val="20"/>
                <w:color w:val="auto"/>
              </w:rPr>
            </w:pPr>
            <w:r>
              <w:rPr>
                <w:rFonts w:ascii="Arial" w:cs="Arial" w:eastAsia="Arial" w:hAnsi="Arial"/>
                <w:sz w:val="18"/>
                <w:szCs w:val="18"/>
                <w:color w:val="auto"/>
                <w:w w:val="91"/>
              </w:rPr>
              <w:t>77002</w:t>
            </w:r>
          </w:p>
        </w:tc>
      </w:tr>
      <w:tr>
        <w:trPr>
          <w:trHeight w:val="23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Houston, Texas</w:t>
            </w:r>
          </w:p>
        </w:tc>
        <w:tc>
          <w:tcPr>
            <w:tcW w:w="140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1"/>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Senior Debt</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jc w:val="center"/>
        <w:ind w:right="-239"/>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960" w:right="3660" w:hanging="980"/>
        <w:spacing w:after="0" w:line="258" w:lineRule="auto"/>
        <w:tabs>
          <w:tab w:leader="none" w:pos="1312"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0" w:lineRule="exact"/>
        <w:rPr>
          <w:sz w:val="20"/>
          <w:szCs w:val="20"/>
          <w:color w:val="auto"/>
        </w:rPr>
      </w:pPr>
    </w:p>
    <w:p>
      <w:pPr>
        <w:spacing w:after="0" w:line="237" w:lineRule="exact"/>
        <w:rPr>
          <w:sz w:val="20"/>
          <w:szCs w:val="20"/>
          <w:color w:val="auto"/>
        </w:rPr>
      </w:pPr>
    </w:p>
    <w:p>
      <w:pPr>
        <w:ind w:left="980" w:right="1560" w:hanging="971"/>
        <w:spacing w:after="0" w:line="500"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THE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 w:lineRule="exact"/>
        <w:rPr>
          <w:sz w:val="20"/>
          <w:szCs w:val="20"/>
          <w:color w:val="auto"/>
        </w:rPr>
      </w:pPr>
    </w:p>
    <w:p>
      <w:pPr>
        <w:ind w:left="98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300" w:right="160" w:hanging="320"/>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2021 published pursuant to law or the requirements of its supervising or examining authority, attached as Exhibit 7.</w:t>
      </w:r>
    </w:p>
    <w:p>
      <w:pPr>
        <w:spacing w:after="0" w:line="170" w:lineRule="exact"/>
        <w:rPr>
          <w:rFonts w:ascii="Arial" w:cs="Arial" w:eastAsia="Arial" w:hAnsi="Arial"/>
          <w:sz w:val="18"/>
          <w:szCs w:val="18"/>
          <w:color w:val="auto"/>
        </w:rPr>
      </w:pPr>
    </w:p>
    <w:p>
      <w:pPr>
        <w:ind w:left="660" w:right="26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Incorporated by reference to 305(b)(2), Registration Number 333-229783</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filed on June 21, 2021.</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66" w:name="page67"/>
    <w:bookmarkEnd w:id="66"/>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8th of September, 2021.</w:t>
      </w:r>
    </w:p>
    <w:p>
      <w:pPr>
        <w:spacing w:after="0" w:line="14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Alejandro Hoyos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154305</wp:posOffset>
            </wp:positionV>
            <wp:extent cx="3840480" cy="29660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384048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Michael J.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166370</wp:posOffset>
            </wp:positionV>
            <wp:extent cx="3814445" cy="2031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38144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154305</wp:posOffset>
            </wp:positionV>
            <wp:extent cx="3926205" cy="3086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392620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Michael J.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166370</wp:posOffset>
            </wp:positionV>
            <wp:extent cx="3934460" cy="1517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393446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8, 2021</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Alejandro Hoyos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7</w:t>
            </w:r>
          </w:p>
        </w:tc>
        <w:tc>
          <w:tcPr>
            <w:tcW w:w="206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8"/>
        </w:trPr>
        <w:tc>
          <w:tcPr>
            <w:tcW w:w="4260" w:type="dxa"/>
            <w:vAlign w:val="bottom"/>
          </w:tcPr>
          <w:p>
            <w:pPr>
              <w:spacing w:after="0"/>
              <w:rPr>
                <w:sz w:val="18"/>
                <w:szCs w:val="18"/>
                <w:color w:val="auto"/>
              </w:rPr>
            </w:pPr>
          </w:p>
        </w:tc>
        <w:tc>
          <w:tcPr>
            <w:tcW w:w="378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89"/>
              </w:rPr>
              <w:t>U.S. Bank National Association</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378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0"/>
              </w:rPr>
              <w:t>Statement of Financial Conditio</w:t>
            </w:r>
            <w:r>
              <w:rPr>
                <w:rFonts w:ascii="Arial" w:cs="Arial" w:eastAsia="Arial" w:hAnsi="Arial"/>
                <w:sz w:val="18"/>
                <w:szCs w:val="18"/>
                <w:color w:val="auto"/>
                <w:w w:val="90"/>
              </w:rPr>
              <w:t>n</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4260" w:type="dxa"/>
            <w:vAlign w:val="bottom"/>
          </w:tcPr>
          <w:p>
            <w:pPr>
              <w:spacing w:after="0"/>
              <w:rPr>
                <w:sz w:val="20"/>
                <w:szCs w:val="20"/>
                <w:color w:val="auto"/>
              </w:rPr>
            </w:pPr>
          </w:p>
        </w:tc>
        <w:tc>
          <w:tcPr>
            <w:tcW w:w="378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89"/>
              </w:rPr>
              <w:t>As of 6/30/2021</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4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6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89"/>
              </w:rPr>
              <w:t>($000’s)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42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9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6/30/2021</w:t>
            </w:r>
          </w:p>
        </w:tc>
        <w:tc>
          <w:tcPr>
            <w:tcW w:w="80" w:type="dxa"/>
            <w:vAlign w:val="bottom"/>
            <w:tcBorders>
              <w:bottom w:val="single" w:sz="8" w:color="CCEEFF"/>
            </w:tcBorders>
          </w:tcPr>
          <w:p>
            <w:pPr>
              <w:spacing w:after="0"/>
              <w:rPr>
                <w:sz w:val="24"/>
                <w:szCs w:val="24"/>
                <w:color w:val="auto"/>
              </w:rPr>
            </w:pPr>
          </w:p>
        </w:tc>
        <w:tc>
          <w:tcPr>
            <w:tcW w:w="2020" w:type="dxa"/>
            <w:vAlign w:val="bottom"/>
          </w:tcPr>
          <w:p>
            <w:pPr>
              <w:spacing w:after="0"/>
              <w:rPr>
                <w:sz w:val="24"/>
                <w:szCs w:val="24"/>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Arial" w:cs="Arial" w:eastAsia="Arial" w:hAnsi="Arial"/>
                <w:sz w:val="18"/>
                <w:szCs w:val="18"/>
                <w:color w:val="auto"/>
                <w:w w:val="92"/>
              </w:rPr>
              <w:t>Cash and Balances Due From Depository Institutions</w:t>
            </w:r>
          </w:p>
        </w:tc>
        <w:tc>
          <w:tcPr>
            <w:tcW w:w="37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44,435,957</w:t>
            </w: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158,894,854</w:t>
            </w:r>
          </w:p>
        </w:tc>
        <w:tc>
          <w:tcPr>
            <w:tcW w:w="2020" w:type="dxa"/>
            <w:vAlign w:val="bottom"/>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Arial" w:cs="Arial" w:eastAsia="Arial" w:hAnsi="Arial"/>
                <w:sz w:val="18"/>
                <w:szCs w:val="18"/>
                <w:color w:val="auto"/>
              </w:rPr>
              <w:t>Federal Funds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2,376</w:t>
            </w: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&amp; Lease Financing Receivables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296,741,901</w:t>
            </w:r>
          </w:p>
        </w:tc>
        <w:tc>
          <w:tcPr>
            <w:tcW w:w="2020" w:type="dxa"/>
            <w:vAlign w:val="bottom"/>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6,294,698</w:t>
            </w: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13,278,545</w:t>
            </w:r>
          </w:p>
        </w:tc>
        <w:tc>
          <w:tcPr>
            <w:tcW w:w="2020" w:type="dxa"/>
            <w:vAlign w:val="bottom"/>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28,204,350</w:t>
            </w:r>
          </w:p>
        </w:tc>
        <w:tc>
          <w:tcPr>
            <w:tcW w:w="2020" w:type="dxa"/>
            <w:vAlign w:val="bottom"/>
          </w:tcPr>
          <w:p>
            <w:pPr>
              <w:spacing w:after="0"/>
              <w:rPr>
                <w:sz w:val="18"/>
                <w:szCs w:val="18"/>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3780" w:type="dxa"/>
            <w:vAlign w:val="bottom"/>
            <w:tcBorders>
              <w:top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547,852,681</w:t>
            </w: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Arial" w:cs="Arial" w:eastAsia="Arial" w:hAnsi="Arial"/>
                <w:sz w:val="18"/>
                <w:szCs w:val="18"/>
                <w:color w:val="auto"/>
              </w:rPr>
              <w:t>Deposits</w:t>
            </w:r>
          </w:p>
        </w:tc>
        <w:tc>
          <w:tcPr>
            <w:tcW w:w="37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442,902,823</w:t>
            </w: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 Funds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1,412,092</w:t>
            </w:r>
          </w:p>
        </w:tc>
        <w:tc>
          <w:tcPr>
            <w:tcW w:w="2020" w:type="dxa"/>
            <w:vAlign w:val="bottom"/>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Arial" w:cs="Arial" w:eastAsia="Arial" w:hAnsi="Arial"/>
                <w:sz w:val="18"/>
                <w:szCs w:val="18"/>
                <w:color w:val="auto"/>
              </w:rPr>
              <w:t>Treasury Demand Notes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Trading Liabilities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1,119,485</w:t>
            </w:r>
          </w:p>
        </w:tc>
        <w:tc>
          <w:tcPr>
            <w:tcW w:w="2020" w:type="dxa"/>
            <w:vAlign w:val="bottom"/>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Arial" w:cs="Arial" w:eastAsia="Arial" w:hAnsi="Arial"/>
                <w:sz w:val="18"/>
                <w:szCs w:val="18"/>
                <w:color w:val="auto"/>
              </w:rPr>
              <w:t>Other Borrowed Money</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31,883,676</w:t>
            </w: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Acceptances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20" w:type="dxa"/>
            <w:vAlign w:val="bottom"/>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Arial" w:cs="Arial" w:eastAsia="Arial" w:hAnsi="Arial"/>
                <w:sz w:val="18"/>
                <w:szCs w:val="18"/>
                <w:color w:val="auto"/>
              </w:rPr>
              <w:t>Subordinated Notes and Debentures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3,600,000</w:t>
            </w: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14,222,155</w:t>
            </w:r>
          </w:p>
        </w:tc>
        <w:tc>
          <w:tcPr>
            <w:tcW w:w="2020" w:type="dxa"/>
            <w:vAlign w:val="bottom"/>
          </w:tcPr>
          <w:p>
            <w:pPr>
              <w:spacing w:after="0"/>
              <w:rPr>
                <w:sz w:val="18"/>
                <w:szCs w:val="18"/>
                <w:color w:val="auto"/>
              </w:rPr>
            </w:pPr>
          </w:p>
        </w:tc>
      </w:tr>
      <w:tr>
        <w:trPr>
          <w:trHeight w:val="210"/>
        </w:trPr>
        <w:tc>
          <w:tcPr>
            <w:tcW w:w="426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37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495,140,231</w:t>
            </w: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and Preferred Stock</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18,200</w:t>
            </w:r>
          </w:p>
        </w:tc>
        <w:tc>
          <w:tcPr>
            <w:tcW w:w="2020" w:type="dxa"/>
            <w:vAlign w:val="bottom"/>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Arial" w:cs="Arial" w:eastAsia="Arial" w:hAnsi="Arial"/>
                <w:sz w:val="18"/>
                <w:szCs w:val="18"/>
                <w:color w:val="auto"/>
              </w:rPr>
              <w:t>Surplus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14,266,915</w:t>
            </w: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Undivided Profits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37,622,248</w:t>
            </w:r>
          </w:p>
        </w:tc>
        <w:tc>
          <w:tcPr>
            <w:tcW w:w="2020" w:type="dxa"/>
            <w:vAlign w:val="bottom"/>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Arial" w:cs="Arial" w:eastAsia="Arial" w:hAnsi="Arial"/>
                <w:sz w:val="18"/>
                <w:szCs w:val="18"/>
                <w:color w:val="auto"/>
              </w:rPr>
              <w:t>Minority Interest in Subsidiaries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805,087</w:t>
            </w:r>
          </w:p>
        </w:tc>
        <w:tc>
          <w:tcPr>
            <w:tcW w:w="2020" w:type="dxa"/>
            <w:vAlign w:val="bottom"/>
          </w:tcPr>
          <w:p>
            <w:pPr>
              <w:spacing w:after="0"/>
              <w:rPr>
                <w:sz w:val="18"/>
                <w:szCs w:val="18"/>
                <w:color w:val="auto"/>
              </w:rPr>
            </w:pPr>
          </w:p>
        </w:tc>
      </w:tr>
      <w:tr>
        <w:trPr>
          <w:trHeight w:val="210"/>
        </w:trPr>
        <w:tc>
          <w:tcPr>
            <w:tcW w:w="42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Equity Capital</w:t>
            </w:r>
          </w:p>
        </w:tc>
        <w:tc>
          <w:tcPr>
            <w:tcW w:w="3780" w:type="dxa"/>
            <w:vAlign w:val="bottom"/>
            <w:tcBorders>
              <w:top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52,712,450</w:t>
            </w: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3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547,852,681</w:t>
            </w:r>
          </w:p>
        </w:tc>
        <w:tc>
          <w:tcPr>
            <w:tcW w:w="2020" w:type="dxa"/>
            <w:vAlign w:val="bottom"/>
          </w:tcPr>
          <w:p>
            <w:pPr>
              <w:spacing w:after="0"/>
              <w:rPr>
                <w:sz w:val="18"/>
                <w:szCs w:val="18"/>
                <w:color w:val="auto"/>
              </w:rPr>
            </w:pPr>
          </w:p>
        </w:tc>
      </w:tr>
      <w:tr>
        <w:trPr>
          <w:trHeight w:val="648"/>
        </w:trPr>
        <w:tc>
          <w:tcPr>
            <w:tcW w:w="4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7</w:t>
            </w: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153035</wp:posOffset>
            </wp:positionV>
            <wp:extent cx="1783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T-1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ELIGIBILITY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 INDENTURE ACT OF 1939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8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BANK NATIONAL ASSOCIATION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800 Nicollet Mall</w:t>
            </w:r>
          </w:p>
        </w:tc>
        <w:tc>
          <w:tcPr>
            <w:tcW w:w="2260" w:type="dxa"/>
            <w:vAlign w:val="bottom"/>
            <w:tcBorders>
              <w:top w:val="single" w:sz="8" w:color="auto"/>
            </w:tcBorders>
          </w:tcPr>
          <w:p>
            <w:pPr>
              <w:spacing w:after="0"/>
              <w:rPr>
                <w:sz w:val="18"/>
                <w:szCs w:val="18"/>
                <w:color w:val="auto"/>
              </w:rPr>
            </w:pPr>
          </w:p>
        </w:tc>
        <w:tc>
          <w:tcPr>
            <w:tcW w:w="3340" w:type="dxa"/>
            <w:vAlign w:val="bottom"/>
            <w:tcBorders>
              <w:top w:val="single" w:sz="8" w:color="auto"/>
              <w:right w:val="single" w:sz="8" w:color="auto"/>
            </w:tcBorders>
          </w:tcPr>
          <w:p>
            <w:pPr>
              <w:spacing w:after="0"/>
              <w:rPr>
                <w:sz w:val="18"/>
                <w:szCs w:val="18"/>
                <w:color w:val="auto"/>
              </w:rPr>
            </w:pPr>
          </w:p>
        </w:tc>
      </w:tr>
      <w:tr>
        <w:trPr>
          <w:trHeight w:val="23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Minneapolis, Minnesota</w:t>
            </w:r>
          </w:p>
        </w:tc>
        <w:tc>
          <w:tcPr>
            <w:tcW w:w="2260" w:type="dxa"/>
            <w:vAlign w:val="bottom"/>
            <w:tcBorders>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jc w:val="right"/>
              <w:ind w:right="2490"/>
              <w:spacing w:after="0"/>
              <w:rPr>
                <w:sz w:val="20"/>
                <w:szCs w:val="20"/>
                <w:color w:val="auto"/>
              </w:rPr>
            </w:pPr>
            <w:r>
              <w:rPr>
                <w:rFonts w:ascii="Arial" w:cs="Arial" w:eastAsia="Arial" w:hAnsi="Arial"/>
                <w:sz w:val="18"/>
                <w:szCs w:val="18"/>
                <w:color w:val="auto"/>
              </w:rPr>
              <w:t>55402</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Borders>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jc w:val="center"/>
              <w:ind w:right="2190"/>
              <w:spacing w:after="0"/>
              <w:rPr>
                <w:sz w:val="20"/>
                <w:szCs w:val="20"/>
                <w:color w:val="auto"/>
              </w:rPr>
            </w:pPr>
            <w:r>
              <w:rPr>
                <w:rFonts w:ascii="Arial" w:cs="Arial" w:eastAsia="Arial" w:hAnsi="Arial"/>
                <w:sz w:val="18"/>
                <w:szCs w:val="18"/>
                <w:color w:val="auto"/>
                <w:w w:val="91"/>
              </w:rPr>
              <w:t>(Zip Code)</w:t>
            </w:r>
          </w:p>
        </w:tc>
      </w:tr>
      <w:tr>
        <w:trPr>
          <w:trHeight w:val="411"/>
        </w:trPr>
        <w:tc>
          <w:tcPr>
            <w:tcW w:w="7900" w:type="dxa"/>
            <w:vAlign w:val="bottom"/>
            <w:gridSpan w:val="2"/>
          </w:tcPr>
          <w:p>
            <w:pPr>
              <w:jc w:val="center"/>
              <w:ind w:left="3250"/>
              <w:spacing w:after="0"/>
              <w:rPr>
                <w:sz w:val="20"/>
                <w:szCs w:val="20"/>
                <w:color w:val="auto"/>
              </w:rPr>
            </w:pPr>
            <w:r>
              <w:rPr>
                <w:rFonts w:ascii="Arial" w:cs="Arial" w:eastAsia="Arial" w:hAnsi="Arial"/>
                <w:sz w:val="18"/>
                <w:szCs w:val="18"/>
                <w:color w:val="auto"/>
                <w:w w:val="93"/>
              </w:rPr>
              <w:t>Alejandro Hoyos</w:t>
            </w:r>
          </w:p>
        </w:tc>
        <w:tc>
          <w:tcPr>
            <w:tcW w:w="3340" w:type="dxa"/>
            <w:vAlign w:val="bottom"/>
          </w:tcPr>
          <w:p>
            <w:pPr>
              <w:spacing w:after="0"/>
              <w:rPr>
                <w:sz w:val="24"/>
                <w:szCs w:val="24"/>
                <w:color w:val="auto"/>
              </w:rPr>
            </w:pPr>
          </w:p>
        </w:tc>
      </w:tr>
      <w:tr>
        <w:trPr>
          <w:trHeight w:val="216"/>
        </w:trPr>
        <w:tc>
          <w:tcPr>
            <w:tcW w:w="7900" w:type="dxa"/>
            <w:vAlign w:val="bottom"/>
            <w:gridSpan w:val="2"/>
          </w:tcPr>
          <w:p>
            <w:pPr>
              <w:jc w:val="center"/>
              <w:ind w:left="3270"/>
              <w:spacing w:after="0"/>
              <w:rPr>
                <w:sz w:val="20"/>
                <w:szCs w:val="20"/>
                <w:color w:val="auto"/>
              </w:rPr>
            </w:pPr>
            <w:r>
              <w:rPr>
                <w:rFonts w:ascii="Arial" w:cs="Arial" w:eastAsia="Arial" w:hAnsi="Arial"/>
                <w:sz w:val="18"/>
                <w:szCs w:val="18"/>
                <w:color w:val="auto"/>
                <w:w w:val="92"/>
              </w:rPr>
              <w:t>U.S. Bank National Association</w:t>
            </w:r>
          </w:p>
        </w:tc>
        <w:tc>
          <w:tcPr>
            <w:tcW w:w="3340" w:type="dxa"/>
            <w:vAlign w:val="bottom"/>
          </w:tcPr>
          <w:p>
            <w:pPr>
              <w:spacing w:after="0"/>
              <w:rPr>
                <w:sz w:val="18"/>
                <w:szCs w:val="18"/>
                <w:color w:val="auto"/>
              </w:rPr>
            </w:pPr>
          </w:p>
        </w:tc>
      </w:tr>
      <w:tr>
        <w:trPr>
          <w:trHeight w:val="216"/>
        </w:trPr>
        <w:tc>
          <w:tcPr>
            <w:tcW w:w="7900" w:type="dxa"/>
            <w:vAlign w:val="bottom"/>
            <w:gridSpan w:val="2"/>
          </w:tcPr>
          <w:p>
            <w:pPr>
              <w:jc w:val="center"/>
              <w:ind w:left="3270"/>
              <w:spacing w:after="0"/>
              <w:rPr>
                <w:sz w:val="20"/>
                <w:szCs w:val="20"/>
                <w:color w:val="auto"/>
              </w:rPr>
            </w:pPr>
            <w:r>
              <w:rPr>
                <w:rFonts w:ascii="Arial" w:cs="Arial" w:eastAsia="Arial" w:hAnsi="Arial"/>
                <w:sz w:val="18"/>
                <w:szCs w:val="18"/>
                <w:color w:val="auto"/>
                <w:w w:val="89"/>
              </w:rPr>
              <w:t>8 Greenway Plz Ste 1100, Houston, Texas 77046-0892</w:t>
            </w:r>
          </w:p>
        </w:tc>
        <w:tc>
          <w:tcPr>
            <w:tcW w:w="3340" w:type="dxa"/>
            <w:vAlign w:val="bottom"/>
          </w:tcPr>
          <w:p>
            <w:pPr>
              <w:spacing w:after="0"/>
              <w:rPr>
                <w:sz w:val="18"/>
                <w:szCs w:val="18"/>
                <w:color w:val="auto"/>
              </w:rPr>
            </w:pPr>
          </w:p>
        </w:tc>
      </w:tr>
      <w:tr>
        <w:trPr>
          <w:trHeight w:val="216"/>
        </w:trPr>
        <w:tc>
          <w:tcPr>
            <w:tcW w:w="7900" w:type="dxa"/>
            <w:vAlign w:val="bottom"/>
            <w:gridSpan w:val="2"/>
          </w:tcPr>
          <w:p>
            <w:pPr>
              <w:jc w:val="center"/>
              <w:ind w:left="3250"/>
              <w:spacing w:after="0"/>
              <w:rPr>
                <w:sz w:val="20"/>
                <w:szCs w:val="20"/>
                <w:color w:val="auto"/>
              </w:rPr>
            </w:pPr>
            <w:r>
              <w:rPr>
                <w:rFonts w:ascii="Arial" w:cs="Arial" w:eastAsia="Arial" w:hAnsi="Arial"/>
                <w:sz w:val="18"/>
                <w:szCs w:val="18"/>
                <w:color w:val="auto"/>
                <w:w w:val="90"/>
              </w:rPr>
              <w:t>(713) 212-7576</w:t>
            </w:r>
          </w:p>
        </w:tc>
        <w:tc>
          <w:tcPr>
            <w:tcW w:w="3340" w:type="dxa"/>
            <w:vAlign w:val="bottom"/>
          </w:tcPr>
          <w:p>
            <w:pPr>
              <w:spacing w:after="0"/>
              <w:rPr>
                <w:sz w:val="18"/>
                <w:szCs w:val="18"/>
                <w:color w:val="auto"/>
              </w:rPr>
            </w:pPr>
          </w:p>
        </w:tc>
      </w:tr>
      <w:tr>
        <w:trPr>
          <w:trHeight w:val="230"/>
        </w:trPr>
        <w:tc>
          <w:tcPr>
            <w:tcW w:w="7900" w:type="dxa"/>
            <w:vAlign w:val="bottom"/>
            <w:gridSpan w:val="2"/>
          </w:tcPr>
          <w:p>
            <w:pPr>
              <w:jc w:val="center"/>
              <w:ind w:left="3270"/>
              <w:spacing w:after="0"/>
              <w:rPr>
                <w:sz w:val="20"/>
                <w:szCs w:val="20"/>
                <w:color w:val="auto"/>
              </w:rPr>
            </w:pPr>
            <w:r>
              <w:rPr>
                <w:rFonts w:ascii="Arial" w:cs="Arial" w:eastAsia="Arial" w:hAnsi="Arial"/>
                <w:sz w:val="18"/>
                <w:szCs w:val="18"/>
                <w:color w:val="auto"/>
                <w:w w:val="89"/>
              </w:rPr>
              <w:t>(Name, address and telephone number of agent for service)</w:t>
            </w:r>
          </w:p>
        </w:tc>
        <w:tc>
          <w:tcPr>
            <w:tcW w:w="3340" w:type="dxa"/>
            <w:vAlign w:val="bottom"/>
          </w:tcPr>
          <w:p>
            <w:pPr>
              <w:spacing w:after="0"/>
              <w:rPr>
                <w:sz w:val="20"/>
                <w:szCs w:val="20"/>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Plains All American Pipeline, L.P.</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PAA Finance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with respect to the Securities)</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42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Delaware</w:t>
            </w:r>
          </w:p>
        </w:tc>
        <w:tc>
          <w:tcPr>
            <w:tcW w:w="5820" w:type="dxa"/>
            <w:vAlign w:val="bottom"/>
            <w:tcBorders>
              <w:top w:val="single" w:sz="8" w:color="auto"/>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76-0582150</w:t>
            </w:r>
          </w:p>
        </w:tc>
      </w:tr>
      <w:tr>
        <w:trPr>
          <w:trHeight w:val="230"/>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58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56-2464313</w:t>
            </w:r>
          </w:p>
        </w:tc>
      </w:tr>
      <w:tr>
        <w:trPr>
          <w:trHeight w:val="210"/>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20" w:type="dxa"/>
            <w:vAlign w:val="bottom"/>
            <w:tcBorders>
              <w:bottom w:val="single" w:sz="8" w:color="auto"/>
            </w:tcBorders>
          </w:tcPr>
          <w:p>
            <w:pPr>
              <w:spacing w:after="0"/>
              <w:rPr>
                <w:sz w:val="18"/>
                <w:szCs w:val="18"/>
                <w:color w:val="auto"/>
              </w:rPr>
            </w:pPr>
          </w:p>
        </w:tc>
        <w:tc>
          <w:tcPr>
            <w:tcW w:w="570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(I.R.S. Employer Identification No.)</w:t>
            </w:r>
          </w:p>
        </w:tc>
      </w:tr>
      <w:tr>
        <w:trPr>
          <w:trHeight w:val="210"/>
        </w:trPr>
        <w:tc>
          <w:tcPr>
            <w:tcW w:w="5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tcPr>
          <w:p>
            <w:pPr>
              <w:spacing w:after="0"/>
              <w:rPr>
                <w:sz w:val="18"/>
                <w:szCs w:val="18"/>
                <w:color w:val="auto"/>
              </w:rPr>
            </w:pPr>
          </w:p>
        </w:tc>
      </w:tr>
      <w:tr>
        <w:trPr>
          <w:trHeight w:val="195"/>
        </w:trPr>
        <w:tc>
          <w:tcPr>
            <w:tcW w:w="5420" w:type="dxa"/>
            <w:vAlign w:val="bottom"/>
            <w:tcBorders>
              <w:left w:val="single" w:sz="8" w:color="auto"/>
            </w:tcBorders>
          </w:tcPr>
          <w:p>
            <w:pPr>
              <w:jc w:val="center"/>
              <w:ind w:left="30"/>
              <w:spacing w:after="0" w:line="195" w:lineRule="exact"/>
              <w:rPr>
                <w:sz w:val="20"/>
                <w:szCs w:val="20"/>
                <w:color w:val="auto"/>
              </w:rPr>
            </w:pPr>
            <w:r>
              <w:rPr>
                <w:rFonts w:ascii="Arial" w:cs="Arial" w:eastAsia="Arial" w:hAnsi="Arial"/>
                <w:sz w:val="18"/>
                <w:szCs w:val="18"/>
                <w:color w:val="auto"/>
                <w:w w:val="89"/>
              </w:rPr>
              <w:t>333 Clay Street, Suite 1600</w:t>
            </w:r>
          </w:p>
        </w:tc>
        <w:tc>
          <w:tcPr>
            <w:tcW w:w="120" w:type="dxa"/>
            <w:vAlign w:val="bottom"/>
            <w:tcBorders>
              <w:right w:val="single" w:sz="8" w:color="auto"/>
            </w:tcBorders>
          </w:tcPr>
          <w:p>
            <w:pPr>
              <w:spacing w:after="0"/>
              <w:rPr>
                <w:sz w:val="16"/>
                <w:szCs w:val="16"/>
                <w:color w:val="auto"/>
              </w:rPr>
            </w:pPr>
          </w:p>
        </w:tc>
        <w:tc>
          <w:tcPr>
            <w:tcW w:w="5700" w:type="dxa"/>
            <w:vAlign w:val="bottom"/>
            <w:tcBorders>
              <w:right w:val="single" w:sz="8" w:color="auto"/>
            </w:tcBorders>
          </w:tcPr>
          <w:p>
            <w:pPr>
              <w:jc w:val="right"/>
              <w:ind w:right="2550"/>
              <w:spacing w:after="0" w:line="195" w:lineRule="exact"/>
              <w:rPr>
                <w:sz w:val="20"/>
                <w:szCs w:val="20"/>
                <w:color w:val="auto"/>
              </w:rPr>
            </w:pPr>
            <w:r>
              <w:rPr>
                <w:rFonts w:ascii="Arial" w:cs="Arial" w:eastAsia="Arial" w:hAnsi="Arial"/>
                <w:sz w:val="18"/>
                <w:szCs w:val="18"/>
                <w:color w:val="auto"/>
              </w:rPr>
              <w:t>77002</w:t>
            </w:r>
          </w:p>
        </w:tc>
      </w:tr>
      <w:tr>
        <w:trPr>
          <w:trHeight w:val="230"/>
        </w:trPr>
        <w:tc>
          <w:tcPr>
            <w:tcW w:w="5420" w:type="dxa"/>
            <w:vAlign w:val="bottom"/>
            <w:tcBorders>
              <w:left w:val="single" w:sz="8" w:color="auto"/>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Houston, Texas</w:t>
            </w:r>
          </w:p>
        </w:tc>
        <w:tc>
          <w:tcPr>
            <w:tcW w:w="1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spacing w:after="0"/>
              <w:rPr>
                <w:sz w:val="20"/>
                <w:szCs w:val="20"/>
                <w:color w:val="auto"/>
              </w:rPr>
            </w:pPr>
          </w:p>
        </w:tc>
      </w:tr>
      <w:tr>
        <w:trPr>
          <w:trHeight w:val="210"/>
        </w:trPr>
        <w:tc>
          <w:tcPr>
            <w:tcW w:w="5420" w:type="dxa"/>
            <w:vAlign w:val="bottom"/>
            <w:tcBorders>
              <w:left w:val="single" w:sz="8" w:color="auto"/>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Borders>
              <w:bottom w:val="single" w:sz="8" w:color="auto"/>
              <w:right w:val="single" w:sz="8" w:color="auto"/>
            </w:tcBorders>
          </w:tcPr>
          <w:p>
            <w:pPr>
              <w:spacing w:after="0"/>
              <w:rPr>
                <w:sz w:val="18"/>
                <w:szCs w:val="18"/>
                <w:color w:val="auto"/>
              </w:rPr>
            </w:pP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Subordinated Debt</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960" w:right="3880" w:hanging="980"/>
        <w:spacing w:after="0" w:line="258" w:lineRule="auto"/>
        <w:tabs>
          <w:tab w:leader="none" w:pos="1312"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0" w:lineRule="exact"/>
        <w:rPr>
          <w:sz w:val="20"/>
          <w:szCs w:val="20"/>
          <w:color w:val="auto"/>
        </w:rPr>
      </w:pPr>
    </w:p>
    <w:p>
      <w:pPr>
        <w:spacing w:after="0" w:line="237" w:lineRule="exact"/>
        <w:rPr>
          <w:sz w:val="20"/>
          <w:szCs w:val="20"/>
          <w:color w:val="auto"/>
        </w:rPr>
      </w:pPr>
    </w:p>
    <w:p>
      <w:pPr>
        <w:ind w:left="980" w:right="1780" w:hanging="1295"/>
        <w:spacing w:after="0" w:line="500"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THE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300" w:right="380" w:hanging="320"/>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2021 published pursuant to law or the requirements of its supervising or examining authority, attached as Exhibit 7.</w:t>
      </w:r>
    </w:p>
    <w:p>
      <w:pPr>
        <w:spacing w:after="0" w:line="170" w:lineRule="exact"/>
        <w:rPr>
          <w:rFonts w:ascii="Arial" w:cs="Arial" w:eastAsia="Arial" w:hAnsi="Arial"/>
          <w:sz w:val="18"/>
          <w:szCs w:val="18"/>
          <w:color w:val="auto"/>
        </w:rPr>
      </w:pPr>
    </w:p>
    <w:p>
      <w:pPr>
        <w:ind w:left="660" w:right="48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305(b)(2), Registration Number 333-229783</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filed on June 21, 2021.</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3" w:name="page74"/>
    <w:bookmarkEnd w:id="73"/>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8th of September, 2021.</w:t>
      </w:r>
    </w:p>
    <w:p>
      <w:pPr>
        <w:spacing w:after="0" w:line="1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Alejandro Hoyos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154305</wp:posOffset>
            </wp:positionV>
            <wp:extent cx="4551680" cy="34201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4551680"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Michael J.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166370</wp:posOffset>
            </wp:positionV>
            <wp:extent cx="4560570" cy="2186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456057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154305</wp:posOffset>
            </wp:positionV>
            <wp:extent cx="4603115" cy="3463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460311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Michael J.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166370</wp:posOffset>
            </wp:positionV>
            <wp:extent cx="4594860" cy="19291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459486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8, 2021</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Alejandro Hoyos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and Balances Due From Depository Institutions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Securities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Federal Funds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Loans &amp; Lease Financing Receivables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Fixed Assets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Deposits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Fed Funds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Treasury Demand Notes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Trading Liabilities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Borrowed Money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Acceptances</w:t>
      </w:r>
    </w:p>
    <w:p>
      <w:pPr>
        <w:spacing w:after="0" w:line="23" w:lineRule="exact"/>
        <w:rPr>
          <w:sz w:val="20"/>
          <w:szCs w:val="20"/>
          <w:color w:val="auto"/>
        </w:rPr>
      </w:pPr>
    </w:p>
    <w:p>
      <w:pPr>
        <w:ind w:left="340" w:right="1260"/>
        <w:spacing w:after="0" w:line="266" w:lineRule="auto"/>
        <w:rPr>
          <w:sz w:val="20"/>
          <w:szCs w:val="20"/>
          <w:color w:val="auto"/>
        </w:rPr>
      </w:pPr>
      <w:r>
        <w:rPr>
          <w:rFonts w:ascii="Arial" w:cs="Arial" w:eastAsia="Arial" w:hAnsi="Arial"/>
          <w:sz w:val="18"/>
          <w:szCs w:val="18"/>
          <w:color w:val="auto"/>
        </w:rPr>
        <w:t>Subordinated Notes and Debentures Other Liabilities</w:t>
      </w:r>
    </w:p>
    <w:p>
      <w:pPr>
        <w:ind w:left="340"/>
        <w:spacing w:after="0"/>
        <w:rPr>
          <w:sz w:val="20"/>
          <w:szCs w:val="20"/>
          <w:color w:val="auto"/>
        </w:rPr>
      </w:pPr>
      <w:r>
        <w:rPr>
          <w:rFonts w:ascii="Arial" w:cs="Arial" w:eastAsia="Arial" w:hAnsi="Arial"/>
          <w:sz w:val="18"/>
          <w:szCs w:val="18"/>
          <w:b w:val="1"/>
          <w:bCs w:val="1"/>
          <w:color w:val="auto"/>
        </w:rPr>
        <w:t>Total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and Preferred Stock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Surplus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Undivided Profits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Minority Interest in Subsidiaries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Equity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Equity Capital</w:t>
      </w:r>
    </w:p>
    <w:p>
      <w:pPr>
        <w:spacing w:after="0" w:line="20" w:lineRule="exact"/>
        <w:rPr>
          <w:sz w:val="20"/>
          <w:szCs w:val="20"/>
          <w:color w:val="auto"/>
        </w:rPr>
      </w:pPr>
      <w:r>
        <w:rPr>
          <w:sz w:val="20"/>
          <w:szCs w:val="20"/>
          <w:color w:val="auto"/>
        </w:rPr>
        <w:br w:type="column"/>
      </w:r>
    </w:p>
    <w:p>
      <w:pPr>
        <w:jc w:val="center"/>
        <w:ind w:right="3239"/>
        <w:spacing w:after="0"/>
        <w:rPr>
          <w:sz w:val="20"/>
          <w:szCs w:val="20"/>
          <w:color w:val="auto"/>
        </w:rPr>
      </w:pPr>
      <w:r>
        <w:rPr>
          <w:rFonts w:ascii="Arial" w:cs="Arial" w:eastAsia="Arial" w:hAnsi="Arial"/>
          <w:sz w:val="18"/>
          <w:szCs w:val="18"/>
          <w:b w:val="1"/>
          <w:bCs w:val="1"/>
          <w:u w:val="single" w:color="auto"/>
          <w:color w:val="auto"/>
        </w:rPr>
        <w:t>Exhibit 7</w:t>
      </w:r>
    </w:p>
    <w:p>
      <w:pPr>
        <w:spacing w:after="0" w:line="27" w:lineRule="exact"/>
        <w:rPr>
          <w:sz w:val="20"/>
          <w:szCs w:val="20"/>
          <w:color w:val="auto"/>
        </w:rPr>
      </w:pPr>
    </w:p>
    <w:p>
      <w:pPr>
        <w:jc w:val="center"/>
        <w:ind w:right="3239"/>
        <w:spacing w:after="0"/>
        <w:rPr>
          <w:sz w:val="20"/>
          <w:szCs w:val="20"/>
          <w:color w:val="auto"/>
        </w:rPr>
      </w:pPr>
      <w:r>
        <w:rPr>
          <w:rFonts w:ascii="Arial" w:cs="Arial" w:eastAsia="Arial" w:hAnsi="Arial"/>
          <w:sz w:val="17"/>
          <w:szCs w:val="17"/>
          <w:b w:val="1"/>
          <w:bCs w:val="1"/>
          <w:color w:val="auto"/>
        </w:rPr>
        <w:t>U.S. Bank National Association</w:t>
      </w:r>
    </w:p>
    <w:p>
      <w:pPr>
        <w:spacing w:after="0" w:line="21" w:lineRule="exact"/>
        <w:rPr>
          <w:sz w:val="20"/>
          <w:szCs w:val="20"/>
          <w:color w:val="auto"/>
        </w:rPr>
      </w:pPr>
    </w:p>
    <w:p>
      <w:pPr>
        <w:jc w:val="center"/>
        <w:ind w:right="3239"/>
        <w:spacing w:after="0"/>
        <w:rPr>
          <w:sz w:val="20"/>
          <w:szCs w:val="20"/>
          <w:color w:val="auto"/>
        </w:rPr>
      </w:pPr>
      <w:r>
        <w:rPr>
          <w:rFonts w:ascii="Arial" w:cs="Arial" w:eastAsia="Arial" w:hAnsi="Arial"/>
          <w:sz w:val="16"/>
          <w:szCs w:val="16"/>
          <w:b w:val="1"/>
          <w:bCs w:val="1"/>
          <w:color w:val="auto"/>
        </w:rPr>
        <w:t>Statement of Financial Condition</w:t>
      </w:r>
    </w:p>
    <w:p>
      <w:pPr>
        <w:spacing w:after="0" w:line="32" w:lineRule="exact"/>
        <w:rPr>
          <w:sz w:val="20"/>
          <w:szCs w:val="20"/>
          <w:color w:val="auto"/>
        </w:rPr>
      </w:pPr>
    </w:p>
    <w:p>
      <w:pPr>
        <w:jc w:val="center"/>
        <w:ind w:right="3239"/>
        <w:spacing w:after="0"/>
        <w:rPr>
          <w:sz w:val="20"/>
          <w:szCs w:val="20"/>
          <w:color w:val="auto"/>
        </w:rPr>
      </w:pPr>
      <w:r>
        <w:rPr>
          <w:rFonts w:ascii="Arial" w:cs="Arial" w:eastAsia="Arial" w:hAnsi="Arial"/>
          <w:sz w:val="18"/>
          <w:szCs w:val="18"/>
          <w:b w:val="1"/>
          <w:bCs w:val="1"/>
          <w:color w:val="auto"/>
        </w:rPr>
        <w:t>As of 6/30/2021</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($000’s)</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17145</wp:posOffset>
            </wp:positionV>
            <wp:extent cx="54178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5417820" cy="154305"/>
                    </a:xfrm>
                    <a:prstGeom prst="rect">
                      <a:avLst/>
                    </a:prstGeom>
                    <a:noFill/>
                  </pic:spPr>
                </pic:pic>
              </a:graphicData>
            </a:graphic>
          </wp:anchor>
        </w:drawing>
      </w:r>
    </w:p>
    <w:p>
      <w:pPr>
        <w:spacing w:after="0" w:line="250" w:lineRule="exact"/>
        <w:rPr>
          <w:sz w:val="20"/>
          <w:szCs w:val="20"/>
          <w:color w:val="auto"/>
        </w:rPr>
      </w:pPr>
    </w:p>
    <w:p>
      <w:pPr>
        <w:jc w:val="right"/>
        <w:ind w:right="1599"/>
        <w:spacing w:after="0"/>
        <w:tabs>
          <w:tab w:leader="none" w:pos="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44,435,957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14605</wp:posOffset>
            </wp:positionV>
            <wp:extent cx="54178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158,894,854</w:t>
      </w:r>
    </w:p>
    <w:p>
      <w:pPr>
        <w:spacing w:after="0" w:line="2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2,376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14605</wp:posOffset>
            </wp:positionV>
            <wp:extent cx="54178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296,741,901</w:t>
      </w:r>
    </w:p>
    <w:p>
      <w:pPr>
        <w:spacing w:after="0" w:line="2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6,294,698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14605</wp:posOffset>
            </wp:positionV>
            <wp:extent cx="541782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13,278,545</w:t>
      </w:r>
    </w:p>
    <w:p>
      <w:pPr>
        <w:spacing w:after="0" w:line="2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28,204,350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5715</wp:posOffset>
            </wp:positionV>
            <wp:extent cx="6769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jc w:val="right"/>
        <w:ind w:right="1599"/>
        <w:spacing w:after="0"/>
        <w:rPr>
          <w:sz w:val="20"/>
          <w:szCs w:val="20"/>
          <w:color w:val="auto"/>
        </w:rPr>
      </w:pPr>
      <w:r>
        <w:rPr>
          <w:rFonts w:ascii="Arial" w:cs="Arial" w:eastAsia="Arial" w:hAnsi="Arial"/>
          <w:sz w:val="18"/>
          <w:szCs w:val="18"/>
          <w:b w:val="1"/>
          <w:bCs w:val="1"/>
          <w:color w:val="auto"/>
        </w:rPr>
        <w:t>$ 547,852,681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-127635</wp:posOffset>
            </wp:positionV>
            <wp:extent cx="541782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236"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$ 442,902,823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-130175</wp:posOffset>
            </wp:positionV>
            <wp:extent cx="54178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1,412,092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14605</wp:posOffset>
            </wp:positionV>
            <wp:extent cx="54178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1,119,485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14605</wp:posOffset>
            </wp:positionV>
            <wp:extent cx="541782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31,883,676</w:t>
      </w:r>
    </w:p>
    <w:p>
      <w:pPr>
        <w:spacing w:after="0" w:line="2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14605</wp:posOffset>
            </wp:positionV>
            <wp:extent cx="541782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3,600,000</w:t>
      </w:r>
    </w:p>
    <w:p>
      <w:pPr>
        <w:spacing w:after="0" w:line="2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14,222,155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5715</wp:posOffset>
            </wp:positionV>
            <wp:extent cx="6769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jc w:val="right"/>
        <w:ind w:right="1599"/>
        <w:spacing w:after="0"/>
        <w:rPr>
          <w:sz w:val="20"/>
          <w:szCs w:val="20"/>
          <w:color w:val="auto"/>
        </w:rPr>
      </w:pPr>
      <w:r>
        <w:rPr>
          <w:rFonts w:ascii="Arial" w:cs="Arial" w:eastAsia="Arial" w:hAnsi="Arial"/>
          <w:sz w:val="18"/>
          <w:szCs w:val="18"/>
          <w:b w:val="1"/>
          <w:bCs w:val="1"/>
          <w:color w:val="auto"/>
        </w:rPr>
        <w:t>$ 495,140,231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-127635</wp:posOffset>
            </wp:positionV>
            <wp:extent cx="54178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236"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18,200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-130175</wp:posOffset>
            </wp:positionV>
            <wp:extent cx="54178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14,266,915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14605</wp:posOffset>
            </wp:positionV>
            <wp:extent cx="54178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37,622,248</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805,087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20320</wp:posOffset>
            </wp:positionV>
            <wp:extent cx="6769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1" w:lineRule="exact"/>
        <w:rPr>
          <w:sz w:val="20"/>
          <w:szCs w:val="20"/>
          <w:color w:val="auto"/>
        </w:rPr>
      </w:pPr>
    </w:p>
    <w:p>
      <w:pPr>
        <w:ind w:left="3140"/>
        <w:spacing w:after="0"/>
        <w:tabs>
          <w:tab w:leader="none" w:pos="33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52,712,450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-127635</wp:posOffset>
            </wp:positionV>
            <wp:extent cx="54178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$ 547,852,681</w:t>
      </w:r>
    </w:p>
    <w:p>
      <w:pPr>
        <w:spacing w:after="0" w:line="200" w:lineRule="exact"/>
        <w:rPr>
          <w:sz w:val="20"/>
          <w:szCs w:val="20"/>
          <w:color w:val="auto"/>
        </w:rPr>
      </w:pPr>
    </w:p>
    <w:p>
      <w:pPr>
        <w:spacing w:after="0" w:line="2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2">
        <w:col w:w="4180" w:space="160"/>
        <w:col w:w="579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1)"/>
      <w:numFmt w:val="upperLetter"/>
      <w:start w:val="11"/>
    </w:lvl>
    <w:lvl w:ilvl="1">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lowerLetter"/>
      <w:start w:val="1"/>
    </w:lvl>
    <w:lvl w:ilvl="1">
      <w:lvlJc w:val="left"/>
      <w:lvlText w:val="(%2)"/>
      <w:numFmt w:val="decimal"/>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lowerRoman"/>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lowerRoman"/>
      <w:start w:val="1"/>
    </w:lvl>
  </w:abstractNum>
  <w:abstractNum w:abstractNumId="30">
    <w:nsid w:val="7A6D8D3C"/>
    <w:multiLevelType w:val="hybridMultilevel"/>
    <w:lvl w:ilvl="0">
      <w:lvlJc w:val="left"/>
      <w:lvlText w:val="(%1)"/>
      <w:numFmt w:val="decimal"/>
      <w:start w:val="2"/>
    </w:lvl>
  </w:abstractNum>
  <w:abstractNum w:abstractNumId="31">
    <w:nsid w:val="4B588F54"/>
    <w:multiLevelType w:val="hybridMultilevel"/>
    <w:lvl w:ilvl="0">
      <w:lvlJc w:val="left"/>
      <w:lvlText w:val="(%1)"/>
      <w:numFmt w:val="decimal"/>
      <w:start w:val="3"/>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lowerRoman"/>
      <w:start w:val="1"/>
    </w:lvl>
  </w:abstractNum>
  <w:abstractNum w:abstractNumId="37">
    <w:nsid w:val="684A481A"/>
    <w:multiLevelType w:val="hybridMultilevel"/>
    <w:lvl w:ilvl="0">
      <w:lvlJc w:val="left"/>
      <w:lvlText w:val="•"/>
      <w:numFmt w:val="bullet"/>
      <w:start w:val="1"/>
    </w:lvl>
    <w:lvl w:ilvl="1">
      <w:lvlJc w:val="left"/>
      <w:lvlText w:val="•"/>
      <w:numFmt w:val="bullet"/>
      <w:start w:val="1"/>
    </w:lvl>
  </w:abstractNum>
  <w:abstractNum w:abstractNumId="38">
    <w:nsid w:val="579478FE"/>
    <w:multiLevelType w:val="hybridMultilevel"/>
    <w:lvl w:ilvl="0">
      <w:lvlJc w:val="left"/>
      <w:lvlText w:val="&amp;"/>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4">
    <w:nsid w:val="12E685FB"/>
    <w:multiLevelType w:val="hybridMultilevel"/>
    <w:lvl w:ilvl="0">
      <w:lvlJc w:val="left"/>
      <w:lvlText w:val="(%1)"/>
      <w:numFmt w:val="decimal"/>
      <w:start w:val="2"/>
    </w:lvl>
  </w:abstractNum>
  <w:abstractNum w:abstractNumId="45">
    <w:nsid w:val="70C6A529"/>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46">
    <w:nsid w:val="520EEDD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lowerRoman"/>
      <w:start w:val="6"/>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
      <w:numFmt w:val="bullet"/>
      <w:start w:val="1"/>
    </w:lvl>
    <w:lvl w:ilvl="1">
      <w:lvlJc w:val="left"/>
      <w:lvlText w:val="%2."/>
      <w:numFmt w:val="decimal"/>
      <w:start w:val="1"/>
    </w:lvl>
  </w:abstractNum>
  <w:abstractNum w:abstractNumId="56">
    <w:nsid w:val="47398C89"/>
    <w:multiLevelType w:val="hybridMultilevel"/>
    <w:lvl w:ilvl="0">
      <w:lvlJc w:val="left"/>
      <w:lvlText w:val="**"/>
      <w:numFmt w:val="bullet"/>
      <w:start w:val="1"/>
    </w:lvl>
    <w:lvl w:ilvl="1">
      <w:lvlJc w:val="left"/>
      <w:lvlText w:val="%2"/>
      <w:numFmt w:val="decimal"/>
      <w:start w:val="1"/>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
      <w:numFmt w:val="bullet"/>
      <w:start w:val="1"/>
    </w:lvl>
    <w:lvl w:ilvl="1">
      <w:lvlJc w:val="left"/>
      <w:lvlText w:val="%2."/>
      <w:numFmt w:val="decimal"/>
      <w:start w:val="1"/>
    </w:lvl>
  </w:abstractNum>
  <w:abstractNum w:abstractNumId="59">
    <w:nsid w:val="741226B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jpeg"/><Relationship Id="rId104" Type="http://schemas.openxmlformats.org/officeDocument/2006/relationships/image" Target="media/image83.jpe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jpe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jpeg"/><Relationship Id="rId119" Type="http://schemas.openxmlformats.org/officeDocument/2006/relationships/image" Target="media/image98.png"/><Relationship Id="rId120" Type="http://schemas.openxmlformats.org/officeDocument/2006/relationships/image" Target="media/image99.jpeg"/><Relationship Id="rId121" Type="http://schemas.openxmlformats.org/officeDocument/2006/relationships/image" Target="media/image100.png"/><Relationship Id="rId122" Type="http://schemas.openxmlformats.org/officeDocument/2006/relationships/image" Target="media/image101.jpeg"/><Relationship Id="rId123" Type="http://schemas.openxmlformats.org/officeDocument/2006/relationships/image" Target="media/image102.png"/><Relationship Id="rId124" Type="http://schemas.openxmlformats.org/officeDocument/2006/relationships/image" Target="media/image103.jpe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jpeg"/><Relationship Id="rId137" Type="http://schemas.openxmlformats.org/officeDocument/2006/relationships/image" Target="media/image116.png"/><Relationship Id="rId138" Type="http://schemas.openxmlformats.org/officeDocument/2006/relationships/image" Target="media/image117.jpeg"/><Relationship Id="rId139" Type="http://schemas.openxmlformats.org/officeDocument/2006/relationships/image" Target="media/image118.png"/><Relationship Id="rId140" Type="http://schemas.openxmlformats.org/officeDocument/2006/relationships/image" Target="media/image119.jpeg"/><Relationship Id="rId141" Type="http://schemas.openxmlformats.org/officeDocument/2006/relationships/image" Target="media/image120.png"/><Relationship Id="rId142" Type="http://schemas.openxmlformats.org/officeDocument/2006/relationships/image" Target="media/image121.jpe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7" Type="http://schemas.openxmlformats.org/officeDocument/2006/relationships/hyperlink" Target="https://www.sec.gov/ix?doc=/Archives/edgar/data/1070423/000107042321000008/paa-20201231.htm" TargetMode="External"/><Relationship Id="rId18" Type="http://schemas.openxmlformats.org/officeDocument/2006/relationships/hyperlink" Target="https://www.sec.gov/ix?doc=/Archives/edgar/data/1070423/000107042321000014/paa-20210331.htm" TargetMode="External"/><Relationship Id="rId19" Type="http://schemas.openxmlformats.org/officeDocument/2006/relationships/hyperlink" Target="https://www.sec.gov/ix?doc=/Archives/edgar/data/1070423/000107042321000022/paa-20210630.htm" TargetMode="External"/><Relationship Id="rId20" Type="http://schemas.openxmlformats.org/officeDocument/2006/relationships/hyperlink" Target="https://www.sec.gov/ix?doc=/Archives/edgar/data/1070423/000110465921031455/tm218523d2_8k.htm" TargetMode="External"/><Relationship Id="rId21" Type="http://schemas.openxmlformats.org/officeDocument/2006/relationships/hyperlink" Target="https://www.sec.gov/ix?doc=/Archives/edgar/data/1070423/000110465921071844/tm2117447d1_8k.htm" TargetMode="External"/><Relationship Id="rId22" Type="http://schemas.openxmlformats.org/officeDocument/2006/relationships/hyperlink" Target="https://www.sec.gov/ix?doc=/Archives/edgar/data/1070423/000107042321000017/paa-20210702.htm" TargetMode="External"/><Relationship Id="rId23" Type="http://schemas.openxmlformats.org/officeDocument/2006/relationships/hyperlink" Target="https://www.sec.gov/ix?doc=/Archives/edgar/data/1070423/000110465921091443/tm2121935d1_8k.htm" TargetMode="External"/><Relationship Id="rId24" Type="http://schemas.openxmlformats.org/officeDocument/2006/relationships/hyperlink" Target="https://www.sec.gov/ix?doc=/Archives/edgar/data/1070423/000110465921108999/tm2125729d1_8k.htm" TargetMode="External"/><Relationship Id="rId25" Type="http://schemas.openxmlformats.org/officeDocument/2006/relationships/hyperlink" Target="https://www.sec.gov/ix?doc=/Archives/edgar/data/1070423/000110465921109375/tm2125729d2_8k.htm" TargetMode="External"/><Relationship Id="rId26" Type="http://schemas.openxmlformats.org/officeDocument/2006/relationships/hyperlink" Target="https://www.sec.gov/ix?doc=/Archives/edgar/data/1070423/000110465921109829/tm2125729d3_8k.htm" TargetMode="External"/><Relationship Id="rId27" Type="http://schemas.openxmlformats.org/officeDocument/2006/relationships/hyperlink" Target="https://www.sec.gov/Archives/edgar/data/1070423/000110465916157335/a16-21667_38a12ba.htm" TargetMode="External"/><Relationship Id="rId28" Type="http://schemas.openxmlformats.org/officeDocument/2006/relationships/hyperlink" Target="https://www.sec.gov/Archives/edgar/data/1070423/000110465920134597/tm2037363-3_8a12b.htm" TargetMode="External"/><Relationship Id="rId80" Type="http://schemas.openxmlformats.org/officeDocument/2006/relationships/hyperlink" Target="https://www.sec.gov/Archives/edgar/data/1070423/000089924302002834/dex41.txt" TargetMode="External"/><Relationship Id="rId81" Type="http://schemas.openxmlformats.org/officeDocument/2006/relationships/hyperlink" Target="https://www.sec.gov/Archives/edgar/data/1070423/000089924301501392/dex4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2021-09-08T16:08:07Z</dcterms:created>
  <dcterms:modified xsi:type="dcterms:W3CDTF">2021-09-08T16:08:07Z</dcterms:modified>
</cp:coreProperties>
</file>