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149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14909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Chiang Willie CW</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(Last)</w:t>
            </w:r>
          </w:p>
        </w:tc>
        <w:tc>
          <w:tcPr>
            <w:tcW w:w="110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0000FF"/>
              </w:rPr>
              <w:t>333 CLAY ST., STE. 1600</w:t>
            </w:r>
          </w:p>
        </w:tc>
        <w:tc>
          <w:tcPr>
            <w:tcW w:w="1540" w:type="dxa"/>
            <w:vAlign w:val="bottom"/>
          </w:tcPr>
          <w:p>
            <w:pPr>
              <w:spacing w:after="0"/>
              <w:rPr>
                <w:sz w:val="23"/>
                <w:szCs w:val="23"/>
                <w:color w:val="auto"/>
              </w:rPr>
            </w:pPr>
          </w:p>
        </w:tc>
      </w:tr>
      <w:tr>
        <w:trPr>
          <w:trHeight w:val="199"/>
        </w:trPr>
        <w:tc>
          <w:tcPr>
            <w:tcW w:w="20" w:type="dxa"/>
            <w:vAlign w:val="bottom"/>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5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100" w:type="dxa"/>
            <w:vAlign w:val="bottom"/>
          </w:tcPr>
          <w:p>
            <w:pPr>
              <w:ind w:left="220"/>
              <w:spacing w:after="0"/>
              <w:rPr>
                <w:sz w:val="20"/>
                <w:szCs w:val="20"/>
                <w:color w:val="auto"/>
              </w:rPr>
            </w:pPr>
            <w:r>
              <w:rPr>
                <w:rFonts w:ascii="Arial" w:cs="Arial" w:eastAsia="Arial" w:hAnsi="Arial"/>
                <w:sz w:val="17"/>
                <w:szCs w:val="17"/>
                <w:color w:val="0000FF"/>
              </w:rPr>
              <w:t>TX</w:t>
            </w:r>
          </w:p>
        </w:tc>
        <w:tc>
          <w:tcPr>
            <w:tcW w:w="1540" w:type="dxa"/>
            <w:vAlign w:val="bottom"/>
          </w:tcPr>
          <w:p>
            <w:pPr>
              <w:ind w:left="34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3760" w:type="dxa"/>
            <w:vAlign w:val="bottom"/>
            <w:gridSpan w:val="2"/>
          </w:tcPr>
          <w:p>
            <w:pPr>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rFonts w:ascii="Arial" w:cs="Arial" w:eastAsia="Arial" w:hAnsi="Arial"/>
                <w:sz w:val="2"/>
                <w:szCs w:val="2"/>
                <w:color w:val="0000FF"/>
              </w:rPr>
            </w:pPr>
            <w:hyperlink r:id="rId13">
              <w:r>
                <w:rPr>
                  <w:rFonts w:ascii="Arial" w:cs="Arial" w:eastAsia="Arial" w:hAnsi="Arial"/>
                  <w:sz w:val="2"/>
                  <w:szCs w:val="2"/>
                  <w:color w:val="0000FF"/>
                </w:rPr>
                <w:t xml:space="preserve">PAA </w:t>
              </w:r>
              <w:r>
                <w:rPr>
                  <w:rFonts w:ascii="Arial" w:cs="Arial" w:eastAsia="Arial" w:hAnsi="Arial"/>
                  <w:sz w:val="2"/>
                  <w:szCs w:val="2"/>
                  <w:color w:val="000000"/>
                </w:rPr>
                <w:t>]</w:t>
              </w:r>
            </w:hyperlink>
          </w:p>
        </w:tc>
        <w:tc>
          <w:tcPr>
            <w:tcW w:w="240" w:type="dxa"/>
            <w:vAlign w:val="bottom"/>
          </w:tcPr>
          <w:p>
            <w:pPr>
              <w:spacing w:after="0"/>
              <w:rPr>
                <w:sz w:val="2"/>
                <w:szCs w:val="2"/>
                <w:color w:val="auto"/>
              </w:rPr>
            </w:pPr>
          </w:p>
        </w:tc>
        <w:tc>
          <w:tcPr>
            <w:tcW w:w="480" w:type="dxa"/>
            <w:vAlign w:val="bottom"/>
          </w:tcPr>
          <w:p>
            <w:pPr>
              <w:ind w:left="260"/>
              <w:spacing w:after="0"/>
              <w:rPr>
                <w:sz w:val="20"/>
                <w:szCs w:val="20"/>
                <w:color w:val="auto"/>
              </w:rPr>
            </w:pPr>
            <w:r>
              <w:rPr>
                <w:rFonts w:ascii="Arial" w:cs="Arial" w:eastAsia="Arial" w:hAnsi="Arial"/>
                <w:sz w:val="2"/>
                <w:szCs w:val="2"/>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3"/>
        </w:trPr>
        <w:tc>
          <w:tcPr>
            <w:tcW w:w="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80" w:type="dxa"/>
            <w:vAlign w:val="bottom"/>
            <w:tcBorders>
              <w:bottom w:val="single" w:sz="8" w:color="2C2C2C"/>
            </w:tcBorders>
          </w:tcPr>
          <w:p>
            <w:pPr>
              <w:spacing w:after="0"/>
              <w:rPr>
                <w:sz w:val="3"/>
                <w:szCs w:val="3"/>
                <w:color w:val="auto"/>
              </w:rPr>
            </w:pPr>
          </w:p>
        </w:tc>
        <w:tc>
          <w:tcPr>
            <w:tcW w:w="3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vMerge w:val="continue"/>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Chairman and CEO</w:t>
            </w:r>
          </w:p>
        </w:tc>
        <w:tc>
          <w:tcPr>
            <w:tcW w:w="0" w:type="dxa"/>
            <w:vAlign w:val="bottom"/>
          </w:tcPr>
          <w:p>
            <w:pPr>
              <w:spacing w:after="0"/>
              <w:rPr>
                <w:sz w:val="1"/>
                <w:szCs w:val="1"/>
                <w:color w:val="auto"/>
              </w:rPr>
            </w:pPr>
          </w:p>
        </w:tc>
      </w:tr>
      <w:tr>
        <w:trPr>
          <w:trHeight w:val="146"/>
        </w:trPr>
        <w:tc>
          <w:tcPr>
            <w:tcW w:w="3600" w:type="dxa"/>
            <w:vAlign w:val="bottom"/>
            <w:gridSpan w:val="2"/>
            <w:vMerge w:val="restart"/>
          </w:tcPr>
          <w:p>
            <w:pPr>
              <w:ind w:left="80"/>
              <w:spacing w:after="0"/>
              <w:rPr>
                <w:sz w:val="20"/>
                <w:szCs w:val="20"/>
                <w:color w:val="auto"/>
              </w:rPr>
            </w:pPr>
            <w:r>
              <w:rPr>
                <w:rFonts w:ascii="Arial" w:cs="Arial" w:eastAsia="Arial" w:hAnsi="Arial"/>
                <w:sz w:val="17"/>
                <w:szCs w:val="17"/>
                <w:color w:val="0000FF"/>
              </w:rPr>
              <w:t>08/19/2021</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6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35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53" w:lineRule="exact"/>
        <w:rPr>
          <w:sz w:val="20"/>
          <w:szCs w:val="20"/>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08/19/2021</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300,600</w:t>
            </w:r>
          </w:p>
        </w:tc>
        <w:tc>
          <w:tcPr>
            <w:tcW w:w="220" w:type="dxa"/>
            <w:vAlign w:val="bottom"/>
          </w:tcPr>
          <w:p>
            <w:pPr>
              <w:spacing w:after="0"/>
              <w:rPr>
                <w:sz w:val="15"/>
                <w:szCs w:val="1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(3)(4)</w:t>
            </w:r>
          </w:p>
        </w:tc>
        <w:tc>
          <w:tcPr>
            <w:tcW w:w="700" w:type="dxa"/>
            <w:vAlign w:val="bottom"/>
            <w:vMerge w:val="restart"/>
          </w:tcPr>
          <w:p>
            <w:pPr>
              <w:jc w:val="right"/>
              <w:ind w:right="164"/>
              <w:spacing w:after="0"/>
              <w:rPr>
                <w:sz w:val="20"/>
                <w:szCs w:val="20"/>
                <w:color w:val="auto"/>
              </w:rPr>
            </w:pPr>
            <w:r>
              <w:rPr>
                <w:rFonts w:ascii="Arial" w:cs="Arial" w:eastAsia="Arial" w:hAnsi="Arial"/>
                <w:sz w:val="11"/>
                <w:szCs w:val="11"/>
                <w:color w:val="008000"/>
              </w:rPr>
              <w:t>(3)(4)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300,600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300,600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associated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180"/>
        <w:spacing w:after="0" w:line="22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150,300 phantom units, will vest on the August 2024 distribution date assuming continued service through such date; (b) Tranche 2, consisting of 75,150 phantom units (assuming 100% payout at target), will potentially vest on the August 2024 distribution date at a scaled payout range of between 0% to 200% (0 units to 150,300 units) based on PAA's total shareholder return (TSR) over the three-year period ending June 30, 2024 compared to the TSR of a selected peer group; and (c) Tranche 3, consisting of 75,150 phantom units (assuming 100% payout at target), will potentially vest on the August 2024 distribution date at a scaled payout range of between 0% to 200% (0 units to 150,300 units) based on PAA achieving cumulative distributable cash flow per common unit equivalent of $6.00 over the three-year period ending June 30, 2024 (with such payout being subject to adjustment by plus or minus 50 gross percentage points (subject to a cap of 200%) based on the extent to which PAA achieves a leverage ratio as of June 30, 2024 that is less than or greater than, respectively, the target leverage ratio for such date assumed in PAA's long term plan as of August 2021, plus or minus .15x, as applicable).</w:t>
      </w:r>
    </w:p>
    <w:p>
      <w:pPr>
        <w:spacing w:after="0" w:line="32" w:lineRule="exact"/>
        <w:rPr>
          <w:rFonts w:ascii="Arial" w:cs="Arial" w:eastAsia="Arial" w:hAnsi="Arial"/>
          <w:sz w:val="13"/>
          <w:szCs w:val="13"/>
          <w:color w:val="008000"/>
        </w:rPr>
      </w:pPr>
    </w:p>
    <w:p>
      <w:pPr>
        <w:ind w:left="40" w:right="16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2022 distribution date; beginning in November 2022, DERs associated with Tranche 1 will be paid quarterly until the phantom units vest. DERs associated with Tranches 2 and 3 will accrue during the three-year vesting period and be paid in cash in a lump sum on the August 2024 distribution date with respect to each phantom unit that vests on such date.</w:t>
      </w:r>
    </w:p>
    <w:p>
      <w:pPr>
        <w:spacing w:after="0" w:line="15"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Ann F. Gullion,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08/23/2021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in-fact for Willie CW Chiang</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9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260" w:type="dxa"/>
            <w:vAlign w:val="bottom"/>
            <w:gridSpan w:val="2"/>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2021-08-23T16:08:20Z</dcterms:created>
  <dcterms:modified xsi:type="dcterms:W3CDTF">2021-08-23T16:08:20Z</dcterms:modified>
</cp:coreProperties>
</file>