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269188d8k.htm"/>
      <w:bookmarkStart w:id="1" w:name="ksd269188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December 9, 2011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66"/>
        <w:gridCol w:w="190"/>
        <w:gridCol w:w="3168"/>
        <w:gridCol w:w="126"/>
        <w:gridCol w:w="3355"/>
      </w:tblGrid>
      <w:tr>
        <w:trPr/>
        <w:tc>
          <w:tcPr>
            <w:tcW w:w="336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316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3355" w:type="dxa"/>
            <w:tcBorders/>
            <w:shd w:fill="auto" w:val="clear"/>
            <w:vAlign w:val="center"/>
          </w:tcPr>
          <w:p>
            <w:pPr>
              <w:pStyle w:val="TableContents"/>
              <w:spacing w:before="0" w:after="283"/>
              <w:rPr>
                <w:sz w:val="4"/>
                <w:szCs w:val="4"/>
              </w:rPr>
            </w:pPr>
            <w:r>
              <w:rPr>
                <w:sz w:val="4"/>
                <w:szCs w:val="4"/>
              </w:rPr>
            </w:r>
          </w:p>
        </w:tc>
      </w:tr>
      <w:tr>
        <w:trPr/>
        <w:tc>
          <w:tcPr>
            <w:tcW w:w="6724"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333 Clay Street, Suite 1600, Houston, Texas</w:t>
            </w:r>
          </w:p>
        </w:tc>
        <w:tc>
          <w:tcPr>
            <w:tcW w:w="126"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6724"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26"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713-646-4100 </w:t>
      </w:r>
    </w:p>
    <w:p>
      <w:pPr>
        <w:pStyle w:val="TextBody"/>
        <w:spacing w:before="180" w:after="0"/>
        <w:jc w:val="center"/>
        <w:rPr>
          <w:rFonts w:ascii="Times New Roman" w:hAnsi="Times New Roman"/>
          <w:b/>
          <w:sz w:val="20"/>
        </w:rPr>
      </w:pPr>
      <w:r>
        <w:rPr>
          <w:rFonts w:ascii="Times New Roman" w:hAnsi="Times New Roman"/>
          <w:b/>
          <w:sz w:val="20"/>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828"/>
        <w:gridCol w:w="9377"/>
      </w:tblGrid>
      <w:tr>
        <w:trPr/>
        <w:tc>
          <w:tcPr>
            <w:tcW w:w="82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937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b/>
          <w:sz w:val="20"/>
        </w:rPr>
      </w:pPr>
      <w:r>
        <w:rPr>
          <w:rFonts w:ascii="Times New Roman" w:hAnsi="Times New Roman"/>
          <w:b/>
          <w:sz w:val="20"/>
        </w:rPr>
        <w:t xml:space="preserve">364-Day Credit Agreement </w:t>
      </w:r>
    </w:p>
    <w:p>
      <w:pPr>
        <w:pStyle w:val="TextBody"/>
        <w:spacing w:before="90" w:after="0"/>
        <w:rPr>
          <w:rFonts w:ascii="Times New Roman" w:hAnsi="Times New Roman"/>
          <w:sz w:val="20"/>
        </w:rPr>
      </w:pPr>
      <w:r>
        <w:rPr>
          <w:rFonts w:ascii="Times New Roman" w:hAnsi="Times New Roman"/>
          <w:sz w:val="20"/>
        </w:rPr>
        <w:t>On December 9, 2011, the Partnership entered into a senior unsecured 364-Day Credit Agreement (the Credit Agreement), among Plains All American Pipeline, L.P. (the Partnership) as Borrower; DNB Bank ASA, as Administrative Agent; Bank of America, N.A. and JPMorgan Chase Bank, N.A., as Co-Syndication Agents; the other Lenders party thereto; and DNB Markets, Inc., Merrill Lynch, Pierce, Fenner &amp; Smith Incorporated, and J.P. Morgan Securities LLC</w:t>
      </w:r>
      <w:r>
        <w:rPr>
          <w:rFonts w:ascii="Times New Roman" w:hAnsi="Times New Roman"/>
          <w:b/>
          <w:sz w:val="20"/>
        </w:rPr>
        <w:t>,</w:t>
      </w:r>
      <w:r>
        <w:rPr>
          <w:rFonts w:ascii="Times New Roman" w:hAnsi="Times New Roman"/>
          <w:sz w:val="20"/>
        </w:rPr>
        <w:t xml:space="preserve"> as Joint Bookrunners and Co-Lead Arrangers (terms used but not defined herein have the meanings assigned to them in the Credit Agreement). </w:t>
      </w:r>
    </w:p>
    <w:p>
      <w:pPr>
        <w:pStyle w:val="TextBody"/>
        <w:spacing w:before="180" w:after="0"/>
        <w:rPr>
          <w:rFonts w:ascii="Times New Roman" w:hAnsi="Times New Roman"/>
          <w:sz w:val="20"/>
        </w:rPr>
      </w:pPr>
      <w:r>
        <w:rPr>
          <w:rFonts w:ascii="Times New Roman" w:hAnsi="Times New Roman"/>
          <w:sz w:val="20"/>
        </w:rPr>
        <w:t xml:space="preserve">The Credit Agreement provides for borrowings of up to $1.2 billion and is fully committed. The Credit Agreement will terminate 364 days after the date on which the facility is activated, which activation may occur any time within six months following closing. If the Credit Agreement has not been activated before the end of the six month period following closing, it will terminate at that time. Amounts borrowed under the Credit Agreement may be used for any partnership purpose, including financing of acquisitions previously announced by the Partnership. </w:t>
      </w:r>
    </w:p>
    <w:p>
      <w:pPr>
        <w:pStyle w:val="TextBody"/>
        <w:spacing w:before="180" w:after="0"/>
        <w:rPr>
          <w:rFonts w:ascii="Times New Roman" w:hAnsi="Times New Roman"/>
          <w:sz w:val="20"/>
        </w:rPr>
      </w:pPr>
      <w:r>
        <w:rPr>
          <w:rFonts w:ascii="Times New Roman" w:hAnsi="Times New Roman"/>
          <w:sz w:val="20"/>
        </w:rPr>
        <w:t>Borrowings under the Credit Agreement will bear interest at either a Base Rate or a Eurodollar Rate. A Base Rate Loan bears interest at a fluctuating rate per annum equal to the higher of (a) the federal funds rate plus 1/2 of 1%, (b) the rate of interest in effect for such day as publicly announced from time to time by DNB Bank as its prime rate and (c) the Eurodollar Market Index Rate plus 1%. Interest on Base Rate Loans will include a margin ranging from 0.075% to 0.650% based upon any variances in the Partnerships debt ratings. The prime rate is a rate set by DNB Bank based upon various factors including its costs and desired return, general economic conditions and other factors. A Eurodollar Loan bears interest at a rate per annum equal to the British Bankers Association LIBOR Rate, as published by Reuters, plus a margin, which margin ranges from 1.075% to 1.650% based upon any variances in the Partnerships debt ratings. The Partnership will also pay a Facility Fee ranging from 0.175% to 0.35% based upon any variances in the Partnerships debt ratings. The Partnership may voluntarily prepay borrowings under the Credit Agreement, in whole or in part (subject to certain minimum prepayment amounts) without penalty or premium.</w:t>
      </w:r>
    </w:p>
    <w:p>
      <w:pPr>
        <w:pStyle w:val="TextBody"/>
        <w:spacing w:before="180" w:after="0"/>
        <w:rPr>
          <w:rFonts w:ascii="Times New Roman" w:hAnsi="Times New Roman"/>
          <w:sz w:val="20"/>
        </w:rPr>
      </w:pPr>
      <w:r>
        <w:rPr>
          <w:rFonts w:ascii="Times New Roman" w:hAnsi="Times New Roman"/>
          <w:sz w:val="20"/>
        </w:rPr>
        <w:t xml:space="preserve">The covenants (including financial covenants), restrictions and events of default in the Credit Agreement are substantially the same as in the Partnerships Revolving Credit Agreement dated August 19, 2011. </w:t>
      </w:r>
    </w:p>
    <w:p>
      <w:pPr>
        <w:pStyle w:val="TextBody"/>
        <w:spacing w:before="180" w:after="0"/>
        <w:rPr>
          <w:rFonts w:ascii="Times New Roman" w:hAnsi="Times New Roman"/>
          <w:sz w:val="20"/>
        </w:rPr>
      </w:pPr>
      <w:r>
        <w:rPr>
          <w:rFonts w:ascii="Times New Roman" w:hAnsi="Times New Roman"/>
          <w:sz w:val="20"/>
        </w:rPr>
        <w:t xml:space="preserve">The Credit Agreement contains cross default provisions and prohibits distributions on, or purchases or redemptions of, the Partnerships common units if any Default or Event of Default has occurred and is continuing. In addition, the Credit Agreement contains various covenants limiting the Partnerships and its subsidiaries ability to, among other things: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incur indebtedness, including capital leases;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grant liens;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engage in transactions with affiliates;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enter into certain burdensome agreements;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sell substantially all of its assets or enter into a merger or consolidation. </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In addition, the financial covenant of the Credit Agreement limits the ratio of Consolidated Funded Indebtedness to Consolidated EBITDA to a maximum of 5.00 to 1.00, with an increased maximum ratio of 5.50 to 1.00 during an Acquisition Period. </w:t>
      </w:r>
    </w:p>
    <w:p>
      <w:pPr>
        <w:pStyle w:val="TextBody"/>
        <w:spacing w:before="180" w:after="0"/>
        <w:rPr>
          <w:rFonts w:ascii="Times New Roman" w:hAnsi="Times New Roman"/>
          <w:sz w:val="20"/>
        </w:rPr>
      </w:pPr>
      <w:r>
        <w:rPr>
          <w:rFonts w:ascii="Times New Roman" w:hAnsi="Times New Roman"/>
          <w:sz w:val="20"/>
        </w:rPr>
        <w:t xml:space="preserve">A default under the Credit Agreement would permit the lenders to terminate their commitments and to accelerate the maturity of the outstanding debt. </w:t>
      </w:r>
    </w:p>
    <w:p>
      <w:pPr>
        <w:pStyle w:val="TextBody"/>
        <w:spacing w:before="180" w:after="0"/>
        <w:rPr>
          <w:rFonts w:ascii="Times New Roman" w:hAnsi="Times New Roman"/>
          <w:sz w:val="20"/>
        </w:rPr>
      </w:pPr>
      <w:r>
        <w:rPr>
          <w:rFonts w:ascii="Times New Roman" w:hAnsi="Times New Roman"/>
          <w:sz w:val="20"/>
        </w:rPr>
        <w:t xml:space="preserve">The above description of the Credit Agreement is qualified in its entirety by the terms of the Credit Agreement, which is attached hereto as Exhibit 10.1 and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29"/>
        <w:gridCol w:w="9376"/>
      </w:tblGrid>
      <w:tr>
        <w:trPr/>
        <w:tc>
          <w:tcPr>
            <w:tcW w:w="82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2.03.</w:t>
            </w:r>
          </w:p>
        </w:tc>
        <w:tc>
          <w:tcPr>
            <w:tcW w:w="9376" w:type="dxa"/>
            <w:tcBorders/>
            <w:shd w:fill="auto" w:val="clear"/>
          </w:tcPr>
          <w:p>
            <w:pPr>
              <w:pStyle w:val="TableContents"/>
              <w:spacing w:before="0" w:after="283"/>
              <w:jc w:val="left"/>
              <w:rPr/>
            </w:pPr>
            <w:r>
              <w:rPr/>
              <w:t> </w:t>
            </w:r>
            <w:r>
              <w:rPr>
                <w:rFonts w:ascii="Times New Roman" w:hAnsi="Times New Roman"/>
                <w:b/>
                <w:sz w:val="20"/>
              </w:rPr>
              <w:t xml:space="preserve">Creation of a Direct Financial Obligation or an Obligation under an Off-Balance Sheet Arrangement of a Registrant </w:t>
            </w:r>
          </w:p>
        </w:tc>
      </w:tr>
    </w:tbl>
    <w:p>
      <w:pPr>
        <w:pStyle w:val="TextBody"/>
        <w:spacing w:before="90" w:after="0"/>
        <w:rPr>
          <w:rFonts w:ascii="Times New Roman" w:hAnsi="Times New Roman"/>
          <w:sz w:val="20"/>
        </w:rPr>
      </w:pPr>
      <w:r>
        <w:rPr>
          <w:rFonts w:ascii="Times New Roman" w:hAnsi="Times New Roman"/>
          <w:sz w:val="20"/>
        </w:rPr>
        <w:t xml:space="preserve">The disclosure set forth above in Item 1.01 is incorporated by reference herein.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21"/>
        <w:gridCol w:w="9384"/>
      </w:tblGrid>
      <w:tr>
        <w:trPr/>
        <w:tc>
          <w:tcPr>
            <w:tcW w:w="82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384" w:type="dxa"/>
            <w:tcBorders/>
            <w:shd w:fill="auto" w:val="clear"/>
          </w:tcPr>
          <w:p>
            <w:pPr>
              <w:pStyle w:val="TableContents"/>
              <w:spacing w:before="0" w:after="283"/>
              <w:jc w:val="left"/>
              <w:rPr/>
            </w:pPr>
            <w:r>
              <w:rPr/>
              <w:t> </w:t>
            </w: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10.1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364-Day Credit Agreement dated December 9, 2011 among Plains All American Pipeline, L.P., as Borrower; DNB Bank ASA, as Administrative Agent; Bank of America, N.A. and JPMorgan Chase Bank, N.A., as Co-Syndication Agents; the other Lenders party thereto; and DNB Markets, Inc., Merrill Lynch, Pierce, Fenner &amp; Smith Incorporated, and J.P. Morgan Securities LLC, as Joint Bookrunners and Co-Lead Arrangers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06"/>
        <w:gridCol w:w="113"/>
        <w:gridCol w:w="395"/>
        <w:gridCol w:w="113"/>
        <w:gridCol w:w="262"/>
        <w:gridCol w:w="113"/>
        <w:gridCol w:w="4603"/>
      </w:tblGrid>
      <w:tr>
        <w:trPr/>
        <w:tc>
          <w:tcPr>
            <w:tcW w:w="460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4603" w:type="dxa"/>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97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c>
          <w:tcPr>
            <w:tcW w:w="4606" w:type="dxa"/>
            <w:tcBorders/>
            <w:shd w:fill="auto" w:val="clear"/>
          </w:tcPr>
          <w:p>
            <w:pPr>
              <w:pStyle w:val="TableContents"/>
              <w:spacing w:before="0" w:after="283"/>
              <w:rPr>
                <w:rFonts w:ascii="Times New Roman" w:hAnsi="Times New Roman"/>
                <w:sz w:val="20"/>
              </w:rPr>
            </w:pPr>
            <w:r>
              <w:rPr>
                <w:rFonts w:ascii="Times New Roman" w:hAnsi="Times New Roman"/>
                <w:sz w:val="20"/>
              </w:rPr>
              <w:t>Date: December 15, 2011</w:t>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bottom w:val="single" w:sz="2" w:space="0" w:color="000000"/>
            </w:tcBorders>
            <w:shd w:fill="auto" w:val="clear"/>
            <w:tcMar>
              <w:bottom w:w="28" w:type="dxa"/>
            </w:tcMar>
            <w:vAlign w:val="bottom"/>
          </w:tcPr>
          <w:p>
            <w:pPr>
              <w:pStyle w:val="TableContents"/>
              <w:spacing w:before="0" w:after="283"/>
              <w:rPr/>
            </w:pPr>
            <w:r>
              <w:rPr/>
              <w:t> </w:t>
            </w:r>
          </w:p>
        </w:tc>
        <w:tc>
          <w:tcPr>
            <w:tcW w:w="4603"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Tim Moore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Name: Tim Moore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sz w:val="20"/>
        </w:rPr>
      </w:pPr>
      <w:r>
        <w:rPr>
          <w:rFonts w:ascii="Times New Roman" w:hAnsi="Times New Roman"/>
          <w:sz w:val="20"/>
        </w:rPr>
        <w:t xml:space="preserve">INDEX TO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
        <w:gridCol w:w="519"/>
        <w:gridCol w:w="9202"/>
      </w:tblGrid>
      <w:tr>
        <w:trPr/>
        <w:tc>
          <w:tcPr>
            <w:tcW w:w="484"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sz w:val="4"/>
                <w:szCs w:val="4"/>
              </w:rPr>
            </w:pPr>
            <w:r>
              <w:rPr>
                <w:sz w:val="4"/>
                <w:szCs w:val="4"/>
              </w:rPr>
            </w:r>
          </w:p>
        </w:tc>
        <w:tc>
          <w:tcPr>
            <w:tcW w:w="9202" w:type="dxa"/>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No.</w:t>
            </w:r>
          </w:p>
        </w:tc>
        <w:tc>
          <w:tcPr>
            <w:tcW w:w="519" w:type="dxa"/>
            <w:tcBorders/>
            <w:shd w:fill="auto" w:val="clear"/>
            <w:vAlign w:val="bottom"/>
          </w:tcPr>
          <w:p>
            <w:pPr>
              <w:pStyle w:val="TableContents"/>
              <w:spacing w:before="0" w:after="283"/>
              <w:rPr/>
            </w:pPr>
            <w:r>
              <w:rPr/>
              <w:t>  </w:t>
            </w:r>
          </w:p>
        </w:tc>
        <w:tc>
          <w:tcPr>
            <w:tcW w:w="9202"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Description</w:t>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519" w:type="dxa"/>
            <w:tcBorders/>
            <w:shd w:fill="auto" w:val="clear"/>
            <w:vAlign w:val="bottom"/>
          </w:tcPr>
          <w:p>
            <w:pPr>
              <w:pStyle w:val="TableContents"/>
              <w:spacing w:before="0" w:after="283"/>
              <w:rPr/>
            </w:pPr>
            <w:r>
              <w:rPr/>
              <w:t>  </w:t>
            </w:r>
          </w:p>
        </w:tc>
        <w:tc>
          <w:tcPr>
            <w:tcW w:w="9202" w:type="dxa"/>
            <w:tcBorders/>
            <w:shd w:fill="auto" w:val="clear"/>
          </w:tcPr>
          <w:p>
            <w:pPr>
              <w:pStyle w:val="TableContents"/>
              <w:spacing w:before="0" w:after="283"/>
              <w:rPr>
                <w:rFonts w:ascii="Times New Roman" w:hAnsi="Times New Roman"/>
                <w:sz w:val="20"/>
              </w:rPr>
            </w:pPr>
            <w:r>
              <w:rPr>
                <w:rFonts w:ascii="Times New Roman" w:hAnsi="Times New Roman"/>
                <w:sz w:val="20"/>
              </w:rPr>
              <w:t>364-Day Credit Agreement dated December 9, 2011 among Plains All American Pipeline, L.P., as Borrower; DNB Bank ASA, as Administrative Agent; Bank of America, N.A. and JPMorgan Chase Bank, N.A., as Co-Syndication Agents; the other Lenders party thereto; and DNB Markets, Inc., Merrill Lynch, Pierce, Fenner &amp; Smith Incorporated, and J.P. Morgan Securities LLC</w:t>
            </w:r>
            <w:r>
              <w:rPr>
                <w:rFonts w:ascii="Times New Roman" w:hAnsi="Times New Roman"/>
                <w:b/>
                <w:sz w:val="20"/>
              </w:rPr>
              <w:t>,</w:t>
            </w:r>
            <w:r>
              <w:rPr>
                <w:rFonts w:ascii="Times New Roman" w:hAnsi="Times New Roman"/>
                <w:sz w:val="20"/>
              </w:rPr>
              <w:t xml:space="preserve"> as Joint Bookrunners and Co-Lead Arrangers</w:t>
            </w:r>
          </w:p>
        </w:tc>
      </w:tr>
    </w:tbl>
    <w:p>
      <w:pPr>
        <w:pStyle w:val="TextBody"/>
        <w:spacing w:before="180" w:after="0"/>
        <w:jc w:val="right"/>
        <w:rPr>
          <w:rFonts w:ascii="Times New Roman" w:hAnsi="Times New Roman"/>
          <w:b/>
          <w:sz w:val="20"/>
        </w:rPr>
      </w:pPr>
      <w:r>
        <w:br w:type="page"/>
      </w:r>
      <w:bookmarkStart w:id="2" w:name="d269188dex101.htm"/>
      <w:bookmarkStart w:id="3" w:name="ksd269188dex101"/>
      <w:bookmarkEnd w:id="2"/>
      <w:bookmarkEnd w:id="3"/>
      <w:r>
        <w:rPr>
          <w:rFonts w:ascii="Times New Roman" w:hAnsi="Times New Roman"/>
          <w:b/>
          <w:sz w:val="20"/>
        </w:rPr>
        <w:t xml:space="preserve">Exhibit 10.1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180" w:after="0"/>
        <w:jc w:val="right"/>
        <w:rPr>
          <w:rFonts w:ascii="Times New Roman" w:hAnsi="Times New Roman"/>
          <w:b/>
          <w:sz w:val="20"/>
        </w:rPr>
      </w:pPr>
      <w:r>
        <w:rPr>
          <w:rFonts w:ascii="Times New Roman" w:hAnsi="Times New Roman"/>
          <w:b/>
          <w:sz w:val="20"/>
        </w:rPr>
        <w:t xml:space="preserve">EXECUTION COPY </w:t>
      </w:r>
    </w:p>
    <w:p>
      <w:pPr>
        <w:pStyle w:val="TextBody"/>
        <w:spacing w:before="360" w:after="0"/>
        <w:jc w:val="center"/>
        <w:rPr>
          <w:rFonts w:ascii="Times New Roman" w:hAnsi="Times New Roman"/>
          <w:b/>
          <w:sz w:val="20"/>
        </w:rPr>
      </w:pPr>
      <w:r>
        <w:rPr>
          <w:rFonts w:ascii="Times New Roman" w:hAnsi="Times New Roman"/>
          <w:b/>
          <w:sz w:val="20"/>
        </w:rPr>
        <w:t xml:space="preserve">364-DAY CREDIT AGREEMENT </w:t>
      </w:r>
    </w:p>
    <w:p>
      <w:pPr>
        <w:pStyle w:val="TextBody"/>
        <w:spacing w:before="180" w:after="0"/>
        <w:jc w:val="center"/>
        <w:rPr>
          <w:rFonts w:ascii="Times New Roman" w:hAnsi="Times New Roman"/>
          <w:sz w:val="20"/>
        </w:rPr>
      </w:pPr>
      <w:r>
        <w:rPr>
          <w:rFonts w:ascii="Times New Roman" w:hAnsi="Times New Roman"/>
          <w:sz w:val="20"/>
        </w:rPr>
        <w:t xml:space="preserve">Dated as of December 9, 2011 </w:t>
      </w:r>
    </w:p>
    <w:p>
      <w:pPr>
        <w:pStyle w:val="TextBody"/>
        <w:spacing w:before="180" w:after="0"/>
        <w:jc w:val="center"/>
        <w:rPr>
          <w:rFonts w:ascii="Times New Roman" w:hAnsi="Times New Roman"/>
          <w:sz w:val="20"/>
        </w:rPr>
      </w:pPr>
      <w:r>
        <w:rPr>
          <w:rFonts w:ascii="Times New Roman" w:hAnsi="Times New Roman"/>
          <w:sz w:val="20"/>
        </w:rPr>
        <w:t xml:space="preserve">among </w:t>
      </w:r>
    </w:p>
    <w:p>
      <w:pPr>
        <w:pStyle w:val="TextBody"/>
        <w:spacing w:before="18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180" w:after="0"/>
        <w:jc w:val="center"/>
        <w:rPr>
          <w:rFonts w:ascii="Times New Roman" w:hAnsi="Times New Roman"/>
          <w:sz w:val="20"/>
        </w:rPr>
      </w:pPr>
      <w:r>
        <w:rPr>
          <w:rFonts w:ascii="Times New Roman" w:hAnsi="Times New Roman"/>
          <w:sz w:val="20"/>
        </w:rPr>
        <w:t xml:space="preserve">as Borrower, </w:t>
      </w:r>
    </w:p>
    <w:p>
      <w:pPr>
        <w:pStyle w:val="TextBody"/>
        <w:spacing w:before="180" w:after="0"/>
        <w:jc w:val="center"/>
        <w:rPr>
          <w:rFonts w:ascii="Times New Roman" w:hAnsi="Times New Roman"/>
          <w:b/>
          <w:sz w:val="20"/>
        </w:rPr>
      </w:pPr>
      <w:r>
        <w:rPr>
          <w:rFonts w:ascii="Times New Roman" w:hAnsi="Times New Roman"/>
          <w:b/>
          <w:sz w:val="20"/>
        </w:rPr>
        <w:t xml:space="preserve">DNB BANK ASA, </w:t>
      </w:r>
    </w:p>
    <w:p>
      <w:pPr>
        <w:pStyle w:val="TextBody"/>
        <w:spacing w:before="0" w:after="0"/>
        <w:jc w:val="center"/>
        <w:rPr>
          <w:rFonts w:ascii="Times New Roman" w:hAnsi="Times New Roman"/>
          <w:sz w:val="20"/>
        </w:rPr>
      </w:pPr>
      <w:r>
        <w:rPr>
          <w:rFonts w:ascii="Times New Roman" w:hAnsi="Times New Roman"/>
          <w:sz w:val="20"/>
        </w:rPr>
        <w:t xml:space="preserve">as Administrative Agent, </w:t>
      </w:r>
    </w:p>
    <w:p>
      <w:pPr>
        <w:pStyle w:val="TextBody"/>
        <w:spacing w:before="180" w:after="0"/>
        <w:jc w:val="center"/>
        <w:rPr>
          <w:rFonts w:ascii="Times New Roman" w:hAnsi="Times New Roman"/>
          <w:sz w:val="20"/>
        </w:rPr>
      </w:pPr>
      <w:r>
        <w:rPr>
          <w:rFonts w:ascii="Times New Roman" w:hAnsi="Times New Roman"/>
          <w:b/>
          <w:sz w:val="20"/>
        </w:rPr>
        <w:t>BANK OF AMERICA, N.A. and JPMORGAN CHASE BANK, N.A.,</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as Co-Syndication Agents, </w:t>
      </w:r>
    </w:p>
    <w:p>
      <w:pPr>
        <w:pStyle w:val="TextBody"/>
        <w:spacing w:before="0" w:after="0"/>
        <w:jc w:val="center"/>
        <w:rPr>
          <w:rFonts w:ascii="Times New Roman" w:hAnsi="Times New Roman"/>
          <w:sz w:val="20"/>
        </w:rPr>
      </w:pPr>
      <w:r>
        <w:rPr>
          <w:rFonts w:ascii="Times New Roman" w:hAnsi="Times New Roman"/>
          <w:sz w:val="20"/>
        </w:rPr>
        <w:t xml:space="preserve">and </w:t>
      </w:r>
    </w:p>
    <w:p>
      <w:pPr>
        <w:pStyle w:val="TextBody"/>
        <w:spacing w:before="180" w:after="0"/>
        <w:jc w:val="center"/>
        <w:rPr>
          <w:rFonts w:ascii="Times New Roman" w:hAnsi="Times New Roman"/>
          <w:sz w:val="20"/>
        </w:rPr>
      </w:pPr>
      <w:r>
        <w:rPr>
          <w:rFonts w:ascii="Times New Roman" w:hAnsi="Times New Roman"/>
          <w:sz w:val="20"/>
        </w:rPr>
        <w:t xml:space="preserve">The Other Lenders Party Hereto </w:t>
      </w:r>
    </w:p>
    <w:p>
      <w:pPr>
        <w:pStyle w:val="TextBody"/>
        <w:spacing w:before="180" w:after="0"/>
        <w:jc w:val="center"/>
        <w:rPr>
          <w:rFonts w:ascii="Times New Roman" w:hAnsi="Times New Roman"/>
          <w:b/>
          <w:sz w:val="20"/>
        </w:rPr>
      </w:pPr>
      <w:r>
        <w:rPr>
          <w:rFonts w:ascii="Times New Roman" w:hAnsi="Times New Roman"/>
          <w:b/>
          <w:sz w:val="20"/>
        </w:rPr>
        <w:t xml:space="preserve">DNB MARKETS, INC., </w:t>
      </w:r>
    </w:p>
    <w:p>
      <w:pPr>
        <w:pStyle w:val="TextBody"/>
        <w:spacing w:before="0" w:after="0"/>
        <w:jc w:val="center"/>
        <w:rPr>
          <w:rFonts w:ascii="Times New Roman" w:hAnsi="Times New Roman"/>
          <w:b/>
          <w:sz w:val="20"/>
        </w:rPr>
      </w:pPr>
      <w:r>
        <w:rPr>
          <w:rFonts w:ascii="Times New Roman" w:hAnsi="Times New Roman"/>
          <w:b/>
          <w:sz w:val="20"/>
        </w:rPr>
        <w:t xml:space="preserve">MERRILL LYNCH, PIERCE, FENNER &amp; SMITH INCORPORATED </w:t>
      </w:r>
    </w:p>
    <w:p>
      <w:pPr>
        <w:pStyle w:val="TextBody"/>
        <w:spacing w:before="0" w:after="0"/>
        <w:jc w:val="center"/>
        <w:rPr>
          <w:rFonts w:ascii="Times New Roman" w:hAnsi="Times New Roman"/>
          <w:b/>
          <w:sz w:val="20"/>
        </w:rPr>
      </w:pPr>
      <w:r>
        <w:rPr>
          <w:rFonts w:ascii="Times New Roman" w:hAnsi="Times New Roman"/>
          <w:b/>
          <w:sz w:val="20"/>
        </w:rPr>
        <w:t xml:space="preserve">and </w:t>
      </w:r>
    </w:p>
    <w:p>
      <w:pPr>
        <w:pStyle w:val="TextBody"/>
        <w:spacing w:before="0" w:after="0"/>
        <w:jc w:val="center"/>
        <w:rPr>
          <w:rFonts w:ascii="Times New Roman" w:hAnsi="Times New Roman"/>
          <w:b/>
          <w:sz w:val="20"/>
        </w:rPr>
      </w:pPr>
      <w:r>
        <w:rPr>
          <w:rFonts w:ascii="Times New Roman" w:hAnsi="Times New Roman"/>
          <w:b/>
          <w:sz w:val="20"/>
        </w:rPr>
        <w:t xml:space="preserve">J.P. MORGAN SECURITIES LLC, </w:t>
      </w:r>
    </w:p>
    <w:p>
      <w:pPr>
        <w:pStyle w:val="TextBody"/>
        <w:spacing w:before="0" w:after="0"/>
        <w:jc w:val="center"/>
        <w:rPr>
          <w:rFonts w:ascii="Times New Roman" w:hAnsi="Times New Roman"/>
          <w:sz w:val="20"/>
        </w:rPr>
      </w:pPr>
      <w:r>
        <w:rPr>
          <w:rFonts w:ascii="Times New Roman" w:hAnsi="Times New Roman"/>
          <w:sz w:val="20"/>
        </w:rPr>
        <w:t xml:space="preserve">as </w:t>
      </w:r>
    </w:p>
    <w:p>
      <w:pPr>
        <w:pStyle w:val="TextBody"/>
        <w:spacing w:before="0" w:after="0"/>
        <w:jc w:val="center"/>
        <w:rPr>
          <w:rFonts w:ascii="Times New Roman" w:hAnsi="Times New Roman"/>
          <w:sz w:val="20"/>
        </w:rPr>
      </w:pPr>
      <w:r>
        <w:rPr>
          <w:rFonts w:ascii="Times New Roman" w:hAnsi="Times New Roman"/>
          <w:sz w:val="20"/>
        </w:rPr>
        <w:t xml:space="preserve">Joint Bookrunners and Co-Lead Arrangers </w:t>
      </w:r>
    </w:p>
    <w:p>
      <w:pPr>
        <w:pStyle w:val="TextBody"/>
        <w:spacing w:before="180" w:after="0"/>
        <w:jc w:val="center"/>
        <w:rPr>
          <w:rFonts w:ascii="Times New Roman" w:hAnsi="Times New Roman"/>
          <w:sz w:val="20"/>
        </w:rPr>
      </w:pPr>
      <w:r>
        <w:rPr>
          <w:rFonts w:ascii="Times New Roman" w:hAnsi="Times New Roman"/>
          <w:sz w:val="20"/>
        </w:rPr>
        <w:t xml:space="preserve">Senior Unsecured </w:t>
      </w:r>
    </w:p>
    <w:p>
      <w:pPr>
        <w:pStyle w:val="TextBody"/>
        <w:spacing w:before="0" w:after="0"/>
        <w:jc w:val="center"/>
        <w:rPr>
          <w:rFonts w:ascii="Times New Roman" w:hAnsi="Times New Roman"/>
          <w:sz w:val="20"/>
        </w:rPr>
      </w:pPr>
      <w:r>
        <w:rPr>
          <w:rFonts w:ascii="Times New Roman" w:hAnsi="Times New Roman"/>
          <w:sz w:val="20"/>
        </w:rPr>
        <w:t xml:space="preserve">364-Day Revolving Credit Facility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134"/>
        <w:gridCol w:w="197"/>
        <w:gridCol w:w="8254"/>
        <w:gridCol w:w="207"/>
        <w:gridCol w:w="60"/>
        <w:gridCol w:w="230"/>
        <w:gridCol w:w="123"/>
      </w:tblGrid>
      <w:tr>
        <w:trPr/>
        <w:tc>
          <w:tcPr>
            <w:tcW w:w="1134"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825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1134"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Section</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9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Page</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sz w:val="20"/>
              </w:rPr>
            </w:pPr>
            <w:r>
              <w:rPr>
                <w:rFonts w:ascii="Times New Roman" w:hAnsi="Times New Roman"/>
                <w:sz w:val="20"/>
              </w:rPr>
              <w:t>ARTICLE I.</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DEFINITIONS AND ACCOUNTING TERMS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rHeight w:val="120" w:hRule="atLeast"/>
        </w:trPr>
        <w:tc>
          <w:tcPr>
            <w:tcW w:w="1134" w:type="dxa"/>
            <w:tcBorders/>
            <w:shd w:fill="auto" w:val="clear"/>
            <w:vAlign w:val="center"/>
          </w:tcPr>
          <w:p>
            <w:pPr>
              <w:pStyle w:val="TableContents"/>
              <w:spacing w:before="0" w:after="283"/>
              <w:rPr>
                <w:sz w:val="4"/>
                <w:szCs w:val="4"/>
              </w:rPr>
            </w:pPr>
            <w:r>
              <w:rPr>
                <w:sz w:val="4"/>
                <w:szCs w:val="4"/>
              </w:rPr>
            </w:r>
          </w:p>
        </w:tc>
        <w:tc>
          <w:tcPr>
            <w:tcW w:w="8451" w:type="dxa"/>
            <w:gridSpan w:val="2"/>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1.01</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Defined Terms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1.02</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Other Interpretive Provisions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1.03</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Accounting Terms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1.04</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Rounding</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1.05</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Times of Day</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rHeight w:val="120" w:hRule="atLeast"/>
        </w:trPr>
        <w:tc>
          <w:tcPr>
            <w:tcW w:w="1134" w:type="dxa"/>
            <w:tcBorders/>
            <w:shd w:fill="auto" w:val="clear"/>
            <w:vAlign w:val="center"/>
          </w:tcPr>
          <w:p>
            <w:pPr>
              <w:pStyle w:val="TableContents"/>
              <w:spacing w:before="0" w:after="283"/>
              <w:rPr>
                <w:sz w:val="4"/>
                <w:szCs w:val="4"/>
              </w:rPr>
            </w:pPr>
            <w:r>
              <w:rPr>
                <w:sz w:val="4"/>
                <w:szCs w:val="4"/>
              </w:rPr>
            </w:r>
          </w:p>
        </w:tc>
        <w:tc>
          <w:tcPr>
            <w:tcW w:w="8451" w:type="dxa"/>
            <w:gridSpan w:val="2"/>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r>
      <w:tr>
        <w:trPr/>
        <w:tc>
          <w:tcPr>
            <w:tcW w:w="1134" w:type="dxa"/>
            <w:tcBorders/>
            <w:shd w:fill="auto" w:val="clear"/>
          </w:tcPr>
          <w:p>
            <w:pPr>
              <w:pStyle w:val="TableContents"/>
              <w:spacing w:before="0" w:after="283"/>
              <w:rPr>
                <w:rFonts w:ascii="Times New Roman" w:hAnsi="Times New Roman"/>
                <w:sz w:val="20"/>
              </w:rPr>
            </w:pPr>
            <w:r>
              <w:rPr>
                <w:rFonts w:ascii="Times New Roman" w:hAnsi="Times New Roman"/>
                <w:sz w:val="20"/>
              </w:rPr>
              <w:t>ARTICLE II.</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COMMITMENTS AND LOANS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rHeight w:val="120" w:hRule="atLeast"/>
        </w:trPr>
        <w:tc>
          <w:tcPr>
            <w:tcW w:w="1134" w:type="dxa"/>
            <w:tcBorders/>
            <w:shd w:fill="auto" w:val="clear"/>
            <w:vAlign w:val="center"/>
          </w:tcPr>
          <w:p>
            <w:pPr>
              <w:pStyle w:val="TableContents"/>
              <w:spacing w:before="0" w:after="283"/>
              <w:rPr>
                <w:sz w:val="4"/>
                <w:szCs w:val="4"/>
              </w:rPr>
            </w:pPr>
            <w:r>
              <w:rPr>
                <w:sz w:val="4"/>
                <w:szCs w:val="4"/>
              </w:rPr>
            </w:r>
          </w:p>
        </w:tc>
        <w:tc>
          <w:tcPr>
            <w:tcW w:w="8451" w:type="dxa"/>
            <w:gridSpan w:val="2"/>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2.01</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Loans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2.02</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Borrowings, Conversions and Continuations of Loans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2.03</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Prepayments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2.04</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Termination or Reduction of Commitments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2.05</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Repayment of Loans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2.06</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Interest</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2.07</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Fees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2.08</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Computation of Interest and Fees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2.09</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Evidence of Debt</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2.10</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Payments Generally; Administrative Agents Clawback</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2.11</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Sharing of Payments by Lenders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2.12</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Defaulting Lenders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3" w:type="dxa"/>
            <w:tcBorders/>
            <w:shd w:fill="auto" w:val="clear"/>
            <w:vAlign w:val="bottom"/>
          </w:tcPr>
          <w:p>
            <w:pPr>
              <w:pStyle w:val="TableContents"/>
              <w:spacing w:before="0" w:after="283"/>
              <w:rPr/>
            </w:pPr>
            <w:r>
              <w:rPr/>
              <w:t>  </w:t>
            </w:r>
          </w:p>
        </w:tc>
      </w:tr>
      <w:tr>
        <w:trPr>
          <w:trHeight w:val="120" w:hRule="atLeast"/>
        </w:trPr>
        <w:tc>
          <w:tcPr>
            <w:tcW w:w="1134" w:type="dxa"/>
            <w:tcBorders/>
            <w:shd w:fill="auto" w:val="clear"/>
            <w:vAlign w:val="center"/>
          </w:tcPr>
          <w:p>
            <w:pPr>
              <w:pStyle w:val="TableContents"/>
              <w:spacing w:before="0" w:after="283"/>
              <w:rPr>
                <w:sz w:val="4"/>
                <w:szCs w:val="4"/>
              </w:rPr>
            </w:pPr>
            <w:r>
              <w:rPr>
                <w:sz w:val="4"/>
                <w:szCs w:val="4"/>
              </w:rPr>
            </w:r>
          </w:p>
        </w:tc>
        <w:tc>
          <w:tcPr>
            <w:tcW w:w="8451" w:type="dxa"/>
            <w:gridSpan w:val="2"/>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r>
      <w:tr>
        <w:trPr/>
        <w:tc>
          <w:tcPr>
            <w:tcW w:w="1134" w:type="dxa"/>
            <w:tcBorders/>
            <w:shd w:fill="auto" w:val="clear"/>
          </w:tcPr>
          <w:p>
            <w:pPr>
              <w:pStyle w:val="TableContents"/>
              <w:spacing w:before="0" w:after="283"/>
              <w:rPr>
                <w:rFonts w:ascii="Times New Roman" w:hAnsi="Times New Roman"/>
                <w:sz w:val="20"/>
              </w:rPr>
            </w:pPr>
            <w:r>
              <w:rPr>
                <w:rFonts w:ascii="Times New Roman" w:hAnsi="Times New Roman"/>
                <w:sz w:val="20"/>
              </w:rPr>
              <w:t>ARTICLE III.</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TAXES, YIELD PROTECTION AND ILLEGALITY</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3" w:type="dxa"/>
            <w:tcBorders/>
            <w:shd w:fill="auto" w:val="clear"/>
            <w:vAlign w:val="bottom"/>
          </w:tcPr>
          <w:p>
            <w:pPr>
              <w:pStyle w:val="TableContents"/>
              <w:spacing w:before="0" w:after="283"/>
              <w:rPr/>
            </w:pPr>
            <w:r>
              <w:rPr/>
              <w:t>  </w:t>
            </w:r>
          </w:p>
        </w:tc>
      </w:tr>
      <w:tr>
        <w:trPr>
          <w:trHeight w:val="120" w:hRule="atLeast"/>
        </w:trPr>
        <w:tc>
          <w:tcPr>
            <w:tcW w:w="1134" w:type="dxa"/>
            <w:tcBorders/>
            <w:shd w:fill="auto" w:val="clear"/>
            <w:vAlign w:val="center"/>
          </w:tcPr>
          <w:p>
            <w:pPr>
              <w:pStyle w:val="TableContents"/>
              <w:spacing w:before="0" w:after="283"/>
              <w:rPr>
                <w:sz w:val="4"/>
                <w:szCs w:val="4"/>
              </w:rPr>
            </w:pPr>
            <w:r>
              <w:rPr>
                <w:sz w:val="4"/>
                <w:szCs w:val="4"/>
              </w:rPr>
            </w:r>
          </w:p>
        </w:tc>
        <w:tc>
          <w:tcPr>
            <w:tcW w:w="8451" w:type="dxa"/>
            <w:gridSpan w:val="2"/>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3.01</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Taxes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3.02</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Illegality</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3.03</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Inability to Determine Rates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3.04</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Increased Costs; Reserves on Eurodollar Rate Loans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3.05</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Compensation for Losses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3.06</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Mitigation Obligations; Replacement of Lenders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3.07</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Survival</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r>
      <w:tr>
        <w:trPr>
          <w:trHeight w:val="120" w:hRule="atLeast"/>
        </w:trPr>
        <w:tc>
          <w:tcPr>
            <w:tcW w:w="1134" w:type="dxa"/>
            <w:tcBorders/>
            <w:shd w:fill="auto" w:val="clear"/>
            <w:vAlign w:val="center"/>
          </w:tcPr>
          <w:p>
            <w:pPr>
              <w:pStyle w:val="TableContents"/>
              <w:spacing w:before="0" w:after="283"/>
              <w:rPr>
                <w:sz w:val="4"/>
                <w:szCs w:val="4"/>
              </w:rPr>
            </w:pPr>
            <w:r>
              <w:rPr>
                <w:sz w:val="4"/>
                <w:szCs w:val="4"/>
              </w:rPr>
            </w:r>
          </w:p>
        </w:tc>
        <w:tc>
          <w:tcPr>
            <w:tcW w:w="8451" w:type="dxa"/>
            <w:gridSpan w:val="2"/>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r>
      <w:tr>
        <w:trPr/>
        <w:tc>
          <w:tcPr>
            <w:tcW w:w="1134" w:type="dxa"/>
            <w:tcBorders/>
            <w:shd w:fill="auto" w:val="clear"/>
          </w:tcPr>
          <w:p>
            <w:pPr>
              <w:pStyle w:val="TableContents"/>
              <w:spacing w:before="0" w:after="283"/>
              <w:rPr>
                <w:rFonts w:ascii="Times New Roman" w:hAnsi="Times New Roman"/>
                <w:sz w:val="20"/>
              </w:rPr>
            </w:pPr>
            <w:r>
              <w:rPr>
                <w:rFonts w:ascii="Times New Roman" w:hAnsi="Times New Roman"/>
                <w:sz w:val="20"/>
              </w:rPr>
              <w:t>ARTICLE IV.</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CONDITIONS PRECEDENT TO LOANS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r>
      <w:tr>
        <w:trPr>
          <w:trHeight w:val="120" w:hRule="atLeast"/>
        </w:trPr>
        <w:tc>
          <w:tcPr>
            <w:tcW w:w="1134" w:type="dxa"/>
            <w:tcBorders/>
            <w:shd w:fill="auto" w:val="clear"/>
            <w:vAlign w:val="center"/>
          </w:tcPr>
          <w:p>
            <w:pPr>
              <w:pStyle w:val="TableContents"/>
              <w:spacing w:before="0" w:after="283"/>
              <w:rPr>
                <w:sz w:val="4"/>
                <w:szCs w:val="4"/>
              </w:rPr>
            </w:pPr>
            <w:r>
              <w:rPr>
                <w:sz w:val="4"/>
                <w:szCs w:val="4"/>
              </w:rPr>
            </w:r>
          </w:p>
        </w:tc>
        <w:tc>
          <w:tcPr>
            <w:tcW w:w="8451" w:type="dxa"/>
            <w:gridSpan w:val="2"/>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4.01</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Conditions Precedent to Closing</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4.02</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Conditions Precedent to Activation</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4.03</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Conditions to all Loans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3" w:type="dxa"/>
            <w:tcBorders/>
            <w:shd w:fill="auto" w:val="clear"/>
            <w:vAlign w:val="bottom"/>
          </w:tcPr>
          <w:p>
            <w:pPr>
              <w:pStyle w:val="TableContents"/>
              <w:spacing w:before="0" w:after="283"/>
              <w:rPr/>
            </w:pPr>
            <w:r>
              <w:rPr/>
              <w:t>  </w:t>
            </w:r>
          </w:p>
        </w:tc>
      </w:tr>
      <w:tr>
        <w:trPr>
          <w:trHeight w:val="120" w:hRule="atLeast"/>
        </w:trPr>
        <w:tc>
          <w:tcPr>
            <w:tcW w:w="1134" w:type="dxa"/>
            <w:tcBorders/>
            <w:shd w:fill="auto" w:val="clear"/>
            <w:vAlign w:val="center"/>
          </w:tcPr>
          <w:p>
            <w:pPr>
              <w:pStyle w:val="TableContents"/>
              <w:spacing w:before="0" w:after="283"/>
              <w:rPr>
                <w:sz w:val="4"/>
                <w:szCs w:val="4"/>
              </w:rPr>
            </w:pPr>
            <w:r>
              <w:rPr>
                <w:sz w:val="4"/>
                <w:szCs w:val="4"/>
              </w:rPr>
            </w:r>
          </w:p>
        </w:tc>
        <w:tc>
          <w:tcPr>
            <w:tcW w:w="8451" w:type="dxa"/>
            <w:gridSpan w:val="2"/>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r>
      <w:tr>
        <w:trPr/>
        <w:tc>
          <w:tcPr>
            <w:tcW w:w="1134" w:type="dxa"/>
            <w:tcBorders/>
            <w:shd w:fill="auto" w:val="clear"/>
          </w:tcPr>
          <w:p>
            <w:pPr>
              <w:pStyle w:val="TableContents"/>
              <w:spacing w:before="0" w:after="283"/>
              <w:rPr>
                <w:rFonts w:ascii="Times New Roman" w:hAnsi="Times New Roman"/>
                <w:sz w:val="20"/>
              </w:rPr>
            </w:pPr>
            <w:r>
              <w:rPr>
                <w:rFonts w:ascii="Times New Roman" w:hAnsi="Times New Roman"/>
                <w:sz w:val="20"/>
              </w:rPr>
              <w:t>ARTICLE V.</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REPRESENTATIONS AND WARRANTIES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3" w:type="dxa"/>
            <w:tcBorders/>
            <w:shd w:fill="auto" w:val="clear"/>
            <w:vAlign w:val="bottom"/>
          </w:tcPr>
          <w:p>
            <w:pPr>
              <w:pStyle w:val="TableContents"/>
              <w:spacing w:before="0" w:after="283"/>
              <w:rPr/>
            </w:pPr>
            <w:r>
              <w:rPr/>
              <w:t>  </w:t>
            </w:r>
          </w:p>
        </w:tc>
      </w:tr>
      <w:tr>
        <w:trPr>
          <w:trHeight w:val="120" w:hRule="atLeast"/>
        </w:trPr>
        <w:tc>
          <w:tcPr>
            <w:tcW w:w="1134" w:type="dxa"/>
            <w:tcBorders/>
            <w:shd w:fill="auto" w:val="clear"/>
            <w:vAlign w:val="center"/>
          </w:tcPr>
          <w:p>
            <w:pPr>
              <w:pStyle w:val="TableContents"/>
              <w:spacing w:before="0" w:after="283"/>
              <w:rPr>
                <w:sz w:val="4"/>
                <w:szCs w:val="4"/>
              </w:rPr>
            </w:pPr>
            <w:r>
              <w:rPr>
                <w:sz w:val="4"/>
                <w:szCs w:val="4"/>
              </w:rPr>
            </w:r>
          </w:p>
        </w:tc>
        <w:tc>
          <w:tcPr>
            <w:tcW w:w="8451" w:type="dxa"/>
            <w:gridSpan w:val="2"/>
            <w:tcBorders/>
            <w:shd w:fill="auto" w:val="clear"/>
            <w:vAlign w:val="center"/>
          </w:tcPr>
          <w:p>
            <w:pPr>
              <w:pStyle w:val="TableContents"/>
              <w:spacing w:before="0" w:after="283"/>
              <w:rPr>
                <w:sz w:val="4"/>
                <w:szCs w:val="4"/>
              </w:rPr>
            </w:pPr>
            <w:r>
              <w:rPr>
                <w:sz w:val="4"/>
                <w:szCs w:val="4"/>
              </w:rPr>
            </w:r>
          </w:p>
        </w:tc>
        <w:tc>
          <w:tcPr>
            <w:tcW w:w="620" w:type="dxa"/>
            <w:gridSpan w:val="4"/>
            <w:tcBorders/>
            <w:shd w:fill="auto" w:val="clear"/>
            <w:vAlign w:val="center"/>
          </w:tcPr>
          <w:p>
            <w:pPr>
              <w:pStyle w:val="TableContents"/>
              <w:spacing w:before="0" w:after="283"/>
              <w:rPr>
                <w:sz w:val="4"/>
                <w:szCs w:val="4"/>
              </w:rPr>
            </w:pPr>
            <w:r>
              <w:rPr>
                <w:sz w:val="4"/>
                <w:szCs w:val="4"/>
              </w:rPr>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5.01</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Existence, Qualification and Power</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5.02</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Authorization; No Contravention</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5.03</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Governmental Authorization; Other Consents</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5.04</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Binding Effect</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3" w:type="dxa"/>
            <w:tcBorders/>
            <w:shd w:fill="auto" w:val="clear"/>
            <w:vAlign w:val="bottom"/>
          </w:tcPr>
          <w:p>
            <w:pPr>
              <w:pStyle w:val="TableContents"/>
              <w:spacing w:before="0" w:after="283"/>
              <w:rPr/>
            </w:pPr>
            <w:r>
              <w:rPr/>
              <w:t>  </w:t>
            </w:r>
          </w:p>
        </w:tc>
      </w:tr>
      <w:tr>
        <w:trPr/>
        <w:tc>
          <w:tcPr>
            <w:tcW w:w="1134" w:type="dxa"/>
            <w:tcBorders/>
            <w:shd w:fill="auto" w:val="clear"/>
          </w:tcPr>
          <w:p>
            <w:pPr>
              <w:pStyle w:val="TableContents"/>
              <w:spacing w:before="0" w:after="283"/>
              <w:rPr>
                <w:rFonts w:ascii="Times New Roman" w:hAnsi="Times New Roman"/>
                <w:b/>
                <w:sz w:val="20"/>
              </w:rPr>
            </w:pPr>
            <w:r>
              <w:rPr>
                <w:rFonts w:ascii="Times New Roman" w:hAnsi="Times New Roman"/>
                <w:b/>
                <w:sz w:val="20"/>
              </w:rPr>
              <w:t>5.05</w:t>
            </w:r>
          </w:p>
        </w:tc>
        <w:tc>
          <w:tcPr>
            <w:tcW w:w="197" w:type="dxa"/>
            <w:tcBorders/>
            <w:shd w:fill="auto" w:val="clear"/>
            <w:vAlign w:val="bottom"/>
          </w:tcPr>
          <w:p>
            <w:pPr>
              <w:pStyle w:val="TableContents"/>
              <w:spacing w:before="0" w:after="283"/>
              <w:rPr/>
            </w:pPr>
            <w:r>
              <w:rPr/>
              <w:t> </w:t>
            </w:r>
          </w:p>
        </w:tc>
        <w:tc>
          <w:tcPr>
            <w:tcW w:w="825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Financial Statements; No Material Adverse Effect</w:t>
            </w:r>
          </w:p>
        </w:tc>
        <w:tc>
          <w:tcPr>
            <w:tcW w:w="2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305"/>
        <w:gridCol w:w="105"/>
        <w:gridCol w:w="8262"/>
        <w:gridCol w:w="120"/>
        <w:gridCol w:w="60"/>
        <w:gridCol w:w="230"/>
        <w:gridCol w:w="123"/>
      </w:tblGrid>
      <w:tr>
        <w:trPr/>
        <w:tc>
          <w:tcPr>
            <w:tcW w:w="13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826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5.06</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Litigation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5.07</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Environmental Compliance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5.08</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ERISA Compliance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5.09</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Margin Regulations; Investment Company Act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5.10</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Disclosure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5.11</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Compliance with Laws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3" w:type="dxa"/>
            <w:tcBorders/>
            <w:shd w:fill="auto" w:val="clear"/>
            <w:vAlign w:val="bottom"/>
          </w:tcPr>
          <w:p>
            <w:pPr>
              <w:pStyle w:val="TableContents"/>
              <w:spacing w:before="0" w:after="283"/>
              <w:rPr/>
            </w:pPr>
            <w:r>
              <w:rPr/>
              <w:t>  </w:t>
            </w:r>
          </w:p>
        </w:tc>
      </w:tr>
      <w:tr>
        <w:trPr>
          <w:trHeight w:val="120" w:hRule="atLeast"/>
        </w:trPr>
        <w:tc>
          <w:tcPr>
            <w:tcW w:w="1305" w:type="dxa"/>
            <w:tcBorders/>
            <w:shd w:fill="auto" w:val="clear"/>
            <w:vAlign w:val="center"/>
          </w:tcPr>
          <w:p>
            <w:pPr>
              <w:pStyle w:val="TableContents"/>
              <w:spacing w:before="0" w:after="283"/>
              <w:rPr>
                <w:sz w:val="4"/>
                <w:szCs w:val="4"/>
              </w:rPr>
            </w:pPr>
            <w:r>
              <w:rPr>
                <w:sz w:val="4"/>
                <w:szCs w:val="4"/>
              </w:rPr>
            </w:r>
          </w:p>
        </w:tc>
        <w:tc>
          <w:tcPr>
            <w:tcW w:w="8367" w:type="dxa"/>
            <w:gridSpan w:val="2"/>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1305" w:type="dxa"/>
            <w:tcBorders/>
            <w:shd w:fill="auto" w:val="clear"/>
          </w:tcPr>
          <w:p>
            <w:pPr>
              <w:pStyle w:val="TableContents"/>
              <w:spacing w:before="0" w:after="283"/>
              <w:rPr>
                <w:rFonts w:ascii="Times New Roman" w:hAnsi="Times New Roman"/>
                <w:sz w:val="20"/>
              </w:rPr>
            </w:pPr>
            <w:r>
              <w:rPr>
                <w:rFonts w:ascii="Times New Roman" w:hAnsi="Times New Roman"/>
                <w:sz w:val="20"/>
              </w:rPr>
              <w:t>ARTICLE VI.</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AFFIRMATIVE COVENANTS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3" w:type="dxa"/>
            <w:tcBorders/>
            <w:shd w:fill="auto" w:val="clear"/>
            <w:vAlign w:val="bottom"/>
          </w:tcPr>
          <w:p>
            <w:pPr>
              <w:pStyle w:val="TableContents"/>
              <w:spacing w:before="0" w:after="283"/>
              <w:rPr/>
            </w:pPr>
            <w:r>
              <w:rPr/>
              <w:t>  </w:t>
            </w:r>
          </w:p>
        </w:tc>
      </w:tr>
      <w:tr>
        <w:trPr>
          <w:trHeight w:val="120" w:hRule="atLeast"/>
        </w:trPr>
        <w:tc>
          <w:tcPr>
            <w:tcW w:w="1305" w:type="dxa"/>
            <w:tcBorders/>
            <w:shd w:fill="auto" w:val="clear"/>
            <w:vAlign w:val="center"/>
          </w:tcPr>
          <w:p>
            <w:pPr>
              <w:pStyle w:val="TableContents"/>
              <w:spacing w:before="0" w:after="283"/>
              <w:rPr>
                <w:sz w:val="4"/>
                <w:szCs w:val="4"/>
              </w:rPr>
            </w:pPr>
            <w:r>
              <w:rPr>
                <w:sz w:val="4"/>
                <w:szCs w:val="4"/>
              </w:rPr>
            </w:r>
          </w:p>
        </w:tc>
        <w:tc>
          <w:tcPr>
            <w:tcW w:w="8367" w:type="dxa"/>
            <w:gridSpan w:val="2"/>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6.01</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Financial Statements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6.02</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Certificates; Other Information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6.03</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Notices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6.04</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Payment of Taxes, Etc</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6.05</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Preservation of Existence, Etc</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6.06</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Maintenance of Properties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6.07</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Maintenance of Insurance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6.08</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Compliance with Laws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6.09</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Books and Records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6.10</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Inspection Rights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6.11</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Use of Proceeds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3" w:type="dxa"/>
            <w:tcBorders/>
            <w:shd w:fill="auto" w:val="clear"/>
            <w:vAlign w:val="bottom"/>
          </w:tcPr>
          <w:p>
            <w:pPr>
              <w:pStyle w:val="TableContents"/>
              <w:spacing w:before="0" w:after="283"/>
              <w:rPr/>
            </w:pPr>
            <w:r>
              <w:rPr/>
              <w:t>  </w:t>
            </w:r>
          </w:p>
        </w:tc>
      </w:tr>
      <w:tr>
        <w:trPr>
          <w:trHeight w:val="120" w:hRule="atLeast"/>
        </w:trPr>
        <w:tc>
          <w:tcPr>
            <w:tcW w:w="1305" w:type="dxa"/>
            <w:tcBorders/>
            <w:shd w:fill="auto" w:val="clear"/>
            <w:vAlign w:val="center"/>
          </w:tcPr>
          <w:p>
            <w:pPr>
              <w:pStyle w:val="TableContents"/>
              <w:spacing w:before="0" w:after="283"/>
              <w:rPr>
                <w:sz w:val="4"/>
                <w:szCs w:val="4"/>
              </w:rPr>
            </w:pPr>
            <w:r>
              <w:rPr>
                <w:sz w:val="4"/>
                <w:szCs w:val="4"/>
              </w:rPr>
            </w:r>
          </w:p>
        </w:tc>
        <w:tc>
          <w:tcPr>
            <w:tcW w:w="8367" w:type="dxa"/>
            <w:gridSpan w:val="2"/>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1305" w:type="dxa"/>
            <w:tcBorders/>
            <w:shd w:fill="auto" w:val="clear"/>
          </w:tcPr>
          <w:p>
            <w:pPr>
              <w:pStyle w:val="TableContents"/>
              <w:spacing w:before="0" w:after="283"/>
              <w:rPr>
                <w:rFonts w:ascii="Times New Roman" w:hAnsi="Times New Roman"/>
                <w:sz w:val="20"/>
              </w:rPr>
            </w:pPr>
            <w:r>
              <w:rPr>
                <w:rFonts w:ascii="Times New Roman" w:hAnsi="Times New Roman"/>
                <w:sz w:val="20"/>
              </w:rPr>
              <w:t>ARTICLE VII.</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NEGATIVE COVENANTS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3" w:type="dxa"/>
            <w:tcBorders/>
            <w:shd w:fill="auto" w:val="clear"/>
            <w:vAlign w:val="bottom"/>
          </w:tcPr>
          <w:p>
            <w:pPr>
              <w:pStyle w:val="TableContents"/>
              <w:spacing w:before="0" w:after="283"/>
              <w:rPr/>
            </w:pPr>
            <w:r>
              <w:rPr/>
              <w:t>  </w:t>
            </w:r>
          </w:p>
        </w:tc>
      </w:tr>
      <w:tr>
        <w:trPr>
          <w:trHeight w:val="120" w:hRule="atLeast"/>
        </w:trPr>
        <w:tc>
          <w:tcPr>
            <w:tcW w:w="1305" w:type="dxa"/>
            <w:tcBorders/>
            <w:shd w:fill="auto" w:val="clear"/>
            <w:vAlign w:val="center"/>
          </w:tcPr>
          <w:p>
            <w:pPr>
              <w:pStyle w:val="TableContents"/>
              <w:spacing w:before="0" w:after="283"/>
              <w:rPr>
                <w:sz w:val="4"/>
                <w:szCs w:val="4"/>
              </w:rPr>
            </w:pPr>
            <w:r>
              <w:rPr>
                <w:sz w:val="4"/>
                <w:szCs w:val="4"/>
              </w:rPr>
            </w:r>
          </w:p>
        </w:tc>
        <w:tc>
          <w:tcPr>
            <w:tcW w:w="8367" w:type="dxa"/>
            <w:gridSpan w:val="2"/>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7.01</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Liens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7.02</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Indebtedness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7.03</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Fundamental Changes; Dispositions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7.04</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Restricted Payments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7.05</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Transactions with Affiliates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7.06</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Burdensome Agreements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7.07</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Use of Proceeds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7.08</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Consolidated Leverage Ratio</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7.09</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Unrestricted Subsidiaries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23" w:type="dxa"/>
            <w:tcBorders/>
            <w:shd w:fill="auto" w:val="clear"/>
            <w:vAlign w:val="bottom"/>
          </w:tcPr>
          <w:p>
            <w:pPr>
              <w:pStyle w:val="TableContents"/>
              <w:spacing w:before="0" w:after="283"/>
              <w:rPr/>
            </w:pPr>
            <w:r>
              <w:rPr/>
              <w:t>  </w:t>
            </w:r>
          </w:p>
        </w:tc>
      </w:tr>
      <w:tr>
        <w:trPr>
          <w:trHeight w:val="120" w:hRule="atLeast"/>
        </w:trPr>
        <w:tc>
          <w:tcPr>
            <w:tcW w:w="1305" w:type="dxa"/>
            <w:tcBorders/>
            <w:shd w:fill="auto" w:val="clear"/>
            <w:vAlign w:val="center"/>
          </w:tcPr>
          <w:p>
            <w:pPr>
              <w:pStyle w:val="TableContents"/>
              <w:spacing w:before="0" w:after="283"/>
              <w:rPr>
                <w:sz w:val="4"/>
                <w:szCs w:val="4"/>
              </w:rPr>
            </w:pPr>
            <w:r>
              <w:rPr>
                <w:sz w:val="4"/>
                <w:szCs w:val="4"/>
              </w:rPr>
            </w:r>
          </w:p>
        </w:tc>
        <w:tc>
          <w:tcPr>
            <w:tcW w:w="8367" w:type="dxa"/>
            <w:gridSpan w:val="2"/>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1305" w:type="dxa"/>
            <w:tcBorders/>
            <w:shd w:fill="auto" w:val="clear"/>
          </w:tcPr>
          <w:p>
            <w:pPr>
              <w:pStyle w:val="TableContents"/>
              <w:spacing w:before="0" w:after="283"/>
              <w:rPr>
                <w:rFonts w:ascii="Times New Roman" w:hAnsi="Times New Roman"/>
                <w:sz w:val="20"/>
              </w:rPr>
            </w:pPr>
            <w:r>
              <w:rPr>
                <w:rFonts w:ascii="Times New Roman" w:hAnsi="Times New Roman"/>
                <w:sz w:val="20"/>
              </w:rPr>
              <w:t>ARTICLE VIII.</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EVENTS OF DEFAULT AND REMEDIES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3" w:type="dxa"/>
            <w:tcBorders/>
            <w:shd w:fill="auto" w:val="clear"/>
            <w:vAlign w:val="bottom"/>
          </w:tcPr>
          <w:p>
            <w:pPr>
              <w:pStyle w:val="TableContents"/>
              <w:spacing w:before="0" w:after="283"/>
              <w:rPr/>
            </w:pPr>
            <w:r>
              <w:rPr/>
              <w:t>  </w:t>
            </w:r>
          </w:p>
        </w:tc>
      </w:tr>
      <w:tr>
        <w:trPr>
          <w:trHeight w:val="120" w:hRule="atLeast"/>
        </w:trPr>
        <w:tc>
          <w:tcPr>
            <w:tcW w:w="1305" w:type="dxa"/>
            <w:tcBorders/>
            <w:shd w:fill="auto" w:val="clear"/>
            <w:vAlign w:val="center"/>
          </w:tcPr>
          <w:p>
            <w:pPr>
              <w:pStyle w:val="TableContents"/>
              <w:spacing w:before="0" w:after="283"/>
              <w:rPr>
                <w:sz w:val="4"/>
                <w:szCs w:val="4"/>
              </w:rPr>
            </w:pPr>
            <w:r>
              <w:rPr>
                <w:sz w:val="4"/>
                <w:szCs w:val="4"/>
              </w:rPr>
            </w:r>
          </w:p>
        </w:tc>
        <w:tc>
          <w:tcPr>
            <w:tcW w:w="8367" w:type="dxa"/>
            <w:gridSpan w:val="2"/>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8.01</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Events of Default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8.02</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Remedies Upon Event of Default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8.03</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Application of Funds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3" w:type="dxa"/>
            <w:tcBorders/>
            <w:shd w:fill="auto" w:val="clear"/>
            <w:vAlign w:val="bottom"/>
          </w:tcPr>
          <w:p>
            <w:pPr>
              <w:pStyle w:val="TableContents"/>
              <w:spacing w:before="0" w:after="283"/>
              <w:rPr/>
            </w:pPr>
            <w:r>
              <w:rPr/>
              <w:t>  </w:t>
            </w:r>
          </w:p>
        </w:tc>
      </w:tr>
      <w:tr>
        <w:trPr>
          <w:trHeight w:val="120" w:hRule="atLeast"/>
        </w:trPr>
        <w:tc>
          <w:tcPr>
            <w:tcW w:w="1305" w:type="dxa"/>
            <w:tcBorders/>
            <w:shd w:fill="auto" w:val="clear"/>
            <w:vAlign w:val="center"/>
          </w:tcPr>
          <w:p>
            <w:pPr>
              <w:pStyle w:val="TableContents"/>
              <w:spacing w:before="0" w:after="283"/>
              <w:rPr>
                <w:sz w:val="4"/>
                <w:szCs w:val="4"/>
              </w:rPr>
            </w:pPr>
            <w:r>
              <w:rPr>
                <w:sz w:val="4"/>
                <w:szCs w:val="4"/>
              </w:rPr>
            </w:r>
          </w:p>
        </w:tc>
        <w:tc>
          <w:tcPr>
            <w:tcW w:w="8367" w:type="dxa"/>
            <w:gridSpan w:val="2"/>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1305" w:type="dxa"/>
            <w:tcBorders/>
            <w:shd w:fill="auto" w:val="clear"/>
          </w:tcPr>
          <w:p>
            <w:pPr>
              <w:pStyle w:val="TableContents"/>
              <w:spacing w:before="0" w:after="283"/>
              <w:rPr>
                <w:rFonts w:ascii="Times New Roman" w:hAnsi="Times New Roman"/>
                <w:sz w:val="20"/>
              </w:rPr>
            </w:pPr>
            <w:r>
              <w:rPr>
                <w:rFonts w:ascii="Times New Roman" w:hAnsi="Times New Roman"/>
                <w:sz w:val="20"/>
              </w:rPr>
              <w:t>ARTICLE IX.</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ADMINISTRATIVE AGENT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3" w:type="dxa"/>
            <w:tcBorders/>
            <w:shd w:fill="auto" w:val="clear"/>
            <w:vAlign w:val="bottom"/>
          </w:tcPr>
          <w:p>
            <w:pPr>
              <w:pStyle w:val="TableContents"/>
              <w:spacing w:before="0" w:after="283"/>
              <w:rPr/>
            </w:pPr>
            <w:r>
              <w:rPr/>
              <w:t>  </w:t>
            </w:r>
          </w:p>
        </w:tc>
      </w:tr>
      <w:tr>
        <w:trPr>
          <w:trHeight w:val="120" w:hRule="atLeast"/>
        </w:trPr>
        <w:tc>
          <w:tcPr>
            <w:tcW w:w="1305" w:type="dxa"/>
            <w:tcBorders/>
            <w:shd w:fill="auto" w:val="clear"/>
            <w:vAlign w:val="center"/>
          </w:tcPr>
          <w:p>
            <w:pPr>
              <w:pStyle w:val="TableContents"/>
              <w:spacing w:before="0" w:after="283"/>
              <w:rPr>
                <w:sz w:val="4"/>
                <w:szCs w:val="4"/>
              </w:rPr>
            </w:pPr>
            <w:r>
              <w:rPr>
                <w:sz w:val="4"/>
                <w:szCs w:val="4"/>
              </w:rPr>
            </w:r>
          </w:p>
        </w:tc>
        <w:tc>
          <w:tcPr>
            <w:tcW w:w="8367" w:type="dxa"/>
            <w:gridSpan w:val="2"/>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9.01</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Appointment and Authority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9.02</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Rights as a Lender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9.03</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Exculpatory Provisions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9.04</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Reliance by Administrative Agent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9.05</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Delegation of Duties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9.06</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Resignation or Removal of Administrative Agent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9.07</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Non-Reliance on Administrative Agent and Other Lenders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3" w:type="dxa"/>
            <w:tcBorders/>
            <w:shd w:fill="auto" w:val="clear"/>
            <w:vAlign w:val="bottom"/>
          </w:tcPr>
          <w:p>
            <w:pPr>
              <w:pStyle w:val="TableContents"/>
              <w:spacing w:before="0" w:after="283"/>
              <w:rPr/>
            </w:pPr>
            <w:r>
              <w:rPr/>
              <w:t>  </w:t>
            </w:r>
          </w:p>
        </w:tc>
      </w:tr>
      <w:tr>
        <w:trPr/>
        <w:tc>
          <w:tcPr>
            <w:tcW w:w="1305" w:type="dxa"/>
            <w:tcBorders/>
            <w:shd w:fill="auto" w:val="clear"/>
          </w:tcPr>
          <w:p>
            <w:pPr>
              <w:pStyle w:val="TableContents"/>
              <w:spacing w:before="0" w:after="283"/>
              <w:rPr>
                <w:rFonts w:ascii="Times New Roman" w:hAnsi="Times New Roman"/>
                <w:b/>
                <w:sz w:val="20"/>
              </w:rPr>
            </w:pPr>
            <w:r>
              <w:rPr>
                <w:rFonts w:ascii="Times New Roman" w:hAnsi="Times New Roman"/>
                <w:b/>
                <w:sz w:val="20"/>
              </w:rPr>
              <w:t>9.08</w:t>
            </w:r>
          </w:p>
        </w:tc>
        <w:tc>
          <w:tcPr>
            <w:tcW w:w="105" w:type="dxa"/>
            <w:tcBorders/>
            <w:shd w:fill="auto" w:val="clear"/>
            <w:vAlign w:val="bottom"/>
          </w:tcPr>
          <w:p>
            <w:pPr>
              <w:pStyle w:val="TableContents"/>
              <w:spacing w:before="0" w:after="283"/>
              <w:rPr/>
            </w:pPr>
            <w:r>
              <w:rPr/>
              <w:t> </w:t>
            </w:r>
          </w:p>
        </w:tc>
        <w:tc>
          <w:tcPr>
            <w:tcW w:w="826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No Other Duties, Etc</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313"/>
        <w:gridCol w:w="105"/>
        <w:gridCol w:w="8192"/>
        <w:gridCol w:w="122"/>
        <w:gridCol w:w="60"/>
        <w:gridCol w:w="290"/>
        <w:gridCol w:w="123"/>
      </w:tblGrid>
      <w:tr>
        <w:trPr/>
        <w:tc>
          <w:tcPr>
            <w:tcW w:w="1313"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819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9.09</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Administrative Agent May File Proofs of Claim</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9.10</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Collateral Matters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3" w:type="dxa"/>
            <w:tcBorders/>
            <w:shd w:fill="auto" w:val="clear"/>
            <w:vAlign w:val="bottom"/>
          </w:tcPr>
          <w:p>
            <w:pPr>
              <w:pStyle w:val="TableContents"/>
              <w:spacing w:before="0" w:after="283"/>
              <w:rPr/>
            </w:pPr>
            <w:r>
              <w:rPr/>
              <w:t>  </w:t>
            </w:r>
          </w:p>
        </w:tc>
      </w:tr>
      <w:tr>
        <w:trPr>
          <w:trHeight w:val="120" w:hRule="atLeast"/>
        </w:trPr>
        <w:tc>
          <w:tcPr>
            <w:tcW w:w="1313" w:type="dxa"/>
            <w:tcBorders/>
            <w:shd w:fill="auto" w:val="clear"/>
            <w:vAlign w:val="center"/>
          </w:tcPr>
          <w:p>
            <w:pPr>
              <w:pStyle w:val="TableContents"/>
              <w:spacing w:before="0" w:after="283"/>
              <w:rPr>
                <w:sz w:val="4"/>
                <w:szCs w:val="4"/>
              </w:rPr>
            </w:pPr>
            <w:r>
              <w:rPr>
                <w:sz w:val="4"/>
                <w:szCs w:val="4"/>
              </w:rPr>
            </w:r>
          </w:p>
        </w:tc>
        <w:tc>
          <w:tcPr>
            <w:tcW w:w="8297"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ARTICLE X.</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MISCELLANEOUS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3" w:type="dxa"/>
            <w:tcBorders/>
            <w:shd w:fill="auto" w:val="clear"/>
            <w:vAlign w:val="bottom"/>
          </w:tcPr>
          <w:p>
            <w:pPr>
              <w:pStyle w:val="TableContents"/>
              <w:spacing w:before="0" w:after="283"/>
              <w:rPr/>
            </w:pPr>
            <w:r>
              <w:rPr/>
              <w:t>  </w:t>
            </w:r>
          </w:p>
        </w:tc>
      </w:tr>
      <w:tr>
        <w:trPr>
          <w:trHeight w:val="120" w:hRule="atLeast"/>
        </w:trPr>
        <w:tc>
          <w:tcPr>
            <w:tcW w:w="1313" w:type="dxa"/>
            <w:tcBorders/>
            <w:shd w:fill="auto" w:val="clear"/>
            <w:vAlign w:val="center"/>
          </w:tcPr>
          <w:p>
            <w:pPr>
              <w:pStyle w:val="TableContents"/>
              <w:spacing w:before="0" w:after="283"/>
              <w:rPr>
                <w:sz w:val="4"/>
                <w:szCs w:val="4"/>
              </w:rPr>
            </w:pPr>
            <w:r>
              <w:rPr>
                <w:sz w:val="4"/>
                <w:szCs w:val="4"/>
              </w:rPr>
            </w:r>
          </w:p>
        </w:tc>
        <w:tc>
          <w:tcPr>
            <w:tcW w:w="8297"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10.01</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Amendments, Etc</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10.02</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Notices; Effectiveness; Electronic Communication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10.03</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No Waiver; Cumulative Remedies; Enforcement; Nature of Obligations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10.04</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Expenses; Indemnity; Damage Waiver</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10.05</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Payments Set Aside</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10.06</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Successors and Assigns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10.07</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Treatment of Certain Information; Confidentiality</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10.08</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Right of Setoff</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10.09</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Interest Rate Limitation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10.10</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Counterparts; Integration; Effectiveness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10.11</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Survival of Representations and Warranties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10.12</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Severability</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10.13</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Replacement of Lenders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10.14</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Governing Law; Jurisdiction; Etc</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10.15</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Waiver of Jury Trial</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10.16</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No Advisory or Fiduciary Responsibility</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10.17</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No Recourse to Other Persons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10.18</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Electronic Execution of Assignments and Certain Other Documents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10.19</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USA PATRIOT Act</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10.20</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Time of the Essence</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3" w:type="dxa"/>
            <w:tcBorders/>
            <w:shd w:fill="auto" w:val="clear"/>
            <w:vAlign w:val="bottom"/>
          </w:tcPr>
          <w:p>
            <w:pPr>
              <w:pStyle w:val="TableContents"/>
              <w:spacing w:before="0" w:after="283"/>
              <w:rPr/>
            </w:pPr>
            <w:r>
              <w:rPr/>
              <w:t>  </w:t>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10.21</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ENTIRE AGREEMENT</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3" w:type="dxa"/>
            <w:tcBorders/>
            <w:shd w:fill="auto" w:val="clear"/>
            <w:vAlign w:val="bottom"/>
          </w:tcPr>
          <w:p>
            <w:pPr>
              <w:pStyle w:val="TableContents"/>
              <w:spacing w:before="0" w:after="283"/>
              <w:rPr/>
            </w:pPr>
            <w:r>
              <w:rPr/>
              <w:t>  </w:t>
            </w:r>
          </w:p>
        </w:tc>
      </w:tr>
      <w:tr>
        <w:trPr>
          <w:trHeight w:val="120" w:hRule="atLeast"/>
        </w:trPr>
        <w:tc>
          <w:tcPr>
            <w:tcW w:w="9610" w:type="dxa"/>
            <w:gridSpan w:val="3"/>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r>
      <w:tr>
        <w:trPr/>
        <w:tc>
          <w:tcPr>
            <w:tcW w:w="961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SIGNATURES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S-1</w:t>
            </w:r>
          </w:p>
        </w:tc>
        <w:tc>
          <w:tcPr>
            <w:tcW w:w="123" w:type="dxa"/>
            <w:tcBorders/>
            <w:shd w:fill="auto" w:val="clear"/>
            <w:vAlign w:val="bottom"/>
          </w:tcPr>
          <w:p>
            <w:pPr>
              <w:pStyle w:val="TableContents"/>
              <w:spacing w:before="0" w:after="283"/>
              <w:rPr/>
            </w:pPr>
            <w:r>
              <w:rPr/>
              <w:t>  </w:t>
            </w:r>
          </w:p>
        </w:tc>
      </w:tr>
      <w:tr>
        <w:trPr>
          <w:trHeight w:val="120" w:hRule="atLeast"/>
        </w:trPr>
        <w:tc>
          <w:tcPr>
            <w:tcW w:w="1313" w:type="dxa"/>
            <w:tcBorders/>
            <w:shd w:fill="auto" w:val="clear"/>
            <w:vAlign w:val="center"/>
          </w:tcPr>
          <w:p>
            <w:pPr>
              <w:pStyle w:val="TableContents"/>
              <w:spacing w:before="0" w:after="283"/>
              <w:rPr>
                <w:sz w:val="4"/>
                <w:szCs w:val="4"/>
              </w:rPr>
            </w:pPr>
            <w:r>
              <w:rPr>
                <w:sz w:val="4"/>
                <w:szCs w:val="4"/>
              </w:rPr>
            </w:r>
          </w:p>
        </w:tc>
        <w:tc>
          <w:tcPr>
            <w:tcW w:w="8297"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SCHEDULES</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313" w:type="dxa"/>
            <w:tcBorders/>
            <w:shd w:fill="auto" w:val="clear"/>
            <w:vAlign w:val="center"/>
          </w:tcPr>
          <w:p>
            <w:pPr>
              <w:pStyle w:val="TableContents"/>
              <w:spacing w:before="0" w:after="283"/>
              <w:rPr>
                <w:sz w:val="4"/>
                <w:szCs w:val="4"/>
              </w:rPr>
            </w:pPr>
            <w:r>
              <w:rPr>
                <w:sz w:val="4"/>
                <w:szCs w:val="4"/>
              </w:rPr>
            </w:r>
          </w:p>
        </w:tc>
        <w:tc>
          <w:tcPr>
            <w:tcW w:w="8297"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2.01</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Commitments and Applicable Percentages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5.03</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Governmental Authorization; Other Consents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5.06</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Litigation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5.07</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Environmental Matters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5.08</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ERISA Matters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5.11</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Compliance with Laws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10.02</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Administrative Agents Office; Certain Addresses for Notices</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313" w:type="dxa"/>
            <w:tcBorders/>
            <w:shd w:fill="auto" w:val="clear"/>
            <w:vAlign w:val="center"/>
          </w:tcPr>
          <w:p>
            <w:pPr>
              <w:pStyle w:val="TableContents"/>
              <w:spacing w:before="0" w:after="283"/>
              <w:rPr>
                <w:sz w:val="4"/>
                <w:szCs w:val="4"/>
              </w:rPr>
            </w:pPr>
            <w:r>
              <w:rPr>
                <w:sz w:val="4"/>
                <w:szCs w:val="4"/>
              </w:rPr>
            </w:r>
          </w:p>
        </w:tc>
        <w:tc>
          <w:tcPr>
            <w:tcW w:w="8297"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b/>
                <w:sz w:val="20"/>
              </w:rPr>
            </w:pPr>
            <w:r>
              <w:rPr>
                <w:rFonts w:ascii="Times New Roman" w:hAnsi="Times New Roman"/>
                <w:b/>
                <w:sz w:val="20"/>
              </w:rPr>
              <w:t>EXHIBITS</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313" w:type="dxa"/>
            <w:tcBorders/>
            <w:shd w:fill="auto" w:val="clear"/>
            <w:vAlign w:val="center"/>
          </w:tcPr>
          <w:p>
            <w:pPr>
              <w:pStyle w:val="TableContents"/>
              <w:spacing w:before="0" w:after="283"/>
              <w:rPr>
                <w:sz w:val="4"/>
                <w:szCs w:val="4"/>
              </w:rPr>
            </w:pPr>
            <w:r>
              <w:rPr>
                <w:sz w:val="4"/>
                <w:szCs w:val="4"/>
              </w:rPr>
            </w:r>
          </w:p>
        </w:tc>
        <w:tc>
          <w:tcPr>
            <w:tcW w:w="8297"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b/>
                <w:i/>
                <w:sz w:val="20"/>
              </w:rPr>
            </w:pPr>
            <w:r>
              <w:rPr>
                <w:rFonts w:ascii="Times New Roman" w:hAnsi="Times New Roman"/>
                <w:b/>
                <w:i/>
                <w:sz w:val="20"/>
              </w:rPr>
              <w:t>Form of</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313" w:type="dxa"/>
            <w:tcBorders/>
            <w:shd w:fill="auto" w:val="clear"/>
            <w:vAlign w:val="center"/>
          </w:tcPr>
          <w:p>
            <w:pPr>
              <w:pStyle w:val="TableContents"/>
              <w:spacing w:before="0" w:after="283"/>
              <w:rPr>
                <w:sz w:val="4"/>
                <w:szCs w:val="4"/>
              </w:rPr>
            </w:pPr>
            <w:r>
              <w:rPr>
                <w:sz w:val="4"/>
                <w:szCs w:val="4"/>
              </w:rPr>
            </w:r>
          </w:p>
        </w:tc>
        <w:tc>
          <w:tcPr>
            <w:tcW w:w="8297" w:type="dxa"/>
            <w:gridSpan w:val="2"/>
            <w:tcBorders/>
            <w:shd w:fill="auto" w:val="clear"/>
            <w:vAlign w:val="center"/>
          </w:tcPr>
          <w:p>
            <w:pPr>
              <w:pStyle w:val="TableContents"/>
              <w:spacing w:before="0" w:after="283"/>
              <w:rPr>
                <w:sz w:val="4"/>
                <w:szCs w:val="4"/>
              </w:rPr>
            </w:pPr>
            <w:r>
              <w:rPr>
                <w:sz w:val="4"/>
                <w:szCs w:val="4"/>
              </w:rPr>
            </w:r>
          </w:p>
        </w:tc>
        <w:tc>
          <w:tcPr>
            <w:tcW w:w="595" w:type="dxa"/>
            <w:gridSpan w:val="4"/>
            <w:tcBorders/>
            <w:shd w:fill="auto" w:val="clear"/>
            <w:vAlign w:val="center"/>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Loan Notice</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Note</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Compliance Certificate</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D-1</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Assignment and Assumption</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313" w:type="dxa"/>
            <w:tcBorders/>
            <w:shd w:fill="auto" w:val="clear"/>
          </w:tcPr>
          <w:p>
            <w:pPr>
              <w:pStyle w:val="TableContents"/>
              <w:spacing w:before="0" w:after="283"/>
              <w:rPr>
                <w:rFonts w:ascii="Times New Roman" w:hAnsi="Times New Roman"/>
                <w:sz w:val="20"/>
              </w:rPr>
            </w:pPr>
            <w:r>
              <w:rPr>
                <w:rFonts w:ascii="Times New Roman" w:hAnsi="Times New Roman"/>
                <w:sz w:val="20"/>
              </w:rPr>
              <w:t>D-2</w:t>
            </w:r>
          </w:p>
        </w:tc>
        <w:tc>
          <w:tcPr>
            <w:tcW w:w="105" w:type="dxa"/>
            <w:tcBorders/>
            <w:shd w:fill="auto" w:val="clear"/>
            <w:vAlign w:val="bottom"/>
          </w:tcPr>
          <w:p>
            <w:pPr>
              <w:pStyle w:val="TableContents"/>
              <w:spacing w:before="0" w:after="283"/>
              <w:rPr/>
            </w:pPr>
            <w:r>
              <w:rPr/>
              <w:t> </w:t>
            </w:r>
          </w:p>
        </w:tc>
        <w:tc>
          <w:tcPr>
            <w:tcW w:w="8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Administrative Questionnaire</w:t>
            </w:r>
          </w:p>
        </w:tc>
        <w:tc>
          <w:tcPr>
            <w:tcW w:w="1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364-DAY CREDIT AGREEMENT </w:t>
      </w:r>
    </w:p>
    <w:p>
      <w:pPr>
        <w:pStyle w:val="TextBody"/>
        <w:spacing w:before="180" w:after="0"/>
        <w:rPr>
          <w:rFonts w:ascii="Times New Roman" w:hAnsi="Times New Roman"/>
          <w:sz w:val="20"/>
        </w:rPr>
      </w:pPr>
      <w:r>
        <w:rPr>
          <w:rFonts w:ascii="Times New Roman" w:hAnsi="Times New Roman"/>
          <w:sz w:val="20"/>
        </w:rPr>
        <w:t>This 364-DAY CREDIT AGREEMENT (</w:t>
      </w:r>
      <w:r>
        <w:rPr>
          <w:rFonts w:ascii="Times New Roman" w:hAnsi="Times New Roman"/>
          <w:sz w:val="20"/>
          <w:u w:val="single"/>
        </w:rPr>
        <w:t>Agreement</w:t>
      </w:r>
      <w:r>
        <w:rPr>
          <w:rFonts w:ascii="Times New Roman" w:hAnsi="Times New Roman"/>
          <w:sz w:val="20"/>
        </w:rPr>
        <w:t>) is entered into as of December 9, 2011, among PLAINS ALL AMERICAN PIPELINE, L.P., a Delaware limited partnership (the </w:t>
      </w:r>
      <w:r>
        <w:rPr>
          <w:rFonts w:ascii="Times New Roman" w:hAnsi="Times New Roman"/>
          <w:sz w:val="20"/>
          <w:u w:val="single"/>
        </w:rPr>
        <w:t>Borrower</w:t>
      </w:r>
      <w:r>
        <w:rPr>
          <w:rFonts w:ascii="Times New Roman" w:hAnsi="Times New Roman"/>
          <w:sz w:val="20"/>
        </w:rPr>
        <w:t>), each lender from time to time party hereto (collectively, the </w:t>
      </w:r>
      <w:r>
        <w:rPr>
          <w:rFonts w:ascii="Times New Roman" w:hAnsi="Times New Roman"/>
          <w:sz w:val="20"/>
          <w:u w:val="single"/>
        </w:rPr>
        <w:t>Lenders</w:t>
      </w:r>
      <w:r>
        <w:rPr>
          <w:rFonts w:ascii="Times New Roman" w:hAnsi="Times New Roman"/>
          <w:sz w:val="20"/>
        </w:rPr>
        <w:t> and individually, a </w:t>
      </w:r>
      <w:r>
        <w:rPr>
          <w:rFonts w:ascii="Times New Roman" w:hAnsi="Times New Roman"/>
          <w:sz w:val="20"/>
          <w:u w:val="single"/>
        </w:rPr>
        <w:t>Lender</w:t>
      </w:r>
      <w:r>
        <w:rPr>
          <w:rFonts w:ascii="Times New Roman" w:hAnsi="Times New Roman"/>
          <w:sz w:val="20"/>
        </w:rPr>
        <w:t xml:space="preserve">), BANK OF AMERICA, N.A. and JPMORGAN CHASE BANK, N.A, as Co-Syndication Agents, and DNB BANK ASA, as Administrative Agent. </w:t>
      </w:r>
    </w:p>
    <w:p>
      <w:pPr>
        <w:pStyle w:val="TextBody"/>
        <w:spacing w:before="180" w:after="0"/>
        <w:rPr>
          <w:rFonts w:ascii="Times New Roman" w:hAnsi="Times New Roman"/>
          <w:sz w:val="20"/>
        </w:rPr>
      </w:pPr>
      <w:r>
        <w:rPr>
          <w:rFonts w:ascii="Times New Roman" w:hAnsi="Times New Roman"/>
          <w:sz w:val="20"/>
        </w:rPr>
        <w:t xml:space="preserve">The Borrower has requested that the Lenders provide a 364-day revolving credit facility, and the Lenders are willing to do so on the terms and conditions set forth herein. </w:t>
      </w:r>
    </w:p>
    <w:p>
      <w:pPr>
        <w:pStyle w:val="TextBody"/>
        <w:spacing w:before="180" w:after="0"/>
        <w:rPr>
          <w:rFonts w:ascii="Times New Roman" w:hAnsi="Times New Roman"/>
          <w:sz w:val="20"/>
        </w:rPr>
      </w:pPr>
      <w:r>
        <w:rPr>
          <w:rFonts w:ascii="Times New Roman" w:hAnsi="Times New Roman"/>
          <w:sz w:val="20"/>
        </w:rPr>
        <w:t xml:space="preserve">In consideration of the mutual covenants and agreements herein contained, the parties hereto covenant and agree as follows: </w:t>
      </w:r>
    </w:p>
    <w:p>
      <w:pPr>
        <w:pStyle w:val="TextBody"/>
        <w:spacing w:before="360" w:after="0"/>
        <w:jc w:val="center"/>
        <w:rPr>
          <w:rFonts w:ascii="Times New Roman" w:hAnsi="Times New Roman"/>
          <w:b/>
          <w:sz w:val="20"/>
        </w:rPr>
      </w:pPr>
      <w:r>
        <w:rPr>
          <w:rFonts w:ascii="Times New Roman" w:hAnsi="Times New Roman"/>
          <w:b/>
          <w:sz w:val="20"/>
        </w:rPr>
        <w:t xml:space="preserve">ARTICLE I. DEFINITIONS AND ACCOUNTING TERMS </w:t>
      </w:r>
    </w:p>
    <w:p>
      <w:pPr>
        <w:pStyle w:val="TextBody"/>
        <w:spacing w:before="180" w:after="0"/>
        <w:rPr>
          <w:rFonts w:ascii="Times New Roman" w:hAnsi="Times New Roman"/>
          <w:sz w:val="20"/>
        </w:rPr>
      </w:pPr>
      <w:r>
        <w:rPr>
          <w:rFonts w:ascii="Times New Roman" w:hAnsi="Times New Roman"/>
          <w:b/>
          <w:sz w:val="20"/>
        </w:rPr>
        <w:t>1.01 Defined Terms.</w:t>
      </w:r>
      <w:r>
        <w:rPr>
          <w:rFonts w:ascii="Times New Roman" w:hAnsi="Times New Roman"/>
          <w:sz w:val="20"/>
        </w:rPr>
        <w:t xml:space="preserve"> As used in this Agreement, the following terms shall have the meanings set forth below: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Acquired Indebtedness</w:t>
      </w:r>
      <w:r>
        <w:rPr>
          <w:rFonts w:ascii="Times New Roman" w:hAnsi="Times New Roman"/>
          <w:sz w:val="20"/>
        </w:rPr>
        <w:t xml:space="preserve"> means, as to any Person, Indebtedness of any other Person existing at the time such other Person is merged with or becomes a Subsidiary of such specified Person (regardless of the form of the applicable transaction by which such Person becomes a Subsidiary), in each case, existing at the time of such acquisition and not incurred in contemplation of such acquisition.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Acquisition Period</w:t>
      </w:r>
      <w:r>
        <w:rPr>
          <w:rFonts w:ascii="Times New Roman" w:hAnsi="Times New Roman"/>
          <w:sz w:val="20"/>
        </w:rPr>
        <w:t xml:space="preserve"> means the period beginning, at the election of the Borrower, with the funding date of the purchase price for a Specified Acquisition and ending on the earliest of (a) the third following fiscal quarter end, (b) the Borrowers receipt of proceeds of a Specified Equity Offering; and (c) the Borrowers election in writing to terminate such Acquisition Period.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Activation Date</w:t>
      </w:r>
      <w:r>
        <w:rPr>
          <w:rFonts w:ascii="Times New Roman" w:hAnsi="Times New Roman"/>
          <w:sz w:val="20"/>
        </w:rPr>
        <w:t xml:space="preserve"> means the date on which all conditions precedent to activation under </w:t>
      </w:r>
      <w:r>
        <w:rPr>
          <w:rFonts w:ascii="Times New Roman" w:hAnsi="Times New Roman"/>
          <w:sz w:val="20"/>
          <w:u w:val="single"/>
        </w:rPr>
        <w:t>Section 4.02</w:t>
      </w:r>
      <w:r>
        <w:rPr>
          <w:rFonts w:ascii="Times New Roman" w:hAnsi="Times New Roman"/>
          <w:sz w:val="20"/>
        </w:rPr>
        <w:t xml:space="preserve"> have been satisfied or waived in accordance with </w:t>
      </w:r>
      <w:r>
        <w:rPr>
          <w:rFonts w:ascii="Times New Roman" w:hAnsi="Times New Roman"/>
          <w:sz w:val="20"/>
          <w:u w:val="single"/>
        </w:rPr>
        <w:t>Section 10.01</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Administrative Agent</w:t>
      </w:r>
      <w:r>
        <w:rPr>
          <w:rFonts w:ascii="Times New Roman" w:hAnsi="Times New Roman"/>
          <w:sz w:val="20"/>
        </w:rPr>
        <w:t xml:space="preserve"> means DNB Bank ASA in its capacity as administrative agent under any of the Loan Documents, or any successor administrative agent appointed in accordance with </w:t>
      </w:r>
      <w:r>
        <w:rPr>
          <w:rFonts w:ascii="Times New Roman" w:hAnsi="Times New Roman"/>
          <w:sz w:val="20"/>
          <w:u w:val="single"/>
        </w:rPr>
        <w:t>Section 9.06</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Administrative Agents Office</w:t>
      </w:r>
      <w:r>
        <w:rPr>
          <w:rFonts w:ascii="Times New Roman" w:hAnsi="Times New Roman"/>
          <w:sz w:val="20"/>
        </w:rPr>
        <w:t xml:space="preserve"> means the Administrative Agents address and, as appropriate, account as set forth on </w:t>
      </w:r>
      <w:r>
        <w:rPr>
          <w:rFonts w:ascii="Times New Roman" w:hAnsi="Times New Roman"/>
          <w:sz w:val="20"/>
          <w:u w:val="single"/>
        </w:rPr>
        <w:t>Schedule 10.02</w:t>
      </w:r>
      <w:r>
        <w:rPr>
          <w:rFonts w:ascii="Times New Roman" w:hAnsi="Times New Roman"/>
          <w:sz w:val="20"/>
        </w:rPr>
        <w:t xml:space="preserve">, or such other address or account as the Administrative Agent may from time to time notify to the Borrower and the Lenders pursuant to </w:t>
      </w:r>
      <w:r>
        <w:rPr>
          <w:rFonts w:ascii="Times New Roman" w:hAnsi="Times New Roman"/>
          <w:sz w:val="20"/>
          <w:u w:val="single"/>
        </w:rPr>
        <w:t>Section 10.02</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Administrative Questionnaire</w:t>
      </w:r>
      <w:r>
        <w:rPr>
          <w:rFonts w:ascii="Times New Roman" w:hAnsi="Times New Roman"/>
          <w:sz w:val="20"/>
        </w:rPr>
        <w:t xml:space="preserve"> means an Administrative Questionnaire in substantially the form of </w:t>
      </w:r>
      <w:r>
        <w:rPr>
          <w:rFonts w:ascii="Times New Roman" w:hAnsi="Times New Roman"/>
          <w:sz w:val="20"/>
          <w:u w:val="single"/>
        </w:rPr>
        <w:t>Exhibit D-2</w:t>
      </w:r>
      <w:r>
        <w:rPr>
          <w:rFonts w:ascii="Times New Roman" w:hAnsi="Times New Roman"/>
          <w:sz w:val="20"/>
        </w:rPr>
        <w:t xml:space="preserve"> or any other form approved by the Administrative Agent.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any Person, another Person that directly, or indirectly through one or more intermediaries, Controls or is Controlled by or is under common Control with the Person specified.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Aggregate Commitments</w:t>
      </w:r>
      <w:r>
        <w:rPr>
          <w:rFonts w:ascii="Times New Roman" w:hAnsi="Times New Roman"/>
          <w:sz w:val="20"/>
        </w:rPr>
        <w:t xml:space="preserve"> means the Commitments of all the Lenders. The initial Aggregate Commitments as of the Closing Date are $1,200,000,000.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means this 364-Day Credit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Applicable Percentage</w:t>
      </w:r>
      <w:r>
        <w:rPr>
          <w:rFonts w:ascii="Times New Roman" w:hAnsi="Times New Roman"/>
          <w:sz w:val="20"/>
        </w:rPr>
        <w:t xml:space="preserve"> means with respect to any Lender at any time, the percentage (carried out to the ninth decimal place) of the Aggregate Commitments represented by such Lenders Commitment at such time, subject to adjustment as provided in </w:t>
      </w:r>
      <w:r>
        <w:rPr>
          <w:rFonts w:ascii="Times New Roman" w:hAnsi="Times New Roman"/>
          <w:sz w:val="20"/>
          <w:u w:val="single"/>
        </w:rPr>
        <w:t>Section 2.12</w:t>
      </w:r>
      <w:r>
        <w:rPr>
          <w:rFonts w:ascii="Times New Roman" w:hAnsi="Times New Roman"/>
          <w:sz w:val="20"/>
        </w:rPr>
        <w:t xml:space="preserve">. If the commitment of each Lender to make Loans has been terminated pursuant to </w:t>
      </w:r>
      <w:r>
        <w:rPr>
          <w:rFonts w:ascii="Times New Roman" w:hAnsi="Times New Roman"/>
          <w:sz w:val="20"/>
          <w:u w:val="single"/>
        </w:rPr>
        <w:t>Section 8.02</w:t>
      </w:r>
      <w:r>
        <w:rPr>
          <w:rFonts w:ascii="Times New Roman" w:hAnsi="Times New Roman"/>
          <w:sz w:val="20"/>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hAnsi="Times New Roman"/>
          <w:sz w:val="20"/>
          <w:u w:val="single"/>
        </w:rPr>
        <w:t>Schedule 2.01</w:t>
      </w:r>
      <w:r>
        <w:rPr>
          <w:rFonts w:ascii="Times New Roman" w:hAnsi="Times New Roman"/>
          <w:sz w:val="20"/>
        </w:rPr>
        <w:t xml:space="preserve"> or in the Assignment and Assumption pursuant to which such Lender becomes a party hereto, as applicable.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Applicable Rate</w:t>
      </w:r>
      <w:r>
        <w:rPr>
          <w:rFonts w:ascii="Times New Roman" w:hAnsi="Times New Roman"/>
          <w:sz w:val="20"/>
        </w:rPr>
        <w:t xml:space="preserve"> means, from time to time, the following percentages per annum, based upon the Debt Rating as set forth below: </w:t>
      </w:r>
    </w:p>
    <w:p>
      <w:pPr>
        <w:pStyle w:val="TextBody"/>
        <w:spacing w:before="360" w:after="0"/>
        <w:jc w:val="center"/>
        <w:rPr>
          <w:rFonts w:ascii="Times New Roman" w:hAnsi="Times New Roman"/>
          <w:b/>
          <w:sz w:val="20"/>
        </w:rPr>
      </w:pPr>
      <w:r>
        <w:rPr>
          <w:rFonts w:ascii="Times New Roman" w:hAnsi="Times New Roman"/>
          <w:b/>
          <w:sz w:val="20"/>
        </w:rPr>
        <w:t xml:space="preserve">Applicable Rate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123"/>
        <w:gridCol w:w="101"/>
        <w:gridCol w:w="2757"/>
        <w:gridCol w:w="101"/>
        <w:gridCol w:w="1735"/>
        <w:gridCol w:w="101"/>
        <w:gridCol w:w="2654"/>
        <w:gridCol w:w="101"/>
        <w:gridCol w:w="1532"/>
      </w:tblGrid>
      <w:tr>
        <w:trPr/>
        <w:tc>
          <w:tcPr>
            <w:tcW w:w="112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75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73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65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r>
      <w:tr>
        <w:trPr/>
        <w:tc>
          <w:tcPr>
            <w:tcW w:w="112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Pricing</w:t>
            </w:r>
          </w:p>
          <w:p>
            <w:pPr>
              <w:pStyle w:val="TableContents"/>
              <w:pBdr>
                <w:bottom w:val="single" w:sz="2" w:space="1" w:color="000000"/>
              </w:pBdr>
              <w:spacing w:before="0" w:after="15"/>
              <w:jc w:val="center"/>
              <w:rPr>
                <w:rFonts w:ascii="Times New Roman" w:hAnsi="Times New Roman"/>
                <w:b/>
                <w:sz w:val="14"/>
              </w:rPr>
            </w:pPr>
            <w:r>
              <w:rPr>
                <w:rFonts w:ascii="Times New Roman" w:hAnsi="Times New Roman"/>
                <w:b/>
                <w:sz w:val="14"/>
              </w:rPr>
              <w:t>Level</w:t>
            </w:r>
          </w:p>
        </w:tc>
        <w:tc>
          <w:tcPr>
            <w:tcW w:w="101" w:type="dxa"/>
            <w:tcBorders/>
            <w:shd w:fill="auto" w:val="clear"/>
            <w:vAlign w:val="bottom"/>
          </w:tcPr>
          <w:p>
            <w:pPr>
              <w:pStyle w:val="TableContents"/>
              <w:spacing w:before="0" w:after="283"/>
              <w:rPr/>
            </w:pPr>
            <w:r>
              <w:rPr/>
              <w:t> </w:t>
            </w:r>
          </w:p>
        </w:tc>
        <w:tc>
          <w:tcPr>
            <w:tcW w:w="2757" w:type="dxa"/>
            <w:tcBorders>
              <w:bottom w:val="single" w:sz="2" w:space="0" w:color="000000"/>
            </w:tcBorders>
            <w:shd w:fill="auto" w:val="clear"/>
            <w:tcMar>
              <w:bottom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Debt Ratings</w:t>
            </w:r>
          </w:p>
          <w:p>
            <w:pPr>
              <w:pStyle w:val="TableContents"/>
              <w:spacing w:before="0" w:after="15"/>
              <w:jc w:val="center"/>
              <w:rPr>
                <w:rFonts w:ascii="Times New Roman" w:hAnsi="Times New Roman"/>
                <w:b/>
                <w:sz w:val="14"/>
              </w:rPr>
            </w:pPr>
            <w:r>
              <w:rPr>
                <w:rFonts w:ascii="Times New Roman" w:hAnsi="Times New Roman"/>
                <w:b/>
                <w:sz w:val="14"/>
              </w:rPr>
              <w:t>S&amp;P/Moodys</w:t>
            </w:r>
          </w:p>
        </w:tc>
        <w:tc>
          <w:tcPr>
            <w:tcW w:w="101" w:type="dxa"/>
            <w:tcBorders/>
            <w:shd w:fill="auto" w:val="clear"/>
            <w:vAlign w:val="bottom"/>
          </w:tcPr>
          <w:p>
            <w:pPr>
              <w:pStyle w:val="TableContents"/>
              <w:spacing w:before="0" w:after="283"/>
              <w:rPr/>
            </w:pPr>
            <w:r>
              <w:rPr/>
              <w:t> </w:t>
            </w:r>
          </w:p>
        </w:tc>
        <w:tc>
          <w:tcPr>
            <w:tcW w:w="1735"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Facility</w:t>
              <w:br/>
              <w:t>Fee</w:t>
            </w:r>
          </w:p>
        </w:tc>
        <w:tc>
          <w:tcPr>
            <w:tcW w:w="101" w:type="dxa"/>
            <w:tcBorders/>
            <w:shd w:fill="auto" w:val="clear"/>
            <w:vAlign w:val="bottom"/>
          </w:tcPr>
          <w:p>
            <w:pPr>
              <w:pStyle w:val="TableContents"/>
              <w:spacing w:before="0" w:after="283"/>
              <w:rPr/>
            </w:pPr>
            <w:r>
              <w:rPr/>
              <w:t> </w:t>
            </w:r>
          </w:p>
        </w:tc>
        <w:tc>
          <w:tcPr>
            <w:tcW w:w="2654"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Eurodollar Rate Loans</w:t>
            </w:r>
          </w:p>
        </w:tc>
        <w:tc>
          <w:tcPr>
            <w:tcW w:w="101" w:type="dxa"/>
            <w:tcBorders/>
            <w:shd w:fill="auto" w:val="clear"/>
            <w:vAlign w:val="bottom"/>
          </w:tcPr>
          <w:p>
            <w:pPr>
              <w:pStyle w:val="TableContents"/>
              <w:spacing w:before="0" w:after="283"/>
              <w:rPr/>
            </w:pPr>
            <w:r>
              <w:rPr/>
              <w:t> </w:t>
            </w:r>
          </w:p>
        </w:tc>
        <w:tc>
          <w:tcPr>
            <w:tcW w:w="1532"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Base Rate Loans</w:t>
            </w:r>
          </w:p>
        </w:tc>
      </w:tr>
      <w:tr>
        <w:trPr/>
        <w:tc>
          <w:tcPr>
            <w:tcW w:w="1123"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1</w:t>
            </w:r>
          </w:p>
        </w:tc>
        <w:tc>
          <w:tcPr>
            <w:tcW w:w="101" w:type="dxa"/>
            <w:tcBorders/>
            <w:shd w:fill="CCEEFF" w:val="clear"/>
            <w:vAlign w:val="bottom"/>
          </w:tcPr>
          <w:p>
            <w:pPr>
              <w:pStyle w:val="TableContents"/>
              <w:spacing w:before="0" w:after="283"/>
              <w:rPr/>
            </w:pPr>
            <w:r>
              <w:rPr/>
              <w:t> </w:t>
            </w:r>
          </w:p>
        </w:tc>
        <w:tc>
          <w:tcPr>
            <w:tcW w:w="275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BBB+/Baa1 or higher</w:t>
            </w:r>
          </w:p>
        </w:tc>
        <w:tc>
          <w:tcPr>
            <w:tcW w:w="101" w:type="dxa"/>
            <w:tcBorders/>
            <w:shd w:fill="CCEEFF" w:val="clear"/>
            <w:vAlign w:val="bottom"/>
          </w:tcPr>
          <w:p>
            <w:pPr>
              <w:pStyle w:val="TableContents"/>
              <w:spacing w:before="0" w:after="283"/>
              <w:rPr/>
            </w:pPr>
            <w:r>
              <w:rPr/>
              <w:t> </w:t>
            </w:r>
          </w:p>
        </w:tc>
        <w:tc>
          <w:tcPr>
            <w:tcW w:w="173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0.175%</w:t>
            </w:r>
          </w:p>
        </w:tc>
        <w:tc>
          <w:tcPr>
            <w:tcW w:w="101" w:type="dxa"/>
            <w:tcBorders/>
            <w:shd w:fill="CCEEFF" w:val="clear"/>
            <w:vAlign w:val="bottom"/>
          </w:tcPr>
          <w:p>
            <w:pPr>
              <w:pStyle w:val="TableContents"/>
              <w:spacing w:before="0" w:after="283"/>
              <w:rPr/>
            </w:pPr>
            <w:r>
              <w:rPr/>
              <w:t> </w:t>
            </w:r>
          </w:p>
        </w:tc>
        <w:tc>
          <w:tcPr>
            <w:tcW w:w="265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1.075%</w:t>
            </w:r>
          </w:p>
        </w:tc>
        <w:tc>
          <w:tcPr>
            <w:tcW w:w="101" w:type="dxa"/>
            <w:tcBorders/>
            <w:shd w:fill="CCEEFF" w:val="clear"/>
            <w:vAlign w:val="bottom"/>
          </w:tcPr>
          <w:p>
            <w:pPr>
              <w:pStyle w:val="TableContents"/>
              <w:spacing w:before="0" w:after="283"/>
              <w:rPr/>
            </w:pPr>
            <w:r>
              <w:rPr/>
              <w:t> </w:t>
            </w:r>
          </w:p>
        </w:tc>
        <w:tc>
          <w:tcPr>
            <w:tcW w:w="153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0.075%</w:t>
            </w:r>
          </w:p>
        </w:tc>
      </w:tr>
      <w:tr>
        <w:trPr>
          <w:trHeight w:val="120" w:hRule="atLeast"/>
        </w:trPr>
        <w:tc>
          <w:tcPr>
            <w:tcW w:w="1123" w:type="dxa"/>
            <w:tcBorders/>
            <w:shd w:fill="auto" w:val="clear"/>
            <w:vAlign w:val="center"/>
          </w:tcPr>
          <w:p>
            <w:pPr>
              <w:pStyle w:val="TableContents"/>
              <w:spacing w:before="0" w:after="283"/>
              <w:rPr>
                <w:sz w:val="4"/>
                <w:szCs w:val="4"/>
              </w:rPr>
            </w:pPr>
            <w:r>
              <w:rPr>
                <w:sz w:val="4"/>
                <w:szCs w:val="4"/>
              </w:rPr>
            </w:r>
          </w:p>
        </w:tc>
        <w:tc>
          <w:tcPr>
            <w:tcW w:w="2858"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c>
          <w:tcPr>
            <w:tcW w:w="2755" w:type="dxa"/>
            <w:gridSpan w:val="2"/>
            <w:tcBorders/>
            <w:shd w:fill="auto" w:val="clear"/>
            <w:vAlign w:val="center"/>
          </w:tcPr>
          <w:p>
            <w:pPr>
              <w:pStyle w:val="TableContents"/>
              <w:spacing w:before="0" w:after="283"/>
              <w:rPr>
                <w:sz w:val="4"/>
                <w:szCs w:val="4"/>
              </w:rPr>
            </w:pPr>
            <w:r>
              <w:rPr>
                <w:sz w:val="4"/>
                <w:szCs w:val="4"/>
              </w:rPr>
            </w:r>
          </w:p>
        </w:tc>
        <w:tc>
          <w:tcPr>
            <w:tcW w:w="1633" w:type="dxa"/>
            <w:gridSpan w:val="2"/>
            <w:tcBorders/>
            <w:shd w:fill="auto" w:val="clear"/>
            <w:vAlign w:val="center"/>
          </w:tcPr>
          <w:p>
            <w:pPr>
              <w:pStyle w:val="TableContents"/>
              <w:spacing w:before="0" w:after="283"/>
              <w:rPr>
                <w:sz w:val="4"/>
                <w:szCs w:val="4"/>
              </w:rPr>
            </w:pPr>
            <w:r>
              <w:rPr>
                <w:sz w:val="4"/>
                <w:szCs w:val="4"/>
              </w:rPr>
            </w:r>
          </w:p>
        </w:tc>
      </w:tr>
      <w:tr>
        <w:trPr/>
        <w:tc>
          <w:tcPr>
            <w:tcW w:w="112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w:t>
            </w:r>
          </w:p>
        </w:tc>
        <w:tc>
          <w:tcPr>
            <w:tcW w:w="101" w:type="dxa"/>
            <w:tcBorders/>
            <w:shd w:fill="auto" w:val="clear"/>
            <w:vAlign w:val="bottom"/>
          </w:tcPr>
          <w:p>
            <w:pPr>
              <w:pStyle w:val="TableContents"/>
              <w:spacing w:before="0" w:after="283"/>
              <w:rPr/>
            </w:pPr>
            <w:r>
              <w:rPr/>
              <w:t> </w:t>
            </w:r>
          </w:p>
        </w:tc>
        <w:tc>
          <w:tcPr>
            <w:tcW w:w="275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BBB/Baa2</w:t>
            </w:r>
          </w:p>
        </w:tc>
        <w:tc>
          <w:tcPr>
            <w:tcW w:w="101" w:type="dxa"/>
            <w:tcBorders/>
            <w:shd w:fill="auto" w:val="clear"/>
            <w:vAlign w:val="bottom"/>
          </w:tcPr>
          <w:p>
            <w:pPr>
              <w:pStyle w:val="TableContents"/>
              <w:spacing w:before="0" w:after="283"/>
              <w:rPr/>
            </w:pPr>
            <w:r>
              <w:rPr/>
              <w:t> </w:t>
            </w:r>
          </w:p>
        </w:tc>
        <w:tc>
          <w:tcPr>
            <w:tcW w:w="17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0.200%</w:t>
            </w:r>
          </w:p>
        </w:tc>
        <w:tc>
          <w:tcPr>
            <w:tcW w:w="101" w:type="dxa"/>
            <w:tcBorders/>
            <w:shd w:fill="auto" w:val="clear"/>
            <w:vAlign w:val="bottom"/>
          </w:tcPr>
          <w:p>
            <w:pPr>
              <w:pStyle w:val="TableContents"/>
              <w:spacing w:before="0" w:after="283"/>
              <w:rPr/>
            </w:pPr>
            <w:r>
              <w:rPr/>
              <w:t> </w:t>
            </w:r>
          </w:p>
        </w:tc>
        <w:tc>
          <w:tcPr>
            <w:tcW w:w="265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1.300%</w:t>
            </w:r>
          </w:p>
        </w:tc>
        <w:tc>
          <w:tcPr>
            <w:tcW w:w="101" w:type="dxa"/>
            <w:tcBorders/>
            <w:shd w:fill="auto" w:val="clear"/>
            <w:vAlign w:val="bottom"/>
          </w:tcPr>
          <w:p>
            <w:pPr>
              <w:pStyle w:val="TableContents"/>
              <w:spacing w:before="0" w:after="283"/>
              <w:rPr/>
            </w:pPr>
            <w:r>
              <w:rPr/>
              <w:t> </w:t>
            </w:r>
          </w:p>
        </w:tc>
        <w:tc>
          <w:tcPr>
            <w:tcW w:w="153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0.300%</w:t>
            </w:r>
          </w:p>
        </w:tc>
      </w:tr>
      <w:tr>
        <w:trPr>
          <w:trHeight w:val="120" w:hRule="atLeast"/>
        </w:trPr>
        <w:tc>
          <w:tcPr>
            <w:tcW w:w="1123" w:type="dxa"/>
            <w:tcBorders/>
            <w:shd w:fill="auto" w:val="clear"/>
            <w:vAlign w:val="center"/>
          </w:tcPr>
          <w:p>
            <w:pPr>
              <w:pStyle w:val="TableContents"/>
              <w:spacing w:before="0" w:after="283"/>
              <w:rPr>
                <w:sz w:val="4"/>
                <w:szCs w:val="4"/>
              </w:rPr>
            </w:pPr>
            <w:r>
              <w:rPr>
                <w:sz w:val="4"/>
                <w:szCs w:val="4"/>
              </w:rPr>
            </w:r>
          </w:p>
        </w:tc>
        <w:tc>
          <w:tcPr>
            <w:tcW w:w="2858"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c>
          <w:tcPr>
            <w:tcW w:w="2755" w:type="dxa"/>
            <w:gridSpan w:val="2"/>
            <w:tcBorders/>
            <w:shd w:fill="auto" w:val="clear"/>
            <w:vAlign w:val="center"/>
          </w:tcPr>
          <w:p>
            <w:pPr>
              <w:pStyle w:val="TableContents"/>
              <w:spacing w:before="0" w:after="283"/>
              <w:rPr>
                <w:sz w:val="4"/>
                <w:szCs w:val="4"/>
              </w:rPr>
            </w:pPr>
            <w:r>
              <w:rPr>
                <w:sz w:val="4"/>
                <w:szCs w:val="4"/>
              </w:rPr>
            </w:r>
          </w:p>
        </w:tc>
        <w:tc>
          <w:tcPr>
            <w:tcW w:w="1633" w:type="dxa"/>
            <w:gridSpan w:val="2"/>
            <w:tcBorders/>
            <w:shd w:fill="auto" w:val="clear"/>
            <w:vAlign w:val="center"/>
          </w:tcPr>
          <w:p>
            <w:pPr>
              <w:pStyle w:val="TableContents"/>
              <w:spacing w:before="0" w:after="283"/>
              <w:rPr>
                <w:sz w:val="4"/>
                <w:szCs w:val="4"/>
              </w:rPr>
            </w:pPr>
            <w:r>
              <w:rPr>
                <w:sz w:val="4"/>
                <w:szCs w:val="4"/>
              </w:rPr>
            </w:r>
          </w:p>
        </w:tc>
      </w:tr>
      <w:tr>
        <w:trPr/>
        <w:tc>
          <w:tcPr>
            <w:tcW w:w="1123"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3</w:t>
            </w:r>
          </w:p>
        </w:tc>
        <w:tc>
          <w:tcPr>
            <w:tcW w:w="101" w:type="dxa"/>
            <w:tcBorders/>
            <w:shd w:fill="CCEEFF" w:val="clear"/>
            <w:vAlign w:val="bottom"/>
          </w:tcPr>
          <w:p>
            <w:pPr>
              <w:pStyle w:val="TableContents"/>
              <w:spacing w:before="0" w:after="283"/>
              <w:rPr/>
            </w:pPr>
            <w:r>
              <w:rPr/>
              <w:t> </w:t>
            </w:r>
          </w:p>
        </w:tc>
        <w:tc>
          <w:tcPr>
            <w:tcW w:w="275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BBB-/Baa3</w:t>
            </w:r>
          </w:p>
        </w:tc>
        <w:tc>
          <w:tcPr>
            <w:tcW w:w="101" w:type="dxa"/>
            <w:tcBorders/>
            <w:shd w:fill="CCEEFF" w:val="clear"/>
            <w:vAlign w:val="bottom"/>
          </w:tcPr>
          <w:p>
            <w:pPr>
              <w:pStyle w:val="TableContents"/>
              <w:spacing w:before="0" w:after="283"/>
              <w:rPr/>
            </w:pPr>
            <w:r>
              <w:rPr/>
              <w:t> </w:t>
            </w:r>
          </w:p>
        </w:tc>
        <w:tc>
          <w:tcPr>
            <w:tcW w:w="173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0.250%</w:t>
            </w:r>
          </w:p>
        </w:tc>
        <w:tc>
          <w:tcPr>
            <w:tcW w:w="101" w:type="dxa"/>
            <w:tcBorders/>
            <w:shd w:fill="CCEEFF" w:val="clear"/>
            <w:vAlign w:val="bottom"/>
          </w:tcPr>
          <w:p>
            <w:pPr>
              <w:pStyle w:val="TableContents"/>
              <w:spacing w:before="0" w:after="283"/>
              <w:rPr/>
            </w:pPr>
            <w:r>
              <w:rPr/>
              <w:t> </w:t>
            </w:r>
          </w:p>
        </w:tc>
        <w:tc>
          <w:tcPr>
            <w:tcW w:w="265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1.375%</w:t>
            </w:r>
          </w:p>
        </w:tc>
        <w:tc>
          <w:tcPr>
            <w:tcW w:w="101" w:type="dxa"/>
            <w:tcBorders/>
            <w:shd w:fill="CCEEFF" w:val="clear"/>
            <w:vAlign w:val="bottom"/>
          </w:tcPr>
          <w:p>
            <w:pPr>
              <w:pStyle w:val="TableContents"/>
              <w:spacing w:before="0" w:after="283"/>
              <w:rPr/>
            </w:pPr>
            <w:r>
              <w:rPr/>
              <w:t> </w:t>
            </w:r>
          </w:p>
        </w:tc>
        <w:tc>
          <w:tcPr>
            <w:tcW w:w="153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0.375%</w:t>
            </w:r>
          </w:p>
        </w:tc>
      </w:tr>
      <w:tr>
        <w:trPr>
          <w:trHeight w:val="120" w:hRule="atLeast"/>
        </w:trPr>
        <w:tc>
          <w:tcPr>
            <w:tcW w:w="1123" w:type="dxa"/>
            <w:tcBorders/>
            <w:shd w:fill="auto" w:val="clear"/>
            <w:vAlign w:val="center"/>
          </w:tcPr>
          <w:p>
            <w:pPr>
              <w:pStyle w:val="TableContents"/>
              <w:spacing w:before="0" w:after="283"/>
              <w:rPr>
                <w:sz w:val="4"/>
                <w:szCs w:val="4"/>
              </w:rPr>
            </w:pPr>
            <w:r>
              <w:rPr>
                <w:sz w:val="4"/>
                <w:szCs w:val="4"/>
              </w:rPr>
            </w:r>
          </w:p>
        </w:tc>
        <w:tc>
          <w:tcPr>
            <w:tcW w:w="2858"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c>
          <w:tcPr>
            <w:tcW w:w="2755" w:type="dxa"/>
            <w:gridSpan w:val="2"/>
            <w:tcBorders/>
            <w:shd w:fill="auto" w:val="clear"/>
            <w:vAlign w:val="center"/>
          </w:tcPr>
          <w:p>
            <w:pPr>
              <w:pStyle w:val="TableContents"/>
              <w:spacing w:before="0" w:after="283"/>
              <w:rPr>
                <w:sz w:val="4"/>
                <w:szCs w:val="4"/>
              </w:rPr>
            </w:pPr>
            <w:r>
              <w:rPr>
                <w:sz w:val="4"/>
                <w:szCs w:val="4"/>
              </w:rPr>
            </w:r>
          </w:p>
        </w:tc>
        <w:tc>
          <w:tcPr>
            <w:tcW w:w="1633" w:type="dxa"/>
            <w:gridSpan w:val="2"/>
            <w:tcBorders/>
            <w:shd w:fill="auto" w:val="clear"/>
            <w:vAlign w:val="center"/>
          </w:tcPr>
          <w:p>
            <w:pPr>
              <w:pStyle w:val="TableContents"/>
              <w:spacing w:before="0" w:after="283"/>
              <w:rPr>
                <w:sz w:val="4"/>
                <w:szCs w:val="4"/>
              </w:rPr>
            </w:pPr>
            <w:r>
              <w:rPr>
                <w:sz w:val="4"/>
                <w:szCs w:val="4"/>
              </w:rPr>
            </w:r>
          </w:p>
        </w:tc>
      </w:tr>
      <w:tr>
        <w:trPr/>
        <w:tc>
          <w:tcPr>
            <w:tcW w:w="112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4</w:t>
            </w:r>
          </w:p>
        </w:tc>
        <w:tc>
          <w:tcPr>
            <w:tcW w:w="101" w:type="dxa"/>
            <w:tcBorders/>
            <w:shd w:fill="auto" w:val="clear"/>
            <w:vAlign w:val="bottom"/>
          </w:tcPr>
          <w:p>
            <w:pPr>
              <w:pStyle w:val="TableContents"/>
              <w:spacing w:before="0" w:after="283"/>
              <w:rPr/>
            </w:pPr>
            <w:r>
              <w:rPr/>
              <w:t> </w:t>
            </w:r>
          </w:p>
        </w:tc>
        <w:tc>
          <w:tcPr>
            <w:tcW w:w="2757"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BB+/Ba1</w:t>
            </w:r>
          </w:p>
        </w:tc>
        <w:tc>
          <w:tcPr>
            <w:tcW w:w="101" w:type="dxa"/>
            <w:tcBorders/>
            <w:shd w:fill="auto" w:val="clear"/>
            <w:vAlign w:val="bottom"/>
          </w:tcPr>
          <w:p>
            <w:pPr>
              <w:pStyle w:val="TableContents"/>
              <w:spacing w:before="0" w:after="283"/>
              <w:rPr/>
            </w:pPr>
            <w:r>
              <w:rPr/>
              <w:t> </w:t>
            </w:r>
          </w:p>
        </w:tc>
        <w:tc>
          <w:tcPr>
            <w:tcW w:w="17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0.300%</w:t>
            </w:r>
          </w:p>
        </w:tc>
        <w:tc>
          <w:tcPr>
            <w:tcW w:w="101" w:type="dxa"/>
            <w:tcBorders/>
            <w:shd w:fill="auto" w:val="clear"/>
            <w:vAlign w:val="bottom"/>
          </w:tcPr>
          <w:p>
            <w:pPr>
              <w:pStyle w:val="TableContents"/>
              <w:spacing w:before="0" w:after="283"/>
              <w:rPr/>
            </w:pPr>
            <w:r>
              <w:rPr/>
              <w:t> </w:t>
            </w:r>
          </w:p>
        </w:tc>
        <w:tc>
          <w:tcPr>
            <w:tcW w:w="265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1.450%</w:t>
            </w:r>
          </w:p>
        </w:tc>
        <w:tc>
          <w:tcPr>
            <w:tcW w:w="101" w:type="dxa"/>
            <w:tcBorders/>
            <w:shd w:fill="auto" w:val="clear"/>
            <w:vAlign w:val="bottom"/>
          </w:tcPr>
          <w:p>
            <w:pPr>
              <w:pStyle w:val="TableContents"/>
              <w:spacing w:before="0" w:after="283"/>
              <w:rPr/>
            </w:pPr>
            <w:r>
              <w:rPr/>
              <w:t> </w:t>
            </w:r>
          </w:p>
        </w:tc>
        <w:tc>
          <w:tcPr>
            <w:tcW w:w="1532"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0.450%</w:t>
            </w:r>
          </w:p>
        </w:tc>
      </w:tr>
      <w:tr>
        <w:trPr>
          <w:trHeight w:val="120" w:hRule="atLeast"/>
        </w:trPr>
        <w:tc>
          <w:tcPr>
            <w:tcW w:w="1123" w:type="dxa"/>
            <w:tcBorders/>
            <w:shd w:fill="auto" w:val="clear"/>
            <w:vAlign w:val="center"/>
          </w:tcPr>
          <w:p>
            <w:pPr>
              <w:pStyle w:val="TableContents"/>
              <w:spacing w:before="0" w:after="283"/>
              <w:rPr>
                <w:sz w:val="4"/>
                <w:szCs w:val="4"/>
              </w:rPr>
            </w:pPr>
            <w:r>
              <w:rPr>
                <w:sz w:val="4"/>
                <w:szCs w:val="4"/>
              </w:rPr>
            </w:r>
          </w:p>
        </w:tc>
        <w:tc>
          <w:tcPr>
            <w:tcW w:w="2858" w:type="dxa"/>
            <w:gridSpan w:val="2"/>
            <w:tcBorders/>
            <w:shd w:fill="auto" w:val="clear"/>
            <w:vAlign w:val="center"/>
          </w:tcPr>
          <w:p>
            <w:pPr>
              <w:pStyle w:val="TableContents"/>
              <w:spacing w:before="0" w:after="283"/>
              <w:rPr>
                <w:sz w:val="4"/>
                <w:szCs w:val="4"/>
              </w:rPr>
            </w:pPr>
            <w:r>
              <w:rPr>
                <w:sz w:val="4"/>
                <w:szCs w:val="4"/>
              </w:rPr>
            </w:r>
          </w:p>
        </w:tc>
        <w:tc>
          <w:tcPr>
            <w:tcW w:w="1836" w:type="dxa"/>
            <w:gridSpan w:val="2"/>
            <w:tcBorders/>
            <w:shd w:fill="auto" w:val="clear"/>
            <w:vAlign w:val="center"/>
          </w:tcPr>
          <w:p>
            <w:pPr>
              <w:pStyle w:val="TableContents"/>
              <w:spacing w:before="0" w:after="283"/>
              <w:rPr>
                <w:sz w:val="4"/>
                <w:szCs w:val="4"/>
              </w:rPr>
            </w:pPr>
            <w:r>
              <w:rPr>
                <w:sz w:val="4"/>
                <w:szCs w:val="4"/>
              </w:rPr>
            </w:r>
          </w:p>
        </w:tc>
        <w:tc>
          <w:tcPr>
            <w:tcW w:w="2755" w:type="dxa"/>
            <w:gridSpan w:val="2"/>
            <w:tcBorders/>
            <w:shd w:fill="auto" w:val="clear"/>
            <w:vAlign w:val="center"/>
          </w:tcPr>
          <w:p>
            <w:pPr>
              <w:pStyle w:val="TableContents"/>
              <w:spacing w:before="0" w:after="283"/>
              <w:rPr>
                <w:sz w:val="4"/>
                <w:szCs w:val="4"/>
              </w:rPr>
            </w:pPr>
            <w:r>
              <w:rPr>
                <w:sz w:val="4"/>
                <w:szCs w:val="4"/>
              </w:rPr>
            </w:r>
          </w:p>
        </w:tc>
        <w:tc>
          <w:tcPr>
            <w:tcW w:w="1633" w:type="dxa"/>
            <w:gridSpan w:val="2"/>
            <w:tcBorders/>
            <w:shd w:fill="auto" w:val="clear"/>
            <w:vAlign w:val="center"/>
          </w:tcPr>
          <w:p>
            <w:pPr>
              <w:pStyle w:val="TableContents"/>
              <w:spacing w:before="0" w:after="283"/>
              <w:rPr>
                <w:sz w:val="4"/>
                <w:szCs w:val="4"/>
              </w:rPr>
            </w:pPr>
            <w:r>
              <w:rPr>
                <w:sz w:val="4"/>
                <w:szCs w:val="4"/>
              </w:rPr>
            </w:r>
          </w:p>
        </w:tc>
      </w:tr>
      <w:tr>
        <w:trPr/>
        <w:tc>
          <w:tcPr>
            <w:tcW w:w="1123"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5</w:t>
            </w:r>
          </w:p>
        </w:tc>
        <w:tc>
          <w:tcPr>
            <w:tcW w:w="101" w:type="dxa"/>
            <w:tcBorders/>
            <w:shd w:fill="CCEEFF" w:val="clear"/>
            <w:vAlign w:val="bottom"/>
          </w:tcPr>
          <w:p>
            <w:pPr>
              <w:pStyle w:val="TableContents"/>
              <w:spacing w:before="0" w:after="283"/>
              <w:rPr/>
            </w:pPr>
            <w:r>
              <w:rPr/>
              <w:t> </w:t>
            </w:r>
          </w:p>
        </w:tc>
        <w:tc>
          <w:tcPr>
            <w:tcW w:w="275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BB/Ba2 or lower</w:t>
            </w:r>
          </w:p>
        </w:tc>
        <w:tc>
          <w:tcPr>
            <w:tcW w:w="101" w:type="dxa"/>
            <w:tcBorders/>
            <w:shd w:fill="CCEEFF" w:val="clear"/>
            <w:vAlign w:val="bottom"/>
          </w:tcPr>
          <w:p>
            <w:pPr>
              <w:pStyle w:val="TableContents"/>
              <w:spacing w:before="0" w:after="283"/>
              <w:rPr/>
            </w:pPr>
            <w:r>
              <w:rPr/>
              <w:t> </w:t>
            </w:r>
          </w:p>
        </w:tc>
        <w:tc>
          <w:tcPr>
            <w:tcW w:w="173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0.350%</w:t>
            </w:r>
          </w:p>
        </w:tc>
        <w:tc>
          <w:tcPr>
            <w:tcW w:w="101" w:type="dxa"/>
            <w:tcBorders/>
            <w:shd w:fill="CCEEFF" w:val="clear"/>
            <w:vAlign w:val="bottom"/>
          </w:tcPr>
          <w:p>
            <w:pPr>
              <w:pStyle w:val="TableContents"/>
              <w:spacing w:before="0" w:after="283"/>
              <w:rPr/>
            </w:pPr>
            <w:r>
              <w:rPr/>
              <w:t> </w:t>
            </w:r>
          </w:p>
        </w:tc>
        <w:tc>
          <w:tcPr>
            <w:tcW w:w="265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1.650%</w:t>
            </w:r>
          </w:p>
        </w:tc>
        <w:tc>
          <w:tcPr>
            <w:tcW w:w="101" w:type="dxa"/>
            <w:tcBorders/>
            <w:shd w:fill="CCEEFF" w:val="clear"/>
            <w:vAlign w:val="bottom"/>
          </w:tcPr>
          <w:p>
            <w:pPr>
              <w:pStyle w:val="TableContents"/>
              <w:spacing w:before="0" w:after="283"/>
              <w:rPr/>
            </w:pPr>
            <w:r>
              <w:rPr/>
              <w:t> </w:t>
            </w:r>
          </w:p>
        </w:tc>
        <w:tc>
          <w:tcPr>
            <w:tcW w:w="1532"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0.650%</w:t>
            </w:r>
          </w:p>
        </w:tc>
      </w:tr>
    </w:tbl>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Debt Rating</w:t>
      </w:r>
      <w:r>
        <w:rPr>
          <w:rFonts w:ascii="Times New Roman" w:hAnsi="Times New Roman"/>
          <w:sz w:val="20"/>
        </w:rPr>
        <w:t> means, as of any date of determination, the rating as determined by either S&amp;P or Moodys (collectively, the </w:t>
      </w:r>
      <w:r>
        <w:rPr>
          <w:rFonts w:ascii="Times New Roman" w:hAnsi="Times New Roman"/>
          <w:sz w:val="20"/>
          <w:u w:val="single"/>
        </w:rPr>
        <w:t>Debt Ratings</w:t>
      </w:r>
      <w:r>
        <w:rPr>
          <w:rFonts w:ascii="Times New Roman" w:hAnsi="Times New Roman"/>
          <w:sz w:val="20"/>
        </w:rPr>
        <w:t xml:space="preserve">) of the Borrowers non-credit-enhanced, senior unsecured long-term debt; </w:t>
      </w:r>
      <w:r>
        <w:rPr>
          <w:rFonts w:ascii="Times New Roman" w:hAnsi="Times New Roman"/>
          <w:sz w:val="20"/>
          <w:u w:val="single"/>
        </w:rPr>
        <w:t>provided</w:t>
      </w:r>
      <w:r>
        <w:rPr>
          <w:rFonts w:ascii="Times New Roman" w:hAnsi="Times New Roman"/>
          <w:sz w:val="20"/>
        </w:rPr>
        <w:t xml:space="preserve"> that (a) if the respective Debt Ratings issued by the foregoing rating agencies differ by one Pricing Level, then the Pricing Level for the higher of such Debt Ratings shall apply (with the Debt Rating for Pricing Level 1 being the highest and the Debt Rating for Pricing Level 5 being the lowest); (b) if the respective Debt Ratings issued by the foregoing rating agencies differ by more than one Pricing Level, then the Pricing Level that is one Pricing Level lower than the Pricing Level of the higher Debt Rating shall apply; (c) if the Borrower has only one Debt Rating, the Pricing Level equal to that of such Debt Rating shall apply; and (d) if the Borrower does not have any Debt Rating, then the Administrative Agent and the Borrower shall negotiate in good faith to amend the definition of Applicable Rate to reflect such change in circumstances, and until such time as the Administrative Agent and the Borrower shall reach agreement with respect thereto, Pricing Level 5 shall apply.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Initially, the Applicable Rate shall be determined based upon the Debt Rating specified in the certificate delivered pursuant to </w:t>
      </w:r>
      <w:r>
        <w:rPr>
          <w:rFonts w:ascii="Times New Roman" w:hAnsi="Times New Roman"/>
          <w:sz w:val="20"/>
          <w:u w:val="single"/>
        </w:rPr>
        <w:t>Section 4.01(a)(vii)</w:t>
      </w:r>
      <w:r>
        <w:rPr>
          <w:rFonts w:ascii="Times New Roman" w:hAnsi="Times New Roman"/>
          <w:sz w:val="20"/>
        </w:rPr>
        <w:t xml:space="preserve">. Thereafter, each change in the Applicable Rate resulting from a publicly announced change in the Debt Rating shall be effective, in the case of an upgrade, during the period commencing on the date of delivery by the Borrower to the Administrative Agent of notice thereof pursuant to </w:t>
      </w:r>
      <w:r>
        <w:rPr>
          <w:rFonts w:ascii="Times New Roman" w:hAnsi="Times New Roman"/>
          <w:sz w:val="20"/>
          <w:u w:val="single"/>
        </w:rPr>
        <w:t>Section 6.02(d)</w:t>
      </w:r>
      <w:r>
        <w:rPr>
          <w:rFonts w:ascii="Times New Roman" w:hAnsi="Times New Roman"/>
          <w:sz w:val="20"/>
        </w:rPr>
        <w:t xml:space="preserve">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Approved Fund</w:t>
      </w:r>
      <w:r>
        <w:rPr>
          <w:rFonts w:ascii="Times New Roman" w:hAnsi="Times New Roman"/>
          <w:sz w:val="20"/>
        </w:rPr>
        <w:t xml:space="preserve"> means any Fund that is solely administered or managed by (a) a Lender, (b) an Affiliate of a Lender or (c) an entity or an Affiliate of an entity that administers or manages a Lender.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Arrangers</w:t>
      </w:r>
      <w:r>
        <w:rPr>
          <w:rFonts w:ascii="Times New Roman" w:hAnsi="Times New Roman"/>
          <w:sz w:val="20"/>
        </w:rPr>
        <w:t xml:space="preserve"> means each of DNB Markets, Inc., Merrill Lynch, Pierce, Fenner &amp; Smith Incorporated and J.P. Morgan Securities LLC, in its capacity as joint bookrunner and co-lead arranger.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Assignee Group</w:t>
      </w:r>
      <w:r>
        <w:rPr>
          <w:rFonts w:ascii="Times New Roman" w:hAnsi="Times New Roman"/>
          <w:sz w:val="20"/>
        </w:rPr>
        <w:t xml:space="preserve"> means two or more Eligible Assignees that are Affiliates of one another or two or more Approved Funds solely managed by the same investment advisor.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Eligible Assignee (with the consent of any party whose consent is required by </w:t>
      </w:r>
      <w:r>
        <w:rPr>
          <w:rFonts w:ascii="Times New Roman" w:hAnsi="Times New Roman"/>
          <w:sz w:val="20"/>
          <w:u w:val="single"/>
        </w:rPr>
        <w:t>Section 10.06(b)</w:t>
      </w:r>
      <w:r>
        <w:rPr>
          <w:rFonts w:ascii="Times New Roman" w:hAnsi="Times New Roman"/>
          <w:sz w:val="20"/>
        </w:rPr>
        <w:t xml:space="preserve">), and accepted by the Administrative Agent, in substantially the form of </w:t>
      </w:r>
      <w:r>
        <w:rPr>
          <w:rFonts w:ascii="Times New Roman" w:hAnsi="Times New Roman"/>
          <w:sz w:val="20"/>
          <w:u w:val="single"/>
        </w:rPr>
        <w:t>Exhibit D-1</w:t>
      </w:r>
      <w:r>
        <w:rPr>
          <w:rFonts w:ascii="Times New Roman" w:hAnsi="Times New Roman"/>
          <w:sz w:val="20"/>
        </w:rPr>
        <w:t xml:space="preserve"> or any other form approved by the Administrative Agent.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Attributable Indebtedness</w:t>
      </w:r>
      <w:r>
        <w:rPr>
          <w:rFonts w:ascii="Times New Roman" w:hAnsi="Times New Roman"/>
          <w:sz w:val="20"/>
        </w:rPr>
        <w:t xml:space="preserve">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Audited Financial Statements</w:t>
      </w:r>
      <w:r>
        <w:rPr>
          <w:rFonts w:ascii="Times New Roman" w:hAnsi="Times New Roman"/>
          <w:sz w:val="20"/>
        </w:rPr>
        <w:t xml:space="preserve"> means the audited consolidated balance sheet of the Borrower and its Subsidiaries for the fiscal year ended December 31, 2010, and the related consolidated statements of income or operations and cash flows for such fiscal year and partners capital of the Borrower and its Subsidiaries, including the notes thereto.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Availability Period</w:t>
      </w:r>
      <w:r>
        <w:rPr>
          <w:rFonts w:ascii="Times New Roman" w:hAnsi="Times New Roman"/>
          <w:sz w:val="20"/>
        </w:rPr>
        <w:t xml:space="preserve"> means the period from and including the Activation Date to the earliest of (a) the Maturity Date, (b) the date of termination of the Aggregate Commitments pursuant to </w:t>
      </w:r>
      <w:r>
        <w:rPr>
          <w:rFonts w:ascii="Times New Roman" w:hAnsi="Times New Roman"/>
          <w:sz w:val="20"/>
          <w:u w:val="single"/>
        </w:rPr>
        <w:t>Section 2.04</w:t>
      </w:r>
      <w:r>
        <w:rPr>
          <w:rFonts w:ascii="Times New Roman" w:hAnsi="Times New Roman"/>
          <w:sz w:val="20"/>
        </w:rPr>
        <w:t xml:space="preserve">, and (c) the date of termination of the commitment of each Lender to make Loans pursuant to </w:t>
      </w:r>
      <w:r>
        <w:rPr>
          <w:rFonts w:ascii="Times New Roman" w:hAnsi="Times New Roman"/>
          <w:sz w:val="20"/>
          <w:u w:val="single"/>
        </w:rPr>
        <w:t>Section 8.02</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Bankruptcy and Insolvency Act (Canada)</w:t>
      </w:r>
      <w:r>
        <w:rPr>
          <w:rFonts w:ascii="Times New Roman" w:hAnsi="Times New Roman"/>
          <w:sz w:val="20"/>
        </w:rPr>
        <w:t xml:space="preserve"> means the </w:t>
      </w:r>
      <w:r>
        <w:rPr>
          <w:rFonts w:ascii="Times New Roman" w:hAnsi="Times New Roman"/>
          <w:i/>
          <w:sz w:val="20"/>
        </w:rPr>
        <w:t>Bankruptcy and Insolvency Act</w:t>
      </w:r>
      <w:r>
        <w:rPr>
          <w:rFonts w:ascii="Times New Roman" w:hAnsi="Times New Roman"/>
          <w:sz w:val="20"/>
        </w:rPr>
        <w:t xml:space="preserve">, R.S.C. 1985, c. B-3, as amended, including the regulations made and, from time to time, in force under that Act.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Base Rate</w:t>
      </w:r>
      <w:r>
        <w:rPr>
          <w:rFonts w:ascii="Times New Roman" w:hAnsi="Times New Roman"/>
          <w:sz w:val="20"/>
        </w:rPr>
        <w:t xml:space="preserve"> means for any day a fluctuating rate per annum equal to the highest of (a) the Federal Funds Rate in effect on such day plus 1/2 of 1%, (b) the rate of interest in effect for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day as publicly announced from time to time by DNB Bank at its principal office in New York, New York as its prime rate for loans made by it in Dollars and (c) the Eurodollar Rate in effect on such day as determined pursuant to clause (b) of the definition thereof plus 1.00%. The prime rate is a rate set by DNB Bank based upon various factors including DNB Banks costs and desired return, general economic conditions and other factors, and is used as a reference point for pricing some loans, which may be priced at, above, or below such announced rate. Any change in such prime rate announced by DNB Bank shall take effect at the opening of business on the day specified in the public announcement of such change.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Base Rate Loan</w:t>
      </w:r>
      <w:r>
        <w:rPr>
          <w:rFonts w:ascii="Times New Roman" w:hAnsi="Times New Roman"/>
          <w:sz w:val="20"/>
        </w:rPr>
        <w:t xml:space="preserve"> means a Loan that bears interest based on the Base Rate.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Board</w:t>
      </w:r>
      <w:r>
        <w:rPr>
          <w:rFonts w:ascii="Times New Roman" w:hAnsi="Times New Roman"/>
          <w:sz w:val="20"/>
        </w:rPr>
        <w:t xml:space="preserve"> shall have the meaning given that term in the last paragraph of the definition of the term Change of Control.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Borrower</w:t>
      </w:r>
      <w:r>
        <w:rPr>
          <w:rFonts w:ascii="Times New Roman" w:hAnsi="Times New Roman"/>
          <w:sz w:val="20"/>
        </w:rPr>
        <w:t xml:space="preserve"> has the meaning specified in the introductory paragraph hereto.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Borrower Materials</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Borrowing</w:t>
      </w:r>
      <w:r>
        <w:rPr>
          <w:rFonts w:ascii="Times New Roman" w:hAnsi="Times New Roman"/>
          <w:sz w:val="20"/>
        </w:rPr>
        <w:t xml:space="preserve"> means a borrowing consisting of simultaneous Loans of the same Type and, in the case of Eurodollar Rate Loans, having the same Interest Period made by each of the Lenders pursuant to </w:t>
      </w:r>
      <w:r>
        <w:rPr>
          <w:rFonts w:ascii="Times New Roman" w:hAnsi="Times New Roman"/>
          <w:sz w:val="20"/>
          <w:u w:val="single"/>
        </w:rPr>
        <w:t>Section 2.01</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any day other than a Saturday, Sunday or other day on which commercial banks are authorized to close under the Laws of, or are in fact closed in, the state where the Administrative Agents Office is located, and if such day relates to any interest rate settings as to a Eurodollar Rate Loan, any fundings, disbursements, settlements and payments in respect of any such Eurodollar Rate Loan, or any other dealings to be carried out pursuant to this Agreement in respect of any such Eurodollar Rate Loan, means any such day on which dealings in deposits in Dollars are conducted by and between banks in the London interbank Eurodollar market.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Capital Lease</w:t>
      </w:r>
      <w:r>
        <w:rPr>
          <w:rFonts w:ascii="Times New Roman" w:hAnsi="Times New Roman"/>
          <w:sz w:val="20"/>
        </w:rPr>
        <w:t xml:space="preserve"> means a lease with respect to which the lessee is required concurrently to recognize the acquisition of an asset and the incurrence of a liability in accordance with GAAP, other than any Operating Lease.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Cash and Carry Purchases</w:t>
      </w:r>
      <w:r>
        <w:rPr>
          <w:rFonts w:ascii="Times New Roman" w:hAnsi="Times New Roman"/>
          <w:sz w:val="20"/>
        </w:rPr>
        <w:t xml:space="preserve"> means purchases of Petroleum Products for physical storage or in storage or in transit in pipelines which has been hedged by either a NYMEX contract, an OTC contract, an Intercontinental Exchange contract, or a contract for physical delivery.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Change in Law</w:t>
      </w:r>
      <w:r>
        <w:rPr>
          <w:rFonts w:ascii="Times New Roman" w:hAnsi="Times New Roman"/>
          <w:sz w:val="20"/>
        </w:rPr>
        <w:t xml:space="preserve"> means the occurrence, after the date of this Agreement,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Times New Roman" w:hAnsi="Times New Roman"/>
          <w:sz w:val="20"/>
          <w:u w:val="single"/>
        </w:rPr>
        <w:t>provided</w:t>
      </w:r>
      <w:r>
        <w:rPr>
          <w:rFonts w:ascii="Times New Roman" w:hAnsi="Times New Roman"/>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Change of Control</w:t>
      </w:r>
      <w:r>
        <w:rPr>
          <w:rFonts w:ascii="Times New Roman" w:hAnsi="Times New Roman"/>
          <w:sz w:val="20"/>
        </w:rPr>
        <w:t xml:space="preserve"> means the occurrence of any of the following events: </w:t>
      </w:r>
    </w:p>
    <w:p>
      <w:pPr>
        <w:pStyle w:val="TextBody"/>
        <w:spacing w:before="180" w:after="0"/>
        <w:rPr>
          <w:rFonts w:ascii="Times New Roman" w:hAnsi="Times New Roman"/>
          <w:sz w:val="20"/>
        </w:rPr>
      </w:pPr>
      <w:r>
        <w:rPr>
          <w:rFonts w:ascii="Times New Roman" w:hAnsi="Times New Roman"/>
          <w:sz w:val="20"/>
        </w:rPr>
        <w:t xml:space="preserve">(i) the acquisition of more than 50% of the Equity Interest in the general partner of Plains AAP by a Person that is not a Current Owner if (x) the Equity Interest held by such Person gives such Person the right to elect more than half of the members of the Board, (y) such Person exercises its right to elect more than half of the members of the Board and (z) giving effect to such election, more than half of the members of the Board are not Continuing Directors; </w:t>
      </w:r>
    </w:p>
    <w:p>
      <w:pPr>
        <w:pStyle w:val="TextBody"/>
        <w:spacing w:before="180" w:after="0"/>
        <w:rPr>
          <w:rFonts w:ascii="Times New Roman" w:hAnsi="Times New Roman"/>
          <w:sz w:val="20"/>
        </w:rPr>
      </w:pPr>
      <w:r>
        <w:rPr>
          <w:rFonts w:ascii="Times New Roman" w:hAnsi="Times New Roman"/>
          <w:sz w:val="20"/>
        </w:rPr>
        <w:t xml:space="preserve">(ii) the general partner of Plains AAP shall cease to be, directly or indirectly, the beneficial owner (within the meaning of Rule 13d-3 under the Securities Exchange Act of 1934, as amended) of a majority of the general partner interests of Plains AAP; </w:t>
      </w:r>
    </w:p>
    <w:p>
      <w:pPr>
        <w:pStyle w:val="TextBody"/>
        <w:spacing w:before="180" w:after="0"/>
        <w:rPr>
          <w:rFonts w:ascii="Times New Roman" w:hAnsi="Times New Roman"/>
          <w:sz w:val="20"/>
        </w:rPr>
      </w:pPr>
      <w:r>
        <w:rPr>
          <w:rFonts w:ascii="Times New Roman" w:hAnsi="Times New Roman"/>
          <w:sz w:val="20"/>
        </w:rPr>
        <w:t xml:space="preserve">(iii) Plains AAP shall cease to be, directly or indirectly, the beneficial owner (as defined above) of a majority of the limited liability company interests of General Partner; or </w:t>
      </w:r>
    </w:p>
    <w:p>
      <w:pPr>
        <w:pStyle w:val="TextBody"/>
        <w:spacing w:before="180" w:after="0"/>
        <w:rPr>
          <w:rFonts w:ascii="Times New Roman" w:hAnsi="Times New Roman"/>
          <w:sz w:val="20"/>
        </w:rPr>
      </w:pPr>
      <w:r>
        <w:rPr>
          <w:rFonts w:ascii="Times New Roman" w:hAnsi="Times New Roman"/>
          <w:sz w:val="20"/>
        </w:rPr>
        <w:t xml:space="preserve">(iv) General Partner shall cease to be, directly or indirectly, the beneficial owner (as defined above) of a majority of the general partner interest of the Borrower. </w:t>
      </w:r>
    </w:p>
    <w:p>
      <w:pPr>
        <w:pStyle w:val="TextBody"/>
        <w:spacing w:before="180" w:after="0"/>
        <w:rPr>
          <w:rFonts w:ascii="Times New Roman" w:hAnsi="Times New Roman"/>
          <w:sz w:val="20"/>
        </w:rPr>
      </w:pPr>
      <w:r>
        <w:rPr>
          <w:rFonts w:ascii="Times New Roman" w:hAnsi="Times New Roman"/>
          <w:sz w:val="20"/>
        </w:rPr>
        <w:t>As used herein, </w:t>
      </w:r>
      <w:r>
        <w:rPr>
          <w:rFonts w:ascii="Times New Roman" w:hAnsi="Times New Roman"/>
          <w:sz w:val="20"/>
          <w:u w:val="single"/>
        </w:rPr>
        <w:t>Board</w:t>
      </w:r>
      <w:r>
        <w:rPr>
          <w:rFonts w:ascii="Times New Roman" w:hAnsi="Times New Roman"/>
          <w:sz w:val="20"/>
        </w:rPr>
        <w:t> means the board of directors or equivalent body of the general partner of Plains AAP; </w:t>
      </w:r>
      <w:r>
        <w:rPr>
          <w:rFonts w:ascii="Times New Roman" w:hAnsi="Times New Roman"/>
          <w:sz w:val="20"/>
          <w:u w:val="single"/>
        </w:rPr>
        <w:t>Continuing Directors</w:t>
      </w:r>
      <w:r>
        <w:rPr>
          <w:rFonts w:ascii="Times New Roman" w:hAnsi="Times New Roman"/>
          <w:sz w:val="20"/>
        </w:rPr>
        <w:t> means the members of the Board elected, appointed or otherwise designated by a Current Owner or by the Current Owners; </w:t>
      </w:r>
      <w:r>
        <w:rPr>
          <w:rFonts w:ascii="Times New Roman" w:hAnsi="Times New Roman"/>
          <w:sz w:val="20"/>
          <w:u w:val="single"/>
        </w:rPr>
        <w:t>Current Owner</w:t>
      </w:r>
      <w:r>
        <w:rPr>
          <w:rFonts w:ascii="Times New Roman" w:hAnsi="Times New Roman"/>
          <w:sz w:val="20"/>
        </w:rPr>
        <w:t xml:space="preserve"> means (i) an owner, as of the effective date of this Agreement, of an Equity Interest in the general partner of Plains AAP and (ii) any Affiliate of such owner.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means the first date on which all the conditions precedent in </w:t>
      </w:r>
      <w:r>
        <w:rPr>
          <w:rFonts w:ascii="Times New Roman" w:hAnsi="Times New Roman"/>
          <w:sz w:val="20"/>
          <w:u w:val="single"/>
        </w:rPr>
        <w:t>Section 4.01</w:t>
      </w:r>
      <w:r>
        <w:rPr>
          <w:rFonts w:ascii="Times New Roman" w:hAnsi="Times New Roman"/>
          <w:sz w:val="20"/>
        </w:rPr>
        <w:t xml:space="preserve"> are satisfied or waived in accordance with </w:t>
      </w:r>
      <w:r>
        <w:rPr>
          <w:rFonts w:ascii="Times New Roman" w:hAnsi="Times New Roman"/>
          <w:sz w:val="20"/>
          <w:u w:val="single"/>
        </w:rPr>
        <w:t>Section 10.01</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Commitment</w:t>
      </w:r>
      <w:r>
        <w:rPr>
          <w:rFonts w:ascii="Times New Roman" w:hAnsi="Times New Roman"/>
          <w:sz w:val="20"/>
        </w:rPr>
        <w:t xml:space="preserve"> means, as to each Lender, such Lenders obligation to make Loans to the Borrower in an aggregate principal amount which at any one time outstanding, does not exceed the amount set forth opposite such Lenders name on </w:t>
      </w:r>
      <w:r>
        <w:rPr>
          <w:rFonts w:ascii="Times New Roman" w:hAnsi="Times New Roman"/>
          <w:sz w:val="20"/>
          <w:u w:val="single"/>
        </w:rPr>
        <w:t>Schedule 2.01</w:t>
      </w:r>
      <w:r>
        <w:rPr>
          <w:rFonts w:ascii="Times New Roman" w:hAnsi="Times New Roman"/>
          <w:sz w:val="20"/>
        </w:rPr>
        <w:t xml:space="preserve">, as such amount may from time to time be decreased pursuant to </w:t>
      </w:r>
      <w:r>
        <w:rPr>
          <w:rFonts w:ascii="Times New Roman" w:hAnsi="Times New Roman"/>
          <w:sz w:val="20"/>
          <w:u w:val="single"/>
        </w:rPr>
        <w:t>Section 2.04</w:t>
      </w:r>
      <w:r>
        <w:rPr>
          <w:rFonts w:ascii="Times New Roman" w:hAnsi="Times New Roman"/>
          <w:sz w:val="20"/>
        </w:rPr>
        <w:t xml:space="preserve">, or in the Assignment and Assumption pursuant to which such Lender becomes a party hereto, as applicable, as such amount may be adjusted from time to time in accordance with this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Companies Creditors Arrangement Act (Canada)</w:t>
      </w:r>
      <w:r>
        <w:rPr>
          <w:rFonts w:ascii="Times New Roman" w:hAnsi="Times New Roman"/>
          <w:sz w:val="20"/>
        </w:rPr>
        <w:t xml:space="preserve"> means the </w:t>
      </w:r>
      <w:r>
        <w:rPr>
          <w:rFonts w:ascii="Times New Roman" w:hAnsi="Times New Roman"/>
          <w:i/>
          <w:sz w:val="20"/>
        </w:rPr>
        <w:t>Companies Creditors Arrangement Act</w:t>
      </w:r>
      <w:r>
        <w:rPr>
          <w:rFonts w:ascii="Times New Roman" w:hAnsi="Times New Roman"/>
          <w:sz w:val="20"/>
        </w:rPr>
        <w:t xml:space="preserve">, R.S.C. 1985, c. C-36, as amended, including the regulations made and from time to time in force under that Act.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Compliance Certificate</w:t>
      </w:r>
      <w:r>
        <w:rPr>
          <w:rFonts w:ascii="Times New Roman" w:hAnsi="Times New Roman"/>
          <w:sz w:val="20"/>
        </w:rPr>
        <w:t xml:space="preserve"> means a certificate substantially in the form of </w:t>
      </w:r>
      <w:r>
        <w:rPr>
          <w:rFonts w:ascii="Times New Roman" w:hAnsi="Times New Roman"/>
          <w:sz w:val="20"/>
          <w:u w:val="single"/>
        </w:rPr>
        <w:t>Exhibit C</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Consolidated Assets</w:t>
      </w:r>
      <w:r>
        <w:rPr>
          <w:rFonts w:ascii="Times New Roman" w:hAnsi="Times New Roman"/>
          <w:sz w:val="20"/>
        </w:rPr>
        <w:t xml:space="preserve"> means, as of any date of determination, the total assets of the Borrower and its Subsidiaries as set forth on a consolidated balance sheet of the Borrower and its Subsidiaries for their most recently completed fiscal quarter, prepared in accordance with GAAP.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Consolidated EBITDA</w:t>
      </w:r>
      <w:r>
        <w:rPr>
          <w:rFonts w:ascii="Times New Roman" w:hAnsi="Times New Roman"/>
          <w:sz w:val="20"/>
        </w:rPr>
        <w:t xml:space="preserve"> means, for any period, an amount equal to Consolidated Net Income for such period </w:t>
      </w:r>
      <w:r>
        <w:rPr>
          <w:rFonts w:ascii="Times New Roman" w:hAnsi="Times New Roman"/>
          <w:sz w:val="20"/>
          <w:u w:val="single"/>
        </w:rPr>
        <w:t>plus</w:t>
      </w:r>
      <w:r>
        <w:rPr>
          <w:rFonts w:ascii="Times New Roman" w:hAnsi="Times New Roman"/>
          <w:sz w:val="20"/>
        </w:rPr>
        <w:t xml:space="preserve"> (a) the following to the extent deducted in calculating such Consolidated Net Income for such period: (i) all interest charges and expenses, (ii) the provision for Federal, state, local and foreign income taxes (or franchise taxes, to the extent based upon net income) payable by the Borrower and its Subsidiaries (excluding, for the avoidance of doubt, Unrestricted Subsidiaries), (iii) depreciation, depletion and amortization expense, (iv) costs or expenses resulting from distributions or redemptions of the Borrowers units issued pursuant to the Borrowers long-term incentive plan, (v) any acquisition-related expenses deducted from Consolidated Net Income and associated with (A) closed acquisitions or (B) any other potential acquisitions that have not been abandoned (minus any acquisition-related expenses covered by clause (B) that relate to (x) potential acquisitions that have since been abandoned or (y) potential acquisitions that have not been consummated within one year following the date such expense was incurred (except that if the potential acquisition is the subject of a pending purchase and sale agreement as of such one-year date, such one-year period of time shall be extended until the first to occur of the termination of such purchase and sale agreement or the first day following the closing of the acquisition contemplated by such purchase and sale agreement)), and (vi) other non-recurring expenses of the Borrower and its Subsidiaries (excluding, for the avoidance of doubt, Unrestricted Subsidiaries) reducing such Consolidated Net Income which do not represent a cash item in such period or any future period and </w:t>
      </w:r>
      <w:r>
        <w:rPr>
          <w:rFonts w:ascii="Times New Roman" w:hAnsi="Times New Roman"/>
          <w:sz w:val="20"/>
          <w:u w:val="single"/>
        </w:rPr>
        <w:t>minus</w:t>
      </w:r>
      <w:r>
        <w:rPr>
          <w:rFonts w:ascii="Times New Roman" w:hAnsi="Times New Roman"/>
          <w:sz w:val="20"/>
        </w:rPr>
        <w:t xml:space="preserve"> (b) the following to the extent included in calculating such Consolidated Net Income: (i) Federal, state, local and foreign income tax credits of the Borrower and its Subsidiaries (excluding, for the avoidance of doubt, Unrestricted Subsidiaries) and (ii) all non-cash items increasing Consolidated Net Income; </w:t>
      </w:r>
      <w:r>
        <w:rPr>
          <w:rFonts w:ascii="Times New Roman" w:hAnsi="Times New Roman"/>
          <w:sz w:val="20"/>
          <w:u w:val="single"/>
        </w:rPr>
        <w:t>provided</w:t>
      </w:r>
      <w:r>
        <w:rPr>
          <w:rFonts w:ascii="Times New Roman" w:hAnsi="Times New Roman"/>
          <w:sz w:val="20"/>
        </w:rPr>
        <w:t xml:space="preserve">, that, only for purposes of determining compliance with the financial covenants set forth in </w:t>
      </w:r>
      <w:r>
        <w:rPr>
          <w:rFonts w:ascii="Times New Roman" w:hAnsi="Times New Roman"/>
          <w:sz w:val="20"/>
          <w:u w:val="single"/>
        </w:rPr>
        <w:t>Section 7.08</w:t>
      </w:r>
      <w:r>
        <w:rPr>
          <w:rFonts w:ascii="Times New Roman" w:hAnsi="Times New Roman"/>
          <w:sz w:val="20"/>
        </w:rPr>
        <w:t xml:space="preserve">, if, since the beginning of the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of any partial ownership interest in any other Person, Consolidated EBITDA shall be calculated giving pro forma effect thereto as if the disposition, acquisition, consolidation or merger had occurred on the first day of such period, and such calculation shall be determined in good faith by a financial officer of the Borrower (and the Borrower will provide to the Administrative Agent such supporting information as Administrative Agent may reasonably request),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Consolidated EBITDA may, as provided in </w:t>
      </w:r>
      <w:r>
        <w:rPr>
          <w:rFonts w:ascii="Times New Roman" w:hAnsi="Times New Roman"/>
          <w:sz w:val="20"/>
          <w:u w:val="single"/>
        </w:rPr>
        <w:t>Section 7.08</w:t>
      </w:r>
      <w:r>
        <w:rPr>
          <w:rFonts w:ascii="Times New Roman" w:hAnsi="Times New Roman"/>
          <w:sz w:val="20"/>
        </w:rPr>
        <w:t xml:space="preserve">, include Material Project EBITDA Adjustments and PNGS EBITDA Adjustments.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Consolidated Funded Indebtedness</w:t>
      </w:r>
      <w:r>
        <w:rPr>
          <w:rFonts w:ascii="Times New Roman" w:hAnsi="Times New Roman"/>
          <w:sz w:val="20"/>
        </w:rPr>
        <w:t xml:space="preserve"> means, as of any date of determination, the sum of (without duplication): (i) the outstanding principal amount of all Indebtedness which is classified as long-term indebtedness on a consolidated balance sheet of the Borrower and its Subsidiaries on a consolidated basis (excluding, for the avoidance of doubt, Unrestricted Subsidiaries)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the Borrower and its Subsidiaries on a consolidated basis (excluding, for the avoidance of doubt, Unrestricted Subsidiaries) outstanding under a revolving credit, term or similar agreement (and renewals and extensions thereof); and (iii) the outstanding principal amount of Indebtedness in respect of Capital Leases of the Borrower and its Subsidiaries on a consolidated basis (excluding, for the avoidance of doubt, Unrestricted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Consolidated Funded Indebtedness shall not, if otherwise applicable, include (x) Indebtedness in respect of letters of credit, (y) Indebtedness incurred to finance Cash and Carry Purchases or (z) margin deposits.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Consolidated Leverage Ratio</w:t>
      </w:r>
      <w:r>
        <w:rPr>
          <w:rFonts w:ascii="Times New Roman" w:hAnsi="Times New Roman"/>
          <w:sz w:val="20"/>
        </w:rPr>
        <w:t xml:space="preserve"> means, as of the end of any fiscal quarter, the ratio of (a) Consolidated Funded Indebtedness as of such date </w:t>
      </w:r>
      <w:r>
        <w:rPr>
          <w:rFonts w:ascii="Times New Roman" w:hAnsi="Times New Roman"/>
          <w:i/>
          <w:sz w:val="20"/>
        </w:rPr>
        <w:t xml:space="preserve">to </w:t>
      </w:r>
      <w:r>
        <w:rPr>
          <w:rFonts w:ascii="Times New Roman" w:hAnsi="Times New Roman"/>
          <w:sz w:val="20"/>
        </w:rPr>
        <w:t xml:space="preserve">(b) Consolidated EBITDA for the trailing four quarter period ending on such date, as Consolidated EBITDA may be adjusted pursuant to </w:t>
      </w:r>
      <w:r>
        <w:rPr>
          <w:rFonts w:ascii="Times New Roman" w:hAnsi="Times New Roman"/>
          <w:sz w:val="20"/>
          <w:u w:val="single"/>
        </w:rPr>
        <w:t>Section 7.08</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Consolidated Net Income</w:t>
      </w:r>
      <w:r>
        <w:rPr>
          <w:rFonts w:ascii="Times New Roman" w:hAnsi="Times New Roman"/>
          <w:sz w:val="20"/>
        </w:rPr>
        <w:t xml:space="preserve"> means, for any period, for the Borrower and its Subsidiaries on a consolidated basis (excluding, for the avoidance of doubt, Unrestricted Subsidiaries), the net income of the Borrower and its Subsidiaries (excluding, for the avoidance of doubt, Unrestricted Subsidiaries) for that period, including any cash dividends or distributions actually received from any Unrestricted Subsidiaries or other Persons during such period, limiting net income attributed to any non-wholly-owned consolidated Subsidiary to a proportional amount of such Subsidiarys net income equal to the Borrowers direct or indirect ownership interest therein. Consolidated Net Income shall not include (i) any gain or loss from the sale of assets other than in the ordinary course of business, (ii) any non-cash gains or losses resulting from mark to market activity as a result of the implementation of SFAS 133 or EITF 98-10 or (iii) any extraordinary gains or losses. In addition, Consolidated Net Income shall not include the cost or proceeds of purchasing or selling options which are used to hedge future activity, until the period in which such hedged future activity occurs.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Consolidated Net Tangible Assets</w:t>
      </w:r>
      <w:r>
        <w:rPr>
          <w:rFonts w:ascii="Times New Roman" w:hAnsi="Times New Roman"/>
          <w:sz w:val="20"/>
        </w:rPr>
        <w:t xml:space="preserve"> means, as of any date of determination, the Consolidated Assets of the Borrower and its Subsidiaries, after deducting therefrom: (a) all current liabilities, excluding (i) any current liabilities that by their terms are extendable or renewable at the option of the obligor thereon to a time more than 12 months after the time as of which the amount thereof is being computed, and (ii) current maturities of long-term debt; and (b) the book value (net of any applicable reserves and accumulated amortization) of all goodwill, trade names, trademarks, patents and other like intangible assets, excluding fifty percent (50%) of goodwill attributed to the PPX Acquisition, all as set forth, or on a pro forma basis would be set forth, on the consolidated balance sheet of the Borrower and its Subsidiaries for the Borrowers most recently completed fiscal quarter, prepared in accordance with GAAP.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Consolidated Net Worth</w:t>
      </w:r>
      <w:r>
        <w:rPr>
          <w:rFonts w:ascii="Times New Roman" w:hAnsi="Times New Roman"/>
          <w:sz w:val="20"/>
        </w:rPr>
        <w:t xml:space="preserve"> means, at any date of determination, the sum of (a) preferred stock (if any), (b) par value of common stock, (c) capital in excess of par value of common stock, (d) partners capital or equity and (e) retained earnings, less treasury stock (if any), of such Person, all as determined on a consolidated basis.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Consolidated Total Capitalization</w:t>
      </w:r>
      <w:r>
        <w:rPr>
          <w:rFonts w:ascii="Times New Roman" w:hAnsi="Times New Roman"/>
          <w:sz w:val="20"/>
        </w:rPr>
        <w:t xml:space="preserve"> means the sum of (a) Consolidated Funded Indebtedness and (b) the Borrowers Consolidated Net Worth.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Contractual Obligation</w:t>
      </w:r>
      <w:r>
        <w:rPr>
          <w:rFonts w:ascii="Times New Roman" w:hAnsi="Times New Roman"/>
          <w:sz w:val="20"/>
        </w:rPr>
        <w:t xml:space="preserve"> means, as to any Person, any provision of any security issued by such Person or of any agreement, instrument or other undertaking to which such Person is a party or by which it or any of its property is bound.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and policies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thereto.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Debt Rating</w:t>
      </w:r>
      <w:r>
        <w:rPr>
          <w:rFonts w:ascii="Times New Roman" w:hAnsi="Times New Roman"/>
          <w:sz w:val="20"/>
        </w:rPr>
        <w:t xml:space="preserve"> has the meaning specified in the definition of Applicable Rate.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Debtor Relief Laws</w:t>
      </w:r>
      <w:r>
        <w:rPr>
          <w:rFonts w:ascii="Times New Roman" w:hAnsi="Times New Roman"/>
          <w:sz w:val="20"/>
        </w:rPr>
        <w:t xml:space="preserve"> means the Bankruptcy Code of the United States, the Bankruptcy and Insolvency Act (Canada), the Companies Creditors Arrangement Act (Canada)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Default</w:t>
      </w:r>
      <w:r>
        <w:rPr>
          <w:rFonts w:ascii="Times New Roman" w:hAnsi="Times New Roman"/>
          <w:sz w:val="20"/>
        </w:rPr>
        <w:t xml:space="preserve"> means any event or condition that constitutes an Event of Default or that, with the giving of any notice, the passage of time, or both, would be an Event of Default.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Default Rate</w:t>
      </w:r>
      <w:r>
        <w:rPr>
          <w:rFonts w:ascii="Times New Roman" w:hAnsi="Times New Roman"/>
          <w:sz w:val="20"/>
        </w:rPr>
        <w:t xml:space="preserve"> means, at any time during a Default Rate Period, an interest rate equal to (i) the Base Rate </w:t>
      </w:r>
      <w:r>
        <w:rPr>
          <w:rFonts w:ascii="Times New Roman" w:hAnsi="Times New Roman"/>
          <w:sz w:val="20"/>
          <w:u w:val="single"/>
        </w:rPr>
        <w:t>plus</w:t>
      </w:r>
      <w:r>
        <w:rPr>
          <w:rFonts w:ascii="Times New Roman" w:hAnsi="Times New Roman"/>
          <w:sz w:val="20"/>
        </w:rPr>
        <w:t xml:space="preserve"> (ii) the Applicable Rate applicable to Base Rate Loans </w:t>
      </w:r>
      <w:r>
        <w:rPr>
          <w:rFonts w:ascii="Times New Roman" w:hAnsi="Times New Roman"/>
          <w:sz w:val="20"/>
          <w:u w:val="single"/>
        </w:rPr>
        <w:t>plus</w:t>
      </w:r>
      <w:r>
        <w:rPr>
          <w:rFonts w:ascii="Times New Roman" w:hAnsi="Times New Roman"/>
          <w:sz w:val="20"/>
        </w:rPr>
        <w:t xml:space="preserve"> (iii) 2% per annum;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a Eurodollar Rate Loan, the Default Rate shall be an interest rate equal to the interest rate (including any Applicable Rate) otherwise applicable to such Eurodollar Rate Loan plus 2% per annum.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Default Rate Period</w:t>
      </w:r>
      <w:r>
        <w:rPr>
          <w:rFonts w:ascii="Times New Roman" w:hAnsi="Times New Roman"/>
          <w:sz w:val="20"/>
        </w:rPr>
        <w:t xml:space="preserve"> means (a) any period during which an Event of Default, other than pursuant to </w:t>
      </w:r>
      <w:r>
        <w:rPr>
          <w:rFonts w:ascii="Times New Roman" w:hAnsi="Times New Roman"/>
          <w:sz w:val="20"/>
          <w:u w:val="single"/>
        </w:rPr>
        <w:t>Section 8.01(a)</w:t>
      </w:r>
      <w:r>
        <w:rPr>
          <w:rFonts w:ascii="Times New Roman" w:hAnsi="Times New Roman"/>
          <w:sz w:val="20"/>
        </w:rPr>
        <w:t xml:space="preserve">, is continuing, provided that such period shall not begin until notice of the commencement of the Default Rate has been given to the Borrower by the Administrative Agent upon the instruction by the Required Lenders and (b) any period during which any Event of Default pursuant to </w:t>
      </w:r>
      <w:r>
        <w:rPr>
          <w:rFonts w:ascii="Times New Roman" w:hAnsi="Times New Roman"/>
          <w:sz w:val="20"/>
          <w:u w:val="single"/>
        </w:rPr>
        <w:t>Sections 8.01(a)</w:t>
      </w:r>
      <w:r>
        <w:rPr>
          <w:rFonts w:ascii="Times New Roman" w:hAnsi="Times New Roman"/>
          <w:sz w:val="20"/>
        </w:rPr>
        <w:t xml:space="preserve"> is continuing unless the Borrower has been notified otherwise by the Administrative Agent upon the instruction by the Required Lenders.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Defaulting Lender</w:t>
      </w:r>
      <w:r>
        <w:rPr>
          <w:rFonts w:ascii="Times New Roman" w:hAnsi="Times New Roman"/>
          <w:sz w:val="20"/>
        </w:rPr>
        <w:t xml:space="preserve"> means, subject to </w:t>
      </w:r>
      <w:r>
        <w:rPr>
          <w:rFonts w:ascii="Times New Roman" w:hAnsi="Times New Roman"/>
          <w:sz w:val="20"/>
          <w:u w:val="single"/>
        </w:rPr>
        <w:t>Section 2.12(b)</w:t>
      </w:r>
      <w:r>
        <w:rPr>
          <w:rFonts w:ascii="Times New Roman" w:hAnsi="Times New Roman"/>
          <w:sz w:val="20"/>
        </w:rPr>
        <w:t xml:space="preserve">, any Lender that, as determined by the Administrative Agent, (a) has failed to fund any of its funding obligations hereunder in respect of its Loans within two Business Days of the date required to be funded by it hereunder, or has failed to make any payment to the Administrative Agent required under </w:t>
      </w:r>
      <w:r>
        <w:rPr>
          <w:rFonts w:ascii="Times New Roman" w:hAnsi="Times New Roman"/>
          <w:sz w:val="20"/>
          <w:u w:val="single"/>
        </w:rPr>
        <w:t>Section 3.01(c)(ii)</w:t>
      </w:r>
      <w:r>
        <w:rPr>
          <w:rFonts w:ascii="Times New Roman" w:hAnsi="Times New Roman"/>
          <w:sz w:val="20"/>
        </w:rPr>
        <w:t xml:space="preserve"> within the time specified therein, and the Administrative Agent shall have exercised its indemnification right against the Borrower pursuant to the second sentence of </w:t>
      </w:r>
      <w:r>
        <w:rPr>
          <w:rFonts w:ascii="Times New Roman" w:hAnsi="Times New Roman"/>
          <w:sz w:val="20"/>
          <w:u w:val="single"/>
        </w:rPr>
        <w:t>Section 3.01(c)(i)</w:t>
      </w:r>
      <w:r>
        <w:rPr>
          <w:rFonts w:ascii="Times New Roman" w:hAnsi="Times New Roman"/>
          <w:sz w:val="20"/>
        </w:rPr>
        <w:t xml:space="preserve">, (b) has notified the Borrower or the Administrative Agent that it does not intend to comply with its funding obligations hereunder or has made a public statement to that effect with respect to its funding obligations hereunder or under other agreements in which it commits to extend credit, (c) has failed, within two Business Days after request by the Administrative Agent, to confirm in a manner satisfactory to the Administrative Agent that it will comply with its funding obligations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hereunder,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Governmental Authority) to reject, repudiate, disavow or disaffirm any contracts or agreements made by such Lender.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DNB Bank</w:t>
      </w:r>
      <w:r>
        <w:rPr>
          <w:rFonts w:ascii="Times New Roman" w:hAnsi="Times New Roman"/>
          <w:sz w:val="20"/>
        </w:rPr>
        <w:t xml:space="preserve"> means DNB Bank ASA.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Dollar</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lawful money of the United States.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Eligible Assignee</w:t>
      </w:r>
      <w:r>
        <w:rPr>
          <w:rFonts w:ascii="Times New Roman" w:hAnsi="Times New Roman"/>
          <w:sz w:val="20"/>
        </w:rPr>
        <w:t xml:space="preserve"> means any Person that meets the requirements to be an assignee under </w:t>
      </w:r>
      <w:r>
        <w:rPr>
          <w:rFonts w:ascii="Times New Roman" w:hAnsi="Times New Roman"/>
          <w:sz w:val="20"/>
          <w:u w:val="single"/>
        </w:rPr>
        <w:t>Section 10.06(b)(iii)</w:t>
      </w:r>
      <w:r>
        <w:rPr>
          <w:rFonts w:ascii="Times New Roman" w:hAnsi="Times New Roman"/>
          <w:sz w:val="20"/>
        </w:rPr>
        <w:t xml:space="preserve"> and </w:t>
      </w:r>
      <w:r>
        <w:rPr>
          <w:rFonts w:ascii="Times New Roman" w:hAnsi="Times New Roman"/>
          <w:sz w:val="20"/>
          <w:u w:val="single"/>
        </w:rPr>
        <w:t>(v)</w:t>
      </w:r>
      <w:r>
        <w:rPr>
          <w:rFonts w:ascii="Times New Roman" w:hAnsi="Times New Roman"/>
          <w:sz w:val="20"/>
        </w:rPr>
        <w:t xml:space="preserve"> (subject to such consents, if any, as may be required under </w:t>
      </w:r>
      <w:r>
        <w:rPr>
          <w:rFonts w:ascii="Times New Roman" w:hAnsi="Times New Roman"/>
          <w:sz w:val="20"/>
          <w:u w:val="single"/>
        </w:rPr>
        <w:t>Section 10.06(b)(iii)</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Environmental Laws</w:t>
      </w:r>
      <w:r>
        <w:rPr>
          <w:rFonts w:ascii="Times New Roman" w:hAnsi="Times New Roman"/>
          <w:sz w:val="20"/>
        </w:rPr>
        <w:t xml:space="preserve">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Equity Interests</w:t>
      </w:r>
      <w:r>
        <w:rPr>
          <w:rFonts w:ascii="Times New Roman" w:hAnsi="Times New Roman"/>
          <w:sz w:val="20"/>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and all of the other ownership or profit interests in such Person (including partnership, member or trust interests therein), whether voting or nonvoting, and whether or not such shares, warrants, options, rights or other interests are outstanding on any date of determination, excluding, however, all debt securities convertible into or exchangeable for shares of capital stock of (or other ownership or profit interests in) such Person or warrants, rights or options for the purchase or acquisition from such Person of such shares (or such other interests).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Employee Retirement Income Security Act of 1974.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ERISA Affiliate</w:t>
      </w:r>
      <w:r>
        <w:rPr>
          <w:rFonts w:ascii="Times New Roman" w:hAnsi="Times New Roman"/>
          <w:sz w:val="20"/>
        </w:rPr>
        <w:t xml:space="preserve"> means any trade or business (whether or not incorporated) under common control with the Borrower within the meaning of Section 414(b) or (c) of the Code (and Sections 414(m) and (o) of the Code for purposes of provisions relating to Section 412 of the Code).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ERISA Event</w:t>
      </w:r>
      <w:r>
        <w:rPr>
          <w:rFonts w:ascii="Times New Roman" w:hAnsi="Times New Roman"/>
          <w:sz w:val="20"/>
        </w:rPr>
        <w:t xml:space="preserve"> means (a) a Reportable Event with respect to a Pension Plan; (b) the withdrawal of the Borrower or any ERISA Affiliate from a Pension Plan subject to Section 4063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Eurodollar Rate</w:t>
      </w:r>
      <w:r>
        <w:rPr>
          <w:rFonts w:ascii="Times New Roman" w:hAnsi="Times New Roman"/>
          <w:sz w:val="20"/>
        </w:rPr>
        <w:t xml:space="preserve"> means: </w:t>
      </w:r>
    </w:p>
    <w:p>
      <w:pPr>
        <w:pStyle w:val="TextBody"/>
        <w:spacing w:before="180" w:after="0"/>
        <w:rPr>
          <w:rFonts w:ascii="Times New Roman" w:hAnsi="Times New Roman"/>
          <w:sz w:val="20"/>
        </w:rPr>
      </w:pPr>
      <w:r>
        <w:rPr>
          <w:rFonts w:ascii="Times New Roman" w:hAnsi="Times New Roman"/>
          <w:sz w:val="20"/>
        </w:rPr>
        <w:t>(a) for any Interest Period with respect to a Eurodollar Rate Loan, the rate per annum equal to (i) the British Bankers Association LIBOR Rate (</w:t>
      </w:r>
      <w:r>
        <w:rPr>
          <w:rFonts w:ascii="Times New Roman" w:hAnsi="Times New Roman"/>
          <w:sz w:val="20"/>
          <w:u w:val="single"/>
        </w:rPr>
        <w:t>BBA LIBOR</w:t>
      </w:r>
      <w:r>
        <w:rPr>
          <w:rFonts w:ascii="Times New Roman" w:hAnsi="Times New Roman"/>
          <w:sz w:val="20"/>
        </w:rPr>
        <w:t xml:space="preserve">), as published by Reuters (or such other commercially available source providing quotations of BBA LIBOR as may be designated by the Administrative Agent from time to time) at approximately 12:00 p.m., London time, two Business Days prior to the commencement of such Interest Period, for deposits in Dollars (for delivery on the first day of such Interest Period) with a term equivalent to such Interest Period or (ii) if such rate is not available at such time for any reason, the rate per annum determined by the Administrative Agent to be the rate at which deposits in Dollars for delivery on the first day of such Interest Period in immediately available funds in the approximate amount of the Eurodollar Rate Loan being made, continued or converted and with a term equivalent to such Interest Period would be offered by DNB Banks London Branch (or other DNB Bank branch or Affiliate) to major banks in the London interbank eurodollar market at their request at approximately 12:00 p.m. (London time) two Business Days prior to the commencement of such Interest Period; and </w:t>
      </w:r>
    </w:p>
    <w:p>
      <w:pPr>
        <w:pStyle w:val="TextBody"/>
        <w:spacing w:before="180" w:after="0"/>
        <w:rPr>
          <w:rFonts w:ascii="Times New Roman" w:hAnsi="Times New Roman"/>
          <w:sz w:val="20"/>
        </w:rPr>
      </w:pPr>
      <w:r>
        <w:rPr>
          <w:rFonts w:ascii="Times New Roman" w:hAnsi="Times New Roman"/>
          <w:sz w:val="20"/>
        </w:rPr>
        <w:t xml:space="preserve">(b) for any interest calculation with respect to a Base Rate Loan on any date, the rate per annum equal to (i) BBA LIBOR, at approximately 12:00 p.m., London time on such date for deposits in Dollars being delivered in the London interbank market for a term of seven days (or if a term of seven days is unavailable then a term of one month) commencing that day or (ii) if such published rates are not available at such time for any reason, the rate per annum determined by the Administrative Agent to be the rate at which deposits in Dollars for delivery on the date of determination in same day funds in the approximate amount of the Base Rate Loan being made, continued or converted and with a term equal to one month would be offered by DNB Banks London Branch to major banks in the London interbank Eurodollar market at their request at the date and time of determination.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Eurodollar Rate Loan</w:t>
      </w:r>
      <w:r>
        <w:rPr>
          <w:rFonts w:ascii="Times New Roman" w:hAnsi="Times New Roman"/>
          <w:sz w:val="20"/>
        </w:rPr>
        <w:t xml:space="preserve"> means a Loan that bears interest at a rate based on clause (a) of the definition of Eurodollar Rate.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has the meaning specified in </w:t>
      </w:r>
      <w:r>
        <w:rPr>
          <w:rFonts w:ascii="Times New Roman" w:hAnsi="Times New Roman"/>
          <w:sz w:val="20"/>
          <w:u w:val="single"/>
        </w:rPr>
        <w:t>Section 8.01</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Excluded Taxes</w:t>
      </w:r>
      <w:r>
        <w:rPr>
          <w:rFonts w:ascii="Times New Roman" w:hAnsi="Times New Roman"/>
          <w:sz w:val="20"/>
        </w:rPr>
        <w:t xml:space="preserve"> means, with respect to the Administrative Agent, any Lender or any other recipient of any payment to be made by or on account of any obligation of the Borrower hereunder, (a) taxes imposed on or measured by its overall net income or net profits (however denominated), and franchise taxes or capital taxes imposed on it (in lieu of or in addition to net income or net profits taxes), by the jurisdiction (or any political subdivision thereof) under the Laws of which such recipient is organized or in which its principal office is located or, in the case of any Lender, in which its applicable Lending Office is located, or otherwise as a result of a present or former connection between the legal or beneficial recipient and the jurisdiction imposing the Tax (other than a connection arising solely from such recipient having executed, received a payment under, or enforced its rights under, this Agreement or any Loan Document) (b) any branch profits taxes imposed by the United States or any similar tax imposed by any other jurisdiction in which the Borrower is located, (c) any backup withholding tax that is required by the Code to be withheld from amounts payable to a Lender, (d) in the case of a Foreign Lender (other than an assignee pursuant to a request by the Borrower under </w:t>
      </w:r>
      <w:r>
        <w:rPr>
          <w:rFonts w:ascii="Times New Roman" w:hAnsi="Times New Roman"/>
          <w:sz w:val="20"/>
          <w:u w:val="single"/>
        </w:rPr>
        <w:t>Section 10.13</w:t>
      </w:r>
      <w:r>
        <w:rPr>
          <w:rFonts w:ascii="Times New Roman" w:hAnsi="Times New Roman"/>
          <w:sz w:val="20"/>
        </w:rPr>
        <w:t xml:space="preserve">), any withholding tax that (i) is required to be imposed on amounts payable to such Foreign Lender pursuant to the Laws in force at the time such Foreign Lender becomes a party hereto (or designates a new Lending Office), except to the extent that such Foreign Lender (or its assignor, if any) was entitled, at the time of designation of a new Lending Office (or assignment), to receive additional amounts from the Borrower with respect to such withholding tax pursuant to </w:t>
      </w:r>
      <w:r>
        <w:rPr>
          <w:rFonts w:ascii="Times New Roman" w:hAnsi="Times New Roman"/>
          <w:sz w:val="20"/>
          <w:u w:val="single"/>
        </w:rPr>
        <w:t>Section 3.01(a)(ii)</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or (ii) is attributable to such Foreign Lenders failure or inability (other than as a result of a Change in Law) to comply with </w:t>
      </w:r>
      <w:r>
        <w:rPr>
          <w:rFonts w:ascii="Times New Roman" w:hAnsi="Times New Roman"/>
          <w:sz w:val="20"/>
          <w:u w:val="single"/>
        </w:rPr>
        <w:t>Section 3.01(e)</w:t>
      </w:r>
      <w:r>
        <w:rPr>
          <w:rFonts w:ascii="Times New Roman" w:hAnsi="Times New Roman"/>
          <w:sz w:val="20"/>
        </w:rPr>
        <w:t xml:space="preserve">, and (e) any Taxes under FATCA.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FASB ASC</w:t>
      </w:r>
      <w:r>
        <w:rPr>
          <w:rFonts w:ascii="Times New Roman" w:hAnsi="Times New Roman"/>
          <w:sz w:val="20"/>
        </w:rPr>
        <w:t xml:space="preserve"> means the Accounting Standards Codification of the Financial Accounting Standards Board.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(and any amended or successor versions thereof that are substantively comparable and not materially more onerous to comply with) and any current or future regulations or official interpretations thereof.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Federal Funds Rate</w:t>
      </w:r>
      <w:r>
        <w:rPr>
          <w:rFonts w:ascii="Times New Roman" w:hAnsi="Times New Roman"/>
          <w:sz w:val="20"/>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hAnsi="Times New Roman"/>
          <w:sz w:val="20"/>
          <w:u w:val="single"/>
        </w:rPr>
        <w:t>provided</w:t>
      </w:r>
      <w:r>
        <w:rPr>
          <w:rFonts w:ascii="Times New Roman" w:hAnsi="Times New Roman"/>
          <w:sz w:val="20"/>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DNB Bank on such day on such transactions as determined by the Administrative Agent.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Fee Letter</w:t>
      </w:r>
      <w:r>
        <w:rPr>
          <w:rFonts w:ascii="Times New Roman" w:hAnsi="Times New Roman"/>
          <w:sz w:val="20"/>
        </w:rPr>
        <w:t xml:space="preserve"> means the letter agreement between the Borrower and the Administrative Agent executed in relation to this Agreement and the transactions contemplated thereby.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Foreign Lender</w:t>
      </w:r>
      <w:r>
        <w:rPr>
          <w:rFonts w:ascii="Times New Roman" w:hAnsi="Times New Roman"/>
          <w:sz w:val="20"/>
        </w:rPr>
        <w:t xml:space="preserve"> means, with respect to the Borrower, any Lender that is organized under the Laws of a jurisdiction other than the United States. For purposes of this definition, the United States, each State thereof and the District of Columbia shall constitute a single jurisdiction.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FRB</w:t>
      </w:r>
      <w:r>
        <w:rPr>
          <w:rFonts w:ascii="Times New Roman" w:hAnsi="Times New Roman"/>
          <w:sz w:val="20"/>
        </w:rPr>
        <w:t xml:space="preserve"> means the Board of Governors of the Federal Reserve System of the United States.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Fund</w:t>
      </w:r>
      <w:r>
        <w:rPr>
          <w:rFonts w:ascii="Times New Roman" w:hAnsi="Times New Roman"/>
          <w:sz w:val="20"/>
        </w:rPr>
        <w:t xml:space="preserve"> means any Person (other than a natural person) that is engaged in making, purchasing, holding or otherwise investing in commercial loans and similar extensions of credit in the ordinary course of its business.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those generally accepted accounting principles and practices which are recognized as such by the Financial Accounting Standards Board (or any generally recognized successor) and which, in the case of the Borrower and its Subsidiaries on a consolidated basis, are applied for all periods after the date hereof in a manner consistent with the manner in which such principles and practices were applied to the Audited Financial Statements.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General Partner</w:t>
      </w:r>
      <w:r>
        <w:rPr>
          <w:rFonts w:ascii="Times New Roman" w:hAnsi="Times New Roman"/>
          <w:sz w:val="20"/>
        </w:rPr>
        <w:t xml:space="preserve"> means PAA GP LLC, a Delaware limited liability company, in its capacity as the sole general partner of the Borrower.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GP LLC</w:t>
      </w:r>
      <w:r>
        <w:rPr>
          <w:rFonts w:ascii="Times New Roman" w:hAnsi="Times New Roman"/>
          <w:sz w:val="20"/>
        </w:rPr>
        <w:t xml:space="preserve"> means Plains All American GP LLC, a Delaware limited liability company.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Hazardous Materials</w:t>
      </w:r>
      <w:r>
        <w:rPr>
          <w:rFonts w:ascii="Times New Roman" w:hAnsi="Times New Roman"/>
          <w:sz w:val="20"/>
        </w:rPr>
        <w:t xml:space="preserve">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Hedged Inventory Credit Agreement</w:t>
      </w:r>
      <w:r>
        <w:rPr>
          <w:rFonts w:ascii="Times New Roman" w:hAnsi="Times New Roman"/>
          <w:sz w:val="20"/>
        </w:rPr>
        <w:t xml:space="preserve"> means that certain Third Amended and Restated Credit Agreement dated as of August 19, 2011 among Plains Marketing, Bank of America, N.A., as administrative agent, and the lenders named therein.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Hybrid Securities</w:t>
      </w:r>
      <w:r>
        <w:rPr>
          <w:rFonts w:ascii="Times New Roman" w:hAnsi="Times New Roman"/>
          <w:sz w:val="20"/>
        </w:rPr>
        <w:t xml:space="preserve"> means any trust preferred securities, or deferrable interest subordinated debt with a maturity of at least 20 years (and not less than one year after the Maturity Date), which provides for the optional or mandatory deferral of interest or distributions, issued by the Borrower, or any business trusts, limited liability companies, limited partnerships or similar entities (a) substantially all of the common equity, general partner or similar interests of which are owned (either directly or indirectly through one or more wholly owned Restricted Subsidiaries) at all times by the Borrower or any other Restricted Person, (b) that have been formed for the purpose of issuing trust preferred securities or deferrable interest subordinated debt, and (c) substantially all the assets of which consist of (i) subordinated debt of the Borrower or another Restricted Person and (ii) payments made from time to time on the subordinated debt.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means, as to any Person at a particular time, without duplication, all of the following, whether or not included as indebtedness or liabilities in accordance with GAAP: </w:t>
      </w:r>
    </w:p>
    <w:p>
      <w:pPr>
        <w:pStyle w:val="TextBody"/>
        <w:spacing w:before="90" w:after="0"/>
        <w:rPr>
          <w:rFonts w:ascii="Times New Roman" w:hAnsi="Times New Roman"/>
          <w:sz w:val="20"/>
        </w:rPr>
      </w:pPr>
      <w:r>
        <w:rPr>
          <w:rFonts w:ascii="Times New Roman" w:hAnsi="Times New Roman"/>
          <w:sz w:val="20"/>
        </w:rPr>
        <w:t xml:space="preserve">(a) its obligations for the repayment of borrowed money, </w:t>
      </w:r>
    </w:p>
    <w:p>
      <w:pPr>
        <w:pStyle w:val="TextBody"/>
        <w:spacing w:before="90" w:after="0"/>
        <w:rPr>
          <w:rFonts w:ascii="Times New Roman" w:hAnsi="Times New Roman"/>
          <w:sz w:val="20"/>
        </w:rPr>
      </w:pPr>
      <w:r>
        <w:rPr>
          <w:rFonts w:ascii="Times New Roman" w:hAnsi="Times New Roman"/>
          <w:sz w:val="20"/>
        </w:rPr>
        <w:t xml:space="preserve">(b) 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 </w:t>
      </w:r>
    </w:p>
    <w:p>
      <w:pPr>
        <w:pStyle w:val="TextBody"/>
        <w:spacing w:before="90" w:after="0"/>
        <w:rPr>
          <w:rFonts w:ascii="Times New Roman" w:hAnsi="Times New Roman"/>
          <w:sz w:val="20"/>
        </w:rPr>
      </w:pPr>
      <w:r>
        <w:rPr>
          <w:rFonts w:ascii="Times New Roman" w:hAnsi="Times New Roman"/>
          <w:sz w:val="20"/>
        </w:rPr>
        <w:t xml:space="preserve">(c) its obligations evidenced by a bond, debenture, note or similar instrument, other than surety, bid, performance, statutory and other similar bonds and instruments obtained in the ordinary course of business, </w:t>
      </w:r>
    </w:p>
    <w:p>
      <w:pPr>
        <w:pStyle w:val="TextBody"/>
        <w:spacing w:before="90" w:after="0"/>
        <w:rPr>
          <w:rFonts w:ascii="Times New Roman" w:hAnsi="Times New Roman"/>
          <w:sz w:val="20"/>
        </w:rPr>
      </w:pPr>
      <w:r>
        <w:rPr>
          <w:rFonts w:ascii="Times New Roman" w:hAnsi="Times New Roman"/>
          <w:sz w:val="20"/>
        </w:rPr>
        <w:t xml:space="preserve">(d) its obligations, as lessee, constituting principal under Capital Leases, </w:t>
      </w:r>
    </w:p>
    <w:p>
      <w:pPr>
        <w:pStyle w:val="TextBody"/>
        <w:spacing w:before="90" w:after="0"/>
        <w:rPr>
          <w:rFonts w:ascii="Times New Roman" w:hAnsi="Times New Roman"/>
          <w:sz w:val="20"/>
        </w:rPr>
      </w:pPr>
      <w:r>
        <w:rPr>
          <w:rFonts w:ascii="Times New Roman" w:hAnsi="Times New Roman"/>
          <w:sz w:val="20"/>
        </w:rPr>
        <w:t xml:space="preserve">(e) its direct or contingent reimbursement obligations with respect to the face amount of letters of credit pursuant to the applications or reimbursement agreements therefor, </w:t>
      </w:r>
    </w:p>
    <w:p>
      <w:pPr>
        <w:pStyle w:val="TextBody"/>
        <w:spacing w:before="90" w:after="0"/>
        <w:rPr>
          <w:rFonts w:ascii="Times New Roman" w:hAnsi="Times New Roman"/>
          <w:sz w:val="20"/>
        </w:rPr>
      </w:pPr>
      <w:r>
        <w:rPr>
          <w:rFonts w:ascii="Times New Roman" w:hAnsi="Times New Roman"/>
          <w:sz w:val="20"/>
        </w:rPr>
        <w:t xml:space="preserve">(f) its obligations for the repayment of outstanding bankers acceptances, whether matured or unmatured, </w:t>
      </w:r>
    </w:p>
    <w:p>
      <w:pPr>
        <w:pStyle w:val="TextBody"/>
        <w:spacing w:before="90" w:after="0"/>
        <w:rPr>
          <w:rFonts w:ascii="Times New Roman" w:hAnsi="Times New Roman"/>
          <w:sz w:val="20"/>
        </w:rPr>
      </w:pPr>
      <w:r>
        <w:rPr>
          <w:rFonts w:ascii="Times New Roman" w:hAnsi="Times New Roman"/>
          <w:sz w:val="20"/>
        </w:rPr>
        <w:t xml:space="preserve">(g) Synthetic Lease Obligations, or </w:t>
      </w:r>
    </w:p>
    <w:p>
      <w:pPr>
        <w:pStyle w:val="TextBody"/>
        <w:spacing w:before="90" w:after="0"/>
        <w:rPr>
          <w:rFonts w:ascii="Times New Roman" w:hAnsi="Times New Roman"/>
          <w:sz w:val="20"/>
        </w:rPr>
      </w:pPr>
      <w:r>
        <w:rPr>
          <w:rFonts w:ascii="Times New Roman" w:hAnsi="Times New Roman"/>
          <w:sz w:val="20"/>
        </w:rPr>
        <w:t xml:space="preserve">(h) its obligations under guaranties of any obligations of any other Person described in the foregoing clauses (a) through (g). </w:t>
      </w:r>
    </w:p>
    <w:p>
      <w:pPr>
        <w:pStyle w:val="TextBody"/>
        <w:spacing w:before="180" w:after="0"/>
        <w:rPr>
          <w:rFonts w:ascii="Times New Roman" w:hAnsi="Times New Roman"/>
          <w:sz w:val="20"/>
        </w:rPr>
      </w:pPr>
      <w:r>
        <w:rPr>
          <w:rFonts w:ascii="Times New Roman" w:hAnsi="Times New Roman"/>
          <w:sz w:val="20"/>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that such Indebtedness is expressly made non-recourse to such Person. The amount of any Capital Lease or Synthetic Lease Obligation as of any date shall be deemed to be the amount of Attributable Indebtedness in respect thereof as of such date.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Indemnified Taxes</w:t>
      </w:r>
      <w:r>
        <w:rPr>
          <w:rFonts w:ascii="Times New Roman" w:hAnsi="Times New Roman"/>
          <w:sz w:val="20"/>
        </w:rPr>
        <w:t xml:space="preserve"> means Taxes other than Excluded Taxes.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Indemnitees</w:t>
      </w:r>
      <w:r>
        <w:rPr>
          <w:rFonts w:ascii="Times New Roman" w:hAnsi="Times New Roman"/>
          <w:sz w:val="20"/>
        </w:rPr>
        <w:t xml:space="preserve"> has the meaning specified in </w:t>
      </w:r>
      <w:r>
        <w:rPr>
          <w:rFonts w:ascii="Times New Roman" w:hAnsi="Times New Roman"/>
          <w:sz w:val="20"/>
          <w:u w:val="single"/>
        </w:rPr>
        <w:t>Section 10.04(b)</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Information</w:t>
      </w:r>
      <w:r>
        <w:rPr>
          <w:rFonts w:ascii="Times New Roman" w:hAnsi="Times New Roman"/>
          <w:sz w:val="20"/>
        </w:rPr>
        <w:t xml:space="preserve"> has the meaning specified in </w:t>
      </w:r>
      <w:r>
        <w:rPr>
          <w:rFonts w:ascii="Times New Roman" w:hAnsi="Times New Roman"/>
          <w:sz w:val="20"/>
          <w:u w:val="single"/>
        </w:rPr>
        <w:t>Section 10.07</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Interest Payment Date</w:t>
      </w:r>
      <w:r>
        <w:rPr>
          <w:rFonts w:ascii="Times New Roman" w:hAnsi="Times New Roman"/>
          <w:sz w:val="20"/>
        </w:rPr>
        <w:t xml:space="preserve"> means, (a) as to any Loan other than a Base Rate Loan, the last day of each Interest Period applicable to such Loan and the Maturity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Interest Period</w:t>
      </w:r>
      <w:r>
        <w:rPr>
          <w:rFonts w:ascii="Times New Roman" w:hAnsi="Times New Roman"/>
          <w:sz w:val="20"/>
        </w:rPr>
        <w:t xml:space="preserve"> means as to each Eurodollar Rate Loan, the period commencing on the date of such Borrowing or the date such Eurodollar Rate Loan is converted to or continued as a Eurodollar Rate Loan and ending on the date seven days, fourteen days, one month, two months, three months or six months thereafter, as selected by the Borrower in its Loan Notice or such other period that is twelve months or less requested by the Borrower and consented to by all the Lenders; </w:t>
      </w:r>
      <w:r>
        <w:rPr>
          <w:rFonts w:ascii="Times New Roman" w:hAnsi="Times New Roman"/>
          <w:sz w:val="20"/>
          <w:u w:val="single"/>
        </w:rPr>
        <w:t>provided</w:t>
      </w:r>
      <w:r>
        <w:rPr>
          <w:rFonts w:ascii="Times New Roman" w:hAnsi="Times New Roman"/>
          <w:sz w:val="20"/>
        </w:rPr>
        <w:t xml:space="preserve"> that: </w:t>
      </w:r>
    </w:p>
    <w:p>
      <w:pPr>
        <w:pStyle w:val="TextBody"/>
        <w:spacing w:before="90" w:after="0"/>
        <w:rPr>
          <w:rFonts w:ascii="Times New Roman" w:hAnsi="Times New Roman"/>
          <w:sz w:val="20"/>
        </w:rPr>
      </w:pPr>
      <w:r>
        <w:rPr>
          <w:rFonts w:ascii="Times New Roman" w:hAnsi="Times New Roman"/>
          <w:sz w:val="20"/>
        </w:rPr>
        <w:t xml:space="preserve">(i) 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 </w:t>
      </w:r>
    </w:p>
    <w:p>
      <w:pPr>
        <w:pStyle w:val="TextBody"/>
        <w:spacing w:before="90" w:after="0"/>
        <w:rPr>
          <w:rFonts w:ascii="Times New Roman" w:hAnsi="Times New Roman"/>
          <w:sz w:val="20"/>
        </w:rPr>
      </w:pPr>
      <w:r>
        <w:rPr>
          <w:rFonts w:ascii="Times New Roman" w:hAnsi="Times New Roman"/>
          <w:sz w:val="20"/>
        </w:rPr>
        <w:t xml:space="preserve">(ii) 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 </w:t>
      </w:r>
    </w:p>
    <w:p>
      <w:pPr>
        <w:pStyle w:val="TextBody"/>
        <w:spacing w:before="90" w:after="0"/>
        <w:rPr>
          <w:rFonts w:ascii="Times New Roman" w:hAnsi="Times New Roman"/>
          <w:sz w:val="20"/>
        </w:rPr>
      </w:pPr>
      <w:r>
        <w:rPr>
          <w:rFonts w:ascii="Times New Roman" w:hAnsi="Times New Roman"/>
          <w:sz w:val="20"/>
        </w:rPr>
        <w:t xml:space="preserve">(iii) no Interest Period shall extend beyond the Maturity Date.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Laws</w:t>
      </w:r>
      <w:r>
        <w:rPr>
          <w:rFonts w:ascii="Times New Roman" w:hAnsi="Times New Roman"/>
          <w:sz w:val="20"/>
        </w:rPr>
        <w:t xml:space="preserve">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Lender</w:t>
      </w:r>
      <w:r>
        <w:rPr>
          <w:rFonts w:ascii="Times New Roman" w:hAnsi="Times New Roman"/>
          <w:sz w:val="20"/>
        </w:rPr>
        <w:t xml:space="preserve"> has the meaning specified in the introductory paragraph hereto.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Lender Parties</w:t>
      </w:r>
      <w:r>
        <w:rPr>
          <w:rFonts w:ascii="Times New Roman" w:hAnsi="Times New Roman"/>
          <w:sz w:val="20"/>
        </w:rPr>
        <w:t xml:space="preserve"> means the Administrative Agent and all Lenders.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Lending Office</w:t>
      </w:r>
      <w:r>
        <w:rPr>
          <w:rFonts w:ascii="Times New Roman" w:hAnsi="Times New Roman"/>
          <w:sz w:val="20"/>
        </w:rPr>
        <w:t xml:space="preserve"> means, as to any Lender, the office or offices of such Lender described as such in such Lenders Administrative Questionnaire, or such other office or offices as a Lender may from time to time notify the Borrower and the Administrative Agent in accordance with the terms 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Lien</w:t>
      </w:r>
      <w:r>
        <w:rPr>
          <w:rFonts w:ascii="Times New Roman" w:hAnsi="Times New Roman"/>
          <w:sz w:val="20"/>
        </w:rPr>
        <w:t xml:space="preserve">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Loan</w:t>
      </w:r>
      <w:r>
        <w:rPr>
          <w:rFonts w:ascii="Times New Roman" w:hAnsi="Times New Roman"/>
          <w:sz w:val="20"/>
        </w:rPr>
        <w:t xml:space="preserve"> has the meaning specified in </w:t>
      </w:r>
      <w:r>
        <w:rPr>
          <w:rFonts w:ascii="Times New Roman" w:hAnsi="Times New Roman"/>
          <w:sz w:val="20"/>
          <w:u w:val="single"/>
        </w:rPr>
        <w:t>Section 2.01</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Loan Documents</w:t>
      </w:r>
      <w:r>
        <w:rPr>
          <w:rFonts w:ascii="Times New Roman" w:hAnsi="Times New Roman"/>
          <w:sz w:val="20"/>
        </w:rPr>
        <w:t xml:space="preserve"> means this Agreement, each Note and the Fee Letter.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Loan Notice</w:t>
      </w:r>
      <w:r>
        <w:rPr>
          <w:rFonts w:ascii="Times New Roman" w:hAnsi="Times New Roman"/>
          <w:sz w:val="20"/>
        </w:rPr>
        <w:t xml:space="preserve"> means a notice of (a) a Borrowing, (b) a conversion of Loans from one Type to the other, or (c) a continuation of Eurodollar Rate Loans, pursuant to </w:t>
      </w:r>
      <w:r>
        <w:rPr>
          <w:rFonts w:ascii="Times New Roman" w:hAnsi="Times New Roman"/>
          <w:sz w:val="20"/>
          <w:u w:val="single"/>
        </w:rPr>
        <w:t>Section 2.02(a)</w:t>
      </w:r>
      <w:r>
        <w:rPr>
          <w:rFonts w:ascii="Times New Roman" w:hAnsi="Times New Roman"/>
          <w:sz w:val="20"/>
        </w:rPr>
        <w:t xml:space="preserve">, which, if in writing, shall be substantially in the form of </w:t>
      </w:r>
      <w:r>
        <w:rPr>
          <w:rFonts w:ascii="Times New Roman" w:hAnsi="Times New Roman"/>
          <w:sz w:val="20"/>
          <w:u w:val="single"/>
        </w:rPr>
        <w:t>Exhibit A</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xml:space="preserve"> means (a) a material adverse change in, or a material adverse effect upon, the operations, properties or financial condition of the Borrower and its Subsidiaries taken as a whole; (b) a material adverse effect on the ability of the Borrower to pay its obligations under any Loan Document to which it is a party; or (c) a material adverse effect on the enforceability against the Borrower of any material terms of any Loan Document to which it is a party.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Maturity Date</w:t>
      </w:r>
      <w:r>
        <w:rPr>
          <w:rFonts w:ascii="Times New Roman" w:hAnsi="Times New Roman"/>
          <w:sz w:val="20"/>
        </w:rPr>
        <w:t xml:space="preserve"> means the date that is 364 days from the Activation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date is not a Business Day, the Maturity Date shall be the next preceding Business Day.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Moodys</w:t>
      </w:r>
      <w:r>
        <w:rPr>
          <w:rFonts w:ascii="Times New Roman" w:hAnsi="Times New Roman"/>
          <w:sz w:val="20"/>
        </w:rPr>
        <w:t xml:space="preserve"> means Moodys Investor Service, Inc. and any successor to the ratings agency business thereof.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Multiemployer Plan</w:t>
      </w:r>
      <w:r>
        <w:rPr>
          <w:rFonts w:ascii="Times New Roman" w:hAnsi="Times New Roman"/>
          <w:sz w:val="20"/>
        </w:rPr>
        <w:t xml:space="preserve"> means any employee benefit plan of the type described in Section 4001(a)(3) of ERISA, to which the Borrower or any ERISA Affiliate makes or is obligated to make contributions, or during the preceding five plan years, has made or been obligated to make contributions.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Multiple Employer Plan</w:t>
      </w:r>
      <w:r>
        <w:rPr>
          <w:rFonts w:ascii="Times New Roman" w:hAnsi="Times New Roman"/>
          <w:sz w:val="20"/>
        </w:rPr>
        <w:t xml:space="preserve"> means a Plan which has two or more contributing sponsors (including the Borrower or any ERISA Affiliate) at least two of whom are not under common control at such times and meeting the requirements of such a plan as described in Section 4064 of ERISA.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Note</w:t>
      </w:r>
      <w:r>
        <w:rPr>
          <w:rFonts w:ascii="Times New Roman" w:hAnsi="Times New Roman"/>
          <w:sz w:val="20"/>
        </w:rPr>
        <w:t xml:space="preserve"> means a promissory note made by the Borrower in favor of a Lender evidencing Loans made by such Lender, substantially in the form of </w:t>
      </w:r>
      <w:r>
        <w:rPr>
          <w:rFonts w:ascii="Times New Roman" w:hAnsi="Times New Roman"/>
          <w:sz w:val="20"/>
          <w:u w:val="single"/>
        </w:rPr>
        <w:t>Exhibit B</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Obligations</w:t>
      </w:r>
      <w:r>
        <w:rPr>
          <w:rFonts w:ascii="Times New Roman" w:hAnsi="Times New Roman"/>
          <w:sz w:val="20"/>
        </w:rPr>
        <w:t xml:space="preserve"> means all advances to, and debts, liabilities, obligations, covenants and duties of, the Borrower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the Borrower or any of its Affiliates of any proceeding under any Debtor Relief Laws naming such Person as the debtor in such proceeding, regardless of whether such interest and fees are allowed claims in such proceeding.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Operating Lease</w:t>
      </w:r>
      <w:r>
        <w:rPr>
          <w:rFonts w:ascii="Times New Roman" w:hAnsi="Times New Roman"/>
          <w:sz w:val="20"/>
        </w:rPr>
        <w:t xml:space="preserve">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considered an operating lease under the provisions of GAAP in effect as of December 31, 2010.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Organization Documents</w:t>
      </w:r>
      <w:r>
        <w:rPr>
          <w:rFonts w:ascii="Times New Roman" w:hAnsi="Times New Roman"/>
          <w:sz w:val="20"/>
        </w:rPr>
        <w:t xml:space="preserve"> means, (a) with respect to any corporation, the certificate or articles of incorporation and the bylaws (or equivalent or comparable constitutive documents with respect to any non-U.S. jurisdiction); (b) with respect to any limited liability company,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Other Taxes</w:t>
      </w:r>
      <w:r>
        <w:rPr>
          <w:rFonts w:ascii="Times New Roman" w:hAnsi="Times New Roman"/>
          <w:sz w:val="20"/>
        </w:rPr>
        <w:t xml:space="preserve">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Outstanding Amount</w:t>
      </w:r>
      <w:r>
        <w:rPr>
          <w:rFonts w:ascii="Times New Roman" w:hAnsi="Times New Roman"/>
          <w:sz w:val="20"/>
        </w:rPr>
        <w:t xml:space="preserve"> means, on any date, the aggregate outstanding principal amount of the Loans after giving effect to any borrowings and prepayments or repayments of Loans occurring on such date.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Overnight Rate</w:t>
      </w:r>
      <w:r>
        <w:rPr>
          <w:rFonts w:ascii="Times New Roman" w:hAnsi="Times New Roman"/>
          <w:sz w:val="20"/>
        </w:rPr>
        <w:t xml:space="preserve"> means, for any day, the greater of (i) the Federal Funds Rate and (ii) an overnight rate determined by the Administrative Agent in accordance with relevant banking industry rules on interbank compensation for major banks in the United States interbank market.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PAA US/Canada Credit Agreement</w:t>
      </w:r>
      <w:r>
        <w:rPr>
          <w:rFonts w:ascii="Times New Roman" w:hAnsi="Times New Roman"/>
          <w:sz w:val="20"/>
        </w:rPr>
        <w:t xml:space="preserve"> means that certain Credit Agreement dated as of August 19, 2011, among the Borrower, certain Subsidiaries of the Borrower from time to time party thereto, Bank of America N.A., as administrative agent, and the lenders named therein.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Participant</w:t>
      </w:r>
      <w:r>
        <w:rPr>
          <w:rFonts w:ascii="Times New Roman" w:hAnsi="Times New Roman"/>
          <w:sz w:val="20"/>
        </w:rPr>
        <w:t xml:space="preserve"> has the meaning specified in </w:t>
      </w:r>
      <w:r>
        <w:rPr>
          <w:rFonts w:ascii="Times New Roman" w:hAnsi="Times New Roman"/>
          <w:sz w:val="20"/>
          <w:u w:val="single"/>
        </w:rPr>
        <w:t>Section 10.06(d)</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PBGC</w:t>
      </w:r>
      <w:r>
        <w:rPr>
          <w:rFonts w:ascii="Times New Roman" w:hAnsi="Times New Roman"/>
          <w:sz w:val="20"/>
        </w:rPr>
        <w:t xml:space="preserve"> means the Pension Benefit Guaranty Corporation.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Pension Act</w:t>
      </w:r>
      <w:r>
        <w:rPr>
          <w:rFonts w:ascii="Times New Roman" w:hAnsi="Times New Roman"/>
          <w:sz w:val="20"/>
        </w:rPr>
        <w:t xml:space="preserve"> means the Pension Protection Act of 2006.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Pension Funding Rules</w:t>
      </w:r>
      <w:r>
        <w:rPr>
          <w:rFonts w:ascii="Times New Roman" w:hAnsi="Times New Roman"/>
          <w:sz w:val="20"/>
        </w:rPr>
        <w:t xml:space="preserve">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Pension Plan</w:t>
      </w:r>
      <w:r>
        <w:rPr>
          <w:rFonts w:ascii="Times New Roman" w:hAnsi="Times New Roman"/>
          <w:sz w:val="20"/>
        </w:rPr>
        <w:t xml:space="preserve">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Petroleum Products</w:t>
      </w:r>
      <w:r>
        <w:rPr>
          <w:rFonts w:ascii="Times New Roman" w:hAnsi="Times New Roman"/>
          <w:sz w:val="20"/>
        </w:rPr>
        <w:t xml:space="preserve"> means crude oil, condensate, natural gas, natural gas liquids (NGLs), liquefied petroleum gases (LPGs), refined petroleum products or any blend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Pine Prairie Lease</w:t>
      </w:r>
      <w:r>
        <w:rPr>
          <w:rFonts w:ascii="Times New Roman" w:hAnsi="Times New Roman"/>
          <w:sz w:val="20"/>
        </w:rPr>
        <w:t xml:space="preserve"> means, collectively, that certain Agreement to Lease With Option to Purchase, dated as of May 1, 2006, and that certain Conveyance and Lease Addendum No. 1, dated as of November 12, 2007, each by and between Industrial Revenue Board No. 1 of the Parish of Louisiana, Inc. and Pine Prairie Energy Center, LLC.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Plains AAP</w:t>
      </w:r>
      <w:r>
        <w:rPr>
          <w:rFonts w:ascii="Times New Roman" w:hAnsi="Times New Roman"/>
          <w:sz w:val="20"/>
        </w:rPr>
        <w:t xml:space="preserve"> means Plains AAP, L.P., a Delaware limited partnership.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Plains Marketing</w:t>
      </w:r>
      <w:r>
        <w:rPr>
          <w:rFonts w:ascii="Times New Roman" w:hAnsi="Times New Roman"/>
          <w:sz w:val="20"/>
        </w:rPr>
        <w:t xml:space="preserve"> means Plains Marketing, L.P., a Texas limited partnership.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Plains Pipeline</w:t>
      </w:r>
      <w:r>
        <w:rPr>
          <w:rFonts w:ascii="Times New Roman" w:hAnsi="Times New Roman"/>
          <w:sz w:val="20"/>
        </w:rPr>
        <w:t xml:space="preserve"> means Plains Pipeline, L.P., a Texas limited partnership.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Plan</w:t>
      </w:r>
      <w:r>
        <w:rPr>
          <w:rFonts w:ascii="Times New Roman" w:hAnsi="Times New Roman"/>
          <w:sz w:val="20"/>
        </w:rPr>
        <w:t xml:space="preserve">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Platform</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PNGS</w:t>
      </w:r>
      <w:r>
        <w:rPr>
          <w:rFonts w:ascii="Times New Roman" w:hAnsi="Times New Roman"/>
          <w:sz w:val="20"/>
        </w:rPr>
        <w:t xml:space="preserve"> means PAA Natural Gas Storage, L.P., a Delaware limited partnership.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PNGS Credit Agreement</w:t>
      </w:r>
      <w:r>
        <w:rPr>
          <w:rFonts w:ascii="Times New Roman" w:hAnsi="Times New Roman"/>
          <w:sz w:val="20"/>
        </w:rPr>
        <w:t xml:space="preserve"> means that certain Credit Agreement dated as of August 19, 2011 among PNGS, Bank of America, N.A., as administrative agent, and the lenders named therein.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PPX Acquisition</w:t>
      </w:r>
      <w:r>
        <w:rPr>
          <w:rFonts w:ascii="Times New Roman" w:hAnsi="Times New Roman"/>
          <w:sz w:val="20"/>
        </w:rPr>
        <w:t> means (a) the merger of Pacific Energy Partners, L.P. (</w:t>
      </w:r>
      <w:r>
        <w:rPr>
          <w:rFonts w:ascii="Times New Roman" w:hAnsi="Times New Roman"/>
          <w:sz w:val="20"/>
          <w:u w:val="single"/>
        </w:rPr>
        <w:t>PPX</w:t>
      </w:r>
      <w:r>
        <w:rPr>
          <w:rFonts w:ascii="Times New Roman" w:hAnsi="Times New Roman"/>
          <w:sz w:val="20"/>
        </w:rPr>
        <w:t xml:space="preserve">) with and into the Borrower pursuant to that certain Agreement and Plan of Merger dated as of June 11, 2006 by and among PPX and certain of its Affiliates and the Borrower and certain of its Affiliates, (b) the purchase by the Borrower from LB Pacific, LP of certain equity interests in PPX and in certain Affiliates of PPX, pursuant to that certain Purchase Agreement dated as of June 11, 2006 by and among LB Pacific, LP and the Borrower, and (c) the acquisition of other property and interests, in each case pursuant to the foregoing agreements and related documents.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Pre-Activation Commitment Termination Date</w:t>
      </w:r>
      <w:r>
        <w:rPr>
          <w:rFonts w:ascii="Times New Roman" w:hAnsi="Times New Roman"/>
          <w:sz w:val="20"/>
        </w:rPr>
        <w:t xml:space="preserve"> means the date that is six months from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date is not a Business Day, the Pre-Activation Commitment Termination Date shall be the next following Business Day.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Principal Property</w:t>
      </w:r>
      <w:r>
        <w:rPr>
          <w:rFonts w:ascii="Times New Roman" w:hAnsi="Times New Roman"/>
          <w:sz w:val="20"/>
        </w:rPr>
        <w:t xml:space="preserve"> means, whether owned or leased on the date hereof or hereafter acquired: </w:t>
      </w:r>
    </w:p>
    <w:p>
      <w:pPr>
        <w:pStyle w:val="TextBody"/>
        <w:spacing w:before="180" w:after="0"/>
        <w:rPr>
          <w:rFonts w:ascii="Times New Roman" w:hAnsi="Times New Roman"/>
          <w:sz w:val="20"/>
        </w:rPr>
      </w:pPr>
      <w:r>
        <w:rPr>
          <w:rFonts w:ascii="Times New Roman" w:hAnsi="Times New Roman"/>
          <w:sz w:val="20"/>
        </w:rPr>
        <w:t xml:space="preserve">(a) any pipeline assets of any Restricted Person, including any related facilities employed in the transportation, distribution, terminalling, gathering, treating, processing, marketing or storage of crude oil or refined petroleum products, natural gas, natural gas liquids, fuel additives or petrochemicals; and </w:t>
      </w:r>
    </w:p>
    <w:p>
      <w:pPr>
        <w:pStyle w:val="TextBody"/>
        <w:spacing w:before="180" w:after="0"/>
        <w:rPr>
          <w:rFonts w:ascii="Times New Roman" w:hAnsi="Times New Roman"/>
          <w:sz w:val="20"/>
        </w:rPr>
      </w:pPr>
      <w:r>
        <w:rPr>
          <w:rFonts w:ascii="Times New Roman" w:hAnsi="Times New Roman"/>
          <w:sz w:val="20"/>
        </w:rPr>
        <w:t xml:space="preserve">(b) any processing or manufacturing plant or terminal owned or leased by any Restricted Person;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any storage facility of any Restricted Person, including all storage caverns and reservoirs, injection, compression and production wells, injection and withdrawal sites and facilities, transportation and gathering pipelines, treating and processing plants and facilities, compressors and compression units, and other facilities, equipment and other assets owned or leased by any Restricted Person employed in the injection, storage, withdrawal, transportation, gathering, terminalling, treating, processing, distribution, transportation and marketing of natural gas, natural gas liquids, crude oil and refined petroleum products; </w:t>
      </w:r>
    </w:p>
    <w:p>
      <w:pPr>
        <w:pStyle w:val="TextBody"/>
        <w:spacing w:before="180" w:after="0"/>
        <w:rPr>
          <w:rFonts w:ascii="Times New Roman" w:hAnsi="Times New Roman"/>
          <w:sz w:val="20"/>
        </w:rPr>
      </w:pPr>
      <w:r>
        <w:rPr>
          <w:rFonts w:ascii="Times New Roman" w:hAnsi="Times New Roman"/>
          <w:sz w:val="20"/>
        </w:rPr>
        <w:t xml:space="preserve">(d) all rights, titles, interests and estates in and to oil and gas leases, oil, gas and mineral leases, or other liquid or gaseous Hydrocarbon leases, and mineral fee interests associated with the foregoing; and </w:t>
      </w:r>
    </w:p>
    <w:p>
      <w:pPr>
        <w:pStyle w:val="TextBody"/>
        <w:spacing w:before="180" w:after="0"/>
        <w:rPr>
          <w:rFonts w:ascii="Times New Roman" w:hAnsi="Times New Roman"/>
          <w:sz w:val="20"/>
        </w:rPr>
      </w:pPr>
      <w:r>
        <w:rPr>
          <w:rFonts w:ascii="Times New Roman" w:hAnsi="Times New Roman"/>
          <w:sz w:val="20"/>
        </w:rPr>
        <w:t xml:space="preserve">(e) all volumes of natural gas stored at any storage facility required to remain in such storage facility (base gas) in order to provide necessary pressurization sufficient to extract (i) all third-party natural gas stored therein (third-party gas) and (ii) any other volumes of natural gas owned by the Borrower and its Subsidiaries and stored in such storage facility (working gas). For the avoidance of doubt, Principal Property shall not include third-party gas or working gas; </w:t>
      </w:r>
    </w:p>
    <w:p>
      <w:pPr>
        <w:pStyle w:val="TextBody"/>
        <w:spacing w:before="180" w:after="0"/>
        <w:rPr>
          <w:rFonts w:ascii="Times New Roman" w:hAnsi="Times New Roman"/>
          <w:sz w:val="20"/>
        </w:rPr>
      </w:pPr>
      <w:r>
        <w:rPr>
          <w:rFonts w:ascii="Times New Roman" w:hAnsi="Times New Roman"/>
          <w:sz w:val="20"/>
        </w:rPr>
        <w:t xml:space="preserve">except, in the case of any of clauses (a) through (e):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the Borrower and its Subsidiaries, taken as a whole.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Public Lender</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Register</w:t>
      </w:r>
      <w:r>
        <w:rPr>
          <w:rFonts w:ascii="Times New Roman" w:hAnsi="Times New Roman"/>
          <w:sz w:val="20"/>
        </w:rPr>
        <w:t xml:space="preserve"> has the meaning specified in </w:t>
      </w:r>
      <w:r>
        <w:rPr>
          <w:rFonts w:ascii="Times New Roman" w:hAnsi="Times New Roman"/>
          <w:sz w:val="20"/>
          <w:u w:val="single"/>
        </w:rPr>
        <w:t>Section 10.06(c)</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directors, officers, employees, agents, trustees and advisors of such Person and of such Persons Affiliates.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Reportable Event</w:t>
      </w:r>
      <w:r>
        <w:rPr>
          <w:rFonts w:ascii="Times New Roman" w:hAnsi="Times New Roman"/>
          <w:sz w:val="20"/>
        </w:rPr>
        <w:t xml:space="preserve"> means any of the events set forth in Section 4043(c) of ERISA, other than events for which the 30-day notice period has been waived.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Required Lenders</w:t>
      </w:r>
      <w:r>
        <w:rPr>
          <w:rFonts w:ascii="Times New Roman" w:hAnsi="Times New Roman"/>
          <w:sz w:val="20"/>
        </w:rPr>
        <w:t xml:space="preserve"> means, as of any date of determination, Lenders having more than 50% of the Aggregate Commitments or, if the commitment of each Lender to make Loans has been terminated pursuant to </w:t>
      </w:r>
      <w:r>
        <w:rPr>
          <w:rFonts w:ascii="Times New Roman" w:hAnsi="Times New Roman"/>
          <w:sz w:val="20"/>
          <w:u w:val="single"/>
        </w:rPr>
        <w:t>Section 8.02</w:t>
      </w:r>
      <w:r>
        <w:rPr>
          <w:rFonts w:ascii="Times New Roman" w:hAnsi="Times New Roman"/>
          <w:sz w:val="20"/>
        </w:rPr>
        <w:t xml:space="preserve">, Lenders holding in the aggregate more than 50% of the Total Outstandings; </w:t>
      </w:r>
      <w:r>
        <w:rPr>
          <w:rFonts w:ascii="Times New Roman" w:hAnsi="Times New Roman"/>
          <w:sz w:val="20"/>
          <w:u w:val="single"/>
        </w:rPr>
        <w:t>provided</w:t>
      </w:r>
      <w:r>
        <w:rPr>
          <w:rFonts w:ascii="Times New Roman" w:hAnsi="Times New Roman"/>
          <w:sz w:val="20"/>
        </w:rPr>
        <w:t xml:space="preserve"> that the Commitment of, and the portion of the Total Outstandings held by, any Defaulting Lender shall be excluded for purposes of making a determination of Required Lenders.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xml:space="preserve"> means the chief executive officer, president, vice president, chief financial officer, treasurer, assistant treasurer or controller of the Borrower, or any general partner thereof or any general partner of any such general partner or any sole member thereof, as the case may be, solely for purposes of the delivery of incumbency certificates and other certificates in respect of certain documents to be attached thereto pursuant to </w:t>
      </w:r>
      <w:r>
        <w:rPr>
          <w:rFonts w:ascii="Times New Roman" w:hAnsi="Times New Roman"/>
          <w:sz w:val="20"/>
          <w:u w:val="single"/>
        </w:rPr>
        <w:t>Sections 4.01</w:t>
      </w:r>
      <w:r>
        <w:rPr>
          <w:rFonts w:ascii="Times New Roman" w:hAnsi="Times New Roman"/>
          <w:sz w:val="20"/>
        </w:rPr>
        <w:t xml:space="preserve">, </w:t>
      </w:r>
      <w:r>
        <w:rPr>
          <w:rFonts w:ascii="Times New Roman" w:hAnsi="Times New Roman"/>
          <w:sz w:val="20"/>
          <w:u w:val="single"/>
        </w:rPr>
        <w:t xml:space="preserve">4.02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and </w:t>
      </w:r>
      <w:r>
        <w:rPr>
          <w:rFonts w:ascii="Times New Roman" w:hAnsi="Times New Roman"/>
          <w:sz w:val="20"/>
          <w:u w:val="single"/>
        </w:rPr>
        <w:t>4.03</w:t>
      </w:r>
      <w:r>
        <w:rPr>
          <w:rFonts w:ascii="Times New Roman" w:hAnsi="Times New Roman"/>
          <w:sz w:val="20"/>
        </w:rPr>
        <w:t xml:space="preserve">, the secretary or any assistant secretary of the Borrower, or any general partner thereof or any general partner of any such general partner or any sole member thereof, as the case may be, and solely for purposes of notices given pursuant to </w:t>
      </w:r>
      <w:r>
        <w:rPr>
          <w:rFonts w:ascii="Times New Roman" w:hAnsi="Times New Roman"/>
          <w:sz w:val="20"/>
          <w:u w:val="single"/>
        </w:rPr>
        <w:t>Article II</w:t>
      </w:r>
      <w:r>
        <w:rPr>
          <w:rFonts w:ascii="Times New Roman" w:hAnsi="Times New Roman"/>
          <w:sz w:val="20"/>
        </w:rPr>
        <w:t xml:space="preserve">, any other officer or employee of the Borrower, or any general partner thereof or any general partner of any such general partner or any sole member thereof, as the case may be, designated by any of the foregoing officers in a notice to the Administrative Agent. Any document delivered hereunder that is signed by a Responsible Officer of the Borrower, or any general partner thereof or any general partner of any such general partner or any sole member thereof, as the case may be, shall be conclusively presumed to have been authorized by all necessary corporate, partnership or other equivalent action on the part of the Borrower, and such Responsible Officer shall be conclusively presumed to have acted on behalf of the Borrower.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Restricted Payment</w:t>
      </w:r>
      <w:r>
        <w:rPr>
          <w:rFonts w:ascii="Times New Roman" w:hAnsi="Times New Roman"/>
          <w:sz w:val="20"/>
        </w:rPr>
        <w:t xml:space="preserve"> means any dividend or other distribution (whether in cash or other property, but excluding dividends or other distributions payable in Equity Interests in the Borrower) with respect to any Equity Interest of the Borrower, or any payment (whether in cash or other property, but excluding dividends or other distributions payable in Equity Interests in the Borrower), including any sinking fund or similar deposit, on account of the purchase, redemption, retirement, acquisition, cancellation or termination for value of any Equity Interest of the Borrower, or on account of any return of capital to holders of any Equity Interests of the Borrower.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Restricted Person</w:t>
      </w:r>
      <w:r>
        <w:rPr>
          <w:rFonts w:ascii="Times New Roman" w:hAnsi="Times New Roman"/>
          <w:sz w:val="20"/>
        </w:rPr>
        <w:t xml:space="preserve"> means any of the Borrower and each Subsidiary of the Borrower, but excluding, for the avoidance of doubt, Unrestricted Subsidiaries. As of the Closing Date, each of Plains Marketing, Plains Pipeline, Plains Midstream Canada ULC and PNGS and each of their respective Subsidiaries are Restricted Subsidiaries.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Restriction Exception</w:t>
      </w:r>
      <w:r>
        <w:rPr>
          <w:rFonts w:ascii="Times New Roman" w:hAnsi="Times New Roman"/>
          <w:sz w:val="20"/>
        </w:rPr>
        <w:t xml:space="preserve"> means (a) any applicable Law or any instrument governing Indebtedness or Equity Interests, or any applicable Law or any other agreement relating to any property, assets or operations of a Person whose Equity Interests are acquired, in whole or part, 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Times New Roman" w:hAnsi="Times New Roman"/>
          <w:sz w:val="20"/>
          <w:u w:val="single"/>
        </w:rPr>
        <w:t>provided</w:t>
      </w:r>
      <w:r>
        <w:rPr>
          <w:rFonts w:ascii="Times New Roman" w:hAnsi="Times New Roman"/>
          <w:sz w:val="20"/>
        </w:rPr>
        <w:t xml:space="preserve"> that in the case of Indebtedness, the incurrence of such Indebtedness is not prohibited hereunder, (b) provisions with respect to the disposition or distribution of assets in joint venture agreements or other similar agreements entered into in the ordinary course of business, (c) (i) a lease, license or similar contract, which restricts in a customary manner the subletting, assignment, encumbrance or transfer of any property or asset that is subject thereto or the assignment, encumbrance or transfer of any such lease, license or other contract, (ii)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(iii) customary provisions restricting disposition of, or encumbrances on, real property interests set forth in any reciprocal easements of any Restricted Person, (d) restrictions imposed pursuant to (i) this Agreement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other Loan Documents, (ii) the Hedged Inventory Credit Agreement and its related loan documents and (iii) the PNGS Credit Agreement and its related loan documents, (e) restrictions on the transfer or encumbrance of property or assets which are imposed by the holder of Liens on property or assets of a Restricted Person, </w:t>
      </w:r>
      <w:r>
        <w:rPr>
          <w:rFonts w:ascii="Times New Roman" w:hAnsi="Times New Roman"/>
          <w:sz w:val="20"/>
          <w:u w:val="single"/>
        </w:rPr>
        <w:t>provided</w:t>
      </w:r>
      <w:r>
        <w:rPr>
          <w:rFonts w:ascii="Times New Roman" w:hAnsi="Times New Roman"/>
          <w:sz w:val="20"/>
        </w:rPr>
        <w:t xml:space="preserve"> that neither the incurrence of such Lien nor any related Indebtedness results in a Default, (f) any agreement to, directly or indirectly, sell or otherwise dispose of assets or Equity Interests to any Person pending the closing of such sale, </w:t>
      </w:r>
      <w:r>
        <w:rPr>
          <w:rFonts w:ascii="Times New Roman" w:hAnsi="Times New Roman"/>
          <w:sz w:val="20"/>
          <w:u w:val="single"/>
        </w:rPr>
        <w:t>provided</w:t>
      </w:r>
      <w:r>
        <w:rPr>
          <w:rFonts w:ascii="Times New Roman" w:hAnsi="Times New Roman"/>
          <w:sz w:val="20"/>
        </w:rPr>
        <w:t xml:space="preserve"> that such sale is consummated in compliance with any applicable provisions of this Agreement, (g) net worth provisions in leases and other agreements entered into by any Restricted Person in the ordinary course of business, (h) an agreement governing Indebtedness incurred to refinance the Indebtedness issued, assumed or incurred pursuant to an agreement referred to in clauses (d) and (e) above;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provisions relating to such encumbrance or restriction contained in any such Indebtedness are no less favorable to such Restricted Person in any material respect as determined by the Board in its reasonable and good faith judgment than the provisions relating to such encumbrance or restriction contained in agreements referred to in such clauses (d) and (e); and (i) Hybrid Securities or an indenture, document, agreement or security entered into or issued in connection with a Hybrid Security or otherwise constituting a restriction or condition on the payment of dividends or distributions by an issuer of a Hybrid Security.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S&amp;P</w:t>
      </w:r>
      <w:r>
        <w:rPr>
          <w:rFonts w:ascii="Times New Roman" w:hAnsi="Times New Roman"/>
          <w:sz w:val="20"/>
        </w:rPr>
        <w:t xml:space="preserve"> means Standard &amp; Poors Ratings Services, a division of The McGraw-Hill Companies, Inc. and any successor to the ratings agency business thereof.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Significant Restricted Persons</w:t>
      </w:r>
      <w:r>
        <w:rPr>
          <w:rFonts w:ascii="Times New Roman" w:hAnsi="Times New Roman"/>
          <w:sz w:val="20"/>
        </w:rPr>
        <w:t xml:space="preserve"> means the Borrower and, as of each relevant date of determination, each Subsidiary of the Borrower (other than Unrestricted Subsidiaries) that owns five percent (5%) or more of the Borrowers Consolidated Net Tangible Assets.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Specified Acquisition</w:t>
      </w:r>
      <w:r>
        <w:rPr>
          <w:rFonts w:ascii="Times New Roman" w:hAnsi="Times New Roman"/>
          <w:sz w:val="20"/>
        </w:rPr>
        <w:t xml:space="preserve"> means one or more acquisitions of assets or entities or operating lines or divisions or Equity Interests in any rolling 12-month period, excluding any acquisitions included in a prior Specified Acquisition, for an aggregate purchase price of not less than $150,000,000.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Specified Equity Offering</w:t>
      </w:r>
      <w:r>
        <w:rPr>
          <w:rFonts w:ascii="Times New Roman" w:hAnsi="Times New Roman"/>
          <w:sz w:val="20"/>
        </w:rPr>
        <w:t xml:space="preserve"> means one or more issuances of equity by the Borrower for aggregate net cash proceeds of not less than fifty percent (50%) of the aggregate purchase price of the Specified Acquisition.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of a Person means a corporation, partnership, joint venture, limited liability company, unlimited liability company, unlimited liability corporation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Unrestricted Subsidiary shall be deemed to be a Subsidiary of any Restricted Person for purposes of any Loan Document except as provided in </w:t>
      </w:r>
      <w:r>
        <w:rPr>
          <w:rFonts w:ascii="Times New Roman" w:hAnsi="Times New Roman"/>
          <w:sz w:val="20"/>
          <w:u w:val="single"/>
        </w:rPr>
        <w:t>Section 7.09</w:t>
      </w:r>
      <w:r>
        <w:rPr>
          <w:rFonts w:ascii="Times New Roman" w:hAnsi="Times New Roman"/>
          <w:sz w:val="20"/>
        </w:rPr>
        <w:t xml:space="preserve"> hereof. Unless otherwise specified, all references herein to a Subsidiary or to Subsidiaries shall refer to a Subsidiary or Subsidiaries of the Borrower.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Supermajority Lenders</w:t>
      </w:r>
      <w:r>
        <w:rPr>
          <w:rFonts w:ascii="Times New Roman" w:hAnsi="Times New Roman"/>
          <w:sz w:val="20"/>
        </w:rPr>
        <w:t xml:space="preserve"> means, as of any date of determination, Lenders (or as the context may require, Lenders directly affected thereby) having more than 75% of the Aggregate Commitments (or, with respect to Lenders directly affected thereby, the aggregate Commitments of such Lenders) or, if the commitment of each Lender to make Loans has been terminated pursuant to </w:t>
      </w:r>
      <w:r>
        <w:rPr>
          <w:rFonts w:ascii="Times New Roman" w:hAnsi="Times New Roman"/>
          <w:sz w:val="20"/>
          <w:u w:val="single"/>
        </w:rPr>
        <w:t>Section 8.02</w:t>
      </w:r>
      <w:r>
        <w:rPr>
          <w:rFonts w:ascii="Times New Roman" w:hAnsi="Times New Roman"/>
          <w:sz w:val="20"/>
        </w:rPr>
        <w:t xml:space="preserve">, Lenders (or Lenders directly affected thereby) holding in the aggregate more than 75% of the Total Outstandings (or, with respect to Lenders directly affected thereby, the aggregate Outstanding Amount of such Lenders); </w:t>
      </w:r>
      <w:r>
        <w:rPr>
          <w:rFonts w:ascii="Times New Roman" w:hAnsi="Times New Roman"/>
          <w:sz w:val="20"/>
          <w:u w:val="single"/>
        </w:rPr>
        <w:t>provided</w:t>
      </w:r>
      <w:r>
        <w:rPr>
          <w:rFonts w:ascii="Times New Roman" w:hAnsi="Times New Roman"/>
          <w:sz w:val="20"/>
        </w:rPr>
        <w:t xml:space="preserve"> that the Commitment of, and the portion of the Total Outstandings held by, any Defaulting Lender shall be excluded for purposes of making a determination of Supermajority Lenders.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Swap Contract</w:t>
      </w:r>
      <w:r>
        <w:rPr>
          <w:rFonts w:ascii="Times New Roman" w:hAnsi="Times New Roman"/>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Swap Termination Value</w:t>
      </w:r>
      <w:r>
        <w:rPr>
          <w:rFonts w:ascii="Times New Roman" w:hAnsi="Times New Roman"/>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Synthetic Lease Obligation</w:t>
      </w:r>
      <w:r>
        <w:rPr>
          <w:rFonts w:ascii="Times New Roman" w:hAnsi="Times New Roman"/>
          <w:sz w:val="20"/>
        </w:rPr>
        <w:t xml:space="preserve">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to the extent included in the foregoing, Operating Leases entered into in the ordinary course of business are excluded therefrom.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Threshold Amount</w:t>
      </w:r>
      <w:r>
        <w:rPr>
          <w:rFonts w:ascii="Times New Roman" w:hAnsi="Times New Roman"/>
          <w:sz w:val="20"/>
        </w:rPr>
        <w:t xml:space="preserve"> means $50,000,000.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Total Outstandings</w:t>
      </w:r>
      <w:r>
        <w:rPr>
          <w:rFonts w:ascii="Times New Roman" w:hAnsi="Times New Roman"/>
          <w:sz w:val="20"/>
        </w:rPr>
        <w:t xml:space="preserve"> means the aggregate Outstanding Amount of all Loans.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Type</w:t>
      </w:r>
      <w:r>
        <w:rPr>
          <w:rFonts w:ascii="Times New Roman" w:hAnsi="Times New Roman"/>
          <w:sz w:val="20"/>
        </w:rPr>
        <w:t xml:space="preserve"> means with respect to a Loan, its character as a Base Rate Loan or a Eurodollar Rate Loan.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United States</w:t>
      </w:r>
      <w:r>
        <w:rPr>
          <w:rFonts w:ascii="Times New Roman" w:hAnsi="Times New Roman"/>
          <w:sz w:val="20"/>
        </w:rPr>
        <w:t> and </w:t>
      </w:r>
      <w:r>
        <w:rPr>
          <w:rFonts w:ascii="Times New Roman" w:hAnsi="Times New Roman"/>
          <w:sz w:val="20"/>
          <w:u w:val="single"/>
        </w:rPr>
        <w:t>U.S.</w:t>
      </w:r>
      <w:r>
        <w:rPr>
          <w:rFonts w:ascii="Times New Roman" w:hAnsi="Times New Roman"/>
          <w:sz w:val="20"/>
        </w:rPr>
        <w:t xml:space="preserve"> mean the United States of America.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Unrestricted Subsidiary</w:t>
      </w:r>
      <w:r>
        <w:rPr>
          <w:rFonts w:ascii="Times New Roman" w:hAnsi="Times New Roman"/>
          <w:sz w:val="20"/>
        </w:rPr>
        <w:t xml:space="preserve"> has the meaning specified in </w:t>
      </w:r>
      <w:r>
        <w:rPr>
          <w:rFonts w:ascii="Times New Roman" w:hAnsi="Times New Roman"/>
          <w:sz w:val="20"/>
          <w:u w:val="single"/>
        </w:rPr>
        <w:t>Section 7.09</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w:t>
      </w:r>
      <w:r>
        <w:rPr>
          <w:rFonts w:ascii="Times New Roman" w:hAnsi="Times New Roman"/>
          <w:sz w:val="20"/>
          <w:u w:val="single"/>
        </w:rPr>
        <w:t>Working Capital Borrowing</w:t>
      </w:r>
      <w:r>
        <w:rPr>
          <w:rFonts w:ascii="Times New Roman" w:hAnsi="Times New Roman"/>
          <w:sz w:val="20"/>
        </w:rPr>
        <w:t xml:space="preserve"> has the meaning specified in </w:t>
      </w:r>
      <w:r>
        <w:rPr>
          <w:rFonts w:ascii="Times New Roman" w:hAnsi="Times New Roman"/>
          <w:sz w:val="20"/>
          <w:u w:val="single"/>
        </w:rPr>
        <w:t>Section 2.02(a)</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b/>
          <w:sz w:val="20"/>
        </w:rPr>
        <w:t xml:space="preserve">1.02 Other Interpretive Provisions. </w:t>
      </w:r>
      <w:r>
        <w:rPr>
          <w:rFonts w:ascii="Times New Roman" w:hAnsi="Times New Roman"/>
          <w:sz w:val="20"/>
        </w:rPr>
        <w:t xml:space="preserve">With reference to this Agreement and each other Loan Document, unless otherwise specified herein or in such other Loan Document: </w:t>
      </w:r>
    </w:p>
    <w:p>
      <w:pPr>
        <w:pStyle w:val="TextBody"/>
        <w:spacing w:before="180" w:after="0"/>
        <w:rPr>
          <w:rFonts w:ascii="Times New Roman" w:hAnsi="Times New Roman"/>
          <w:sz w:val="20"/>
        </w:rPr>
      </w:pPr>
      <w:r>
        <w:rPr>
          <w:rFonts w:ascii="Times New Roman" w:hAnsi="Times New Roman"/>
          <w:sz w:val="20"/>
        </w:rPr>
        <w:t>(a) The definitions of terms herein shall apply equally to the singular and plural forms of the terms defined. Whenever the context may require, any pronoun shall include the corresponding masculine, feminine and neuter forms. The word </w:t>
      </w:r>
      <w:r>
        <w:rPr>
          <w:rFonts w:ascii="Times New Roman" w:hAnsi="Times New Roman"/>
          <w:sz w:val="20"/>
          <w:u w:val="single"/>
        </w:rPr>
        <w:t>or</w:t>
      </w:r>
      <w:r>
        <w:rPr>
          <w:rFonts w:ascii="Times New Roman" w:hAnsi="Times New Roman"/>
          <w:sz w:val="20"/>
        </w:rPr>
        <w:t> is not exclusive and the words </w:t>
      </w:r>
      <w:r>
        <w:rPr>
          <w:rFonts w:ascii="Times New Roman" w:hAnsi="Times New Roman"/>
          <w:sz w:val="20"/>
          <w:u w:val="single"/>
        </w:rPr>
        <w:t>include</w:t>
      </w:r>
      <w:r>
        <w:rPr>
          <w:rFonts w:ascii="Times New Roman" w:hAnsi="Times New Roman"/>
          <w:sz w:val="20"/>
        </w:rPr>
        <w:t>, </w:t>
      </w:r>
      <w:r>
        <w:rPr>
          <w:rFonts w:ascii="Times New Roman" w:hAnsi="Times New Roman"/>
          <w:sz w:val="20"/>
          <w:u w:val="single"/>
        </w:rPr>
        <w:t>includes</w:t>
      </w:r>
      <w:r>
        <w:rPr>
          <w:rFonts w:ascii="Times New Roman" w:hAnsi="Times New Roman"/>
          <w:sz w:val="20"/>
        </w:rPr>
        <w:t> and </w:t>
      </w:r>
      <w:r>
        <w:rPr>
          <w:rFonts w:ascii="Times New Roman" w:hAnsi="Times New Roman"/>
          <w:sz w:val="20"/>
          <w:u w:val="single"/>
        </w:rPr>
        <w:t>including</w:t>
      </w:r>
      <w:r>
        <w:rPr>
          <w:rFonts w:ascii="Times New Roman" w:hAnsi="Times New Roman"/>
          <w:sz w:val="20"/>
        </w:rPr>
        <w:t> shall be deemed to be followed by the phrase without limitation. The word </w:t>
      </w:r>
      <w:r>
        <w:rPr>
          <w:rFonts w:ascii="Times New Roman" w:hAnsi="Times New Roman"/>
          <w:sz w:val="20"/>
          <w:u w:val="single"/>
        </w:rPr>
        <w:t>will</w:t>
      </w:r>
      <w:r>
        <w:rPr>
          <w:rFonts w:ascii="Times New Roman" w:hAnsi="Times New Roman"/>
          <w:sz w:val="20"/>
        </w:rPr>
        <w:t> shall be construed to have the same meaning and effect as the word </w:t>
      </w:r>
      <w:r>
        <w:rPr>
          <w:rFonts w:ascii="Times New Roman" w:hAnsi="Times New Roman"/>
          <w:sz w:val="20"/>
          <w:u w:val="single"/>
        </w:rPr>
        <w:t>shall</w:t>
      </w:r>
      <w:r>
        <w:rPr>
          <w:rFonts w:ascii="Times New Roman" w:hAnsi="Times New Roman"/>
          <w:sz w:val="20"/>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permitted assigns, (iii) the words </w:t>
      </w:r>
      <w:r>
        <w:rPr>
          <w:rFonts w:ascii="Times New Roman" w:hAnsi="Times New Roman"/>
          <w:sz w:val="20"/>
          <w:u w:val="single"/>
        </w:rPr>
        <w:t>hereto</w:t>
      </w:r>
      <w:r>
        <w:rPr>
          <w:rFonts w:ascii="Times New Roman" w:hAnsi="Times New Roman"/>
          <w:sz w:val="20"/>
        </w:rPr>
        <w:t>, </w:t>
      </w:r>
      <w:r>
        <w:rPr>
          <w:rFonts w:ascii="Times New Roman" w:hAnsi="Times New Roman"/>
          <w:sz w:val="20"/>
          <w:u w:val="single"/>
        </w:rPr>
        <w:t>herein</w:t>
      </w:r>
      <w:r>
        <w:rPr>
          <w:rFonts w:ascii="Times New Roman" w:hAnsi="Times New Roman"/>
          <w:sz w:val="20"/>
        </w:rPr>
        <w:t>, </w:t>
      </w:r>
      <w:r>
        <w:rPr>
          <w:rFonts w:ascii="Times New Roman" w:hAnsi="Times New Roman"/>
          <w:sz w:val="20"/>
          <w:u w:val="single"/>
        </w:rPr>
        <w:t>hereof</w:t>
      </w:r>
      <w:r>
        <w:rPr>
          <w:rFonts w:ascii="Times New Roman" w:hAnsi="Times New Roman"/>
          <w:sz w:val="20"/>
        </w:rPr>
        <w:t> and </w:t>
      </w:r>
      <w:r>
        <w:rPr>
          <w:rFonts w:ascii="Times New Roman" w:hAnsi="Times New Roman"/>
          <w:sz w:val="20"/>
          <w:u w:val="single"/>
        </w:rPr>
        <w:t>hereunder</w:t>
      </w:r>
      <w:r>
        <w:rPr>
          <w:rFonts w:ascii="Times New Roman" w:hAnsi="Times New Roman"/>
          <w:sz w:val="20"/>
        </w:rPr>
        <w:t>, and words of similar import when used in any Loan Document, shall be construed to refer to such Loan Document in its entirety and not to any particular provision thereof, unless expressly so limited,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hAnsi="Times New Roman"/>
          <w:sz w:val="20"/>
          <w:u w:val="single"/>
        </w:rPr>
        <w:t>asset</w:t>
      </w:r>
      <w:r>
        <w:rPr>
          <w:rFonts w:ascii="Times New Roman" w:hAnsi="Times New Roman"/>
          <w:sz w:val="20"/>
        </w:rPr>
        <w:t> and </w:t>
      </w:r>
      <w:r>
        <w:rPr>
          <w:rFonts w:ascii="Times New Roman" w:hAnsi="Times New Roman"/>
          <w:sz w:val="20"/>
          <w:u w:val="single"/>
        </w:rPr>
        <w:t>property</w:t>
      </w:r>
      <w:r>
        <w:rPr>
          <w:rFonts w:ascii="Times New Roman" w:hAnsi="Times New Roman"/>
          <w:sz w:val="20"/>
        </w:rPr>
        <w:t xml:space="preserve"> shall be construed to have the same meaning and effect and to refer to any and all tangible and intangible assets and properties, including cash, securities, accounts and contract rights. </w:t>
      </w:r>
    </w:p>
    <w:p>
      <w:pPr>
        <w:pStyle w:val="TextBody"/>
        <w:spacing w:before="180" w:after="0"/>
        <w:rPr>
          <w:rFonts w:ascii="Times New Roman" w:hAnsi="Times New Roman"/>
          <w:sz w:val="20"/>
        </w:rPr>
      </w:pPr>
      <w:r>
        <w:rPr>
          <w:rFonts w:ascii="Times New Roman" w:hAnsi="Times New Roman"/>
          <w:sz w:val="20"/>
        </w:rPr>
        <w:t>(b) In the computation of periods of time from a specified date to a later specified date, the word </w:t>
      </w:r>
      <w:r>
        <w:rPr>
          <w:rFonts w:ascii="Times New Roman" w:hAnsi="Times New Roman"/>
          <w:sz w:val="20"/>
          <w:u w:val="single"/>
        </w:rPr>
        <w:t>from</w:t>
      </w:r>
      <w:r>
        <w:rPr>
          <w:rFonts w:ascii="Times New Roman" w:hAnsi="Times New Roman"/>
          <w:sz w:val="20"/>
        </w:rPr>
        <w:t> means </w:t>
      </w:r>
      <w:r>
        <w:rPr>
          <w:rFonts w:ascii="Times New Roman" w:hAnsi="Times New Roman"/>
          <w:sz w:val="20"/>
          <w:u w:val="single"/>
        </w:rPr>
        <w:t>from and including</w:t>
      </w:r>
      <w:r>
        <w:rPr>
          <w:rFonts w:ascii="Times New Roman" w:hAnsi="Times New Roman"/>
          <w:sz w:val="20"/>
        </w:rPr>
        <w:t>; the words </w:t>
      </w:r>
      <w:r>
        <w:rPr>
          <w:rFonts w:ascii="Times New Roman" w:hAnsi="Times New Roman"/>
          <w:sz w:val="20"/>
          <w:u w:val="single"/>
        </w:rPr>
        <w:t>to</w:t>
      </w:r>
      <w:r>
        <w:rPr>
          <w:rFonts w:ascii="Times New Roman" w:hAnsi="Times New Roman"/>
          <w:sz w:val="20"/>
        </w:rPr>
        <w:t> and </w:t>
      </w:r>
      <w:r>
        <w:rPr>
          <w:rFonts w:ascii="Times New Roman" w:hAnsi="Times New Roman"/>
          <w:sz w:val="20"/>
          <w:u w:val="single"/>
        </w:rPr>
        <w:t>until</w:t>
      </w:r>
      <w:r>
        <w:rPr>
          <w:rFonts w:ascii="Times New Roman" w:hAnsi="Times New Roman"/>
          <w:sz w:val="20"/>
        </w:rPr>
        <w:t> each mean </w:t>
      </w:r>
      <w:r>
        <w:rPr>
          <w:rFonts w:ascii="Times New Roman" w:hAnsi="Times New Roman"/>
          <w:sz w:val="20"/>
          <w:u w:val="single"/>
        </w:rPr>
        <w:t>to but excluding</w:t>
      </w:r>
      <w:r>
        <w:rPr>
          <w:rFonts w:ascii="Times New Roman" w:hAnsi="Times New Roman"/>
          <w:sz w:val="20"/>
        </w:rPr>
        <w:t>; and the word </w:t>
      </w:r>
      <w:r>
        <w:rPr>
          <w:rFonts w:ascii="Times New Roman" w:hAnsi="Times New Roman"/>
          <w:sz w:val="20"/>
          <w:u w:val="single"/>
        </w:rPr>
        <w:t>through</w:t>
      </w:r>
      <w:r>
        <w:rPr>
          <w:rFonts w:ascii="Times New Roman" w:hAnsi="Times New Roman"/>
          <w:sz w:val="20"/>
        </w:rPr>
        <w:t> means </w:t>
      </w:r>
      <w:r>
        <w:rPr>
          <w:rFonts w:ascii="Times New Roman" w:hAnsi="Times New Roman"/>
          <w:sz w:val="20"/>
          <w:u w:val="single"/>
        </w:rPr>
        <w:t>to and including</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Section headings herein and in the other Loan Documents are included for convenience of reference only and shall not affect the interpretation of this Agreement or any other Loan Document. </w:t>
      </w:r>
    </w:p>
    <w:p>
      <w:pPr>
        <w:pStyle w:val="TextBody"/>
        <w:spacing w:before="180" w:after="0"/>
        <w:rPr>
          <w:rFonts w:ascii="Times New Roman" w:hAnsi="Times New Roman"/>
          <w:sz w:val="20"/>
        </w:rPr>
      </w:pPr>
      <w:r>
        <w:rPr>
          <w:rFonts w:ascii="Times New Roman" w:hAnsi="Times New Roman"/>
          <w:b/>
          <w:sz w:val="20"/>
        </w:rPr>
        <w:t>1.03 Accounting Terms.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hAnsi="Times New Roman"/>
          <w:sz w:val="20"/>
          <w:u w:val="single"/>
        </w:rPr>
        <w:t>except</w:t>
      </w:r>
      <w:r>
        <w:rPr>
          <w:rFonts w:ascii="Times New Roman" w:hAnsi="Times New Roman"/>
          <w:sz w:val="20"/>
        </w:rPr>
        <w:t xml:space="preserve"> as otherwise specifically prescribed herein.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GAAP</w:t>
      </w:r>
      <w:r>
        <w:rPr>
          <w:rFonts w:ascii="Times New Roman" w:hAnsi="Times New Roman"/>
          <w:sz w:val="20"/>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hAnsi="Times New Roman"/>
          <w:sz w:val="20"/>
          <w:u w:val="single"/>
        </w:rPr>
        <w:t>provided that</w:t>
      </w:r>
      <w:r>
        <w:rPr>
          <w:rFonts w:ascii="Times New Roman" w:hAnsi="Times New Roman"/>
          <w:sz w:val="20"/>
        </w:rPr>
        <w:t xml:space="preserve">, until so amended, (i) such ratio or requirement shall continue to be computed in accordance with GAAP prior to such change therein and (ii) the Borrower shall provide to the Administrative Agent financial statements and other documents required under this Agreement or as reasonably requested hereunder setting forth a reconciliation between calculations of such ratio or requirement made before and after giving effect to such change in GAAP. </w:t>
      </w:r>
    </w:p>
    <w:p>
      <w:pPr>
        <w:pStyle w:val="TextBody"/>
        <w:spacing w:before="180" w:after="0"/>
        <w:rPr>
          <w:rFonts w:ascii="Times New Roman" w:hAnsi="Times New Roman"/>
          <w:sz w:val="20"/>
        </w:rPr>
      </w:pPr>
      <w:r>
        <w:rPr>
          <w:rFonts w:ascii="Times New Roman" w:hAnsi="Times New Roman"/>
          <w:b/>
          <w:sz w:val="20"/>
        </w:rPr>
        <w:t xml:space="preserve">1.04 Rounding. </w:t>
      </w:r>
      <w:r>
        <w:rPr>
          <w:rFonts w:ascii="Times New Roman" w:hAnsi="Times New Roman"/>
          <w:sz w:val="20"/>
        </w:rPr>
        <w:t xml:space="preserve">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w:t>
      </w:r>
    </w:p>
    <w:p>
      <w:pPr>
        <w:pStyle w:val="TextBody"/>
        <w:spacing w:before="180" w:after="0"/>
        <w:rPr>
          <w:rFonts w:ascii="Times New Roman" w:hAnsi="Times New Roman"/>
          <w:sz w:val="20"/>
        </w:rPr>
      </w:pPr>
      <w:r>
        <w:rPr>
          <w:rFonts w:ascii="Times New Roman" w:hAnsi="Times New Roman"/>
          <w:b/>
          <w:sz w:val="20"/>
        </w:rPr>
        <w:t>1.05 Times of Day.</w:t>
      </w:r>
      <w:r>
        <w:rPr>
          <w:rFonts w:ascii="Times New Roman" w:hAnsi="Times New Roman"/>
          <w:sz w:val="20"/>
        </w:rPr>
        <w:t xml:space="preserve"> Unless otherwise specified, all references herein to times of day shall be references to Eastern time (daylight or standard, as applicable). </w:t>
      </w:r>
    </w:p>
    <w:p>
      <w:pPr>
        <w:pStyle w:val="TextBody"/>
        <w:spacing w:before="360" w:after="0"/>
        <w:jc w:val="center"/>
        <w:rPr>
          <w:rFonts w:ascii="Times New Roman" w:hAnsi="Times New Roman"/>
          <w:b/>
          <w:sz w:val="20"/>
        </w:rPr>
      </w:pPr>
      <w:r>
        <w:rPr>
          <w:rFonts w:ascii="Times New Roman" w:hAnsi="Times New Roman"/>
          <w:b/>
          <w:sz w:val="20"/>
        </w:rPr>
        <w:t xml:space="preserve">ARTICLE II. THE COMMITMENTS AND LOANS </w:t>
      </w:r>
    </w:p>
    <w:p>
      <w:pPr>
        <w:pStyle w:val="TextBody"/>
        <w:spacing w:before="180" w:after="0"/>
        <w:rPr>
          <w:rFonts w:ascii="Times New Roman" w:hAnsi="Times New Roman"/>
          <w:sz w:val="20"/>
        </w:rPr>
      </w:pPr>
      <w:r>
        <w:rPr>
          <w:rFonts w:ascii="Times New Roman" w:hAnsi="Times New Roman"/>
          <w:b/>
          <w:sz w:val="20"/>
        </w:rPr>
        <w:t xml:space="preserve">2.01 Loans. </w:t>
      </w:r>
      <w:r>
        <w:rPr>
          <w:rFonts w:ascii="Times New Roman" w:hAnsi="Times New Roman"/>
          <w:sz w:val="20"/>
        </w:rPr>
        <w:t>Subject to the terms and conditions set forth herein, each Lender severally agrees to make loans (each such loan, a </w:t>
      </w:r>
      <w:r>
        <w:rPr>
          <w:rFonts w:ascii="Times New Roman" w:hAnsi="Times New Roman"/>
          <w:sz w:val="20"/>
          <w:u w:val="single"/>
        </w:rPr>
        <w:t>Loan</w:t>
      </w:r>
      <w:r>
        <w:rPr>
          <w:rFonts w:ascii="Times New Roman" w:hAnsi="Times New Roman"/>
          <w:sz w:val="20"/>
        </w:rPr>
        <w:t xml:space="preserve">) to the Borrower in Dollars from time to time on a several basis, on any Business Day during the Availability Period, in an aggregate principal amount not to exceed at any time outstanding the amount of such Lenders Commitment;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giving effect to any Borrowing, (i) the Total Outstandings shall not exceed the Aggregate Commitments, and (ii) the aggregate Outstanding Amount of the Loans of any Lender shall not exceed such Lenders Commitment. Within the limits of each Lenders Commitment, and subject to the other terms and conditions hereof, the Borrower may borrow under this </w:t>
      </w:r>
      <w:r>
        <w:rPr>
          <w:rFonts w:ascii="Times New Roman" w:hAnsi="Times New Roman"/>
          <w:sz w:val="20"/>
          <w:u w:val="single"/>
        </w:rPr>
        <w:t>Section 2.01</w:t>
      </w:r>
      <w:r>
        <w:rPr>
          <w:rFonts w:ascii="Times New Roman" w:hAnsi="Times New Roman"/>
          <w:sz w:val="20"/>
        </w:rPr>
        <w:t xml:space="preserve">, prepay under </w:t>
      </w:r>
      <w:r>
        <w:rPr>
          <w:rFonts w:ascii="Times New Roman" w:hAnsi="Times New Roman"/>
          <w:sz w:val="20"/>
          <w:u w:val="single"/>
        </w:rPr>
        <w:t>Section 2.03</w:t>
      </w:r>
      <w:r>
        <w:rPr>
          <w:rFonts w:ascii="Times New Roman" w:hAnsi="Times New Roman"/>
          <w:sz w:val="20"/>
        </w:rPr>
        <w:t xml:space="preserve">, and reborrow under this </w:t>
      </w:r>
      <w:r>
        <w:rPr>
          <w:rFonts w:ascii="Times New Roman" w:hAnsi="Times New Roman"/>
          <w:sz w:val="20"/>
          <w:u w:val="single"/>
        </w:rPr>
        <w:t>Section 2.01</w:t>
      </w:r>
      <w:r>
        <w:rPr>
          <w:rFonts w:ascii="Times New Roman" w:hAnsi="Times New Roman"/>
          <w:sz w:val="20"/>
        </w:rPr>
        <w:t xml:space="preserve">. Loans may be Base Rate Loans or Eurodollar Rate Loans, as further provided herein.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2.02 Borrowings, Conversions and Continuations of Loans.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Each Borrowing, each conversion of Loans from one Type to the other, and each continuation of Eurodollar Rate Loans shall be made upon the Borrowers irrevocable (subject to </w:t>
      </w:r>
      <w:r>
        <w:rPr>
          <w:rFonts w:ascii="Times New Roman" w:hAnsi="Times New Roman"/>
          <w:sz w:val="20"/>
          <w:u w:val="single"/>
        </w:rPr>
        <w:t>Section 3.03</w:t>
      </w:r>
      <w:r>
        <w:rPr>
          <w:rFonts w:ascii="Times New Roman" w:hAnsi="Times New Roman"/>
          <w:sz w:val="20"/>
        </w:rPr>
        <w:t xml:space="preserve">) notice to the Administrative Agent, which may be given by telephone. Each such notice must be received by the Administrative Agent not later than 12:00 p.m. (i) two Business Days prior to the requested date of (A) any Borrowing of Eurodollar Rate Loans, or (B) any conversion to or continuation of Eurodollar Rate Loans to Base Rate Loans, and (ii) on the requested date of any Borrowing of Base Rate Loans;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Borrower wishes to request Eurodollar Rate Loans having an Interest Period other than seven days, fourteen days, one month, two months, three months or six months in duration as provided in the definition of Interest Period, the applicable notice must be received by the Administrative Agent not later than 12:00 p.m. three Business Days prior to the requested date of such Borrowing, conversion or continuation, whereupon the Administrative Agent (x) shall give prompt notice to the Lenders of such request and determine whether the requested Interest Period is acceptable to all such Lenders and (y) not later than 12:00 p.m., two Business Days before the requested date of such Borrowing, conversion or continuation, shall notify the Borrower (which notice may be by telephone) whether or not the requested Interest Period has been consented to by all the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if any requested Borrowing or portion thereof is to be utilized exclusively for working capital purposes (such Borrowing or such portion being called a </w:t>
      </w:r>
      <w:r>
        <w:rPr>
          <w:rFonts w:ascii="Times New Roman" w:hAnsi="Times New Roman"/>
          <w:sz w:val="20"/>
          <w:u w:val="single"/>
        </w:rPr>
        <w:t>Working Capital Borrowing</w:t>
      </w:r>
      <w:r>
        <w:rPr>
          <w:rFonts w:ascii="Times New Roman" w:hAnsi="Times New Roman"/>
          <w:sz w:val="20"/>
        </w:rPr>
        <w:t xml:space="preserve">), the Borrower shall specify in the Loan Notice that such Borrowing or such portion is a Working Capital Borrowing. In addition, any repayment of a Loan that is intended as a repayment of all or any part of the outstanding amount of one or more Working Capital Borrowings shall be so identified to the Administrative Agent at the time of such repayment. Each telephonic notice by the Borrower pursuant to this </w:t>
      </w:r>
      <w:r>
        <w:rPr>
          <w:rFonts w:ascii="Times New Roman" w:hAnsi="Times New Roman"/>
          <w:sz w:val="20"/>
          <w:u w:val="single"/>
        </w:rPr>
        <w:t>Section 2.02(a)</w:t>
      </w:r>
      <w:r>
        <w:rPr>
          <w:rFonts w:ascii="Times New Roman" w:hAnsi="Times New Roman"/>
          <w:sz w:val="20"/>
        </w:rPr>
        <w:t xml:space="preserve"> must be confirmed promptly by delivery to the Administrative Agent of a written Loan Notice, appropriately completed and signed by a Responsible Officer of the Borrower. Each Borrowing of, conversion to or continuation of Eurodollar Rate Loans shall be in a principal amount of $1,000,000 or a whole multiple of $100,000 in excess thereof. Except as provided in </w:t>
      </w:r>
      <w:r>
        <w:rPr>
          <w:rFonts w:ascii="Times New Roman" w:hAnsi="Times New Roman"/>
          <w:sz w:val="20"/>
          <w:u w:val="single"/>
        </w:rPr>
        <w:t>Sections 2.03(b)</w:t>
      </w:r>
      <w:r>
        <w:rPr>
          <w:rFonts w:ascii="Times New Roman" w:hAnsi="Times New Roman"/>
          <w:sz w:val="20"/>
        </w:rPr>
        <w:t xml:space="preserve">, each Borrowing of or conversion to Base Rate Loans shall be in a principal amount of $1,000,000 or a whole multiple of $100,000 in excess thereof. Each Loan Notice (whether telephonic or written) shall specify (i) whether the Borrower is requesting a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Loan Notice, but fails to specify an Interest Period, it will be deemed to have specified an Interest Period of one month.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Times New Roman" w:hAnsi="Times New Roman"/>
          <w:sz w:val="20"/>
          <w:u w:val="single"/>
        </w:rPr>
        <w:t>Section 4.03</w:t>
      </w:r>
      <w:r>
        <w:rPr>
          <w:rFonts w:ascii="Times New Roman" w:hAnsi="Times New Roman"/>
          <w:sz w:val="20"/>
        </w:rPr>
        <w:t xml:space="preserve"> (and, if such Borrowing is the initial Loans, </w:t>
      </w:r>
      <w:r>
        <w:rPr>
          <w:rFonts w:ascii="Times New Roman" w:hAnsi="Times New Roman"/>
          <w:sz w:val="20"/>
          <w:u w:val="single"/>
        </w:rPr>
        <w:t>Sections 4.01</w:t>
      </w:r>
      <w:r>
        <w:rPr>
          <w:rFonts w:ascii="Times New Roman" w:hAnsi="Times New Roman"/>
          <w:sz w:val="20"/>
        </w:rPr>
        <w:t xml:space="preserve"> and </w:t>
      </w:r>
      <w:r>
        <w:rPr>
          <w:rFonts w:ascii="Times New Roman" w:hAnsi="Times New Roman"/>
          <w:sz w:val="20"/>
          <w:u w:val="single"/>
        </w:rPr>
        <w:t>4.02</w:t>
      </w:r>
      <w:r>
        <w:rPr>
          <w:rFonts w:ascii="Times New Roman" w:hAnsi="Times New Roman"/>
          <w:sz w:val="20"/>
        </w:rPr>
        <w:t xml:space="preserve">), the Administrative Agent shall make all funds so received available to the Borrower in like funds as received by the Administrative Agent, at the Borrowers election, either by (i) crediting the account of the Borrower on the books of DNB Bank with the amount of such funds or (ii) wire transfer of such funds, in each case in accordance with instructions provided to the Administrative Agent by the Borrower as set forth in the Loan Notice. </w:t>
      </w:r>
    </w:p>
    <w:p>
      <w:pPr>
        <w:pStyle w:val="TextBody"/>
        <w:spacing w:before="180" w:after="0"/>
        <w:rPr>
          <w:rFonts w:ascii="Times New Roman" w:hAnsi="Times New Roman"/>
          <w:sz w:val="20"/>
        </w:rPr>
      </w:pPr>
      <w:r>
        <w:rPr>
          <w:rFonts w:ascii="Times New Roman" w:hAnsi="Times New Roman"/>
          <w:sz w:val="20"/>
        </w:rPr>
        <w:t xml:space="preserve">(c) Except as otherwise provided herein, a Eurodollar Rate Loan may be continued or converted only on the last day of an Interest Period for such Eurodollar Rate Loan. Upon the occurrence and during the continuation of an Event of Default, no Loans may be requested as, converted to or continued as Eurodollar Rate Loans without the consent of the Required Lenders. </w:t>
      </w:r>
    </w:p>
    <w:p>
      <w:pPr>
        <w:pStyle w:val="TextBody"/>
        <w:spacing w:before="180" w:after="0"/>
        <w:rPr>
          <w:rFonts w:ascii="Times New Roman" w:hAnsi="Times New Roman"/>
          <w:sz w:val="20"/>
        </w:rPr>
      </w:pPr>
      <w:r>
        <w:rPr>
          <w:rFonts w:ascii="Times New Roman" w:hAnsi="Times New Roman"/>
          <w:sz w:val="20"/>
        </w:rPr>
        <w:t xml:space="preserve">(d) 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DNB Banks prime rate used in determining the Base Rate and the effective date thereof promptly following the public announcement of such change. </w:t>
      </w:r>
    </w:p>
    <w:p>
      <w:pPr>
        <w:pStyle w:val="TextBody"/>
        <w:spacing w:before="180" w:after="0"/>
        <w:rPr>
          <w:rFonts w:ascii="Times New Roman" w:hAnsi="Times New Roman"/>
          <w:sz w:val="20"/>
        </w:rPr>
      </w:pPr>
      <w:r>
        <w:rPr>
          <w:rFonts w:ascii="Times New Roman" w:hAnsi="Times New Roman"/>
          <w:sz w:val="20"/>
        </w:rPr>
        <w:t xml:space="preserve">(e) After giving effect to all Borrowings, all conversions of Loans from one Type to the other, and all continuations of Loans as the same Type, there shall not be more than ten Interest Periods in effect at any one time with respect to Loans. </w:t>
      </w:r>
    </w:p>
    <w:p>
      <w:pPr>
        <w:pStyle w:val="TextBody"/>
        <w:spacing w:before="180" w:after="0"/>
        <w:rPr>
          <w:rFonts w:ascii="Times New Roman" w:hAnsi="Times New Roman"/>
          <w:sz w:val="20"/>
        </w:rPr>
      </w:pPr>
      <w:r>
        <w:rPr>
          <w:rFonts w:ascii="Times New Roman" w:hAnsi="Times New Roman"/>
          <w:b/>
          <w:sz w:val="20"/>
        </w:rPr>
        <w:t>2.03 Prepayments.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The Borrower may, upon notice from the Borrower to the Administrative Agent, at any time or from time to time voluntarily prepay Loans in whole or in part without premium or penalty; </w:t>
      </w:r>
      <w:r>
        <w:rPr>
          <w:rFonts w:ascii="Times New Roman" w:hAnsi="Times New Roman"/>
          <w:sz w:val="20"/>
          <w:u w:val="single"/>
        </w:rPr>
        <w:t>provided</w:t>
      </w:r>
      <w:r>
        <w:rPr>
          <w:rFonts w:ascii="Times New Roman" w:hAnsi="Times New Roman"/>
          <w:sz w:val="20"/>
        </w:rPr>
        <w:t xml:space="preserve"> that (i) such notice must be received by the Administrative Agent not later than 12:00 p.m. (A) two Business Days prior to any date of prepayment of Eurodollar Rate Loans and (B) on the date of prepayment of Base Rate Loans; (ii) any prepayment of Eurodollar Rate Loans shall be in a principal amount of $2,500,000 or a whole multiple of $250,000 in excess thereof; and (iii) any prepayment of Base Rate Loans shall be in a principal amount of $250,000 or a whole multiple of $50,000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Times New Roman" w:hAnsi="Times New Roman"/>
          <w:sz w:val="20"/>
          <w:u w:val="single"/>
        </w:rPr>
        <w:t>provided</w:t>
      </w:r>
      <w:r>
        <w:rPr>
          <w:rFonts w:ascii="Times New Roman" w:hAnsi="Times New Roman"/>
          <w:sz w:val="20"/>
        </w:rPr>
        <w:t xml:space="preserve">, that a notice of prepayment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delivered by the Borrower may state that such notice is conditioned upon the effectiveness of other credit facilities or the closing of a securities offering, and the receipt of proceeds thereunder, in which case such notice may be revoked by the Borrower (by notice to the Administrative Agent on or prior to the specified effective date) if such conditions are not satisfied. Any prepayment of a Eurodollar Rate Loan shall be accompanied by all accrued interest on the amount prepaid, together with any additional amounts required pursuant to </w:t>
      </w:r>
      <w:r>
        <w:rPr>
          <w:rFonts w:ascii="Times New Roman" w:hAnsi="Times New Roman"/>
          <w:sz w:val="20"/>
          <w:u w:val="single"/>
        </w:rPr>
        <w:t>Section 3.05</w:t>
      </w:r>
      <w:r>
        <w:rPr>
          <w:rFonts w:ascii="Times New Roman" w:hAnsi="Times New Roman"/>
          <w:sz w:val="20"/>
        </w:rPr>
        <w:t xml:space="preserve">. Subject to </w:t>
      </w:r>
      <w:r>
        <w:rPr>
          <w:rFonts w:ascii="Times New Roman" w:hAnsi="Times New Roman"/>
          <w:sz w:val="20"/>
          <w:u w:val="single"/>
        </w:rPr>
        <w:t>Section 2.12</w:t>
      </w:r>
      <w:r>
        <w:rPr>
          <w:rFonts w:ascii="Times New Roman" w:hAnsi="Times New Roman"/>
          <w:sz w:val="20"/>
        </w:rPr>
        <w:t xml:space="preserve">, each such prepayment shall be applied to the Loans of the Lenders in accordance with their respective Applicable Percentages. </w:t>
      </w:r>
    </w:p>
    <w:p>
      <w:pPr>
        <w:pStyle w:val="TextBody"/>
        <w:spacing w:before="180" w:after="0"/>
        <w:rPr>
          <w:rFonts w:ascii="Times New Roman" w:hAnsi="Times New Roman"/>
          <w:sz w:val="20"/>
        </w:rPr>
      </w:pPr>
      <w:r>
        <w:rPr>
          <w:rFonts w:ascii="Times New Roman" w:hAnsi="Times New Roman"/>
          <w:sz w:val="20"/>
        </w:rPr>
        <w:t xml:space="preserve">(b) If for any reason the Total Outstandings at any time exceed the Aggregate Commitments then in effect, the Borrower shall immediately upon demand prepay Loans in an aggregate amount equal to such excess. </w:t>
      </w:r>
    </w:p>
    <w:p>
      <w:pPr>
        <w:pStyle w:val="TextBody"/>
        <w:spacing w:before="180" w:after="0"/>
        <w:rPr>
          <w:rFonts w:ascii="Times New Roman" w:hAnsi="Times New Roman"/>
          <w:sz w:val="20"/>
        </w:rPr>
      </w:pPr>
      <w:r>
        <w:rPr>
          <w:rFonts w:ascii="Times New Roman" w:hAnsi="Times New Roman"/>
          <w:sz w:val="20"/>
        </w:rPr>
        <w:t xml:space="preserve">(c) For an economically meaningful period of time in each fiscal year of the Borrower, as reasonably determined by General Partner, the aggregate outstanding principal balance of all Working Capital Borrowings shall be reduced to a relatively small amount as may be reasonably specified by General Partner. </w:t>
      </w:r>
    </w:p>
    <w:p>
      <w:pPr>
        <w:pStyle w:val="TextBody"/>
        <w:spacing w:before="180" w:after="0"/>
        <w:rPr>
          <w:rFonts w:ascii="Times New Roman" w:hAnsi="Times New Roman"/>
          <w:sz w:val="20"/>
        </w:rPr>
      </w:pPr>
      <w:r>
        <w:rPr>
          <w:rFonts w:ascii="Times New Roman" w:hAnsi="Times New Roman"/>
          <w:b/>
          <w:sz w:val="20"/>
        </w:rPr>
        <w:t xml:space="preserve">2.04 Termination or Reduction of Commitments. </w:t>
      </w:r>
      <w:r>
        <w:rPr>
          <w:rFonts w:ascii="Times New Roman" w:hAnsi="Times New Roman"/>
          <w:sz w:val="20"/>
        </w:rPr>
        <w:t xml:space="preserve">The Borrower may, upon notice to the Administrative Agent, terminate the Aggregate Commitments, or from time to time permanently reduce the Aggregate Commitments; provided that (i) any such notice shall be received by the Administrative Agent not later than 12:00 p.m. two Business Days prior to the date of termination or reduction, (ii) any such partial reduction shall be in an aggregate amount of $1,000,000 or any whole multiple of $1,000,000 in excess thereof, and (iii) the Borrower shall not terminate or reduce the Aggregate Commitments if, after giving effect thereto and to any concurrent prepayments hereunder, the Total Outstandings would exceed the Aggregate Commitments. The Administrative Agent will promptly notify the Lenders of any such notice of termination or reduction of the Aggregate Commitments. Any reduction of the Aggregate Commitments shall be applied to the Commitment of each Lender according to its Applicable Percentage. All fees accrued until the effective date of any termination of the Aggregate Commitments shall be paid on the effective date of such termination. </w:t>
      </w:r>
    </w:p>
    <w:p>
      <w:pPr>
        <w:pStyle w:val="TextBody"/>
        <w:spacing w:before="180" w:after="0"/>
        <w:rPr>
          <w:rFonts w:ascii="Times New Roman" w:hAnsi="Times New Roman"/>
          <w:sz w:val="20"/>
        </w:rPr>
      </w:pPr>
      <w:r>
        <w:rPr>
          <w:rFonts w:ascii="Times New Roman" w:hAnsi="Times New Roman"/>
          <w:b/>
          <w:sz w:val="20"/>
        </w:rPr>
        <w:t>2.05 Repayment of Loans</w:t>
      </w:r>
      <w:r>
        <w:rPr>
          <w:rFonts w:ascii="Times New Roman" w:hAnsi="Times New Roman"/>
          <w:sz w:val="20"/>
        </w:rPr>
        <w:t xml:space="preserve">. The Borrower shall repay to the Lenders on the Maturity Date the aggregate principal amount of Loans made to the Borrower outstanding on such date. </w:t>
      </w:r>
    </w:p>
    <w:p>
      <w:pPr>
        <w:pStyle w:val="TextBody"/>
        <w:spacing w:before="180" w:after="0"/>
        <w:rPr>
          <w:rFonts w:ascii="Times New Roman" w:hAnsi="Times New Roman"/>
          <w:sz w:val="20"/>
        </w:rPr>
      </w:pPr>
      <w:r>
        <w:rPr>
          <w:rFonts w:ascii="Times New Roman" w:hAnsi="Times New Roman"/>
          <w:b/>
          <w:sz w:val="20"/>
        </w:rPr>
        <w:t>2.06 Interest</w:t>
      </w:r>
      <w:r>
        <w:rPr>
          <w:rFonts w:ascii="Times New Roman" w:hAnsi="Times New Roman"/>
          <w:sz w:val="20"/>
        </w:rPr>
        <w:t xml:space="preserve">. (a) Subject to the provisions of subsection (b) below, (i) each Eurodollar Rate Loan shall bear interest on the outstanding principal amount thereof for each Interest Period at a rate per annum equal to the Eurodollar Rate for such Interest Period </w:t>
      </w:r>
      <w:r>
        <w:rPr>
          <w:rFonts w:ascii="Times New Roman" w:hAnsi="Times New Roman"/>
          <w:sz w:val="20"/>
          <w:u w:val="single"/>
        </w:rPr>
        <w:t>plus</w:t>
      </w:r>
      <w:r>
        <w:rPr>
          <w:rFonts w:ascii="Times New Roman" w:hAnsi="Times New Roman"/>
          <w:sz w:val="20"/>
        </w:rPr>
        <w:t xml:space="preserve"> the Applicable Rate; and (ii) each Base Rate Loan shall bear interest on the outstanding principal amount thereof from the applicable borrowing date at a rate per annum equal to the Base Rate </w:t>
      </w:r>
      <w:r>
        <w:rPr>
          <w:rFonts w:ascii="Times New Roman" w:hAnsi="Times New Roman"/>
          <w:sz w:val="20"/>
          <w:u w:val="single"/>
        </w:rPr>
        <w:t>plus</w:t>
      </w:r>
      <w:r>
        <w:rPr>
          <w:rFonts w:ascii="Times New Roman" w:hAnsi="Times New Roman"/>
          <w:sz w:val="20"/>
        </w:rPr>
        <w:t xml:space="preserve"> the Applicable Rate. </w:t>
      </w:r>
    </w:p>
    <w:p>
      <w:pPr>
        <w:pStyle w:val="TextBody"/>
        <w:spacing w:before="180" w:after="0"/>
        <w:rPr>
          <w:rFonts w:ascii="Times New Roman" w:hAnsi="Times New Roman"/>
          <w:sz w:val="20"/>
        </w:rPr>
      </w:pPr>
      <w:r>
        <w:rPr>
          <w:rFonts w:ascii="Times New Roman" w:hAnsi="Times New Roman"/>
          <w:sz w:val="20"/>
        </w:rPr>
        <w:t xml:space="preserve">(b) (i)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If any amount (other than principal of any Loan) payable by the Borrower under any Loan Document is not paid when due, whether at stated maturity, by acceleration or otherwise, then upon the request of the Required Lenders, such amount shall thereafter bear interest at a fluctuating interest rate per annum at all times equal to the Default Rate to the fullest extent permitted by applicable Laws. </w:t>
      </w:r>
    </w:p>
    <w:p>
      <w:pPr>
        <w:pStyle w:val="TextBody"/>
        <w:spacing w:before="90" w:after="0"/>
        <w:rPr>
          <w:rFonts w:ascii="Times New Roman" w:hAnsi="Times New Roman"/>
          <w:sz w:val="20"/>
        </w:rPr>
      </w:pPr>
      <w:r>
        <w:rPr>
          <w:rFonts w:ascii="Times New Roman" w:hAnsi="Times New Roman"/>
          <w:sz w:val="20"/>
        </w:rPr>
        <w:t xml:space="preserve">(iii) During any Default Rate Period, the Borrower shall pay interest on the principal amount of all outstanding Obligations hereunder at a fluctuating interest rate per annum at all times equal to the Default Rate to the fullest extent permitted by applicable Laws. </w:t>
      </w:r>
    </w:p>
    <w:p>
      <w:pPr>
        <w:pStyle w:val="TextBody"/>
        <w:spacing w:before="90" w:after="0"/>
        <w:rPr>
          <w:rFonts w:ascii="Times New Roman" w:hAnsi="Times New Roman"/>
          <w:sz w:val="20"/>
        </w:rPr>
      </w:pPr>
      <w:r>
        <w:rPr>
          <w:rFonts w:ascii="Times New Roman" w:hAnsi="Times New Roman"/>
          <w:sz w:val="20"/>
        </w:rPr>
        <w:t xml:space="preserve">(iv) Accrued and unpaid interest on past due amounts (including interest on past due interest) shall be due and payable upon demand. </w:t>
      </w:r>
    </w:p>
    <w:p>
      <w:pPr>
        <w:pStyle w:val="TextBody"/>
        <w:spacing w:before="180" w:after="0"/>
        <w:rPr>
          <w:rFonts w:ascii="Times New Roman" w:hAnsi="Times New Roman"/>
          <w:sz w:val="20"/>
        </w:rPr>
      </w:pPr>
      <w:r>
        <w:rPr>
          <w:rFonts w:ascii="Times New Roman" w:hAnsi="Times New Roman"/>
          <w:sz w:val="20"/>
        </w:rPr>
        <w:t xml:space="preserve">(c)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w:t>
      </w:r>
    </w:p>
    <w:p>
      <w:pPr>
        <w:pStyle w:val="TextBody"/>
        <w:spacing w:before="180" w:after="0"/>
        <w:rPr>
          <w:rFonts w:ascii="Times New Roman" w:hAnsi="Times New Roman"/>
          <w:sz w:val="20"/>
        </w:rPr>
      </w:pPr>
      <w:r>
        <w:rPr>
          <w:rFonts w:ascii="Times New Roman" w:hAnsi="Times New Roman"/>
          <w:b/>
          <w:sz w:val="20"/>
        </w:rPr>
        <w:t>2.07 Fees.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Facility Fee</w:t>
      </w:r>
      <w:r>
        <w:rPr>
          <w:rFonts w:ascii="Times New Roman" w:hAnsi="Times New Roman"/>
          <w:sz w:val="20"/>
        </w:rPr>
        <w:t xml:space="preserve">. The Borrower shall pay to the Administrative Agent for the account of each Lender in accordance with its Applicable Percentage, a facility fee equal to the Applicable Rate </w:t>
      </w:r>
      <w:r>
        <w:rPr>
          <w:rFonts w:ascii="Times New Roman" w:hAnsi="Times New Roman"/>
          <w:sz w:val="20"/>
          <w:u w:val="single"/>
        </w:rPr>
        <w:t>times</w:t>
      </w:r>
      <w:r>
        <w:rPr>
          <w:rFonts w:ascii="Times New Roman" w:hAnsi="Times New Roman"/>
          <w:sz w:val="20"/>
        </w:rPr>
        <w:t xml:space="preserve"> the actual daily amount of the Aggregate Commitments (or, if the Aggregate Commitments have terminated, on the Outstanding Amount of all Loans, regardless of usage, subject to adjustment as provided in </w:t>
      </w:r>
      <w:r>
        <w:rPr>
          <w:rFonts w:ascii="Times New Roman" w:hAnsi="Times New Roman"/>
          <w:sz w:val="20"/>
          <w:u w:val="single"/>
        </w:rPr>
        <w:t>Section 2.12</w:t>
      </w:r>
      <w:r>
        <w:rPr>
          <w:rFonts w:ascii="Times New Roman" w:hAnsi="Times New Roman"/>
          <w:sz w:val="20"/>
        </w:rPr>
        <w:t xml:space="preserve">. The facility fee shall accrue at all times during the Availability Period (and thereafter so long as any Loans remain outstanding), including at any time during which one or more of the conditions in </w:t>
      </w:r>
      <w:r>
        <w:rPr>
          <w:rFonts w:ascii="Times New Roman" w:hAnsi="Times New Roman"/>
          <w:sz w:val="20"/>
          <w:u w:val="single"/>
        </w:rPr>
        <w:t>Section 4.03</w:t>
      </w:r>
      <w:r>
        <w:rPr>
          <w:rFonts w:ascii="Times New Roman" w:hAnsi="Times New Roman"/>
          <w:sz w:val="20"/>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Ticking Fee</w:t>
      </w:r>
      <w:r>
        <w:rPr>
          <w:rFonts w:ascii="Times New Roman" w:hAnsi="Times New Roman"/>
          <w:sz w:val="20"/>
        </w:rPr>
        <w:t xml:space="preserve">. The Borrower shall pay to the Administrative Agent for the account of each Lender in accordance with its Applicable Percentage, a ticking fee equal to 0.15% per annum </w:t>
      </w:r>
      <w:r>
        <w:rPr>
          <w:rFonts w:ascii="Times New Roman" w:hAnsi="Times New Roman"/>
          <w:sz w:val="20"/>
          <w:u w:val="single"/>
        </w:rPr>
        <w:t>times</w:t>
      </w:r>
      <w:r>
        <w:rPr>
          <w:rFonts w:ascii="Times New Roman" w:hAnsi="Times New Roman"/>
          <w:sz w:val="20"/>
        </w:rPr>
        <w:t xml:space="preserve"> the actual daily amount of the Aggregate Commitments. The ticking fee shall accrue at all times during the period from and including the Closing Date through the earlier of (i) the Activation Date and (ii) the Pre-Activation Commitment Termination Date, and shall be due and payable in arrears on the last day of such period.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Fees</w:t>
      </w:r>
      <w:r>
        <w:rPr>
          <w:rFonts w:ascii="Times New Roman" w:hAnsi="Times New Roman"/>
          <w:sz w:val="20"/>
        </w:rPr>
        <w:t xml:space="preserve">. (i) The Borrower shall pay to the Administrative Agent for its account an agency fee in the amount specified in the Fee Letter. Such fees shall be fully earned when paid and shall not be refundable for any reason whatsoever, except as expressly set forth therein.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The Borrower shall pay to the Lenders such fees as shall have been separately agreed upon between the Borrower and the Administrative Agent and/or Lenders, as the case may be, in writing in the amounts and at the times so specified. Such fees shall be fully earned when paid and shall not be refundable for any reason whatsoever, except as expressly agreed to in writing. </w:t>
      </w:r>
    </w:p>
    <w:p>
      <w:pPr>
        <w:pStyle w:val="TextBody"/>
        <w:spacing w:before="180" w:after="0"/>
        <w:rPr>
          <w:rFonts w:ascii="Times New Roman" w:hAnsi="Times New Roman"/>
          <w:sz w:val="20"/>
        </w:rPr>
      </w:pPr>
      <w:r>
        <w:rPr>
          <w:rFonts w:ascii="Times New Roman" w:hAnsi="Times New Roman"/>
          <w:b/>
          <w:sz w:val="20"/>
        </w:rPr>
        <w:t>2.08 Computation of Interest and Fees.</w:t>
      </w:r>
      <w:r>
        <w:rPr>
          <w:rFonts w:ascii="Times New Roman" w:hAnsi="Times New Roman"/>
          <w:sz w:val="20"/>
        </w:rPr>
        <w:t xml:space="preserve"> 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hAnsi="Times New Roman"/>
          <w:sz w:val="20"/>
          <w:u w:val="single"/>
        </w:rPr>
        <w:t>provided</w:t>
      </w:r>
      <w:r>
        <w:rPr>
          <w:rFonts w:ascii="Times New Roman" w:hAnsi="Times New Roman"/>
          <w:sz w:val="20"/>
        </w:rPr>
        <w:t xml:space="preserve"> that any Loan that is repaid on the same day on which it is made shall, subject to </w:t>
      </w:r>
      <w:r>
        <w:rPr>
          <w:rFonts w:ascii="Times New Roman" w:hAnsi="Times New Roman"/>
          <w:sz w:val="20"/>
          <w:u w:val="single"/>
        </w:rPr>
        <w:t>Section 2.10(a)</w:t>
      </w:r>
      <w:r>
        <w:rPr>
          <w:rFonts w:ascii="Times New Roman" w:hAnsi="Times New Roman"/>
          <w:sz w:val="20"/>
        </w:rPr>
        <w:t xml:space="preserve">, bear interest for one day. Each determination by the Administrative Agent of an interest rate or fee hereunder shall be conclusive and binding for all purposes, absent manifest error. </w:t>
      </w:r>
    </w:p>
    <w:p>
      <w:pPr>
        <w:pStyle w:val="TextBody"/>
        <w:spacing w:before="180" w:after="0"/>
        <w:rPr>
          <w:rFonts w:ascii="Times New Roman" w:hAnsi="Times New Roman"/>
          <w:sz w:val="20"/>
        </w:rPr>
      </w:pPr>
      <w:r>
        <w:rPr>
          <w:rFonts w:ascii="Times New Roman" w:hAnsi="Times New Roman"/>
          <w:b/>
          <w:sz w:val="20"/>
        </w:rPr>
        <w:t xml:space="preserve">2.09 Evidence of Debt. </w:t>
      </w:r>
      <w:r>
        <w:rPr>
          <w:rFonts w:ascii="Times New Roman" w:hAnsi="Times New Roman"/>
          <w:sz w:val="20"/>
        </w:rPr>
        <w:t xml:space="preserve">The Loans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Loans made by the Lenders to the Borrower and the interest and payments thereon. Any failure to so record or any error in doing so shall not, however, limit or otherwise affect the obligation of the Borrower hereunder to pay any amount owing on its payment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the Borrower made through the Administrative Agent, the Borrower shall execute and deliver to such Lender (through the Administrative Agent) a Note, which shall evidence such Lenders Loans to the Borrower in addition to such accounts or records. Each Lender may attach schedules to a Note and endorse thereon the date, Type (if applicable), amount and maturity of its Loans and payments with respect thereto. </w:t>
      </w:r>
    </w:p>
    <w:p>
      <w:pPr>
        <w:pStyle w:val="TextBody"/>
        <w:spacing w:before="180" w:after="0"/>
        <w:rPr>
          <w:rFonts w:ascii="Times New Roman" w:hAnsi="Times New Roman"/>
          <w:sz w:val="20"/>
        </w:rPr>
      </w:pPr>
      <w:r>
        <w:rPr>
          <w:rFonts w:ascii="Times New Roman" w:hAnsi="Times New Roman"/>
          <w:b/>
          <w:sz w:val="20"/>
        </w:rPr>
        <w:t>2.10 Payments Generally; Administrative Agents Clawback.</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Office. All payments received by the Administrative Agent after 2:00 p.m. shall in each case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 </w:t>
      </w:r>
    </w:p>
    <w:p>
      <w:pPr>
        <w:pStyle w:val="TextBody"/>
        <w:spacing w:before="180" w:after="0"/>
        <w:rPr>
          <w:rFonts w:ascii="Times New Roman" w:hAnsi="Times New Roman"/>
          <w:sz w:val="20"/>
        </w:rPr>
      </w:pPr>
      <w:r>
        <w:rPr>
          <w:rFonts w:ascii="Times New Roman" w:hAnsi="Times New Roman"/>
          <w:sz w:val="20"/>
        </w:rPr>
        <w:t xml:space="preserve">(b) (i) </w:t>
      </w:r>
      <w:r>
        <w:rPr>
          <w:rFonts w:ascii="Times New Roman" w:hAnsi="Times New Roman"/>
          <w:sz w:val="20"/>
          <w:u w:val="single"/>
        </w:rPr>
        <w:t>Funding by Lenders; Presumption by Administrative Agent</w:t>
      </w:r>
      <w:r>
        <w:rPr>
          <w:rFonts w:ascii="Times New Roman" w:hAnsi="Times New Roman"/>
          <w:sz w:val="20"/>
        </w:rPr>
        <w:t xml:space="preserve">. Unless the Administrative Agent shall have received notice from a Lender prior to the proposed date of any Borrowing of Eurodollar Rate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sz w:val="20"/>
          <w:u w:val="single"/>
        </w:rPr>
        <w:t>Section 2.02</w:t>
      </w:r>
      <w:r>
        <w:rPr>
          <w:rFonts w:ascii="Times New Roman" w:hAnsi="Times New Roman"/>
          <w:sz w:val="20"/>
        </w:rPr>
        <w:t xml:space="preserve"> (or, in the case of a Borrowing of Base Rate Loans, that such Lender has made such share available in accordance with and at the time required by </w:t>
      </w:r>
      <w:r>
        <w:rPr>
          <w:rFonts w:ascii="Times New Roman" w:hAnsi="Times New Roman"/>
          <w:sz w:val="20"/>
          <w:u w:val="single"/>
        </w:rPr>
        <w:t>Section 2.02</w:t>
      </w:r>
      <w:r>
        <w:rPr>
          <w:rFonts w:ascii="Times New Roman" w:hAnsi="Times New Roman"/>
          <w:sz w:val="20"/>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applicable Overnight Rate from time to time in effect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principal or interest to the Administrative Agent for the same or an overlapping period, the Administrative Agent shall promptly remit to the Borrower the amount of such principal and interest paid by the Borrower for such period. If such Lender pays its share of the applicable Borrowing to the Administrative Agent, then the amount so paid (excluding interest and fees as aforesaid) shall constitute such Lenders Loan included in such Borrowing. Any payment by the Borrower shall be without prejudice to any claim the Borrower may have against a Lender that shall have failed to make such payment to the Administrative Agent. </w:t>
      </w:r>
    </w:p>
    <w:p>
      <w:pPr>
        <w:pStyle w:val="TextBody"/>
        <w:spacing w:before="180" w:after="0"/>
        <w:rPr>
          <w:rFonts w:ascii="Times New Roman" w:hAnsi="Times New Roman"/>
          <w:sz w:val="20"/>
        </w:rPr>
      </w:pPr>
      <w:r>
        <w:rPr>
          <w:rFonts w:ascii="Times New Roman" w:hAnsi="Times New Roman"/>
          <w:sz w:val="20"/>
        </w:rPr>
        <w:t xml:space="preserve">(ii) </w:t>
      </w:r>
      <w:r>
        <w:rPr>
          <w:rFonts w:ascii="Times New Roman" w:hAnsi="Times New Roman"/>
          <w:sz w:val="20"/>
          <w:u w:val="single"/>
        </w:rPr>
        <w:t>Payments by Borrower; Presumptions by Administrative Agent</w:t>
      </w:r>
      <w:r>
        <w:rPr>
          <w:rFonts w:ascii="Times New Roman" w:hAnsi="Times New Roman"/>
          <w:sz w:val="20"/>
        </w:rPr>
        <w:t xml:space="preserv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applicable Overnight Rate from time to time in effect and a rate determined by the Administrative Agent in accordance with banking industry rules on interbank compensation.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notice of the Administrative Agent to any Lender or Borrower with respect to any amount owing under this subsection (b) shall be conclusive, absent manifest error.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Failure to Satisfy Conditions Precedent</w:t>
      </w:r>
      <w:r>
        <w:rPr>
          <w:rFonts w:ascii="Times New Roman" w:hAnsi="Times New Roman"/>
          <w:sz w:val="20"/>
        </w:rPr>
        <w:t xml:space="preserve">. If any Lender makes available to the Administrative Agent funds for any Loan to be made by such Lender to the Borrower as provided in the foregoing provisions of this </w:t>
      </w:r>
      <w:r>
        <w:rPr>
          <w:rFonts w:ascii="Times New Roman" w:hAnsi="Times New Roman"/>
          <w:sz w:val="20"/>
          <w:u w:val="single"/>
        </w:rPr>
        <w:t>Article II</w:t>
      </w:r>
      <w:r>
        <w:rPr>
          <w:rFonts w:ascii="Times New Roman" w:hAnsi="Times New Roman"/>
          <w:sz w:val="20"/>
        </w:rPr>
        <w:t xml:space="preserve">, and such funds are not made available to the Borrower by the Administrative Agent because the conditions to the applicable Loans set forth in </w:t>
      </w:r>
      <w:r>
        <w:rPr>
          <w:rFonts w:ascii="Times New Roman" w:hAnsi="Times New Roman"/>
          <w:sz w:val="20"/>
          <w:u w:val="single"/>
        </w:rPr>
        <w:t>Article IV</w:t>
      </w:r>
      <w:r>
        <w:rPr>
          <w:rFonts w:ascii="Times New Roman" w:hAnsi="Times New Roman"/>
          <w:sz w:val="20"/>
        </w:rPr>
        <w:t xml:space="preserve"> are not satisfied or waived in accordance with the terms hereof, the Administrative Agent shall return such funds (in like funds as received from such Lender) to such Lender, without interest.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Obligations of Lenders Several</w:t>
      </w:r>
      <w:r>
        <w:rPr>
          <w:rFonts w:ascii="Times New Roman" w:hAnsi="Times New Roman"/>
          <w:sz w:val="20"/>
        </w:rPr>
        <w:t xml:space="preserve">. The obligations of the Lenders hereunder to make Loans and to make payments pursuant to </w:t>
      </w:r>
      <w:r>
        <w:rPr>
          <w:rFonts w:ascii="Times New Roman" w:hAnsi="Times New Roman"/>
          <w:sz w:val="20"/>
          <w:u w:val="single"/>
        </w:rPr>
        <w:t>Section 10.04(d)</w:t>
      </w:r>
      <w:r>
        <w:rPr>
          <w:rFonts w:ascii="Times New Roman" w:hAnsi="Times New Roman"/>
          <w:sz w:val="20"/>
        </w:rPr>
        <w:t xml:space="preserve"> are several and not joint. The failure of any Lender to make any Loan or to make any payment under </w:t>
      </w:r>
      <w:r>
        <w:rPr>
          <w:rFonts w:ascii="Times New Roman" w:hAnsi="Times New Roman"/>
          <w:sz w:val="20"/>
          <w:u w:val="single"/>
        </w:rPr>
        <w:t>Section 10.04(d)</w:t>
      </w:r>
      <w:r>
        <w:rPr>
          <w:rFonts w:ascii="Times New Roman" w:hAnsi="Times New Roman"/>
          <w:sz w:val="20"/>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hAnsi="Times New Roman"/>
          <w:sz w:val="20"/>
          <w:u w:val="single"/>
        </w:rPr>
        <w:t>Section 10.04(d)</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Funding Source</w:t>
      </w:r>
      <w:r>
        <w:rPr>
          <w:rFonts w:ascii="Times New Roman" w:hAnsi="Times New Roman"/>
          <w:sz w:val="20"/>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 </w:t>
      </w:r>
    </w:p>
    <w:p>
      <w:pPr>
        <w:pStyle w:val="TextBody"/>
        <w:spacing w:before="180" w:after="0"/>
        <w:rPr>
          <w:rFonts w:ascii="Times New Roman" w:hAnsi="Times New Roman"/>
          <w:sz w:val="20"/>
        </w:rPr>
      </w:pPr>
      <w:r>
        <w:rPr>
          <w:rFonts w:ascii="Times New Roman" w:hAnsi="Times New Roman"/>
          <w:b/>
          <w:sz w:val="20"/>
        </w:rPr>
        <w:t xml:space="preserve">2.11 Sharing of Payments by Lenders. </w:t>
      </w:r>
      <w:r>
        <w:rPr>
          <w:rFonts w:ascii="Times New Roman" w:hAnsi="Times New Roman"/>
          <w:sz w:val="20"/>
        </w:rPr>
        <w:t xml:space="preserve">Subject to </w:t>
      </w:r>
      <w:r>
        <w:rPr>
          <w:rFonts w:ascii="Times New Roman" w:hAnsi="Times New Roman"/>
          <w:sz w:val="20"/>
          <w:u w:val="single"/>
        </w:rPr>
        <w:t>Section 10.08</w:t>
      </w:r>
      <w:r>
        <w:rPr>
          <w:rFonts w:ascii="Times New Roman" w:hAnsi="Times New Roman"/>
          <w:sz w:val="20"/>
        </w:rPr>
        <w:t xml:space="preserve"> with respect to a Defaulting Lender, if any Lender shall, by exercising any right of setoff or counterclaim or otherwise, obtain payment in respect of any principal of or interest on any of the Loans made by it resulting in such Lenders receiving payment of a proportion of the aggregate amount of such Loans or accrued interest thereon greater than its Applicable Percentage thereof as provided herein, then the Lender receiving such greater proportion shall (a) notify the Administrative Agent of such fact, and (b) purchase (for cash at face value) participations in the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hAnsi="Times New Roman"/>
          <w:sz w:val="20"/>
          <w:u w:val="single"/>
        </w:rPr>
        <w:t>provided</w:t>
      </w:r>
      <w:r>
        <w:rPr>
          <w:rFonts w:ascii="Times New Roman" w:hAnsi="Times New Roman"/>
          <w:sz w:val="20"/>
        </w:rPr>
        <w:t xml:space="preserve"> that: </w:t>
      </w:r>
    </w:p>
    <w:p>
      <w:pPr>
        <w:pStyle w:val="TextBody"/>
        <w:spacing w:before="180" w:after="0"/>
        <w:rPr>
          <w:rFonts w:ascii="Times New Roman" w:hAnsi="Times New Roman"/>
          <w:sz w:val="20"/>
        </w:rPr>
      </w:pPr>
      <w:r>
        <w:rPr>
          <w:rFonts w:ascii="Times New Roman" w:hAnsi="Times New Roman"/>
          <w:sz w:val="20"/>
        </w:rPr>
        <w:t xml:space="preserve">(i) if any such participations or subparticipations are purchased and all or any portion of the payment giving rise thereto is recovered, such participations or subparticipations shall be rescinded and the purchase price restored to the extent of such recovery, without interest; and </w:t>
      </w:r>
    </w:p>
    <w:p>
      <w:pPr>
        <w:pStyle w:val="TextBody"/>
        <w:spacing w:before="180" w:after="0"/>
        <w:rPr>
          <w:rFonts w:ascii="Times New Roman" w:hAnsi="Times New Roman"/>
          <w:sz w:val="20"/>
        </w:rPr>
      </w:pPr>
      <w:r>
        <w:rPr>
          <w:rFonts w:ascii="Times New Roman" w:hAnsi="Times New Roman"/>
          <w:sz w:val="20"/>
        </w:rPr>
        <w:t xml:space="preserve">(ii) 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permitted assignee or participant, other than an assignment to the Borrower or any Subsidiary thereof (as to which the provisions of this Section shall apply).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w:t>
      </w:r>
    </w:p>
    <w:p>
      <w:pPr>
        <w:pStyle w:val="TextBody"/>
        <w:spacing w:before="180" w:after="0"/>
        <w:rPr>
          <w:rFonts w:ascii="Times New Roman" w:hAnsi="Times New Roman"/>
          <w:sz w:val="20"/>
        </w:rPr>
      </w:pPr>
      <w:r>
        <w:rPr>
          <w:rFonts w:ascii="Times New Roman" w:hAnsi="Times New Roman"/>
          <w:b/>
          <w:sz w:val="20"/>
        </w:rPr>
        <w:t xml:space="preserve">2.12 Defaulting Lenders. </w:t>
      </w:r>
      <w:r>
        <w:rPr>
          <w:rFonts w:ascii="Times New Roman" w:hAnsi="Times New Roman"/>
          <w:sz w:val="20"/>
        </w:rPr>
        <w:t xml:space="preserve">(a) </w:t>
      </w:r>
      <w:r>
        <w:rPr>
          <w:rFonts w:ascii="Times New Roman" w:hAnsi="Times New Roman"/>
          <w:sz w:val="20"/>
          <w:u w:val="single"/>
        </w:rPr>
        <w:t>Adjustments</w:t>
      </w:r>
      <w:r>
        <w:rPr>
          <w:rFonts w:ascii="Times New Roman" w:hAnsi="Times New Roman"/>
          <w:sz w:val="20"/>
        </w:rPr>
        <w:t xml:space="preserve">. Notwithstanding anything to the contrary contained in this Agreement, if any Lender becomes a Defaulting Lender, then, until such time as that Lender is no longer a Defaulting Lender, to the extent not prohibited by applicable Law: </w:t>
      </w:r>
    </w:p>
    <w:p>
      <w:pPr>
        <w:pStyle w:val="TextBody"/>
        <w:spacing w:before="90" w:after="0"/>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 and Amendments</w:t>
      </w:r>
      <w:r>
        <w:rPr>
          <w:rFonts w:ascii="Times New Roman" w:hAnsi="Times New Roman"/>
          <w:sz w:val="20"/>
        </w:rPr>
        <w:t xml:space="preserve">. That Defaulting Lenders right to approve or disapprove any amendment, waiver or consent with respect to this Agreement shall be restricted as set forth in </w:t>
      </w:r>
      <w:r>
        <w:rPr>
          <w:rFonts w:ascii="Times New Roman" w:hAnsi="Times New Roman"/>
          <w:sz w:val="20"/>
          <w:u w:val="single"/>
        </w:rPr>
        <w:t>Section 10.01</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(ii) </w:t>
      </w:r>
      <w:r>
        <w:rPr>
          <w:rFonts w:ascii="Times New Roman" w:hAnsi="Times New Roman"/>
          <w:sz w:val="20"/>
          <w:u w:val="single"/>
        </w:rPr>
        <w:t>Reallocation of Payments</w:t>
      </w:r>
      <w:r>
        <w:rPr>
          <w:rFonts w:ascii="Times New Roman" w:hAnsi="Times New Roman"/>
          <w:sz w:val="20"/>
        </w:rPr>
        <w:t xml:space="preserve">. Any payment of principal, interest, fees or other amounts received by the Administrative Agent for the account of that Defaulting Lender (whether voluntary or mandatory, at maturity, pursuant to </w:t>
      </w:r>
      <w:r>
        <w:rPr>
          <w:rFonts w:ascii="Times New Roman" w:hAnsi="Times New Roman"/>
          <w:sz w:val="20"/>
          <w:u w:val="single"/>
        </w:rPr>
        <w:t>Article VIII</w:t>
      </w:r>
      <w:r>
        <w:rPr>
          <w:rFonts w:ascii="Times New Roman" w:hAnsi="Times New Roman"/>
          <w:sz w:val="20"/>
        </w:rPr>
        <w:t xml:space="preserve"> or otherwise, and including any amounts made available to the Administrative Agent by that Defaulting Lender pursuant to </w:t>
      </w:r>
      <w:r>
        <w:rPr>
          <w:rFonts w:ascii="Times New Roman" w:hAnsi="Times New Roman"/>
          <w:sz w:val="20"/>
          <w:u w:val="single"/>
        </w:rPr>
        <w:t>Section 10.08</w:t>
      </w:r>
      <w:r>
        <w:rPr>
          <w:rFonts w:ascii="Times New Roman" w:hAnsi="Times New Roman"/>
          <w:sz w:val="20"/>
        </w:rPr>
        <w:t xml:space="preserve">), shall, following application by Administrative Agent of any such payment by or on behalf of the Borrower to the account of such Defaulting Lender with respect to such Obligation paid (and in lieu of being distributed to such Defaulting Lender pursuant to </w:t>
      </w:r>
      <w:r>
        <w:rPr>
          <w:rFonts w:ascii="Times New Roman" w:hAnsi="Times New Roman"/>
          <w:sz w:val="20"/>
          <w:u w:val="single"/>
        </w:rPr>
        <w:t>Section 2.10(a)</w:t>
      </w:r>
      <w:r>
        <w:rPr>
          <w:rFonts w:ascii="Times New Roman" w:hAnsi="Times New Roman"/>
          <w:sz w:val="20"/>
        </w:rPr>
        <w:t xml:space="preserve"> or such other provision of this Agreement applicable with respect to the distribution thereof),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of any amounts owing by that Defaulting Lender to the Administrative Agent hereunder; </w:t>
      </w:r>
      <w:r>
        <w:rPr>
          <w:rFonts w:ascii="Times New Roman" w:hAnsi="Times New Roman"/>
          <w:i/>
          <w:sz w:val="20"/>
        </w:rPr>
        <w:t>second</w:t>
      </w:r>
      <w:r>
        <w:rPr>
          <w:rFonts w:ascii="Times New Roman" w:hAnsi="Times New Roman"/>
          <w:sz w:val="20"/>
        </w:rPr>
        <w:t xml:space="preserve">, as the Borrower may request (so long as no Default or Event of Default exists), to the funding of any Loan in respect of which that Defaulting Lender has failed to fund its portion thereof as required by this Agreement; </w:t>
      </w:r>
      <w:r>
        <w:rPr>
          <w:rFonts w:ascii="Times New Roman" w:hAnsi="Times New Roman"/>
          <w:i/>
          <w:sz w:val="20"/>
        </w:rPr>
        <w:t>third</w:t>
      </w:r>
      <w:r>
        <w:rPr>
          <w:rFonts w:ascii="Times New Roman" w:hAnsi="Times New Roman"/>
          <w:sz w:val="20"/>
        </w:rPr>
        <w:t xml:space="preserve">, if so determined by the Administrative Agent and the Borrower, to be held in an interest bearing deposit account and released pro rata in order to satisfy obligations of that Defaulting Lender to fund Loans under this Agreement in accordance with </w:t>
      </w:r>
      <w:r>
        <w:rPr>
          <w:rFonts w:ascii="Times New Roman" w:hAnsi="Times New Roman"/>
          <w:sz w:val="20"/>
          <w:u w:val="single"/>
        </w:rPr>
        <w:t>Section 2.12</w:t>
      </w:r>
      <w:r>
        <w:rPr>
          <w:rFonts w:ascii="Times New Roman" w:hAnsi="Times New Roman"/>
          <w:sz w:val="20"/>
        </w:rPr>
        <w:t xml:space="preserve">; </w:t>
      </w:r>
      <w:r>
        <w:rPr>
          <w:rFonts w:ascii="Times New Roman" w:hAnsi="Times New Roman"/>
          <w:i/>
          <w:sz w:val="20"/>
        </w:rPr>
        <w:t>fourth</w:t>
      </w:r>
      <w:r>
        <w:rPr>
          <w:rFonts w:ascii="Times New Roman" w:hAnsi="Times New Roman"/>
          <w:sz w:val="20"/>
        </w:rPr>
        <w:t xml:space="preserve">, to the payment of any amounts owing to the Lenders hereunder or as a result of any judgment of a court of competent jurisdiction obtained by any Lender against that Defaulting Lender as a result of that Defaulting Lenders breach of its obligations under this Agreement; </w:t>
      </w:r>
      <w:r>
        <w:rPr>
          <w:rFonts w:ascii="Times New Roman" w:hAnsi="Times New Roman"/>
          <w:i/>
          <w:sz w:val="20"/>
        </w:rPr>
        <w:t>fifth</w:t>
      </w:r>
      <w:r>
        <w:rPr>
          <w:rFonts w:ascii="Times New Roman" w:hAnsi="Times New Roman"/>
          <w:sz w:val="20"/>
        </w:rPr>
        <w:t xml:space="preserve">, to the payment of any amounts owing to the Borrower hereunder or as a result of any judgment of a court of competent jurisdiction obtained by the Borrower against that Defaulting Lender as a result of that Defaulting Lenders breach of its obligations under this Agreement; and </w:t>
      </w:r>
      <w:r>
        <w:rPr>
          <w:rFonts w:ascii="Times New Roman" w:hAnsi="Times New Roman"/>
          <w:i/>
          <w:sz w:val="20"/>
        </w:rPr>
        <w:t>sixth</w:t>
      </w:r>
      <w:r>
        <w:rPr>
          <w:rFonts w:ascii="Times New Roman" w:hAnsi="Times New Roman"/>
          <w:sz w:val="20"/>
        </w:rPr>
        <w:t xml:space="preserve">, to that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with respect to this clause </w:t>
      </w:r>
      <w:r>
        <w:rPr>
          <w:rFonts w:ascii="Times New Roman" w:hAnsi="Times New Roman"/>
          <w:i/>
          <w:sz w:val="20"/>
        </w:rPr>
        <w:t>sixth</w:t>
      </w:r>
      <w:r>
        <w:rPr>
          <w:rFonts w:ascii="Times New Roman" w:hAnsi="Times New Roman"/>
          <w:sz w:val="20"/>
        </w:rPr>
        <w:t xml:space="preserve">, if (x) such payment is a payment of the principal amount of any Loans in respect of which that Defaulting Lender has not fully funded its appropriate share and (y) such Loans were made at a time when the conditions set forth in </w:t>
      </w:r>
      <w:r>
        <w:rPr>
          <w:rFonts w:ascii="Times New Roman" w:hAnsi="Times New Roman"/>
          <w:sz w:val="20"/>
          <w:u w:val="single"/>
        </w:rPr>
        <w:t>Section 4.03</w:t>
      </w:r>
      <w:r>
        <w:rPr>
          <w:rFonts w:ascii="Times New Roman" w:hAnsi="Times New Roman"/>
          <w:sz w:val="20"/>
        </w:rPr>
        <w:t xml:space="preserve"> were satisfied or waived, such payment shall be applied solely to pay the Loans of all respective non-Defaulting Lenders on a pro rata basis prior to being applied to the payment of any Loans of that Defaulting Lender. Any payments, prepayments or other amounts paid or payable to a Defaulting Lender that are applied (or held) to pay amounts owed by a Defaulting Lender pursuant to this </w:t>
      </w:r>
      <w:r>
        <w:rPr>
          <w:rFonts w:ascii="Times New Roman" w:hAnsi="Times New Roman"/>
          <w:sz w:val="20"/>
          <w:u w:val="single"/>
        </w:rPr>
        <w:t>Section 2.12(a)(ii)</w:t>
      </w:r>
      <w:r>
        <w:rPr>
          <w:rFonts w:ascii="Times New Roman" w:hAnsi="Times New Roman"/>
          <w:sz w:val="20"/>
        </w:rPr>
        <w:t xml:space="preserve"> shall be deemed paid to and redirected by that Defaulting Lender, and each Lender irrevocably consents 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(iii) </w:t>
      </w:r>
      <w:r>
        <w:rPr>
          <w:rFonts w:ascii="Times New Roman" w:hAnsi="Times New Roman"/>
          <w:sz w:val="20"/>
          <w:u w:val="single"/>
        </w:rPr>
        <w:t>Certain Fees</w:t>
      </w:r>
      <w:r>
        <w:rPr>
          <w:rFonts w:ascii="Times New Roman" w:hAnsi="Times New Roman"/>
          <w:sz w:val="20"/>
        </w:rPr>
        <w:t xml:space="preserve">. That Defaulting Lender shall not be entitled to receive any facility fee pursuant to </w:t>
      </w:r>
      <w:r>
        <w:rPr>
          <w:rFonts w:ascii="Times New Roman" w:hAnsi="Times New Roman"/>
          <w:sz w:val="20"/>
          <w:u w:val="single"/>
        </w:rPr>
        <w:t>Section 2.07(a)</w:t>
      </w:r>
      <w:r>
        <w:rPr>
          <w:rFonts w:ascii="Times New Roman" w:hAnsi="Times New Roman"/>
          <w:sz w:val="20"/>
        </w:rPr>
        <w:t xml:space="preserve"> for any period during which that Lender is a Defaulting Lender and the Borrower shall not be required to pay to the Administrative Agent for the account of the Defaulting Lender or the Defaulting Lender any such fee, and no such fees shall accrue for the account of the Defaulting Lender, that otherwise would have been required to have been paid to that Defaulting Lender.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sz w:val="20"/>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reimbursement of costs and expenses to the Borrower), that Lender will, to the extent applicable, purchase that portion of outstanding Loans of the other Lenders or take such other actions as the Administrative Agent may determine to be necessary to cause the Loans to be held on a pro rata basis by the Lenders in accordance with their Applicable Percentages, whereupon that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 while that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Rights and Remedies against a Defaulting Lender</w:t>
      </w:r>
      <w:r>
        <w:rPr>
          <w:rFonts w:ascii="Times New Roman" w:hAnsi="Times New Roman"/>
          <w:sz w:val="20"/>
        </w:rPr>
        <w:t xml:space="preserve">. The Borrower may replace any Defaulting Lender in accordance with </w:t>
      </w:r>
      <w:r>
        <w:rPr>
          <w:rFonts w:ascii="Times New Roman" w:hAnsi="Times New Roman"/>
          <w:sz w:val="20"/>
          <w:u w:val="single"/>
        </w:rPr>
        <w:t>Section 10.13</w:t>
      </w:r>
      <w:r>
        <w:rPr>
          <w:rFonts w:ascii="Times New Roman" w:hAnsi="Times New Roman"/>
          <w:sz w:val="20"/>
        </w:rPr>
        <w:t xml:space="preserve">. The rights and remedies against, and with respect to, a Defaulting Lender under this </w:t>
      </w:r>
      <w:r>
        <w:rPr>
          <w:rFonts w:ascii="Times New Roman" w:hAnsi="Times New Roman"/>
          <w:sz w:val="20"/>
          <w:u w:val="single"/>
        </w:rPr>
        <w:t>Section 2.12</w:t>
      </w:r>
      <w:r>
        <w:rPr>
          <w:rFonts w:ascii="Times New Roman" w:hAnsi="Times New Roman"/>
          <w:sz w:val="20"/>
        </w:rPr>
        <w:t xml:space="preserve"> are in addition to, and cumulative and not in limitation of, all other rights and remedies that each of the Administrative Agent, the Lenders and the Borrower may, at any time, have against, or with respect to, such Defaulting Lender. </w:t>
      </w:r>
    </w:p>
    <w:p>
      <w:pPr>
        <w:pStyle w:val="TextBody"/>
        <w:spacing w:before="360" w:after="0"/>
        <w:jc w:val="center"/>
        <w:rPr>
          <w:rFonts w:ascii="Times New Roman" w:hAnsi="Times New Roman"/>
          <w:b/>
          <w:sz w:val="20"/>
        </w:rPr>
      </w:pPr>
      <w:r>
        <w:rPr>
          <w:rFonts w:ascii="Times New Roman" w:hAnsi="Times New Roman"/>
          <w:b/>
          <w:sz w:val="20"/>
        </w:rPr>
        <w:t xml:space="preserve">ARTICLE III. TAXES, YIELD PROTECTION AND ILLEGALITY </w:t>
      </w:r>
    </w:p>
    <w:p>
      <w:pPr>
        <w:pStyle w:val="TextBody"/>
        <w:spacing w:before="180" w:after="0"/>
        <w:rPr>
          <w:rFonts w:ascii="Times New Roman" w:hAnsi="Times New Roman"/>
          <w:sz w:val="20"/>
        </w:rPr>
      </w:pPr>
      <w:r>
        <w:rPr>
          <w:rFonts w:ascii="Times New Roman" w:hAnsi="Times New Roman"/>
          <w:b/>
          <w:sz w:val="20"/>
        </w:rPr>
        <w:t>3.01 Taxes.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Free of Taxes; Obligation to Withhold; Payments on Account of Taxes</w:t>
      </w:r>
      <w:r>
        <w:rPr>
          <w:rFonts w:ascii="Times New Roman" w:hAnsi="Times New Roman"/>
          <w:sz w:val="20"/>
        </w:rPr>
        <w:t xml:space="preserve">. (i) Any and all payments by or on account of any obligation of the Borrower hereunder or under any other Loan Document shall to the extent permitted by applicable Laws be made free and clear of and without reduction or withholding for any Taxes. If, however, applicable Laws require the Borrower or the Administrative Agent to withhold or deduct any Tax, such Tax shall be withheld or deducted in accordance with such Laws as determined by the Borrower or the Administrative Agent, as the case may be, upon the basis of the information and documentation to be delivered pursuant to subsection (e) below.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If the Borrower or the Administrative Agent shall be required by the Code to withhold or deduct any Taxes, including both United States Federal backup withholding and withholding taxes, from any payment by or on account of any obligation of the Borrower hereunder or under any other Loan Document,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the Code, and (C) to the extent that the withholding or deduction is made on account of Indemnified Taxes or Other Taxes, the sum payable by the Borrower shall be increased as necessary so that after any required withholding or the making of all required deductions (including deductions applicable to additional sums payable under this Section) the Administrative Agent or Lender, as the case may be, receives an amount equal to the sum it would have received had no such withholding or deduction been made. </w:t>
      </w:r>
    </w:p>
    <w:p>
      <w:pPr>
        <w:pStyle w:val="TextBody"/>
        <w:spacing w:before="180" w:after="0"/>
        <w:rPr>
          <w:rFonts w:ascii="Times New Roman" w:hAnsi="Times New Roman"/>
          <w:sz w:val="20"/>
        </w:rPr>
      </w:pPr>
      <w:r>
        <w:rPr>
          <w:rFonts w:ascii="Times New Roman" w:hAnsi="Times New Roman"/>
          <w:sz w:val="20"/>
        </w:rPr>
        <w:t xml:space="preserve">(iii) If the Borrower or the Administrative Agent shall be required by any applicable Laws other than the Code to withhold or deduct any Taxes from any payment by or on account of any obligation of the Borrower hereunder or under any other Loan Document, then (A) the Administrative Agent shall withhold or make such deductions as are determined by the Administrative Agent to be required based upon the information and documentation it has received pursuant to subsection (e) below, (B) the Administrative Agent shall timely pay the full amount withheld or deducted to the relevant Governmental Authority in accordance with such Laws, and (C) to the extent that the withholding or deduction is made on account of Indemnified Taxes or Other Taxes, the sum payable by the Borrower shall be increased as necessary so that after any required withholding or the making of all required deductions (including deductions applicable to additional sums payable under this Section) the Administrative Agent or Lender, as the case may be, receives an amount equal to the sum it would have received had no such withholding or deduction been made.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Other Taxes by the Borrower</w:t>
      </w:r>
      <w:r>
        <w:rPr>
          <w:rFonts w:ascii="Times New Roman" w:hAnsi="Times New Roman"/>
          <w:sz w:val="20"/>
        </w:rPr>
        <w:t xml:space="preserve">. Without limiting the provisions of subsection (a) above, the Borrower shall timely pay any Other Taxes arising from payments required to be made by it hereunder or from its execution and delivery of, or performance by it of, or otherwise with respect to its obligations under, any Loan Document to which it is a party and imposed thereon under applicable Law to the relevant Governmental Authority in accordance with applicable Laws.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Tax Indemnifications</w:t>
      </w:r>
      <w:r>
        <w:rPr>
          <w:rFonts w:ascii="Times New Roman" w:hAnsi="Times New Roman"/>
          <w:sz w:val="20"/>
        </w:rPr>
        <w:t xml:space="preserve">. (i) Without limiting the provisions of subsection (a) or (b) above, the Borrower shall, and does hereby, indemnify the Administrative Agent and each Lender, and shall make payment in respect thereof within 10 Business Days after demand therefor, for the full amount of any Indemnified Taxes or Other Taxes (including Indemnified Taxes or Other Taxes imposed or asserted on or attributable to amounts payable under this Section) paid by the Administrative Agent or such Lender, as the case may be, and any penalties, interest and reasonable expenses arising therefrom or with respect thereto, whether or not such Indemnified Taxes or Other Taxes were correctly or legally imposed or asserted by the relevant Governmental Authority. The Borrower shall also, and does hereby, indemnify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Administrative Agent, and shall make payment in respect thereof within 10 days after demand therefor, for any amount which a Lender (other than a Lender that is an affiliate of the Administrative Agent) for any reason fails to pay indefeasibly to the Administrative Agent as required by clause (ii) of this subsection. A certificate as to the amount of any such payment or liability delivered to the Borrower by a Lender (with a copy to the Administrative Agent), or by the Administrative Agent on its own behalf or on behalf of a Lender, shall be conclusive absent manifest error. However, neither the Administrative Agent nor any Lender shall be entitled to receive any payment with respect to Indemnified Taxes or Other Taxes that are incurred or accrued more than 180 days prior to the date the Administrative Agent or such Lender gives notice and demand thereof to the Borrower. </w:t>
      </w:r>
    </w:p>
    <w:p>
      <w:pPr>
        <w:pStyle w:val="TextBody"/>
        <w:spacing w:before="90" w:after="0"/>
        <w:rPr>
          <w:rFonts w:ascii="Times New Roman" w:hAnsi="Times New Roman"/>
          <w:sz w:val="20"/>
        </w:rPr>
      </w:pPr>
      <w:r>
        <w:rPr>
          <w:rFonts w:ascii="Times New Roman" w:hAnsi="Times New Roman"/>
          <w:sz w:val="20"/>
        </w:rPr>
        <w:t xml:space="preserve">(ii) Without limiting the provisions of subsection (a) or (b) above, each Lender shall, and does hereby, indemnify the Borrower and the Administrative Agent, and shall make payment in respect thereof within 10 days after demand therefor, against any and all Taxes and any and all related losses, claims, liabilities, penalties, interest and expenses (including the reasonable fees, charges and disbursements of any counsel for the Borrower or the Administrative Agent) incurred by or asserted against the Borrower or the Administrative Agent by any Governmental Authority as a result of the failure by such Lender to deliver, or as a result of the inaccuracy, inadequacy or deficiency of, any documentation required to be delivered by such Lender to the Borrower or the Administrative Agent pursuant to subsection (e). Each Lender hereby authorizes the Administrative Agent to set off and apply any and all amounts at any time owing to such Lender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the termination of the Aggregate Commitments and the repayment, satisfaction or discharge of all other payment Obligations.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Evidence of Payments</w:t>
      </w:r>
      <w:r>
        <w:rPr>
          <w:rFonts w:ascii="Times New Roman" w:hAnsi="Times New Roman"/>
          <w:sz w:val="20"/>
        </w:rPr>
        <w:t xml:space="preserve">. As soon as reasonably practicable after request by the Borrower or the Administrative Agent, as the case may be, and after any payment of Indemnified Taxes or Other Taxes by the Borrower or by the Administrative Agent to a Governmental Authority as provided in this </w:t>
      </w:r>
      <w:r>
        <w:rPr>
          <w:rFonts w:ascii="Times New Roman" w:hAnsi="Times New Roman"/>
          <w:sz w:val="20"/>
          <w:u w:val="single"/>
        </w:rPr>
        <w:t>Section 3.01</w:t>
      </w:r>
      <w:r>
        <w:rPr>
          <w:rFonts w:ascii="Times New Roman" w:hAnsi="Times New Roman"/>
          <w:sz w:val="20"/>
        </w:rPr>
        <w:t xml:space="preserve">,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Status of Lenders; Tax Documentation</w:t>
      </w:r>
      <w:r>
        <w:rPr>
          <w:rFonts w:ascii="Times New Roman" w:hAnsi="Times New Roman"/>
          <w:sz w:val="20"/>
        </w:rPr>
        <w:t xml:space="preserve">. (i) Each Lender shall deliver to the Borrower and to the Administrative Agent, at the time or times prescribed by applicable Laws or when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(A) to determine (1) whether or not payments made by the Borrower to such Lender hereunder or under any other Loan Document are subject to Taxes or information reporting, (2) if applicable, the required rate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withholding or deduction with respect to such payments, and (3) such Lenders entitlement to any available exemption from, or reduction of, applicable Taxes in respect of all payments to be made to such Lender by the Borrower pursuant to this Agreement or any other Loan Document or (B) to establish such Lenders status for withholding tax purposes in the applicable jurisdictions. </w:t>
      </w:r>
    </w:p>
    <w:p>
      <w:pPr>
        <w:pStyle w:val="TextBody"/>
        <w:spacing w:before="90" w:after="0"/>
        <w:rPr>
          <w:rFonts w:ascii="Times New Roman" w:hAnsi="Times New Roman"/>
          <w:sz w:val="20"/>
        </w:rPr>
      </w:pPr>
      <w:r>
        <w:rPr>
          <w:rFonts w:ascii="Times New Roman" w:hAnsi="Times New Roman"/>
          <w:sz w:val="20"/>
        </w:rPr>
        <w:t xml:space="preserve">(ii) Without limiting the generality of clause (i) above, if the Borrower is resident for tax purposes in the United States, </w:t>
      </w:r>
    </w:p>
    <w:p>
      <w:pPr>
        <w:pStyle w:val="TextBody"/>
        <w:spacing w:before="90" w:after="0"/>
        <w:rPr>
          <w:rFonts w:ascii="Times New Roman" w:hAnsi="Times New Roman"/>
          <w:sz w:val="20"/>
        </w:rPr>
      </w:pPr>
      <w:r>
        <w:rPr>
          <w:rFonts w:ascii="Times New Roman" w:hAnsi="Times New Roman"/>
          <w:sz w:val="20"/>
        </w:rPr>
        <w:t xml:space="preserve">(A) any Lender that is a United States person within the meaning of Section 7701(a)(30) of the Code shall deliver to the Borrower and the Administrative Agent (in such number of copies as shall be requested by the recipient) executed originals of Internal Revenue Service Form W-9 or such other documentation or information prescribed by applicable Laws or reasonably requested by the Borrower on behalf of the Borrower or the Administrative Agent as will enable the Borrower or the Administrative Agent, as the case may be, to determine whether or not such Lender is subject to backup withholding or information reporting requirements; </w:t>
      </w:r>
    </w:p>
    <w:p>
      <w:pPr>
        <w:pStyle w:val="TextBody"/>
        <w:spacing w:before="90" w:after="0"/>
        <w:rPr>
          <w:rFonts w:ascii="Times New Roman" w:hAnsi="Times New Roman"/>
          <w:sz w:val="20"/>
        </w:rPr>
      </w:pPr>
      <w:r>
        <w:rPr>
          <w:rFonts w:ascii="Times New Roman" w:hAnsi="Times New Roman"/>
          <w:sz w:val="20"/>
        </w:rPr>
        <w:t xml:space="preserve">(B) each Foreign Lender that is entitled under the Code or any applicable treaty to an exemption from or reduction of withholding tax with respect to payments hereunder or under any other Loan Document shall deliver to the Borrower and the Administrative Agent (in such number of copies as shall be requested by the recipient) on or prior to the date on which such Foreign Lender becomes a Lender (and from time to time thereafter upon the request of the Borrower on behalf of the Borrower or the Administrative Agent, but only if such Foreign Lender is legally entitled to do so, or at such times prescribed by applicable Law), whichever of the following is applicable: </w:t>
      </w:r>
    </w:p>
    <w:p>
      <w:pPr>
        <w:pStyle w:val="TextBody"/>
        <w:spacing w:before="90" w:after="0"/>
        <w:rPr>
          <w:rFonts w:ascii="Times New Roman" w:hAnsi="Times New Roman"/>
          <w:sz w:val="20"/>
        </w:rPr>
      </w:pPr>
      <w:r>
        <w:rPr>
          <w:rFonts w:ascii="Times New Roman" w:hAnsi="Times New Roman"/>
          <w:sz w:val="20"/>
        </w:rPr>
        <w:t xml:space="preserve">(I) executed originals of Internal Revenue Service Form W-8BEN, or successor applicable form, claiming eligibility for benefits of an income tax treaty to which the United States is a party, </w:t>
      </w:r>
    </w:p>
    <w:p>
      <w:pPr>
        <w:pStyle w:val="TextBody"/>
        <w:spacing w:before="90" w:after="0"/>
        <w:rPr>
          <w:rFonts w:ascii="Times New Roman" w:hAnsi="Times New Roman"/>
          <w:sz w:val="20"/>
        </w:rPr>
      </w:pPr>
      <w:r>
        <w:rPr>
          <w:rFonts w:ascii="Times New Roman" w:hAnsi="Times New Roman"/>
          <w:sz w:val="20"/>
        </w:rPr>
        <w:t xml:space="preserve">(II) executed originals of Internal Revenue Service Form W-8ECI, or successor applicable form, </w:t>
      </w:r>
    </w:p>
    <w:p>
      <w:pPr>
        <w:pStyle w:val="TextBody"/>
        <w:spacing w:before="90" w:after="0"/>
        <w:rPr>
          <w:rFonts w:ascii="Times New Roman" w:hAnsi="Times New Roman"/>
          <w:sz w:val="20"/>
        </w:rPr>
      </w:pPr>
      <w:r>
        <w:rPr>
          <w:rFonts w:ascii="Times New Roman" w:hAnsi="Times New Roman"/>
          <w:sz w:val="20"/>
        </w:rPr>
        <w:t xml:space="preserve">(III) executed originals of Internal Revenue Service Form W-8IMY, or successor applicable form, and all required supporting documentation, </w:t>
      </w:r>
    </w:p>
    <w:p>
      <w:pPr>
        <w:pStyle w:val="TextBody"/>
        <w:spacing w:before="90" w:after="0"/>
        <w:rPr>
          <w:rFonts w:ascii="Times New Roman" w:hAnsi="Times New Roman"/>
          <w:sz w:val="20"/>
        </w:rPr>
      </w:pPr>
      <w:r>
        <w:rPr>
          <w:rFonts w:ascii="Times New Roman" w:hAnsi="Times New Roman"/>
          <w:sz w:val="20"/>
        </w:rPr>
        <w:t xml:space="preserve">(IV) in the case of a Foreign Lender claiming the benefits of the exemption for portfolio interest under Section 881(c) of the Code, (x) a certificate to the effect that such Foreign Lender is not (A) a bank within the meaning of Section 881(c)(3)(A) of the Code, (B) a 10 percent shareholder of the Borrower within the meaning of Section 881(c)(3)(B) of the Code, or (C) a controlled foreign corporation described in section 881(c)(3)(C) of the Code and (y) executed originals of Internal Revenue Service Form W-8BEN, or successor applicable form,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(V) 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 and </w:t>
      </w:r>
    </w:p>
    <w:p>
      <w:pPr>
        <w:pStyle w:val="TextBody"/>
        <w:spacing w:before="90" w:after="0"/>
        <w:rPr>
          <w:rFonts w:ascii="Times New Roman" w:hAnsi="Times New Roman"/>
          <w:sz w:val="20"/>
        </w:rPr>
      </w:pPr>
      <w:r>
        <w:rPr>
          <w:rFonts w:ascii="Times New Roman" w:hAnsi="Times New Roman"/>
          <w:sz w:val="20"/>
        </w:rPr>
        <w:t xml:space="preserve">(C) if a payment made to a Lender under any Loan Document would be subject to U.S. federal withholding Tax imposed by FATCA if such Lender or Administrative Agent were to fail to comply with the applicable reporting requirements of FATCA (including those contained in Section 1471(b) or 1472(b) of the Code, as applicable), such Lender or Administrative Agent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or Administrative Agent has complied with such Lenders or Administrative Agents obligations under FATCA or to determine the amount to deduct and withhold from such payment. Solely for purposes of this clause (C), FATCA shall include any amendments made to FATCA after the date of this Agreement. </w:t>
      </w:r>
    </w:p>
    <w:p>
      <w:pPr>
        <w:pStyle w:val="TextBody"/>
        <w:spacing w:before="90" w:after="0"/>
        <w:rPr>
          <w:rFonts w:ascii="Times New Roman" w:hAnsi="Times New Roman"/>
          <w:sz w:val="20"/>
        </w:rPr>
      </w:pPr>
      <w:r>
        <w:rPr>
          <w:rFonts w:ascii="Times New Roman" w:hAnsi="Times New Roman"/>
          <w:sz w:val="20"/>
        </w:rPr>
        <w:t xml:space="preserve">(iii) Each Lender shall promptly (A) notify the Borrower and the Administrative Agent of any change in circumstances which would modify or render invalid any claimed exemption or reduction in withholding taxes,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 and (C) deliver to the Borrower and the Administrative Agent (1) such other documentation or information prescribed by applicable Law following the occurrence of any event requiring a change in the most recent documentation previously delivered pursuant to this subsection (e) so as to maintain compliance with such Lenders obligations thereunder, and (2) prior to the date on which any documentation delivered pursuant to this subsection (e) expires or becomes obsolete, such documentation as may be necessary to maintain compliance with such Lenders obligations thereunder. </w:t>
      </w:r>
    </w:p>
    <w:p>
      <w:pPr>
        <w:pStyle w:val="TextBody"/>
        <w:spacing w:before="90" w:after="0"/>
        <w:rPr>
          <w:rFonts w:ascii="Times New Roman" w:hAnsi="Times New Roman"/>
          <w:sz w:val="20"/>
        </w:rPr>
      </w:pPr>
      <w:r>
        <w:rPr>
          <w:rFonts w:ascii="Times New Roman" w:hAnsi="Times New Roman"/>
          <w:sz w:val="20"/>
        </w:rPr>
        <w:t xml:space="preserve">(iv) The Borrower shall promptly deliver to the Administrative Agent or any Lender, as the Administrative Agent or such Lender shall reasonably request, such documents and forms reasonably requested as are required by any relevant taxing authorities under the Laws of any jurisdiction, duly executed and completed by the Borrower, to be furnished by such Lender or the Administrative Agent under such Laws in connection with any payment by the Administrative Agent or any Lender of Taxes or Other Taxes, or otherwise in connection with the Loan Documents, with respect to such jurisdiction.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(f) </w:t>
      </w:r>
      <w:r>
        <w:rPr>
          <w:rFonts w:ascii="Times New Roman" w:hAnsi="Times New Roman"/>
          <w:sz w:val="20"/>
          <w:u w:val="single"/>
        </w:rPr>
        <w:t>Treatment of Certain Refunds</w:t>
      </w:r>
      <w:r>
        <w:rPr>
          <w:rFonts w:ascii="Times New Roman" w:hAnsi="Times New Roman"/>
          <w:sz w:val="20"/>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the Administrative Agent or any Lender determines, in its sole discretion, that it has received a refund of any Taxes or Other Taxes as to which it has been indemnified by the Borrower or with respect to which the Borrower has paid additional amounts pursuant to this </w:t>
      </w:r>
      <w:r>
        <w:rPr>
          <w:rFonts w:ascii="Times New Roman" w:hAnsi="Times New Roman"/>
          <w:sz w:val="20"/>
          <w:u w:val="single"/>
        </w:rPr>
        <w:t>Section 3.01</w:t>
      </w:r>
      <w:r>
        <w:rPr>
          <w:rFonts w:ascii="Times New Roman" w:hAnsi="Times New Roman"/>
          <w:sz w:val="20"/>
        </w:rPr>
        <w:t xml:space="preserve">, it shall pay to the Borrower an amount equal to such refund (but only to the extent of indemnity payments made, or additional amounts paid, by the Borrower under this </w:t>
      </w:r>
      <w:r>
        <w:rPr>
          <w:rFonts w:ascii="Times New Roman" w:hAnsi="Times New Roman"/>
          <w:sz w:val="20"/>
          <w:u w:val="single"/>
        </w:rPr>
        <w:t>Section 3.01</w:t>
      </w:r>
      <w:r>
        <w:rPr>
          <w:rFonts w:ascii="Times New Roman" w:hAnsi="Times New Roman"/>
          <w:sz w:val="20"/>
        </w:rPr>
        <w:t xml:space="preserve">with respect to the Taxes or Other Taxes giving rise to such refund), net of all out-of-pocket expenses and net of any loss or gain realized in the conversion of such funds from or to another currency incurred by the Administrative Agent or such Lender, as the case may be,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This subsection shall not be construed to require the Administrative Agent or any Lender to make available its tax returns (or any other information relating to its taxes that it deems confidential) to the Borrower or any other Person. </w:t>
      </w:r>
    </w:p>
    <w:p>
      <w:pPr>
        <w:pStyle w:val="TextBody"/>
        <w:spacing w:before="180" w:after="0"/>
        <w:rPr>
          <w:rFonts w:ascii="Times New Roman" w:hAnsi="Times New Roman"/>
          <w:sz w:val="20"/>
        </w:rPr>
      </w:pPr>
      <w:r>
        <w:rPr>
          <w:rFonts w:ascii="Times New Roman" w:hAnsi="Times New Roman"/>
          <w:b/>
          <w:sz w:val="20"/>
        </w:rPr>
        <w:t xml:space="preserve">3.02 Illegality. </w:t>
      </w:r>
      <w:r>
        <w:rPr>
          <w:rFonts w:ascii="Times New Roman" w:hAnsi="Times New Roman"/>
          <w:sz w:val="20"/>
        </w:rPr>
        <w:t xml:space="preserve">If any Lender determines that any Change in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 </w:t>
      </w:r>
    </w:p>
    <w:p>
      <w:pPr>
        <w:pStyle w:val="TextBody"/>
        <w:spacing w:before="180" w:after="0"/>
        <w:rPr>
          <w:rFonts w:ascii="Times New Roman" w:hAnsi="Times New Roman"/>
          <w:sz w:val="20"/>
        </w:rPr>
      </w:pPr>
      <w:r>
        <w:rPr>
          <w:rFonts w:ascii="Times New Roman" w:hAnsi="Times New Roman"/>
          <w:b/>
          <w:sz w:val="20"/>
        </w:rPr>
        <w:t xml:space="preserve">3.03 Inability to Determine Rates. </w:t>
      </w:r>
      <w:r>
        <w:rPr>
          <w:rFonts w:ascii="Times New Roman" w:hAnsi="Times New Roman"/>
          <w:sz w:val="20"/>
        </w:rPr>
        <w:t xml:space="preserve">If the Required Lenders determine that for any reason in connection with any request for a Eurodollar Rate Loan or a conversion to or continuation thereof that (i) deposits are not being offered to banks in the London interbank Eurodollar market for the applicable amount and Interest Period of such Eurodollar Rate Loan, (ii) adequate and reasonable means do not exist for determining the Eurodollar Rate for any requested Interest Period with respect to a proposed Eurodollar Rate Loan or in connection with an existing or proposed Base Rate Loan, or (iii) the Eurodollar Rate for any requested Interest Period with respect to a proposed Eurodollar Rate Loan does not adequately and fairly reflect the cost to such Lenders of funding such Loan, the Administrative Agent will promptly so notify the Borrower and each Lender. Thereafter, (x) the obligation of the Lenders to make or maintain Eurodollar Rate Loans shall be suspended (i) in respect to the applicable amount and Interest Period referred to in clause (i) of the preceding sentence, or (ii) in the circumstances referred to in clauses (ii) and (iii) of the preceding sentence, shall be suspended,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or, failing that, will be deemed to have converted such request into a request for a Borrowing of Base Rate Loans in the amount specified therein. </w:t>
      </w:r>
    </w:p>
    <w:p>
      <w:pPr>
        <w:pStyle w:val="TextBody"/>
        <w:spacing w:before="180" w:after="0"/>
        <w:rPr>
          <w:rFonts w:ascii="Times New Roman" w:hAnsi="Times New Roman"/>
          <w:sz w:val="20"/>
        </w:rPr>
      </w:pPr>
      <w:r>
        <w:rPr>
          <w:rFonts w:ascii="Times New Roman" w:hAnsi="Times New Roman"/>
          <w:b/>
          <w:sz w:val="20"/>
        </w:rPr>
        <w:t>3.04 Increased Costs; Reserves on Eurodollar Rate Loans.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 Generally</w:t>
      </w:r>
      <w:r>
        <w:rPr>
          <w:rFonts w:ascii="Times New Roman" w:hAnsi="Times New Roman"/>
          <w:sz w:val="20"/>
        </w:rPr>
        <w:t xml:space="preserve">. If any Change in Law shall: </w:t>
      </w:r>
    </w:p>
    <w:p>
      <w:pPr>
        <w:pStyle w:val="TextBody"/>
        <w:spacing w:before="90" w:after="0"/>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Times New Roman" w:hAnsi="Times New Roman"/>
          <w:sz w:val="20"/>
          <w:u w:val="single"/>
        </w:rPr>
        <w:t>Section 3.04(e)</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(ii) subject any Lender to any tax of any kind whatsoever with respect to this Agreement or any Eurodollar Rate Loan made by it, or change the basis of taxation of payments to such Lender in respect thereof (except for Indemnified Taxes or Other Taxes covered by </w:t>
      </w:r>
      <w:r>
        <w:rPr>
          <w:rFonts w:ascii="Times New Roman" w:hAnsi="Times New Roman"/>
          <w:sz w:val="20"/>
          <w:u w:val="single"/>
        </w:rPr>
        <w:t>Section 3.01</w:t>
      </w:r>
      <w:r>
        <w:rPr>
          <w:rFonts w:ascii="Times New Roman" w:hAnsi="Times New Roman"/>
          <w:sz w:val="20"/>
        </w:rPr>
        <w:t xml:space="preserve"> and the imposition of, or any change in the rate of, any Excluded Tax payable by such Lender);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(iii) impose on any Lender or the London interbank market any other condition, cost or expense affecting this Agreement or Eurodollar Rate Loans made by such Lender; </w:t>
      </w:r>
    </w:p>
    <w:p>
      <w:pPr>
        <w:pStyle w:val="TextBody"/>
        <w:spacing w:before="180" w:after="0"/>
        <w:rPr>
          <w:rFonts w:ascii="Times New Roman" w:hAnsi="Times New Roman"/>
          <w:sz w:val="20"/>
        </w:rPr>
      </w:pPr>
      <w:r>
        <w:rPr>
          <w:rFonts w:ascii="Times New Roman" w:hAnsi="Times New Roman"/>
          <w:sz w:val="20"/>
        </w:rPr>
        <w:t xml:space="preserve">and the result of any of the foregoing shall be to increase the cost to such Lender of making or maintaining any Loan the interest on which is determined by reference to the Eurodollar Rate (or of maintaining its obligation to make any such Eurodollar Rate Loan), or to reduce the amount of any sum received or receivable by such Lender hereunder (whether of principal, interest or any other amount), in each case, by an amount deemed in good faith by such Lender to be material, then, within five Business Days after written demand therefor by such Lender, the Borrower will pay to such Lender such additional amount or amounts as will compensate such Lender such additional costs incurred or reduction suffered.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Requirements</w:t>
      </w:r>
      <w:r>
        <w:rPr>
          <w:rFonts w:ascii="Times New Roman" w:hAnsi="Times New Roman"/>
          <w:sz w:val="20"/>
        </w:rPr>
        <w:t xml:space="preserve">. If any Lender determines that any Change in Law affecting such Lender or any Lending Office of such Lender or such Lenders holding company, if any, regarding capital requirements has or would have the effect of reducing the rate of return on such Lenders capital or on the capital of such Lenders holding company, if any, as a consequence of this Agreement, the Commitments of such Lender or the Loans made by such Lender, by an amount deemed in good faith by such Lender to be material based on that which such Lender or such Lenders holding company could have achieved but for such Change in Law (taking into consideration such Lenders policies and the policies of such Lenders holding company with respect to capital adequacy), then from time to time within five Business Days after written demand therefor, the Borrower will pay to such Lender such additional amount or amounts as will compensate such Lender or such Lenders holding company, if any, for any such reduction suffered.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Certificates for Reimbursement</w:t>
      </w:r>
      <w:r>
        <w:rPr>
          <w:rFonts w:ascii="Times New Roman" w:hAnsi="Times New Roman"/>
          <w:sz w:val="20"/>
        </w:rPr>
        <w:t xml:space="preserve">. A certificate of a Lender setting forth the amount or amounts necessary to compensate such Lender or its holding company, as the case may be, as specified in subsection (a) or (b) of this Section and delivered to the Borrower shall be conclusive absent manifest error. The Borrower shall pay such Lender the amount shown as due on any such certificate within 10 days after receipt thereof. Upon request by the Borrower, a Lender shall also provide a certificate that such Lender is generally requesting such compensation from its other borrowers.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Delay in Requests</w:t>
      </w:r>
      <w:r>
        <w:rPr>
          <w:rFonts w:ascii="Times New Roman" w:hAnsi="Times New Roman"/>
          <w:sz w:val="20"/>
        </w:rPr>
        <w:t xml:space="preserve">. Failure or delay on the part of any Lender to demand compensation pursuant to the foregoing provisions of this Section shall not constitute a waiver of such Lenders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pursuant to the foregoing provisions of this Section for any increased costs incurred or reductions suffered more than 180 days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180-day period referred to above shall be extended to include the period of retroactive effect thereof).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Reserves on Eurodollar Rate Loans</w:t>
      </w:r>
      <w:r>
        <w:rPr>
          <w:rFonts w:ascii="Times New Roman" w:hAnsi="Times New Roman"/>
          <w:sz w:val="20"/>
        </w:rPr>
        <w:t xml:space="preserve">. The Borrower shall pay to each Lender, (i) as long as such Lender shall be required to maintain reserves with respect to liabilities or assets consisting of or including Eurodollar funds or deposits (currently known as Eurodollar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liabilities), additional interest on the unpaid principal amount of each Eurodollar Rate Loan equal to the actual costs of such reserves allocated to such Loan by such Lender (as determined by such Lender in good faith, which determination shall be conclusive absent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Eurodollar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Times New Roman" w:hAnsi="Times New Roman"/>
          <w:sz w:val="20"/>
          <w:u w:val="single"/>
        </w:rPr>
        <w:t>provided</w:t>
      </w:r>
      <w:r>
        <w:rPr>
          <w:rFonts w:ascii="Times New Roman" w:hAnsi="Times New Roman"/>
          <w:sz w:val="20"/>
        </w:rPr>
        <w:t xml:space="preserve"> the Borrower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 </w:t>
      </w:r>
    </w:p>
    <w:p>
      <w:pPr>
        <w:pStyle w:val="TextBody"/>
        <w:spacing w:before="180" w:after="0"/>
        <w:rPr>
          <w:rFonts w:ascii="Times New Roman" w:hAnsi="Times New Roman"/>
          <w:sz w:val="20"/>
        </w:rPr>
      </w:pPr>
      <w:r>
        <w:rPr>
          <w:rFonts w:ascii="Times New Roman" w:hAnsi="Times New Roman"/>
          <w:b/>
          <w:sz w:val="20"/>
        </w:rPr>
        <w:t xml:space="preserve">3.05 Compensation for Losses. </w:t>
      </w:r>
      <w:r>
        <w:rPr>
          <w:rFonts w:ascii="Times New Roman" w:hAnsi="Times New Roman"/>
          <w:sz w:val="20"/>
        </w:rPr>
        <w:t xml:space="preserve">Upon demand of any Lender (with a copy to the Administrative Agent) from time to time, the Borrower shall promptly compensate such Lender for and hold such Lender harmless from any loss, cost or expense incurred by it as a result of: </w:t>
      </w:r>
    </w:p>
    <w:p>
      <w:pPr>
        <w:pStyle w:val="TextBody"/>
        <w:spacing w:before="180" w:after="0"/>
        <w:rPr>
          <w:rFonts w:ascii="Times New Roman" w:hAnsi="Times New Roman"/>
          <w:sz w:val="20"/>
        </w:rPr>
      </w:pPr>
      <w:r>
        <w:rPr>
          <w:rFonts w:ascii="Times New Roman" w:hAnsi="Times New Roman"/>
          <w:sz w:val="20"/>
        </w:rPr>
        <w:t xml:space="preserve">(a) any continuation, conversion, payment or prepayment of any Loan other than a Base Rate Loan on a day other than the last day of the Interest Period for such Loan (whether voluntary, mandatory, automatic, by reason of acceleration, or otherwise); </w:t>
      </w:r>
    </w:p>
    <w:p>
      <w:pPr>
        <w:pStyle w:val="TextBody"/>
        <w:spacing w:before="180" w:after="0"/>
        <w:rPr>
          <w:rFonts w:ascii="Times New Roman" w:hAnsi="Times New Roman"/>
          <w:sz w:val="20"/>
        </w:rPr>
      </w:pPr>
      <w:r>
        <w:rPr>
          <w:rFonts w:ascii="Times New Roman" w:hAnsi="Times New Roman"/>
          <w:sz w:val="20"/>
        </w:rPr>
        <w:t xml:space="preserve">(b) any failure by the Borrower (for a reason other than the failure of such Lender to make a Loan) to prepay, borrow, continue or convert any Loan other than a Base Rate Loan on the date or in the amount notified by the Borrower; or </w:t>
      </w:r>
    </w:p>
    <w:p>
      <w:pPr>
        <w:pStyle w:val="TextBody"/>
        <w:spacing w:before="180" w:after="0"/>
        <w:rPr>
          <w:rFonts w:ascii="Times New Roman" w:hAnsi="Times New Roman"/>
          <w:sz w:val="20"/>
        </w:rPr>
      </w:pPr>
      <w:r>
        <w:rPr>
          <w:rFonts w:ascii="Times New Roman" w:hAnsi="Times New Roman"/>
          <w:sz w:val="20"/>
        </w:rPr>
        <w:t xml:space="preserve">(c) any assignment of a Eurodollar Rate Loan on a day other than the last day of the Interest Period therefor as a result of a request by the Borrower pursuant to </w:t>
      </w:r>
      <w:r>
        <w:rPr>
          <w:rFonts w:ascii="Times New Roman" w:hAnsi="Times New Roman"/>
          <w:sz w:val="20"/>
          <w:u w:val="single"/>
        </w:rPr>
        <w:t>Section 10.13</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excluding any loss of anticipated profits but including any loss (other than loss of anticipated profits)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 </w:t>
      </w:r>
    </w:p>
    <w:p>
      <w:pPr>
        <w:pStyle w:val="TextBody"/>
        <w:spacing w:before="180" w:after="0"/>
        <w:rPr>
          <w:rFonts w:ascii="Times New Roman" w:hAnsi="Times New Roman"/>
          <w:sz w:val="20"/>
        </w:rPr>
      </w:pPr>
      <w:r>
        <w:rPr>
          <w:rFonts w:ascii="Times New Roman" w:hAnsi="Times New Roman"/>
          <w:sz w:val="20"/>
        </w:rPr>
        <w:t xml:space="preserve">A certificate of such Lender setting forth the amount of any such loss, cost or expense, including reasonably detailed calculations thereof, shall be delivered to the Borrower and the Administrative Agent and be conclusive absent manifest error. For purposes of calculating amounts payable by the Borrower to the Lenders under this </w:t>
      </w:r>
      <w:r>
        <w:rPr>
          <w:rFonts w:ascii="Times New Roman" w:hAnsi="Times New Roman"/>
          <w:sz w:val="20"/>
          <w:u w:val="single"/>
        </w:rPr>
        <w:t>Section 3.05</w:t>
      </w:r>
      <w:r>
        <w:rPr>
          <w:rFonts w:ascii="Times New Roman" w:hAnsi="Times New Roman"/>
          <w:sz w:val="20"/>
        </w:rPr>
        <w:t xml:space="preserve">,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3.06 Mitigation Obligations; Replacement of Lenders.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Designation of a Different Lending Office</w:t>
      </w:r>
      <w:r>
        <w:rPr>
          <w:rFonts w:ascii="Times New Roman" w:hAnsi="Times New Roman"/>
          <w:sz w:val="20"/>
        </w:rPr>
        <w:t xml:space="preserve">. If any Lender requests compensation under </w:t>
      </w:r>
      <w:r>
        <w:rPr>
          <w:rFonts w:ascii="Times New Roman" w:hAnsi="Times New Roman"/>
          <w:sz w:val="20"/>
          <w:u w:val="single"/>
        </w:rPr>
        <w:t>Section 3.04</w:t>
      </w:r>
      <w:r>
        <w:rPr>
          <w:rFonts w:ascii="Times New Roman" w:hAnsi="Times New Roman"/>
          <w:sz w:val="20"/>
        </w:rPr>
        <w:t xml:space="preserve">, or the Borrower is required to pay any additional amount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or if any Lender gives a notice pursuant to </w:t>
      </w:r>
      <w:r>
        <w:rPr>
          <w:rFonts w:ascii="Times New Roman" w:hAnsi="Times New Roman"/>
          <w:sz w:val="20"/>
          <w:u w:val="single"/>
        </w:rPr>
        <w:t>Section 3.02</w:t>
      </w:r>
      <w:r>
        <w:rPr>
          <w:rFonts w:ascii="Times New Roman" w:hAnsi="Times New Roman"/>
          <w:sz w:val="20"/>
        </w:rPr>
        <w:t xml:space="preserve">, then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sz w:val="20"/>
          <w:u w:val="single"/>
        </w:rPr>
        <w:t>Section 3.01</w:t>
      </w:r>
      <w:r>
        <w:rPr>
          <w:rFonts w:ascii="Times New Roman" w:hAnsi="Times New Roman"/>
          <w:sz w:val="20"/>
        </w:rPr>
        <w:t xml:space="preserve"> or </w:t>
      </w:r>
      <w:r>
        <w:rPr>
          <w:rFonts w:ascii="Times New Roman" w:hAnsi="Times New Roman"/>
          <w:sz w:val="20"/>
          <w:u w:val="single"/>
        </w:rPr>
        <w:t>3.04</w:t>
      </w:r>
      <w:r>
        <w:rPr>
          <w:rFonts w:ascii="Times New Roman" w:hAnsi="Times New Roman"/>
          <w:sz w:val="20"/>
        </w:rPr>
        <w:t xml:space="preserve">, as the case may be, in the future, or eliminate the need for the notice pursuant to </w:t>
      </w:r>
      <w:r>
        <w:rPr>
          <w:rFonts w:ascii="Times New Roman" w:hAnsi="Times New Roman"/>
          <w:sz w:val="20"/>
          <w:u w:val="single"/>
        </w:rPr>
        <w:t>Section 3.02</w:t>
      </w:r>
      <w:r>
        <w:rPr>
          <w:rFonts w:ascii="Times New Roman" w:hAnsi="Times New Roman"/>
          <w:sz w:val="20"/>
        </w:rPr>
        <w:t xml:space="preserve">,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Replacement of Lenders</w:t>
      </w:r>
      <w:r>
        <w:rPr>
          <w:rFonts w:ascii="Times New Roman" w:hAnsi="Times New Roman"/>
          <w:sz w:val="20"/>
        </w:rPr>
        <w:t xml:space="preserve">. If (i) any Lender requests compensation under </w:t>
      </w:r>
      <w:r>
        <w:rPr>
          <w:rFonts w:ascii="Times New Roman" w:hAnsi="Times New Roman"/>
          <w:sz w:val="20"/>
          <w:u w:val="single"/>
        </w:rPr>
        <w:t>Section 3.04</w:t>
      </w:r>
      <w:r>
        <w:rPr>
          <w:rFonts w:ascii="Times New Roman" w:hAnsi="Times New Roman"/>
          <w:sz w:val="20"/>
        </w:rPr>
        <w:t xml:space="preserve">, or gives a notice pursuant to </w:t>
      </w:r>
      <w:r>
        <w:rPr>
          <w:rFonts w:ascii="Times New Roman" w:hAnsi="Times New Roman"/>
          <w:sz w:val="20"/>
          <w:u w:val="single"/>
        </w:rPr>
        <w:t>Section 3.02</w:t>
      </w:r>
      <w:r>
        <w:rPr>
          <w:rFonts w:ascii="Times New Roman" w:hAnsi="Times New Roman"/>
          <w:sz w:val="20"/>
        </w:rPr>
        <w:t xml:space="preserve"> and does not subsequently designate a different Lending Office or assign its rights and obligations hereunder to another of its offices, branches or affiliates as provided above, (ii) the Borrower is required to pay any additional amount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(iii) any Lender becomes a Defaulting Lender, or (iv) any Lender fails to consent to an election, consent, amendment, waiver or other modification to this Agreement or any other Loan Document that requires the consent of (A) the Required Lenders, and such election, consent, amendment, waiver or other modification is otherwise consented to by the Required Lenders, or (B) all Lenders (or all Lenders directly affected thereby), and such election, consent, amendment, waiver or other modification is otherwise consented to by Supermajority Lenders, then in each case, the Borrower may replace such Lender in accordance with </w:t>
      </w:r>
      <w:r>
        <w:rPr>
          <w:rFonts w:ascii="Times New Roman" w:hAnsi="Times New Roman"/>
          <w:sz w:val="20"/>
          <w:u w:val="single"/>
        </w:rPr>
        <w:t>Section 10.13</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b/>
          <w:sz w:val="20"/>
        </w:rPr>
        <w:t xml:space="preserve">3.07 Survival. </w:t>
      </w:r>
      <w:r>
        <w:rPr>
          <w:rFonts w:ascii="Times New Roman" w:hAnsi="Times New Roman"/>
          <w:sz w:val="20"/>
        </w:rPr>
        <w:t xml:space="preserve">All of the Borrowers obligations under this </w:t>
      </w:r>
      <w:r>
        <w:rPr>
          <w:rFonts w:ascii="Times New Roman" w:hAnsi="Times New Roman"/>
          <w:sz w:val="20"/>
          <w:u w:val="single"/>
        </w:rPr>
        <w:t>Article III</w:t>
      </w:r>
      <w:r>
        <w:rPr>
          <w:rFonts w:ascii="Times New Roman" w:hAnsi="Times New Roman"/>
          <w:sz w:val="20"/>
        </w:rPr>
        <w:t xml:space="preserve"> shall survive termination of the Aggregate Commitments, repayment of all other Obligations hereunder, and resignation of the Administrative Agent. </w:t>
      </w:r>
    </w:p>
    <w:p>
      <w:pPr>
        <w:pStyle w:val="TextBody"/>
        <w:spacing w:before="360" w:after="0"/>
        <w:jc w:val="center"/>
        <w:rPr>
          <w:rFonts w:ascii="Times New Roman" w:hAnsi="Times New Roman"/>
          <w:b/>
          <w:sz w:val="20"/>
        </w:rPr>
      </w:pPr>
      <w:r>
        <w:rPr>
          <w:rFonts w:ascii="Times New Roman" w:hAnsi="Times New Roman"/>
          <w:b/>
          <w:sz w:val="20"/>
        </w:rPr>
        <w:t xml:space="preserve">ARTICLE IV. CONDITIONS PRECEDENT TO LOANS </w:t>
      </w:r>
    </w:p>
    <w:p>
      <w:pPr>
        <w:pStyle w:val="TextBody"/>
        <w:spacing w:before="180" w:after="0"/>
        <w:rPr>
          <w:rFonts w:ascii="Times New Roman" w:hAnsi="Times New Roman"/>
          <w:sz w:val="20"/>
        </w:rPr>
      </w:pPr>
      <w:r>
        <w:rPr>
          <w:rFonts w:ascii="Times New Roman" w:hAnsi="Times New Roman"/>
          <w:b/>
          <w:sz w:val="20"/>
        </w:rPr>
        <w:t xml:space="preserve">4.01 Conditions Precedent to Closing. </w:t>
      </w:r>
      <w:r>
        <w:rPr>
          <w:rFonts w:ascii="Times New Roman" w:hAnsi="Times New Roman"/>
          <w:sz w:val="20"/>
        </w:rPr>
        <w:t xml:space="preserve">This Agreement shall become effective upon the satisfaction of the following conditions precedent: </w:t>
      </w:r>
    </w:p>
    <w:p>
      <w:pPr>
        <w:pStyle w:val="TextBody"/>
        <w:spacing w:before="180" w:after="0"/>
        <w:rPr>
          <w:rFonts w:ascii="Times New Roman" w:hAnsi="Times New Roman"/>
          <w:sz w:val="20"/>
        </w:rPr>
      </w:pPr>
      <w:r>
        <w:rPr>
          <w:rFonts w:ascii="Times New Roman" w:hAnsi="Times New Roman"/>
          <w:sz w:val="20"/>
        </w:rPr>
        <w:t xml:space="preserve">(a) The Administrative Agents receipt of the following, each of which shall be originals, telecopies or other electronic copies (followed promptly by originals) unless otherwise specified, each properly executed by a Responsible Officer of the Borrower, if applicable, each dated the Closing Date (or, in the case of certificates of governmental officials, a recent date before the Closing Date and in the case of financial statements, the date or period of such financial statements) and each in form and substance reasonably satisfactory to the Administrative Agent: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 executed counterparts of this Agreement, sufficient in number for distribution to the Administrative Agent, each Lender and the Borrower; </w:t>
      </w:r>
    </w:p>
    <w:p>
      <w:pPr>
        <w:pStyle w:val="TextBody"/>
        <w:spacing w:before="90" w:after="0"/>
        <w:rPr>
          <w:rFonts w:ascii="Times New Roman" w:hAnsi="Times New Roman"/>
          <w:sz w:val="20"/>
        </w:rPr>
      </w:pPr>
      <w:r>
        <w:rPr>
          <w:rFonts w:ascii="Times New Roman" w:hAnsi="Times New Roman"/>
          <w:sz w:val="20"/>
        </w:rPr>
        <w:t xml:space="preserve">(ii) if so requested within three Business Days of the Closing Date, a Note executed by the Borrower in favor of each requesting Lender; </w:t>
      </w:r>
    </w:p>
    <w:p>
      <w:pPr>
        <w:pStyle w:val="TextBody"/>
        <w:spacing w:before="90" w:after="0"/>
        <w:rPr>
          <w:rFonts w:ascii="Times New Roman" w:hAnsi="Times New Roman"/>
          <w:sz w:val="20"/>
        </w:rPr>
      </w:pPr>
      <w:r>
        <w:rPr>
          <w:rFonts w:ascii="Times New Roman" w:hAnsi="Times New Roman"/>
          <w:sz w:val="20"/>
        </w:rPr>
        <w:t xml:space="preserve">(iii) such certificates of resolutions or other action, incumbency certificates and/or other certificates of Responsible Officers of the Borrower as the Administrative Agent may reasonably require evidencing the identity, authority and capacity of each Responsible Officer thereof authorized to act as a Responsible Officer in connection with this Agreement and the other Loan Documents to which the Borrower is a party; </w:t>
      </w:r>
    </w:p>
    <w:p>
      <w:pPr>
        <w:pStyle w:val="TextBody"/>
        <w:spacing w:before="90" w:after="0"/>
        <w:rPr>
          <w:rFonts w:ascii="Times New Roman" w:hAnsi="Times New Roman"/>
          <w:sz w:val="20"/>
        </w:rPr>
      </w:pPr>
      <w:r>
        <w:rPr>
          <w:rFonts w:ascii="Times New Roman" w:hAnsi="Times New Roman"/>
          <w:sz w:val="20"/>
        </w:rPr>
        <w:t xml:space="preserve">(iv) such documents and certifications as the Administrative Agent may reasonably require to evidence that the Borrower and General Partner is duly organized or formed, and that the Borrower is validly existing and in good standing in its jurisdiction of organization, issued by the appropriate authorities of such jurisdiction; </w:t>
      </w:r>
    </w:p>
    <w:p>
      <w:pPr>
        <w:pStyle w:val="TextBody"/>
        <w:spacing w:before="90" w:after="0"/>
        <w:rPr>
          <w:rFonts w:ascii="Times New Roman" w:hAnsi="Times New Roman"/>
          <w:sz w:val="20"/>
        </w:rPr>
      </w:pPr>
      <w:r>
        <w:rPr>
          <w:rFonts w:ascii="Times New Roman" w:hAnsi="Times New Roman"/>
          <w:sz w:val="20"/>
        </w:rPr>
        <w:t xml:space="preserve">(v) favorable opinions of Tim Moore, Esq., General Counsel for the Borrower, and Fulbright &amp; Jaworski L.L.P., special Texas and New York counsel to the Borrower, addressed to the Administrative Agent and each Lender; </w:t>
      </w:r>
    </w:p>
    <w:p>
      <w:pPr>
        <w:pStyle w:val="TextBody"/>
        <w:spacing w:before="90" w:after="0"/>
        <w:rPr>
          <w:rFonts w:ascii="Times New Roman" w:hAnsi="Times New Roman"/>
          <w:sz w:val="20"/>
        </w:rPr>
      </w:pPr>
      <w:r>
        <w:rPr>
          <w:rFonts w:ascii="Times New Roman" w:hAnsi="Times New Roman"/>
          <w:sz w:val="20"/>
        </w:rPr>
        <w:t xml:space="preserve">(vi) the Audited Financial Statements; </w:t>
      </w:r>
    </w:p>
    <w:p>
      <w:pPr>
        <w:pStyle w:val="TextBody"/>
        <w:spacing w:before="90" w:after="0"/>
        <w:rPr>
          <w:rFonts w:ascii="Times New Roman" w:hAnsi="Times New Roman"/>
          <w:sz w:val="20"/>
        </w:rPr>
      </w:pPr>
      <w:r>
        <w:rPr>
          <w:rFonts w:ascii="Times New Roman" w:hAnsi="Times New Roman"/>
          <w:sz w:val="20"/>
        </w:rPr>
        <w:t xml:space="preserve">(vii) a certificate signed by a Responsible Officer of the Borrower certifying (A) that the conditions specified in </w:t>
      </w:r>
      <w:r>
        <w:rPr>
          <w:rFonts w:ascii="Times New Roman" w:hAnsi="Times New Roman"/>
          <w:sz w:val="20"/>
          <w:u w:val="single"/>
        </w:rPr>
        <w:t>Section 4.03(a)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have been satisfied, (B) that there has been no event or circumstance since the date of the most recent Audited Financial Statements that has had or could be reasonably expected to have, either individually or in the aggregate, a Material Adverse Effect, (C) the current Debt Ratings, and (D) the Borrowers true and correct U.S. taxpayer identification number; and </w:t>
      </w:r>
    </w:p>
    <w:p>
      <w:pPr>
        <w:pStyle w:val="TextBody"/>
        <w:spacing w:before="90" w:after="0"/>
        <w:rPr>
          <w:rFonts w:ascii="Times New Roman" w:hAnsi="Times New Roman"/>
          <w:sz w:val="20"/>
        </w:rPr>
      </w:pPr>
      <w:r>
        <w:rPr>
          <w:rFonts w:ascii="Times New Roman" w:hAnsi="Times New Roman"/>
          <w:sz w:val="20"/>
        </w:rPr>
        <w:t xml:space="preserve">(viii) such other assurances, certificates, documents, consents or opinions as the Administrative Agent may reasonably require. </w:t>
      </w:r>
    </w:p>
    <w:p>
      <w:pPr>
        <w:pStyle w:val="TextBody"/>
        <w:spacing w:before="180" w:after="0"/>
        <w:rPr>
          <w:rFonts w:ascii="Times New Roman" w:hAnsi="Times New Roman"/>
          <w:sz w:val="20"/>
        </w:rPr>
      </w:pPr>
      <w:r>
        <w:rPr>
          <w:rFonts w:ascii="Times New Roman" w:hAnsi="Times New Roman"/>
          <w:sz w:val="20"/>
        </w:rPr>
        <w:t xml:space="preserve">(b) All consents, licenses and approvals required in connection with the execution, delivery and performance by the Borrower and the validity against the Borrower of the Loan Documents to which it is a party shall have been obtained and shall be in full force and effect. </w:t>
      </w:r>
    </w:p>
    <w:p>
      <w:pPr>
        <w:pStyle w:val="TextBody"/>
        <w:spacing w:before="180" w:after="0"/>
        <w:rPr>
          <w:rFonts w:ascii="Times New Roman" w:hAnsi="Times New Roman"/>
          <w:sz w:val="20"/>
        </w:rPr>
      </w:pPr>
      <w:r>
        <w:rPr>
          <w:rFonts w:ascii="Times New Roman" w:hAnsi="Times New Roman"/>
          <w:sz w:val="20"/>
        </w:rPr>
        <w:t xml:space="preserve">(c) Any fees, including any arrangement fees, agency fees and upfront fees, and any expenses of the Arrangers and Administrative Agent, in each case, as agreed in writing by the Borrower, required to be paid on or before the Closing Date shall have been paid. </w:t>
      </w:r>
    </w:p>
    <w:p>
      <w:pPr>
        <w:pStyle w:val="TextBody"/>
        <w:spacing w:before="180" w:after="0"/>
        <w:rPr>
          <w:rFonts w:ascii="Times New Roman" w:hAnsi="Times New Roman"/>
          <w:sz w:val="20"/>
        </w:rPr>
      </w:pPr>
      <w:r>
        <w:rPr>
          <w:rFonts w:ascii="Times New Roman" w:hAnsi="Times New Roman"/>
          <w:sz w:val="20"/>
        </w:rPr>
        <w:t xml:space="preserve">(d) The Borrower shall have paid all reasonable fees, charges and disbursements of counsel to the Administrative Agent to the extent invoiced prior to or on the Closing Date. </w:t>
      </w:r>
    </w:p>
    <w:p>
      <w:pPr>
        <w:pStyle w:val="TextBody"/>
        <w:spacing w:before="180" w:after="0"/>
        <w:rPr>
          <w:rFonts w:ascii="Times New Roman" w:hAnsi="Times New Roman"/>
          <w:sz w:val="20"/>
        </w:rPr>
      </w:pPr>
      <w:r>
        <w:rPr>
          <w:rFonts w:ascii="Times New Roman" w:hAnsi="Times New Roman"/>
          <w:sz w:val="20"/>
        </w:rPr>
        <w:t xml:space="preserve">Without limiting the generality of the provisions of the last paragraph of </w:t>
      </w:r>
      <w:r>
        <w:rPr>
          <w:rFonts w:ascii="Times New Roman" w:hAnsi="Times New Roman"/>
          <w:sz w:val="20"/>
          <w:u w:val="single"/>
        </w:rPr>
        <w:t>Section 9.03</w:t>
      </w:r>
      <w:r>
        <w:rPr>
          <w:rFonts w:ascii="Times New Roman" w:hAnsi="Times New Roman"/>
          <w:sz w:val="20"/>
        </w:rPr>
        <w:t xml:space="preserve">, for purposes of determining compliance with the conditions specified in this </w:t>
      </w:r>
      <w:r>
        <w:rPr>
          <w:rFonts w:ascii="Times New Roman" w:hAnsi="Times New Roman"/>
          <w:sz w:val="20"/>
          <w:u w:val="single"/>
        </w:rPr>
        <w:t>Section 4.01</w:t>
      </w:r>
      <w:r>
        <w:rPr>
          <w:rFonts w:ascii="Times New Roman" w:hAnsi="Times New Roman"/>
          <w:sz w:val="20"/>
        </w:rPr>
        <w:t xml:space="preserve">, each Lender that has signed this Agreement shall be deemed to have consented to, approved or accepted or to be satisfied with, each document or other matter required thereunder to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consented to or approved by or acceptable or satisfactory to a Lender unless the Administrative Agent shall have received notice from such Lender prior to the proposed Closing Date specifying its objection thereto and the Administrative Agent hereby agrees to promptly provide the Borrower with a copy of any such notice received by the Administrative Agent. </w:t>
      </w:r>
    </w:p>
    <w:p>
      <w:pPr>
        <w:pStyle w:val="TextBody"/>
        <w:spacing w:before="180" w:after="0"/>
        <w:rPr>
          <w:rFonts w:ascii="Times New Roman" w:hAnsi="Times New Roman"/>
          <w:sz w:val="20"/>
        </w:rPr>
      </w:pPr>
      <w:r>
        <w:rPr>
          <w:rFonts w:ascii="Times New Roman" w:hAnsi="Times New Roman"/>
          <w:b/>
          <w:sz w:val="20"/>
        </w:rPr>
        <w:t xml:space="preserve">4.02 Conditions Precedent to Activation. </w:t>
      </w:r>
      <w:r>
        <w:rPr>
          <w:rFonts w:ascii="Times New Roman" w:hAnsi="Times New Roman"/>
          <w:sz w:val="20"/>
        </w:rPr>
        <w:t xml:space="preserve">The obligation each Lender to make its initial Loan hereunder is subject to satisfaction of the following conditions precedent: </w:t>
      </w:r>
    </w:p>
    <w:p>
      <w:pPr>
        <w:pStyle w:val="TextBody"/>
        <w:spacing w:before="180" w:after="0"/>
        <w:rPr>
          <w:rFonts w:ascii="Times New Roman" w:hAnsi="Times New Roman"/>
          <w:sz w:val="20"/>
        </w:rPr>
      </w:pPr>
      <w:r>
        <w:rPr>
          <w:rFonts w:ascii="Times New Roman" w:hAnsi="Times New Roman"/>
          <w:sz w:val="20"/>
        </w:rPr>
        <w:t xml:space="preserve">(a) The Administrative Agents receipt on the Activation Date, in form and substance reasonably satisfactory to the Administrative Agent, an activation certificate signed by a Responsible Officer of the Borrower specifying the Activation Date and certifying that the conditions specified in </w:t>
      </w:r>
      <w:r>
        <w:rPr>
          <w:rFonts w:ascii="Times New Roman" w:hAnsi="Times New Roman"/>
          <w:sz w:val="20"/>
          <w:u w:val="single"/>
        </w:rPr>
        <w:t>Section 4.03(a)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have been satisfied. </w:t>
      </w:r>
    </w:p>
    <w:p>
      <w:pPr>
        <w:pStyle w:val="TextBody"/>
        <w:spacing w:before="180" w:after="0"/>
        <w:rPr>
          <w:rFonts w:ascii="Times New Roman" w:hAnsi="Times New Roman"/>
          <w:sz w:val="20"/>
        </w:rPr>
      </w:pPr>
      <w:r>
        <w:rPr>
          <w:rFonts w:ascii="Times New Roman" w:hAnsi="Times New Roman"/>
          <w:sz w:val="20"/>
        </w:rPr>
        <w:t xml:space="preserve">(b) Any fees, including any arrangement fees, agency fees and upfront fees, and any expenses of the Arrangers and Administrative Agent, in each case, as agreed in writing by the Borrower, required to be paid on or before the Activation Date shall have been paid. </w:t>
      </w:r>
    </w:p>
    <w:p>
      <w:pPr>
        <w:pStyle w:val="TextBody"/>
        <w:spacing w:before="180" w:after="0"/>
        <w:rPr>
          <w:rFonts w:ascii="Times New Roman" w:hAnsi="Times New Roman"/>
          <w:sz w:val="20"/>
        </w:rPr>
      </w:pPr>
      <w:r>
        <w:rPr>
          <w:rFonts w:ascii="Times New Roman" w:hAnsi="Times New Roman"/>
          <w:sz w:val="20"/>
        </w:rPr>
        <w:t xml:space="preserve">(c) The Borrower shall have paid all fees, charges and disbursements of counsel to the Administrative Agent to the extent invoiced prior to or on the Activation Date. </w:t>
      </w:r>
    </w:p>
    <w:p>
      <w:pPr>
        <w:pStyle w:val="TextBody"/>
        <w:spacing w:before="180" w:after="0"/>
        <w:rPr>
          <w:rFonts w:ascii="Times New Roman" w:hAnsi="Times New Roman"/>
          <w:sz w:val="20"/>
        </w:rPr>
      </w:pPr>
      <w:r>
        <w:rPr>
          <w:rFonts w:ascii="Times New Roman" w:hAnsi="Times New Roman"/>
          <w:sz w:val="20"/>
        </w:rPr>
        <w:t xml:space="preserve">(d) The Activation Date shall have occurred on or before the Pre-Activation Commitment Termination Date. </w:t>
      </w:r>
    </w:p>
    <w:p>
      <w:pPr>
        <w:pStyle w:val="TextBody"/>
        <w:spacing w:before="180" w:after="0"/>
        <w:rPr>
          <w:rFonts w:ascii="Times New Roman" w:hAnsi="Times New Roman"/>
          <w:sz w:val="20"/>
        </w:rPr>
      </w:pPr>
      <w:r>
        <w:rPr>
          <w:rFonts w:ascii="Times New Roman" w:hAnsi="Times New Roman"/>
          <w:b/>
          <w:sz w:val="20"/>
        </w:rPr>
        <w:t>4.03 Conditions to all Loans.</w:t>
      </w:r>
      <w:r>
        <w:rPr>
          <w:rFonts w:ascii="Times New Roman" w:hAnsi="Times New Roman"/>
          <w:sz w:val="20"/>
        </w:rPr>
        <w:t xml:space="preserve"> The obligation of each Lender to honor any Loan Notice (other than a Loan Notice requesting only a conversion of Loans to the other Type, or a continuation of Eurodollar Rate Loans) is subject to the following conditions precedent: </w:t>
      </w:r>
    </w:p>
    <w:p>
      <w:pPr>
        <w:pStyle w:val="TextBody"/>
        <w:spacing w:before="180" w:after="0"/>
        <w:rPr>
          <w:rFonts w:ascii="Times New Roman" w:hAnsi="Times New Roman"/>
          <w:sz w:val="20"/>
        </w:rPr>
      </w:pPr>
      <w:r>
        <w:rPr>
          <w:rFonts w:ascii="Times New Roman" w:hAnsi="Times New Roman"/>
          <w:sz w:val="20"/>
        </w:rPr>
        <w:t xml:space="preserve">(a) The representations and warranties of (i) the Borrower contained in </w:t>
      </w:r>
      <w:r>
        <w:rPr>
          <w:rFonts w:ascii="Times New Roman" w:hAnsi="Times New Roman"/>
          <w:sz w:val="20"/>
          <w:u w:val="single"/>
        </w:rPr>
        <w:t>Article V</w:t>
      </w:r>
      <w:r>
        <w:rPr>
          <w:rFonts w:ascii="Times New Roman" w:hAnsi="Times New Roman"/>
          <w:sz w:val="20"/>
        </w:rPr>
        <w:t xml:space="preserve"> and (ii) the Borrower in any other Loan Document shall be true and correct in all material respects on and as of the date of such Loans, except to the extent that such representations and warranties specifically refer to an earlier date, in which case they shall be true and correct in all material respects as of such earlier date, and except that for purposes of this </w:t>
      </w:r>
      <w:r>
        <w:rPr>
          <w:rFonts w:ascii="Times New Roman" w:hAnsi="Times New Roman"/>
          <w:sz w:val="20"/>
          <w:u w:val="single"/>
        </w:rPr>
        <w:t>Section 4.03</w:t>
      </w:r>
      <w:r>
        <w:rPr>
          <w:rFonts w:ascii="Times New Roman" w:hAnsi="Times New Roman"/>
          <w:sz w:val="20"/>
        </w:rPr>
        <w:t xml:space="preserve">, the representations and warranties contained in subsections (a) and (b) of </w:t>
      </w:r>
      <w:r>
        <w:rPr>
          <w:rFonts w:ascii="Times New Roman" w:hAnsi="Times New Roman"/>
          <w:sz w:val="20"/>
          <w:u w:val="single"/>
        </w:rPr>
        <w:t>Section 5.05</w:t>
      </w:r>
      <w:r>
        <w:rPr>
          <w:rFonts w:ascii="Times New Roman" w:hAnsi="Times New Roman"/>
          <w:sz w:val="20"/>
        </w:rPr>
        <w:t xml:space="preserve"> shall be deemed to refer to the most recent statements furnished pursuant to clauses (a) and (b), respectively, of </w:t>
      </w:r>
      <w:r>
        <w:rPr>
          <w:rFonts w:ascii="Times New Roman" w:hAnsi="Times New Roman"/>
          <w:sz w:val="20"/>
          <w:u w:val="single"/>
        </w:rPr>
        <w:t>Section 6.01</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(b) No Default shall have occurred and be continuing, or would immediately result from such proposed Loans or from the application of the proceeds thereof. </w:t>
      </w:r>
    </w:p>
    <w:p>
      <w:pPr>
        <w:pStyle w:val="TextBody"/>
        <w:spacing w:before="180" w:after="0"/>
        <w:rPr>
          <w:rFonts w:ascii="Times New Roman" w:hAnsi="Times New Roman"/>
          <w:sz w:val="20"/>
        </w:rPr>
      </w:pPr>
      <w:r>
        <w:rPr>
          <w:rFonts w:ascii="Times New Roman" w:hAnsi="Times New Roman"/>
          <w:sz w:val="20"/>
        </w:rPr>
        <w:t xml:space="preserve">(c) The Administrative Agent shall have received a Loan Notice in accordance with the requirements hereof. </w:t>
      </w:r>
    </w:p>
    <w:p>
      <w:pPr>
        <w:pStyle w:val="TextBody"/>
        <w:spacing w:before="360" w:after="0"/>
        <w:jc w:val="center"/>
        <w:rPr>
          <w:rFonts w:ascii="Times New Roman" w:hAnsi="Times New Roman"/>
          <w:b/>
          <w:sz w:val="20"/>
        </w:rPr>
      </w:pPr>
      <w:r>
        <w:rPr>
          <w:rFonts w:ascii="Times New Roman" w:hAnsi="Times New Roman"/>
          <w:b/>
          <w:sz w:val="20"/>
        </w:rPr>
        <w:t xml:space="preserve">ARTICLE V. REPRESENTATIONS AND WARRANTIES </w:t>
      </w:r>
    </w:p>
    <w:p>
      <w:pPr>
        <w:pStyle w:val="TextBody"/>
        <w:spacing w:before="180" w:after="0"/>
        <w:rPr>
          <w:rFonts w:ascii="Times New Roman" w:hAnsi="Times New Roman"/>
          <w:sz w:val="20"/>
        </w:rPr>
      </w:pPr>
      <w:r>
        <w:rPr>
          <w:rFonts w:ascii="Times New Roman" w:hAnsi="Times New Roman"/>
          <w:sz w:val="20"/>
        </w:rPr>
        <w:t xml:space="preserve">The Borrower represents and warrants to the Administrative Agent and the Lenders that: </w:t>
      </w:r>
    </w:p>
    <w:p>
      <w:pPr>
        <w:pStyle w:val="TextBody"/>
        <w:spacing w:before="180" w:after="0"/>
        <w:rPr>
          <w:rFonts w:ascii="Times New Roman" w:hAnsi="Times New Roman"/>
          <w:sz w:val="20"/>
        </w:rPr>
      </w:pPr>
      <w:r>
        <w:rPr>
          <w:rFonts w:ascii="Times New Roman" w:hAnsi="Times New Roman"/>
          <w:b/>
          <w:sz w:val="20"/>
        </w:rPr>
        <w:t xml:space="preserve">5.01 Existence, Qualification and Power. </w:t>
      </w:r>
      <w:r>
        <w:rPr>
          <w:rFonts w:ascii="Times New Roman" w:hAnsi="Times New Roman"/>
          <w:sz w:val="20"/>
        </w:rPr>
        <w:t xml:space="preserve">The Borrower and each Significant Restricted Person (a) is duly organized or formed, validly existing and, as applicable, in good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standing under the Laws of the jurisdiction of its incorporation or organization, (b) has all requisite corporate or equivalent power and authority to (i) own or lease its assets and carry on its business and (ii) execute, deliver and perform its obligations under the Loan Documents to which it is a party, and (c) is duly qualified and, as applicable, in good standing under the Laws of each jurisdiction where its ownership, lease or operation of properties or the conduct of its business requires such qualification, except in each case referred to in clause (b)(i) or (c), to the extent that failure to do so could not reasonably be expected to have a Material Adverse Effect. </w:t>
      </w:r>
    </w:p>
    <w:p>
      <w:pPr>
        <w:pStyle w:val="TextBody"/>
        <w:spacing w:before="180" w:after="0"/>
        <w:rPr>
          <w:rFonts w:ascii="Times New Roman" w:hAnsi="Times New Roman"/>
          <w:sz w:val="20"/>
        </w:rPr>
      </w:pPr>
      <w:r>
        <w:rPr>
          <w:rFonts w:ascii="Times New Roman" w:hAnsi="Times New Roman"/>
          <w:b/>
          <w:sz w:val="20"/>
        </w:rPr>
        <w:t xml:space="preserve">5.02 Authorization; No Contravention. </w:t>
      </w:r>
      <w:r>
        <w:rPr>
          <w:rFonts w:ascii="Times New Roman" w:hAnsi="Times New Roman"/>
          <w:sz w:val="20"/>
        </w:rPr>
        <w:t xml:space="preserve">The execution, delivery and performance by the Borrower of each Loan Document to which such Person is party have been duly authorized by all necessary corporate or other organizational action, and do not and will not (a) violate (i) the terms of such Persons Organization Documents, (ii) any order, injunction, writ or decree of any Governmental Authority or any arbitral award to which such Person or its property is subject, or (iii) any provision of Law applicable to it, (b) result in the acceleration of any Indebtedness owed by it, (c) result in any breach of, or a default under, any material Contractual Obligation to which such Person is a party or to which its properties are bound or (d) result in the creation of any consensual Lien upon any of its material assets except as expressly contemplated in, or permitted by, the Loan Documents. </w:t>
      </w:r>
    </w:p>
    <w:p>
      <w:pPr>
        <w:pStyle w:val="TextBody"/>
        <w:spacing w:before="180" w:after="0"/>
        <w:rPr>
          <w:rFonts w:ascii="Times New Roman" w:hAnsi="Times New Roman"/>
          <w:sz w:val="20"/>
        </w:rPr>
      </w:pPr>
      <w:r>
        <w:rPr>
          <w:rFonts w:ascii="Times New Roman" w:hAnsi="Times New Roman"/>
          <w:b/>
          <w:sz w:val="20"/>
        </w:rPr>
        <w:t xml:space="preserve">5.03 Governmental Authorization; Other Consents. </w:t>
      </w:r>
      <w:r>
        <w:rPr>
          <w:rFonts w:ascii="Times New Roman" w:hAnsi="Times New Roman"/>
          <w:sz w:val="20"/>
        </w:rPr>
        <w:t xml:space="preserve">Except as expressly contemplated in or permitted by the Loan Documents, disclosed in </w:t>
      </w:r>
      <w:r>
        <w:rPr>
          <w:rFonts w:ascii="Times New Roman" w:hAnsi="Times New Roman"/>
          <w:sz w:val="20"/>
          <w:u w:val="single"/>
        </w:rPr>
        <w:t>Schedule 5.03</w:t>
      </w:r>
      <w:r>
        <w:rPr>
          <w:rFonts w:ascii="Times New Roman" w:hAnsi="Times New Roman"/>
          <w:sz w:val="20"/>
        </w:rPr>
        <w:t xml:space="preserve"> or disclosed pursuant to </w:t>
      </w:r>
      <w:r>
        <w:rPr>
          <w:rFonts w:ascii="Times New Roman" w:hAnsi="Times New Roman"/>
          <w:sz w:val="20"/>
          <w:u w:val="single"/>
        </w:rPr>
        <w:t>Section 6.03</w:t>
      </w:r>
      <w:r>
        <w:rPr>
          <w:rFonts w:ascii="Times New Roman" w:hAnsi="Times New Roman"/>
          <w:sz w:val="20"/>
        </w:rPr>
        <w:t xml:space="preserve">, no approval, consent, exemption or authorization of, or other action by, or notice to, or filing with, any Governmental Authority or any other Person is required to be made or obtained by any Restricted Person a party thereto pursuant to the provisions of any material Law applicable to it as a condition to its execution, delivery or performance of this Agreement or any other Loan Document. </w:t>
      </w:r>
    </w:p>
    <w:p>
      <w:pPr>
        <w:pStyle w:val="TextBody"/>
        <w:spacing w:before="180" w:after="0"/>
        <w:rPr>
          <w:rFonts w:ascii="Times New Roman" w:hAnsi="Times New Roman"/>
          <w:sz w:val="20"/>
        </w:rPr>
      </w:pPr>
      <w:r>
        <w:rPr>
          <w:rFonts w:ascii="Times New Roman" w:hAnsi="Times New Roman"/>
          <w:b/>
          <w:sz w:val="20"/>
        </w:rPr>
        <w:t xml:space="preserve">5.04 Binding Effect. </w:t>
      </w:r>
      <w:r>
        <w:rPr>
          <w:rFonts w:ascii="Times New Roman" w:hAnsi="Times New Roman"/>
          <w:sz w:val="20"/>
        </w:rPr>
        <w:t xml:space="preserve">This Agreement has been, and each other Loan Document to which the Borrower is a party, when delivered hereunder, will have been, duly executed and delivered by the Borrower. This Agreement constitutes, and each other such Loan Document when so executed and delivered will constitute, a legal, valid and binding obligation of the Borrower to the extent a party hereto or thereto, as the case may be, enforceable against the Borrower that is party hereto or thereto in accordance with its terms, except, in each case (a) as may be limited by bankruptcy, insolvency,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 </w:t>
      </w:r>
    </w:p>
    <w:p>
      <w:pPr>
        <w:pStyle w:val="TextBody"/>
        <w:spacing w:before="180" w:after="0"/>
        <w:rPr>
          <w:rFonts w:ascii="Times New Roman" w:hAnsi="Times New Roman"/>
          <w:sz w:val="20"/>
        </w:rPr>
      </w:pPr>
      <w:r>
        <w:rPr>
          <w:rFonts w:ascii="Times New Roman" w:hAnsi="Times New Roman"/>
          <w:b/>
          <w:sz w:val="20"/>
        </w:rPr>
        <w:t>5.05 Financial Statements; No Material Adverse Effect.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The Audited Financial Statements (i) were prepared in accordance with GAAP consistently applied throughout the period covered thereby, except as otherwise expressly noted therein and (ii) fairly present the financial condition of the Borrower and its Subsidiaries on a consolidated basis as of the respective dates thereof and their results of operations for the period covered thereby in accordance with GAAP consistently applied throughout the period covered thereby, except as otherwise expressly noted therein.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The unaudited consolidated balance sheets of the Borrower and its Subsidiaries dated September 30, 2011,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on a consolidated basis as of the date thereof and their results of operations for the period covered thereby, subject, in the case of clauses (i) and (ii), to the absence of footnotes and to normal year-end audit adjustments. </w:t>
      </w:r>
    </w:p>
    <w:p>
      <w:pPr>
        <w:pStyle w:val="TextBody"/>
        <w:spacing w:before="180" w:after="0"/>
        <w:rPr>
          <w:rFonts w:ascii="Times New Roman" w:hAnsi="Times New Roman"/>
          <w:sz w:val="20"/>
        </w:rPr>
      </w:pPr>
      <w:r>
        <w:rPr>
          <w:rFonts w:ascii="Times New Roman" w:hAnsi="Times New Roman"/>
          <w:sz w:val="20"/>
        </w:rPr>
        <w:t xml:space="preserve">(c) As of the Closing Date, for the period from December 31, 2010 through the Closing Date, there exists no event or circumstance with respect to the Borrower and its Subsidiaries taken as a whole, either individually or in the aggregate, that has then resulted in a Material Adverse Effect. </w:t>
      </w:r>
    </w:p>
    <w:p>
      <w:pPr>
        <w:pStyle w:val="TextBody"/>
        <w:spacing w:before="180" w:after="0"/>
        <w:rPr>
          <w:rFonts w:ascii="Times New Roman" w:hAnsi="Times New Roman"/>
          <w:sz w:val="20"/>
        </w:rPr>
      </w:pPr>
      <w:r>
        <w:rPr>
          <w:rFonts w:ascii="Times New Roman" w:hAnsi="Times New Roman"/>
          <w:b/>
          <w:sz w:val="20"/>
        </w:rPr>
        <w:t xml:space="preserve">5.06 Litigation. </w:t>
      </w:r>
      <w:r>
        <w:rPr>
          <w:rFonts w:ascii="Times New Roman" w:hAnsi="Times New Roman"/>
          <w:sz w:val="20"/>
        </w:rPr>
        <w:t xml:space="preserve">Except as disclosed in the Audited Financial Statements, in </w:t>
      </w:r>
      <w:r>
        <w:rPr>
          <w:rFonts w:ascii="Times New Roman" w:hAnsi="Times New Roman"/>
          <w:sz w:val="20"/>
          <w:u w:val="single"/>
        </w:rPr>
        <w:t>Schedule 5.06</w:t>
      </w:r>
      <w:r>
        <w:rPr>
          <w:rFonts w:ascii="Times New Roman" w:hAnsi="Times New Roman"/>
          <w:sz w:val="20"/>
        </w:rPr>
        <w:t xml:space="preserve"> or pursuant to </w:t>
      </w:r>
      <w:r>
        <w:rPr>
          <w:rFonts w:ascii="Times New Roman" w:hAnsi="Times New Roman"/>
          <w:sz w:val="20"/>
          <w:u w:val="single"/>
        </w:rPr>
        <w:t>Section 6.03</w:t>
      </w:r>
      <w:r>
        <w:rPr>
          <w:rFonts w:ascii="Times New Roman" w:hAnsi="Times New Roman"/>
          <w:sz w:val="20"/>
        </w:rPr>
        <w:t xml:space="preserve">, there are no actions, suits, proceedings, claims or disputes pending or, to the knowledge of the Borrower, overtly threatened in writing, at law, in equity, in arbitration or before any Governmental Authority, by or against the Borrower or any of its Subsidiaries or against any of their properties or revenues that either individually or in the aggregate could reasonably be expected to have a Material Adverse Effect. </w:t>
      </w:r>
    </w:p>
    <w:p>
      <w:pPr>
        <w:pStyle w:val="TextBody"/>
        <w:spacing w:before="180" w:after="0"/>
        <w:rPr>
          <w:rFonts w:ascii="Times New Roman" w:hAnsi="Times New Roman"/>
          <w:sz w:val="20"/>
        </w:rPr>
      </w:pPr>
      <w:r>
        <w:rPr>
          <w:rFonts w:ascii="Times New Roman" w:hAnsi="Times New Roman"/>
          <w:b/>
          <w:sz w:val="20"/>
        </w:rPr>
        <w:t xml:space="preserve">5.07 Environmental Compliance. </w:t>
      </w:r>
      <w:r>
        <w:rPr>
          <w:rFonts w:ascii="Times New Roman" w:hAnsi="Times New Roman"/>
          <w:sz w:val="20"/>
        </w:rPr>
        <w:t xml:space="preserve">Except as disclosed in </w:t>
      </w:r>
      <w:r>
        <w:rPr>
          <w:rFonts w:ascii="Times New Roman" w:hAnsi="Times New Roman"/>
          <w:sz w:val="20"/>
          <w:u w:val="single"/>
        </w:rPr>
        <w:t>Schedule 5.07</w:t>
      </w:r>
      <w:r>
        <w:rPr>
          <w:rFonts w:ascii="Times New Roman" w:hAnsi="Times New Roman"/>
          <w:sz w:val="20"/>
        </w:rPr>
        <w:t xml:space="preserve"> or pursuant to </w:t>
      </w:r>
      <w:r>
        <w:rPr>
          <w:rFonts w:ascii="Times New Roman" w:hAnsi="Times New Roman"/>
          <w:sz w:val="20"/>
          <w:u w:val="single"/>
        </w:rPr>
        <w:t>Section 6.03</w:t>
      </w:r>
      <w:r>
        <w:rPr>
          <w:rFonts w:ascii="Times New Roman" w:hAnsi="Times New Roman"/>
          <w:sz w:val="20"/>
        </w:rPr>
        <w:t xml:space="preserve">, the Borrower and its Subsidiaries conduct their businesses in material compliance with applicable Environmental Laws and in the ordinary course of business, review claims received by, and made against, them which overtly allege liability or responsibility on any of them for violation by any of them of any material Environmental Law on their respective businesses, operations and material properties, which could not, individually or in the aggregate, reasonably be expected to have a Material Adverse Effect. </w:t>
      </w:r>
    </w:p>
    <w:p>
      <w:pPr>
        <w:pStyle w:val="TextBody"/>
        <w:spacing w:before="180" w:after="0"/>
        <w:rPr>
          <w:rFonts w:ascii="Times New Roman" w:hAnsi="Times New Roman"/>
          <w:sz w:val="20"/>
        </w:rPr>
      </w:pPr>
      <w:r>
        <w:rPr>
          <w:rFonts w:ascii="Times New Roman" w:hAnsi="Times New Roman"/>
          <w:b/>
          <w:sz w:val="20"/>
        </w:rPr>
        <w:t>5.08 ERISA Compliance.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Except as disclosed in the Audited Financial Statements, in </w:t>
      </w:r>
      <w:r>
        <w:rPr>
          <w:rFonts w:ascii="Times New Roman" w:hAnsi="Times New Roman"/>
          <w:sz w:val="20"/>
          <w:u w:val="single"/>
        </w:rPr>
        <w:t>Schedule 5.08</w:t>
      </w:r>
      <w:r>
        <w:rPr>
          <w:rFonts w:ascii="Times New Roman" w:hAnsi="Times New Roman"/>
          <w:sz w:val="20"/>
        </w:rPr>
        <w:t xml:space="preserve"> or pursuant to </w:t>
      </w:r>
      <w:r>
        <w:rPr>
          <w:rFonts w:ascii="Times New Roman" w:hAnsi="Times New Roman"/>
          <w:sz w:val="20"/>
          <w:u w:val="single"/>
        </w:rPr>
        <w:t>Section 6.03</w:t>
      </w:r>
      <w:r>
        <w:rPr>
          <w:rFonts w:ascii="Times New Roman" w:hAnsi="Times New Roman"/>
          <w:sz w:val="20"/>
        </w:rPr>
        <w:t xml:space="preserve">, each Plan is in compliance in all material respects with the applicable provisions of ERISA, the Code and other applicable Federal or state laws, to the extent that any non-compliance therewith could reasonably be expected to result in a Material Adverse Effect.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has been submitted to the IRS. To the knowledge of the Borrower, nothing has occurred with respect to the Borrower or any ERISA Affiliate that would prevent or cause the loss of such tax-qualified status.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Except as disclosed in the Audited Financial Statements, in </w:t>
      </w:r>
      <w:r>
        <w:rPr>
          <w:rFonts w:ascii="Times New Roman" w:hAnsi="Times New Roman"/>
          <w:sz w:val="20"/>
          <w:u w:val="single"/>
        </w:rPr>
        <w:t>Schedule 5.08</w:t>
      </w:r>
      <w:r>
        <w:rPr>
          <w:rFonts w:ascii="Times New Roman" w:hAnsi="Times New Roman"/>
          <w:sz w:val="20"/>
        </w:rPr>
        <w:t xml:space="preserve"> or pursuant to </w:t>
      </w:r>
      <w:r>
        <w:rPr>
          <w:rFonts w:ascii="Times New Roman" w:hAnsi="Times New Roman"/>
          <w:sz w:val="20"/>
          <w:u w:val="single"/>
        </w:rPr>
        <w:t>Section 6.03</w:t>
      </w:r>
      <w:r>
        <w:rPr>
          <w:rFonts w:ascii="Times New Roman" w:hAnsi="Times New Roman"/>
          <w:sz w:val="20"/>
        </w:rPr>
        <w:t xml:space="preserve">, there are no pending or, to the knowledge of the Borrower, overtly threatened in writing, claims, actions or lawsuits, or action by any Governmental Authority, with respect to any Plan that could reasonably be expected to have a Material Adverse Effect. Except as disclosed in the Audited Financial Statements, in </w:t>
      </w:r>
      <w:r>
        <w:rPr>
          <w:rFonts w:ascii="Times New Roman" w:hAnsi="Times New Roman"/>
          <w:sz w:val="20"/>
          <w:u w:val="single"/>
        </w:rPr>
        <w:t>Schedule 5.08</w:t>
      </w:r>
      <w:r>
        <w:rPr>
          <w:rFonts w:ascii="Times New Roman" w:hAnsi="Times New Roman"/>
          <w:sz w:val="20"/>
        </w:rPr>
        <w:t xml:space="preserve"> or pursuant to </w:t>
      </w:r>
      <w:r>
        <w:rPr>
          <w:rFonts w:ascii="Times New Roman" w:hAnsi="Times New Roman"/>
          <w:sz w:val="20"/>
          <w:u w:val="single"/>
        </w:rPr>
        <w:t>Section 6.03</w:t>
      </w:r>
      <w:r>
        <w:rPr>
          <w:rFonts w:ascii="Times New Roman" w:hAnsi="Times New Roman"/>
          <w:sz w:val="20"/>
        </w:rPr>
        <w:t xml:space="preserve">, there has been no prohibited transaction or violation of the fiduciary responsibility rules with respect to any Plan that has resulted or, actually known to the Borrower, could reasonably be expected to result in a Material Adverse Effect. </w:t>
      </w:r>
    </w:p>
    <w:p>
      <w:pPr>
        <w:pStyle w:val="TextBody"/>
        <w:spacing w:before="180" w:after="0"/>
        <w:rPr>
          <w:rFonts w:ascii="Times New Roman" w:hAnsi="Times New Roman"/>
          <w:sz w:val="20"/>
        </w:rPr>
      </w:pPr>
      <w:r>
        <w:rPr>
          <w:rFonts w:ascii="Times New Roman" w:hAnsi="Times New Roman"/>
          <w:sz w:val="20"/>
        </w:rPr>
        <w:t xml:space="preserve">(c) Except as disclosed in the Audited Financial Statements, in </w:t>
      </w:r>
      <w:r>
        <w:rPr>
          <w:rFonts w:ascii="Times New Roman" w:hAnsi="Times New Roman"/>
          <w:sz w:val="20"/>
          <w:u w:val="single"/>
        </w:rPr>
        <w:t>Schedule 5.08</w:t>
      </w:r>
      <w:r>
        <w:rPr>
          <w:rFonts w:ascii="Times New Roman" w:hAnsi="Times New Roman"/>
          <w:sz w:val="20"/>
        </w:rPr>
        <w:t xml:space="preserve"> or pursuant to </w:t>
      </w:r>
      <w:r>
        <w:rPr>
          <w:rFonts w:ascii="Times New Roman" w:hAnsi="Times New Roman"/>
          <w:sz w:val="20"/>
          <w:u w:val="single"/>
        </w:rPr>
        <w:t>Section 6.03</w:t>
      </w:r>
      <w:r>
        <w:rPr>
          <w:rFonts w:ascii="Times New Roman" w:hAnsi="Times New Roman"/>
          <w:sz w:val="20"/>
        </w:rPr>
        <w:t xml:space="preserve">, (i) no ERISA Event has occurred, and neither the Borrower nor any ERISA Affiliate has actual knowledge of any fact, event or circumstance that could reasonably be expected to constitute or result in an ERISA Event with respect to any Pension Plan, (ii) the Borrower and each ERISA Affiliate has met, in all material respects,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has actual knowledge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or obligations of immaterial amounts, and there are no premium payments which have become due that are delinquent or are being contested in good faith, (v) neither the Borrower nor any ERISA Affiliate has, to its actual knowledge, engaged in a transaction that could be subject to Section 4069 or Section 4212(c) of ERISA, and (vi) to the Borrowers actual knowledge, no Pension Plan has been terminated by the plan administrator thereof nor by the PBGC, and no event or circumstance has occurred or exists that could reasonably be expected to cause the PBGC to institute proceedings under Title IV of ERISA to terminate any Pension Plan, in each case with respect to each of the foregoing clauses (i) through (vi) of this </w:t>
      </w:r>
      <w:r>
        <w:rPr>
          <w:rFonts w:ascii="Times New Roman" w:hAnsi="Times New Roman"/>
          <w:sz w:val="20"/>
          <w:u w:val="single"/>
        </w:rPr>
        <w:t>Section 5.08(c)</w:t>
      </w:r>
      <w:r>
        <w:rPr>
          <w:rFonts w:ascii="Times New Roman" w:hAnsi="Times New Roman"/>
          <w:sz w:val="20"/>
        </w:rPr>
        <w:t xml:space="preserve">, except as disclosed in the Audited Financial Statements, in </w:t>
      </w:r>
      <w:r>
        <w:rPr>
          <w:rFonts w:ascii="Times New Roman" w:hAnsi="Times New Roman"/>
          <w:sz w:val="20"/>
          <w:u w:val="single"/>
        </w:rPr>
        <w:t>Schedule 5.08</w:t>
      </w:r>
      <w:r>
        <w:rPr>
          <w:rFonts w:ascii="Times New Roman" w:hAnsi="Times New Roman"/>
          <w:sz w:val="20"/>
        </w:rPr>
        <w:t xml:space="preserve"> or pursuant to </w:t>
      </w:r>
      <w:r>
        <w:rPr>
          <w:rFonts w:ascii="Times New Roman" w:hAnsi="Times New Roman"/>
          <w:sz w:val="20"/>
          <w:u w:val="single"/>
        </w:rPr>
        <w:t>Section 6.03</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b/>
          <w:sz w:val="20"/>
        </w:rPr>
        <w:t>5.09 Margin Regulations; Investment Company Act.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The Borrower is not engaged or will engage, principally, or as one of its important activities, in the business of purchasing or carrying margin stock (within the meaning of Regulation U issued by the FRB), or extending credit for the purpose of purchasing or carrying margin stock. </w:t>
      </w:r>
    </w:p>
    <w:p>
      <w:pPr>
        <w:pStyle w:val="TextBody"/>
        <w:spacing w:before="180" w:after="0"/>
        <w:rPr>
          <w:rFonts w:ascii="Times New Roman" w:hAnsi="Times New Roman"/>
          <w:sz w:val="20"/>
        </w:rPr>
      </w:pPr>
      <w:r>
        <w:rPr>
          <w:rFonts w:ascii="Times New Roman" w:hAnsi="Times New Roman"/>
          <w:sz w:val="20"/>
        </w:rPr>
        <w:t xml:space="preserve">(b) The Borrower is not regulated under the Investment Company Act of 1940. </w:t>
      </w:r>
    </w:p>
    <w:p>
      <w:pPr>
        <w:pStyle w:val="TextBody"/>
        <w:spacing w:before="180" w:after="0"/>
        <w:rPr>
          <w:rFonts w:ascii="Times New Roman" w:hAnsi="Times New Roman"/>
          <w:sz w:val="20"/>
        </w:rPr>
      </w:pPr>
      <w:r>
        <w:rPr>
          <w:rFonts w:ascii="Times New Roman" w:hAnsi="Times New Roman"/>
          <w:b/>
          <w:sz w:val="20"/>
        </w:rPr>
        <w:t xml:space="preserve">5.10 Disclosure. </w:t>
      </w:r>
      <w:r>
        <w:rPr>
          <w:rFonts w:ascii="Times New Roman" w:hAnsi="Times New Roman"/>
          <w:sz w:val="20"/>
        </w:rPr>
        <w:t xml:space="preserve">There is no fact known to any Restricted Person that has not been disclosed to the Administrative Agent and the Lenders in writing which, individually or in the aggregate, would reasonably be expected to result in a Material Adverse Effect. No report, financial statement, certificate or other information furnished by or on behalf of the Borrower to the Administrative Agent or any Lender in connection with the transactions contemplated hereby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and the negotiation of this Agreement (including those delivered hereunder or under any other Loan Document (in each case, as modified or supplemented by other information so furnished, when so modified or supplemented)) contains any untrue statement of a material fact or omits to state any material fact necessary to make the statements contained herein or therein, in the light of the circumstances under which they were made, not misleading as of the date made or deemed made (or if such information expressly relates or refers to an earlier date, as of such earlier date); </w:t>
      </w:r>
      <w:r>
        <w:rPr>
          <w:rFonts w:ascii="Times New Roman" w:hAnsi="Times New Roman"/>
          <w:sz w:val="20"/>
          <w:u w:val="single"/>
        </w:rPr>
        <w:t>provided</w:t>
      </w:r>
      <w:r>
        <w:rPr>
          <w:rFonts w:ascii="Times New Roman" w:hAnsi="Times New Roman"/>
          <w:sz w:val="20"/>
        </w:rPr>
        <w:t xml:space="preserve"> that, with respect to projected and forecast financial information, the Borrower represents only that such projections and forecasts were prepared in good faith based upon assumptions deemed reasonable by it at the time. </w:t>
      </w:r>
    </w:p>
    <w:p>
      <w:pPr>
        <w:pStyle w:val="TextBody"/>
        <w:spacing w:before="180" w:after="0"/>
        <w:rPr>
          <w:rFonts w:ascii="Times New Roman" w:hAnsi="Times New Roman"/>
          <w:sz w:val="20"/>
        </w:rPr>
      </w:pPr>
      <w:r>
        <w:rPr>
          <w:rFonts w:ascii="Times New Roman" w:hAnsi="Times New Roman"/>
          <w:b/>
          <w:sz w:val="20"/>
        </w:rPr>
        <w:t xml:space="preserve">5.11 Compliance with Laws. </w:t>
      </w:r>
      <w:r>
        <w:rPr>
          <w:rFonts w:ascii="Times New Roman" w:hAnsi="Times New Roman"/>
          <w:sz w:val="20"/>
        </w:rPr>
        <w:t xml:space="preserve">Except as set forth in </w:t>
      </w:r>
      <w:r>
        <w:rPr>
          <w:rFonts w:ascii="Times New Roman" w:hAnsi="Times New Roman"/>
          <w:sz w:val="20"/>
          <w:u w:val="single"/>
        </w:rPr>
        <w:t>Schedule 5.11</w:t>
      </w:r>
      <w:r>
        <w:rPr>
          <w:rFonts w:ascii="Times New Roman" w:hAnsi="Times New Roman"/>
          <w:sz w:val="20"/>
        </w:rPr>
        <w:t xml:space="preserve"> or in accordance with </w:t>
      </w:r>
      <w:r>
        <w:rPr>
          <w:rFonts w:ascii="Times New Roman" w:hAnsi="Times New Roman"/>
          <w:sz w:val="20"/>
          <w:u w:val="single"/>
        </w:rPr>
        <w:t>Section 6.03</w:t>
      </w:r>
      <w:r>
        <w:rPr>
          <w:rFonts w:ascii="Times New Roman" w:hAnsi="Times New Roman"/>
          <w:sz w:val="20"/>
        </w:rPr>
        <w:t xml:space="preserve">, the Borrower and each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and if necessary, by appropriate proceedings diligently conducted or (b) the failure to comply therewith, either individually or in the aggregate, could not reasonably be expected to have a Material Adverse Effect. </w:t>
      </w:r>
    </w:p>
    <w:p>
      <w:pPr>
        <w:pStyle w:val="TextBody"/>
        <w:spacing w:before="360" w:after="0"/>
        <w:jc w:val="center"/>
        <w:rPr>
          <w:rFonts w:ascii="Times New Roman" w:hAnsi="Times New Roman"/>
          <w:b/>
          <w:sz w:val="20"/>
        </w:rPr>
      </w:pPr>
      <w:r>
        <w:rPr>
          <w:rFonts w:ascii="Times New Roman" w:hAnsi="Times New Roman"/>
          <w:b/>
          <w:sz w:val="20"/>
        </w:rPr>
        <w:t xml:space="preserve">ARTICLE VI. AFFIRMATIVE COVENANTS </w:t>
      </w:r>
    </w:p>
    <w:p>
      <w:pPr>
        <w:pStyle w:val="TextBody"/>
        <w:spacing w:before="180" w:after="0"/>
        <w:rPr>
          <w:rFonts w:ascii="Times New Roman" w:hAnsi="Times New Roman"/>
          <w:sz w:val="20"/>
        </w:rPr>
      </w:pPr>
      <w:r>
        <w:rPr>
          <w:rFonts w:ascii="Times New Roman" w:hAnsi="Times New Roman"/>
          <w:sz w:val="20"/>
        </w:rPr>
        <w:t xml:space="preserve">So long as any Lender shall have any Commitment hereunder, any Loan or other Obligation hereunder shall remain unpaid or unsatisfied, the Borrower shall, and shall (except in the case of the covenants set forth in </w:t>
      </w:r>
      <w:r>
        <w:rPr>
          <w:rFonts w:ascii="Times New Roman" w:hAnsi="Times New Roman"/>
          <w:sz w:val="20"/>
          <w:u w:val="single"/>
        </w:rPr>
        <w:t>Sections 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and </w:t>
      </w:r>
      <w:r>
        <w:rPr>
          <w:rFonts w:ascii="Times New Roman" w:hAnsi="Times New Roman"/>
          <w:sz w:val="20"/>
          <w:u w:val="single"/>
        </w:rPr>
        <w:t>6.03</w:t>
      </w:r>
      <w:r>
        <w:rPr>
          <w:rFonts w:ascii="Times New Roman" w:hAnsi="Times New Roman"/>
          <w:sz w:val="20"/>
        </w:rPr>
        <w:t xml:space="preserve">, and except in the case of the covenants set forth in </w:t>
      </w:r>
      <w:r>
        <w:rPr>
          <w:rFonts w:ascii="Times New Roman" w:hAnsi="Times New Roman"/>
          <w:sz w:val="20"/>
          <w:u w:val="single"/>
        </w:rPr>
        <w:t>Sections 6.04</w:t>
      </w:r>
      <w:r>
        <w:rPr>
          <w:rFonts w:ascii="Times New Roman" w:hAnsi="Times New Roman"/>
          <w:sz w:val="20"/>
        </w:rPr>
        <w:t xml:space="preserve">, </w:t>
      </w:r>
      <w:r>
        <w:rPr>
          <w:rFonts w:ascii="Times New Roman" w:hAnsi="Times New Roman"/>
          <w:sz w:val="20"/>
          <w:u w:val="single"/>
        </w:rPr>
        <w:t>6.05</w:t>
      </w:r>
      <w:r>
        <w:rPr>
          <w:rFonts w:ascii="Times New Roman" w:hAnsi="Times New Roman"/>
          <w:sz w:val="20"/>
        </w:rPr>
        <w:t xml:space="preserve">, </w:t>
      </w:r>
      <w:r>
        <w:rPr>
          <w:rFonts w:ascii="Times New Roman" w:hAnsi="Times New Roman"/>
          <w:sz w:val="20"/>
          <w:u w:val="single"/>
        </w:rPr>
        <w:t>6.06</w:t>
      </w:r>
      <w:r>
        <w:rPr>
          <w:rFonts w:ascii="Times New Roman" w:hAnsi="Times New Roman"/>
          <w:sz w:val="20"/>
        </w:rPr>
        <w:t>, 6</w:t>
      </w:r>
      <w:r>
        <w:rPr>
          <w:rFonts w:ascii="Times New Roman" w:hAnsi="Times New Roman"/>
          <w:sz w:val="20"/>
          <w:u w:val="single"/>
        </w:rPr>
        <w:t>.07</w:t>
      </w:r>
      <w:r>
        <w:rPr>
          <w:rFonts w:ascii="Times New Roman" w:hAnsi="Times New Roman"/>
          <w:sz w:val="20"/>
        </w:rPr>
        <w:t xml:space="preserve">, and </w:t>
      </w:r>
      <w:r>
        <w:rPr>
          <w:rFonts w:ascii="Times New Roman" w:hAnsi="Times New Roman"/>
          <w:sz w:val="20"/>
          <w:u w:val="single"/>
        </w:rPr>
        <w:t>6.08</w:t>
      </w:r>
      <w:r>
        <w:rPr>
          <w:rFonts w:ascii="Times New Roman" w:hAnsi="Times New Roman"/>
          <w:sz w:val="20"/>
        </w:rPr>
        <w:t xml:space="preserve">, which shall be limited to Significant Restricted Persons) cause each Subsidiary to: </w:t>
      </w:r>
    </w:p>
    <w:p>
      <w:pPr>
        <w:pStyle w:val="TextBody"/>
        <w:spacing w:before="180" w:after="0"/>
        <w:rPr>
          <w:rFonts w:ascii="Times New Roman" w:hAnsi="Times New Roman"/>
          <w:sz w:val="20"/>
        </w:rPr>
      </w:pPr>
      <w:r>
        <w:rPr>
          <w:rFonts w:ascii="Times New Roman" w:hAnsi="Times New Roman"/>
          <w:b/>
          <w:sz w:val="20"/>
        </w:rPr>
        <w:t xml:space="preserve">6.01 Financial Statements. </w:t>
      </w:r>
      <w:r>
        <w:rPr>
          <w:rFonts w:ascii="Times New Roman" w:hAnsi="Times New Roman"/>
          <w:sz w:val="20"/>
        </w:rPr>
        <w:t xml:space="preserve">Deliver to the Administrative Agent the following statements and reports, at the Borrowers expense: </w:t>
      </w:r>
    </w:p>
    <w:p>
      <w:pPr>
        <w:pStyle w:val="TextBody"/>
        <w:spacing w:before="180" w:after="0"/>
        <w:rPr>
          <w:rFonts w:ascii="Times New Roman" w:hAnsi="Times New Roman"/>
          <w:sz w:val="20"/>
        </w:rPr>
      </w:pPr>
      <w:r>
        <w:rPr>
          <w:rFonts w:ascii="Times New Roman" w:hAnsi="Times New Roman"/>
          <w:sz w:val="20"/>
        </w:rPr>
        <w:t xml:space="preserve">(a) promptly upon the filing thereof, and in any event within ninety (90) days after the end of each fiscal year, a copy of the Borrowers Form 10-K, which report shall include the Borrowers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General Partner, stating that such consolidated financial statements have been so prepared, and these financial statements shall contain a consolidated balance sheet as of the end of such fiscal year and consolidated statements of earnings for such fiscal year, and such consolidated financial statements shall set forth in comparative form the corresponding figures for the preceding fiscal year; and </w:t>
      </w:r>
    </w:p>
    <w:p>
      <w:pPr>
        <w:pStyle w:val="TextBody"/>
        <w:spacing w:before="180" w:after="0"/>
        <w:rPr>
          <w:rFonts w:ascii="Times New Roman" w:hAnsi="Times New Roman"/>
          <w:sz w:val="20"/>
        </w:rPr>
      </w:pPr>
      <w:r>
        <w:rPr>
          <w:rFonts w:ascii="Times New Roman" w:hAnsi="Times New Roman"/>
          <w:sz w:val="20"/>
        </w:rPr>
        <w:t xml:space="preserve">(b) promptly upon the filing thereof, and in any event within sixty (60) days after the end of each of the first three fiscal quarters of each fiscal year, a copy of the Borrowers Form 10-Q, which report shall include the Borrowers unaudited consolidated balance sheet as of the end of such fiscal quarter and consolidated statements of the Borrowers earnings and cash flows for such fiscal quarter and for the period from the beginning of the then current fiscal year to the end of such fiscal quarter.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As to any information contained in materials furnished pursuant to </w:t>
      </w:r>
      <w:r>
        <w:rPr>
          <w:rFonts w:ascii="Times New Roman" w:hAnsi="Times New Roman"/>
          <w:sz w:val="20"/>
          <w:u w:val="single"/>
        </w:rPr>
        <w:t>Section 6.02(b)</w:t>
      </w:r>
      <w:r>
        <w:rPr>
          <w:rFonts w:ascii="Times New Roman" w:hAnsi="Times New Roman"/>
          <w:sz w:val="20"/>
        </w:rPr>
        <w:t xml:space="preserve">, the Borrower shall not be separately required to furnish such information under clause (a) or (b) above, but the foregoing shall not be in derogation of the obligation of the Borrower to furnish the information and materials described in clauses (a) and (b) above at the times specified therein. </w:t>
      </w:r>
    </w:p>
    <w:p>
      <w:pPr>
        <w:pStyle w:val="TextBody"/>
        <w:spacing w:before="180" w:after="0"/>
        <w:rPr>
          <w:rFonts w:ascii="Times New Roman" w:hAnsi="Times New Roman"/>
          <w:sz w:val="20"/>
        </w:rPr>
      </w:pPr>
      <w:r>
        <w:rPr>
          <w:rFonts w:ascii="Times New Roman" w:hAnsi="Times New Roman"/>
          <w:b/>
          <w:sz w:val="20"/>
        </w:rPr>
        <w:t xml:space="preserve">6.02 Certificates; Other Information. </w:t>
      </w:r>
      <w:r>
        <w:rPr>
          <w:rFonts w:ascii="Times New Roman" w:hAnsi="Times New Roman"/>
          <w:sz w:val="20"/>
        </w:rPr>
        <w:t xml:space="preserve">Deliver to the Administrative Agent and each Lender (except as otherwise provided in subsection (c) below), in form and detail reasonably satisfactory to the Administrative Agent: </w:t>
      </w:r>
    </w:p>
    <w:p>
      <w:pPr>
        <w:pStyle w:val="TextBody"/>
        <w:spacing w:before="180" w:after="0"/>
        <w:rPr>
          <w:rFonts w:ascii="Times New Roman" w:hAnsi="Times New Roman"/>
          <w:sz w:val="20"/>
        </w:rPr>
      </w:pPr>
      <w:r>
        <w:rPr>
          <w:rFonts w:ascii="Times New Roman" w:hAnsi="Times New Roman"/>
          <w:sz w:val="20"/>
        </w:rPr>
        <w:t xml:space="preserve">(a) concurrently with the delivery of the financial statements referred to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 duly completed Compliance Certificate signed by the chief financial officer, principal accounting officer or treasurer of General Partner (i) stating that such Consolidated financial statements are accurate and complete in all material respects (subject to normal year-end adjustments), (ii) stating that such Person has reviewed the Loan Documents, (iii) containing calculations showing compliance (or non compliance) at the end of such fiscal quarter with the requirements of </w:t>
      </w:r>
      <w:r>
        <w:rPr>
          <w:rFonts w:ascii="Times New Roman" w:hAnsi="Times New Roman"/>
          <w:sz w:val="20"/>
          <w:u w:val="single"/>
        </w:rPr>
        <w:t>Section 7.08</w:t>
      </w:r>
      <w:r>
        <w:rPr>
          <w:rFonts w:ascii="Times New Roman" w:hAnsi="Times New Roman"/>
          <w:sz w:val="20"/>
        </w:rPr>
        <w:t xml:space="preserve">, (iv) stating that, to the best of such Persons knowledge, no Default exists at the end of such fiscal quarter or at the time of such certificate or specifying the nature and period of existence of any such Default, and (v) identifying any Subsidiary designated as an Unrestricted Subsidiary since the date of the most-recently delivered prior certificate under this </w:t>
      </w:r>
      <w:r>
        <w:rPr>
          <w:rFonts w:ascii="Times New Roman" w:hAnsi="Times New Roman"/>
          <w:sz w:val="20"/>
          <w:u w:val="single"/>
        </w:rPr>
        <w:t>Section 6.02(a)</w:t>
      </w:r>
      <w:r>
        <w:rPr>
          <w:rFonts w:ascii="Times New Roman" w:hAnsi="Times New Roman"/>
          <w:sz w:val="20"/>
        </w:rPr>
        <w:t xml:space="preserve"> (which delivery may, unless the Administrative Agent requests executed originals, be by electronic communication including fax or email and shall be deemed to be an original authentic counterpart thereof for all purposes); </w:t>
      </w:r>
    </w:p>
    <w:p>
      <w:pPr>
        <w:pStyle w:val="TextBody"/>
        <w:spacing w:before="180" w:after="0"/>
        <w:rPr>
          <w:rFonts w:ascii="Times New Roman" w:hAnsi="Times New Roman"/>
          <w:sz w:val="20"/>
        </w:rPr>
      </w:pPr>
      <w:r>
        <w:rPr>
          <w:rFonts w:ascii="Times New Roman" w:hAnsi="Times New Roman"/>
          <w:sz w:val="20"/>
        </w:rPr>
        <w:t xml:space="preserve">(b) promptly after the same are publicly available, copies of each annual report, proxy or financial statement or other report or communication sent to the unit holders of the Borrower, and copies of all annual, regular, periodic and special reports and registration statements which the Borrower filed with the SEC under Section 13 or 15(d) of the Securities Exchange Act of 1934, and not otherwise required to be delivered to the Administrative Agent pursuant hereto; </w:t>
      </w:r>
    </w:p>
    <w:p>
      <w:pPr>
        <w:pStyle w:val="TextBody"/>
        <w:spacing w:before="180" w:after="0"/>
        <w:rPr>
          <w:rFonts w:ascii="Times New Roman" w:hAnsi="Times New Roman"/>
          <w:sz w:val="20"/>
        </w:rPr>
      </w:pPr>
      <w:r>
        <w:rPr>
          <w:rFonts w:ascii="Times New Roman" w:hAnsi="Times New Roman"/>
          <w:sz w:val="20"/>
        </w:rPr>
        <w:t xml:space="preserve">(c) promptly, to the Administrative Agent, upon written request, such additional information regarding the business, financial or corporate affairs of the Borrower or any Subsidiary, or compliance with the terms of the Loan Documents, in each case which are reasonably requested by the Administrative Agent or any Lender and not subject to confidentiality restrictions or attorney-client privilege; and </w:t>
      </w:r>
    </w:p>
    <w:p>
      <w:pPr>
        <w:pStyle w:val="TextBody"/>
        <w:spacing w:before="180" w:after="0"/>
        <w:rPr>
          <w:rFonts w:ascii="Times New Roman" w:hAnsi="Times New Roman"/>
          <w:sz w:val="20"/>
        </w:rPr>
      </w:pPr>
      <w:r>
        <w:rPr>
          <w:rFonts w:ascii="Times New Roman" w:hAnsi="Times New Roman"/>
          <w:sz w:val="20"/>
        </w:rPr>
        <w:t xml:space="preserve">(d) notice of any public announcement by Moodys or S&amp;P of any downgrade in a Debt Rating. </w:t>
      </w:r>
    </w:p>
    <w:p>
      <w:pPr>
        <w:pStyle w:val="TextBody"/>
        <w:spacing w:before="180" w:after="0"/>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Section 6.02(b)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Borrowers website on the Internet at the website address listed on </w:t>
      </w:r>
      <w:r>
        <w:rPr>
          <w:rFonts w:ascii="Times New Roman" w:hAnsi="Times New Roman"/>
          <w:sz w:val="20"/>
          <w:u w:val="single"/>
        </w:rPr>
        <w:t>Schedule 10.02</w:t>
      </w:r>
      <w:r>
        <w:rPr>
          <w:rFonts w:ascii="Times New Roman" w:hAnsi="Times New Roman"/>
          <w:sz w:val="20"/>
        </w:rPr>
        <w:t xml:space="preserve">, (ii) on which such documents are delivered to the Administrative Agent for posting to the Platform or (iii) on which such documents are posted on the Borrowers behalf on any other Internet or intranet website, if any, to which each Lender and the Administrative Agent have access (whether a commercial, third-party website or whether sponsored by the Administrative Agent), and in either case, the Borrower notifies the Administrative Agent of such posting or link.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 </w:t>
      </w:r>
    </w:p>
    <w:p>
      <w:pPr>
        <w:pStyle w:val="TextBody"/>
        <w:spacing w:before="180" w:after="0"/>
        <w:rPr>
          <w:rFonts w:ascii="Times New Roman" w:hAnsi="Times New Roman"/>
          <w:sz w:val="20"/>
        </w:rPr>
      </w:pPr>
      <w:r>
        <w:rPr>
          <w:rFonts w:ascii="Times New Roman" w:hAnsi="Times New Roman"/>
          <w:sz w:val="20"/>
        </w:rPr>
        <w:t>The Borrower hereby acknowledges that (a) the Administrative Agent or its authorized Affiliates will make available to the Lenders materials and/or information provided by or on behalf of the Borrower hereunder (collectively, </w:t>
      </w:r>
      <w:r>
        <w:rPr>
          <w:rFonts w:ascii="Times New Roman" w:hAnsi="Times New Roman"/>
          <w:sz w:val="20"/>
          <w:u w:val="single"/>
        </w:rPr>
        <w:t>Borrower Materials</w:t>
      </w:r>
      <w:r>
        <w:rPr>
          <w:rFonts w:ascii="Times New Roman" w:hAnsi="Times New Roman"/>
          <w:sz w:val="20"/>
        </w:rPr>
        <w:t>) by posting the Borrower Materials on IntraLinks or another similar electronic system (the </w:t>
      </w:r>
      <w:r>
        <w:rPr>
          <w:rFonts w:ascii="Times New Roman" w:hAnsi="Times New Roman"/>
          <w:sz w:val="20"/>
          <w:u w:val="single"/>
        </w:rPr>
        <w:t>Platform</w:t>
      </w:r>
      <w:r>
        <w:rPr>
          <w:rFonts w:ascii="Times New Roman" w:hAnsi="Times New Roman"/>
          <w:sz w:val="20"/>
        </w:rPr>
        <w:t>) and (b) certain of the Lenders (each, a </w:t>
      </w:r>
      <w:r>
        <w:rPr>
          <w:rFonts w:ascii="Times New Roman" w:hAnsi="Times New Roman"/>
          <w:sz w:val="20"/>
          <w:u w:val="single"/>
        </w:rPr>
        <w:t>Public Lender</w:t>
      </w:r>
      <w:r>
        <w:rPr>
          <w:rFonts w:ascii="Times New Roman" w:hAnsi="Times New Roman"/>
          <w:sz w:val="20"/>
        </w:rPr>
        <w:t>)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it instructs to be made available to Public Lenders shall be clearly and conspicuously marked PUBLIC prominently on the first page thereof, (x) by marking Borrower Materials PUBLIC, the Borrower shall be deemed to have authorized the Administrative Agent or its authorized Affiliates and the Lenders to treat the Borrower Materials as not containing any material non-public information with respect to the Borrower or their respective securities for purposes of United States Federal and state securities laws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the Borrower Materials constitute Information, they shall be treated as set forth in </w:t>
      </w:r>
      <w:r>
        <w:rPr>
          <w:rFonts w:ascii="Times New Roman" w:hAnsi="Times New Roman"/>
          <w:sz w:val="20"/>
          <w:u w:val="single"/>
        </w:rPr>
        <w:t>Section 10.07</w:t>
      </w:r>
      <w:r>
        <w:rPr>
          <w:rFonts w:ascii="Times New Roman" w:hAnsi="Times New Roman"/>
          <w:sz w:val="20"/>
        </w:rPr>
        <w:t xml:space="preserve">), (y) all Borrower Materials so marked PUBLIC are permitted to be made available through a portion of the Platform designated Public Side Information and (z) the Administrative Agent or its authorized Affiliates shall be entitled to treat the Borrower Materials that are not marked PUBLIC as being suitable only for posting on a portion of the Platform not designated Public Side Information. </w:t>
      </w:r>
    </w:p>
    <w:p>
      <w:pPr>
        <w:pStyle w:val="TextBody"/>
        <w:spacing w:before="180" w:after="0"/>
        <w:rPr>
          <w:rFonts w:ascii="Times New Roman" w:hAnsi="Times New Roman"/>
          <w:sz w:val="20"/>
        </w:rPr>
      </w:pPr>
      <w:r>
        <w:rPr>
          <w:rFonts w:ascii="Times New Roman" w:hAnsi="Times New Roman"/>
          <w:b/>
          <w:sz w:val="20"/>
        </w:rPr>
        <w:t xml:space="preserve">6.03 Notices. </w:t>
      </w:r>
      <w:r>
        <w:rPr>
          <w:rFonts w:ascii="Times New Roman" w:hAnsi="Times New Roman"/>
          <w:sz w:val="20"/>
        </w:rPr>
        <w:t xml:space="preserve">Promptly notify the Administrative Agent and each Lender not later than five Business Days after any executive officer of the Borrower has knowledge: </w:t>
      </w:r>
    </w:p>
    <w:p>
      <w:pPr>
        <w:pStyle w:val="TextBody"/>
        <w:spacing w:before="270" w:after="0"/>
        <w:rPr>
          <w:rFonts w:ascii="Times New Roman" w:hAnsi="Times New Roman"/>
          <w:sz w:val="20"/>
        </w:rPr>
      </w:pPr>
      <w:r>
        <w:rPr>
          <w:rFonts w:ascii="Times New Roman" w:hAnsi="Times New Roman"/>
          <w:sz w:val="20"/>
        </w:rPr>
        <w:t xml:space="preserve">(a) of the occurrence of any Default; and </w:t>
      </w:r>
    </w:p>
    <w:p>
      <w:pPr>
        <w:pStyle w:val="TextBody"/>
        <w:spacing w:before="90" w:after="0"/>
        <w:rPr>
          <w:rFonts w:ascii="Times New Roman" w:hAnsi="Times New Roman"/>
          <w:sz w:val="20"/>
        </w:rPr>
      </w:pPr>
      <w:r>
        <w:rPr>
          <w:rFonts w:ascii="Times New Roman" w:hAnsi="Times New Roman"/>
          <w:sz w:val="20"/>
        </w:rPr>
        <w:t xml:space="preserve">(b) of any matter that has resulted or could reasonably be expected to result in a Material Adverse Effect. </w:t>
      </w:r>
    </w:p>
    <w:p>
      <w:pPr>
        <w:pStyle w:val="TextBody"/>
        <w:spacing w:before="180" w:after="0"/>
        <w:rPr>
          <w:rFonts w:ascii="Times New Roman" w:hAnsi="Times New Roman"/>
          <w:sz w:val="20"/>
        </w:rPr>
      </w:pPr>
      <w:r>
        <w:rPr>
          <w:rFonts w:ascii="Times New Roman" w:hAnsi="Times New Roman"/>
          <w:sz w:val="20"/>
        </w:rPr>
        <w:t xml:space="preserve">Each notice pursuant to this </w:t>
      </w:r>
      <w:r>
        <w:rPr>
          <w:rFonts w:ascii="Times New Roman" w:hAnsi="Times New Roman"/>
          <w:sz w:val="20"/>
          <w:u w:val="single"/>
        </w:rPr>
        <w:t>Section 6.03</w:t>
      </w:r>
      <w:r>
        <w:rPr>
          <w:rFonts w:ascii="Times New Roman" w:hAnsi="Times New Roman"/>
          <w:sz w:val="20"/>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hAnsi="Times New Roman"/>
          <w:sz w:val="20"/>
          <w:u w:val="single"/>
        </w:rPr>
        <w:t>Section 6.03(a)</w:t>
      </w:r>
      <w:r>
        <w:rPr>
          <w:rFonts w:ascii="Times New Roman" w:hAnsi="Times New Roman"/>
          <w:sz w:val="20"/>
        </w:rPr>
        <w:t xml:space="preserve"> shall describe with particularity any and all provisions of this Agreement and any other Loan Document that have been breached.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 xml:space="preserve">6.04 Payment of Taxes, Etc. </w:t>
      </w:r>
      <w:r>
        <w:rPr>
          <w:rFonts w:ascii="Times New Roman" w:hAnsi="Times New Roman"/>
          <w:sz w:val="20"/>
        </w:rPr>
        <w:t xml:space="preserve">(a) Timely file all required tax returns (including any extensions), (b) timely pay all taxes, assessments, and other governmental charges or levies imposed upon it or upon its income, profits or property, and (c) maintain appropriate accruals and reserves for all of the foregoing as required by GAAP, except to the extent that (i) it is in good faith contesting the validity thereof by appropriate proceedings, if necessary, diligently conducted and has set aside on its books adequate reserves therefor which are required by GAAP or (ii) such non-filing, non-payment or non-maintenance would not reasonably be expected to result in a Material Adverse Effect. </w:t>
      </w:r>
    </w:p>
    <w:p>
      <w:pPr>
        <w:pStyle w:val="TextBody"/>
        <w:spacing w:before="180" w:after="0"/>
        <w:rPr>
          <w:rFonts w:ascii="Times New Roman" w:hAnsi="Times New Roman"/>
          <w:sz w:val="20"/>
        </w:rPr>
      </w:pPr>
      <w:r>
        <w:rPr>
          <w:rFonts w:ascii="Times New Roman" w:hAnsi="Times New Roman"/>
          <w:b/>
          <w:sz w:val="20"/>
        </w:rPr>
        <w:t xml:space="preserve">6.05 Preservation of Existence, Etc. </w:t>
      </w:r>
      <w:r>
        <w:rPr>
          <w:rFonts w:ascii="Times New Roman" w:hAnsi="Times New Roman"/>
          <w:sz w:val="20"/>
        </w:rPr>
        <w:t xml:space="preserve">(a) Preserve and maintain its legal existence and good standing under the Laws of the jurisdiction of its organization and (b) take all reasonable action to maintain all rights, privileges, permits, licenses and franchises necessary in the normal conduct of its business, except, in each case (i) where the failure so to maintain or preserve (as the case may be) would not reasonably be expected to cause a Material Adverse Effect or (ii) as permitted in </w:t>
      </w:r>
      <w:r>
        <w:rPr>
          <w:rFonts w:ascii="Times New Roman" w:hAnsi="Times New Roman"/>
          <w:sz w:val="20"/>
          <w:u w:val="single"/>
        </w:rPr>
        <w:t>Section 7.03</w:t>
      </w:r>
      <w:r>
        <w:rPr>
          <w:rFonts w:ascii="Times New Roman" w:hAnsi="Times New Roman"/>
          <w:sz w:val="20"/>
        </w:rPr>
        <w:t xml:space="preserve"> or as a result of statutory conversions. </w:t>
      </w:r>
    </w:p>
    <w:p>
      <w:pPr>
        <w:pStyle w:val="TextBody"/>
        <w:spacing w:before="180" w:after="0"/>
        <w:rPr>
          <w:rFonts w:ascii="Times New Roman" w:hAnsi="Times New Roman"/>
          <w:sz w:val="20"/>
        </w:rPr>
      </w:pPr>
      <w:r>
        <w:rPr>
          <w:rFonts w:ascii="Times New Roman" w:hAnsi="Times New Roman"/>
          <w:b/>
          <w:sz w:val="20"/>
        </w:rPr>
        <w:t xml:space="preserve">6.06 Maintenance of Properties. </w:t>
      </w:r>
      <w:r>
        <w:rPr>
          <w:rFonts w:ascii="Times New Roman" w:hAnsi="Times New Roman"/>
          <w:sz w:val="20"/>
        </w:rPr>
        <w:t xml:space="preserve">Maintain all of its material properties and equipment that are necessary in the operation of its business in good working order and condition, ordinary wear and tear and obsoleteness excepted, except where the failure to do so could not reasonably be expected to have a Material Adverse Effect. </w:t>
      </w:r>
    </w:p>
    <w:p>
      <w:pPr>
        <w:pStyle w:val="TextBody"/>
        <w:spacing w:before="180" w:after="0"/>
        <w:rPr>
          <w:rFonts w:ascii="Times New Roman" w:hAnsi="Times New Roman"/>
          <w:sz w:val="20"/>
        </w:rPr>
      </w:pPr>
      <w:r>
        <w:rPr>
          <w:rFonts w:ascii="Times New Roman" w:hAnsi="Times New Roman"/>
          <w:b/>
          <w:sz w:val="20"/>
        </w:rPr>
        <w:t xml:space="preserve">6.07 Maintenance of Insurance. </w:t>
      </w:r>
      <w:r>
        <w:rPr>
          <w:rFonts w:ascii="Times New Roman" w:hAnsi="Times New Roman"/>
          <w:sz w:val="20"/>
        </w:rPr>
        <w:t xml:space="preserve">Maintain, with financially sound and reputable insurance companies, insurance or, at its option, self-insure in such amounts (after giving effect to any self-insurance compatible with the following standards) and against such risks as are customarily insured by other Persons engaged in the same or similar businesses and owning similar properties;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provisions of this </w:t>
      </w:r>
      <w:r>
        <w:rPr>
          <w:rFonts w:ascii="Times New Roman" w:hAnsi="Times New Roman"/>
          <w:sz w:val="20"/>
          <w:u w:val="single"/>
        </w:rPr>
        <w:t>Section 6.07</w:t>
      </w:r>
      <w:r>
        <w:rPr>
          <w:rFonts w:ascii="Times New Roman" w:hAnsi="Times New Roman"/>
          <w:sz w:val="20"/>
        </w:rPr>
        <w:t xml:space="preserve">, the Borrower or any Subsidiary may effect workers compensation or similar insurance in respect of operations in any state or other jurisdiction through any insurance fund operated by such state or other jurisdiction or by causing to be maintained a system or systems of self-insurance in accord with applicable laws. The insurance coverages and amounts will be reasonably determined by the Borrower, based on coverages carried by prudent owners of similar property, and with respect to each other Significant Restricted Person, may be maintained by the Borrower. </w:t>
      </w:r>
    </w:p>
    <w:p>
      <w:pPr>
        <w:pStyle w:val="TextBody"/>
        <w:spacing w:before="180" w:after="0"/>
        <w:rPr>
          <w:rFonts w:ascii="Times New Roman" w:hAnsi="Times New Roman"/>
          <w:sz w:val="20"/>
        </w:rPr>
      </w:pPr>
      <w:r>
        <w:rPr>
          <w:rFonts w:ascii="Times New Roman" w:hAnsi="Times New Roman"/>
          <w:b/>
          <w:sz w:val="20"/>
        </w:rPr>
        <w:t xml:space="preserve">6.08 Compliance with Laws. </w:t>
      </w:r>
      <w:r>
        <w:rPr>
          <w:rFonts w:ascii="Times New Roman" w:hAnsi="Times New Roman"/>
          <w:sz w:val="20"/>
        </w:rPr>
        <w:t xml:space="preserve">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if necessary, diligently conducted, or (b) the failure to comply therewith could not reasonably be expected to have a Material Adverse Effect. </w:t>
      </w:r>
    </w:p>
    <w:p>
      <w:pPr>
        <w:pStyle w:val="TextBody"/>
        <w:spacing w:before="180" w:after="0"/>
        <w:rPr>
          <w:rFonts w:ascii="Times New Roman" w:hAnsi="Times New Roman"/>
          <w:sz w:val="20"/>
        </w:rPr>
      </w:pPr>
      <w:r>
        <w:rPr>
          <w:rFonts w:ascii="Times New Roman" w:hAnsi="Times New Roman"/>
          <w:b/>
          <w:sz w:val="20"/>
        </w:rPr>
        <w:t xml:space="preserve">6.09 Books and Records. </w:t>
      </w:r>
      <w:r>
        <w:rPr>
          <w:rFonts w:ascii="Times New Roman" w:hAnsi="Times New Roman"/>
          <w:sz w:val="20"/>
        </w:rPr>
        <w:t xml:space="preserve">Maintain full and accurate books of record and account in conformity with GAAP consistently applied. </w:t>
      </w:r>
    </w:p>
    <w:p>
      <w:pPr>
        <w:pStyle w:val="TextBody"/>
        <w:spacing w:before="180" w:after="0"/>
        <w:rPr>
          <w:rFonts w:ascii="Times New Roman" w:hAnsi="Times New Roman"/>
          <w:sz w:val="20"/>
        </w:rPr>
      </w:pPr>
      <w:r>
        <w:rPr>
          <w:rFonts w:ascii="Times New Roman" w:hAnsi="Times New Roman"/>
          <w:b/>
          <w:sz w:val="20"/>
        </w:rPr>
        <w:t xml:space="preserve">6.10 Inspection Rights. </w:t>
      </w:r>
      <w:r>
        <w:rPr>
          <w:rFonts w:ascii="Times New Roman" w:hAnsi="Times New Roman"/>
          <w:sz w:val="20"/>
        </w:rPr>
        <w:t xml:space="preserve">Permit representatives and independent contractors of the Administrative Agent to visit and inspect any of its properties, to examine its corporate, financial and operating records, and to make copies thereof or abstracts therefrom, and to discuss 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affairs, finances and accounts with its officers and independent public accountants, all at such reasonable times during normal business hours, upon reasonable advance notice to the Borrower.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all copies and abstracts of all information, books and records and all discussion conducted with any officer, employee or representative of any Restricted Person, in each case, shall be subject to any applicable attorney-client privilege exceptions which the Borrower or such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w:t>
      </w:r>
      <w:r>
        <w:rPr>
          <w:rFonts w:ascii="Times New Roman" w:hAnsi="Times New Roman"/>
          <w:sz w:val="20"/>
          <w:u w:val="single"/>
        </w:rPr>
        <w:t>Section 10.07</w:t>
      </w:r>
      <w:r>
        <w:rPr>
          <w:rFonts w:ascii="Times New Roman" w:hAnsi="Times New Roman"/>
          <w:sz w:val="20"/>
        </w:rPr>
        <w:t xml:space="preserve"> of this Agreement. </w:t>
      </w:r>
    </w:p>
    <w:p>
      <w:pPr>
        <w:pStyle w:val="TextBody"/>
        <w:spacing w:before="180" w:after="0"/>
        <w:rPr>
          <w:rFonts w:ascii="Times New Roman" w:hAnsi="Times New Roman"/>
          <w:sz w:val="20"/>
        </w:rPr>
      </w:pPr>
      <w:r>
        <w:rPr>
          <w:rFonts w:ascii="Times New Roman" w:hAnsi="Times New Roman"/>
          <w:b/>
          <w:sz w:val="20"/>
        </w:rPr>
        <w:t xml:space="preserve">6.11 Use of Proceeds. </w:t>
      </w:r>
      <w:r>
        <w:rPr>
          <w:rFonts w:ascii="Times New Roman" w:hAnsi="Times New Roman"/>
          <w:sz w:val="20"/>
        </w:rPr>
        <w:t xml:space="preserve">Use the proceeds of the Loans for working capital, capital expenditures, repayment of intercompany debt, acquisitions and other general corporate purposes not in violation of any Law applicable to it and not resulting in a Default or Event of Default. </w:t>
      </w:r>
    </w:p>
    <w:p>
      <w:pPr>
        <w:pStyle w:val="TextBody"/>
        <w:spacing w:before="360" w:after="0"/>
        <w:jc w:val="center"/>
        <w:rPr>
          <w:rFonts w:ascii="Times New Roman" w:hAnsi="Times New Roman"/>
          <w:b/>
          <w:sz w:val="20"/>
        </w:rPr>
      </w:pPr>
      <w:r>
        <w:rPr>
          <w:rFonts w:ascii="Times New Roman" w:hAnsi="Times New Roman"/>
          <w:b/>
          <w:sz w:val="20"/>
        </w:rPr>
        <w:t xml:space="preserve">ARTICLE VII. NEGATIVE COVENANTS </w:t>
      </w:r>
    </w:p>
    <w:p>
      <w:pPr>
        <w:pStyle w:val="TextBody"/>
        <w:spacing w:before="180" w:after="0"/>
        <w:rPr>
          <w:rFonts w:ascii="Times New Roman" w:hAnsi="Times New Roman"/>
          <w:sz w:val="20"/>
        </w:rPr>
      </w:pPr>
      <w:r>
        <w:rPr>
          <w:rFonts w:ascii="Times New Roman" w:hAnsi="Times New Roman"/>
          <w:sz w:val="20"/>
        </w:rPr>
        <w:t xml:space="preserve">So long as any Lender shall have any Commitment hereunder, any Loan or other Obligation hereunder shall remain unpaid or unsatisfied, the Borrower shall not (except in the case of the covenant set forth in </w:t>
      </w:r>
      <w:r>
        <w:rPr>
          <w:rFonts w:ascii="Times New Roman" w:hAnsi="Times New Roman"/>
          <w:sz w:val="20"/>
          <w:u w:val="single"/>
        </w:rPr>
        <w:t>Section 7.02</w:t>
      </w:r>
      <w:r>
        <w:rPr>
          <w:rFonts w:ascii="Times New Roman" w:hAnsi="Times New Roman"/>
          <w:sz w:val="20"/>
        </w:rPr>
        <w:t xml:space="preserve">, which shall be limited to Subsidiaries), nor shall it permit any Subsidiary (except in the case of the covenants set forth in </w:t>
      </w:r>
      <w:r>
        <w:rPr>
          <w:rFonts w:ascii="Times New Roman" w:hAnsi="Times New Roman"/>
          <w:sz w:val="20"/>
          <w:u w:val="single"/>
        </w:rPr>
        <w:t>Sections 7.03</w:t>
      </w:r>
      <w:r>
        <w:rPr>
          <w:rFonts w:ascii="Times New Roman" w:hAnsi="Times New Roman"/>
          <w:sz w:val="20"/>
        </w:rPr>
        <w:t xml:space="preserve"> and </w:t>
      </w:r>
      <w:r>
        <w:rPr>
          <w:rFonts w:ascii="Times New Roman" w:hAnsi="Times New Roman"/>
          <w:sz w:val="20"/>
          <w:u w:val="single"/>
        </w:rPr>
        <w:t>7.06</w:t>
      </w:r>
      <w:r>
        <w:rPr>
          <w:rFonts w:ascii="Times New Roman" w:hAnsi="Times New Roman"/>
          <w:sz w:val="20"/>
        </w:rPr>
        <w:t xml:space="preserve">, which shall be limited to Significant Restricted Persons, and in the case of the covenant in </w:t>
      </w:r>
      <w:r>
        <w:rPr>
          <w:rFonts w:ascii="Times New Roman" w:hAnsi="Times New Roman"/>
          <w:sz w:val="20"/>
          <w:u w:val="single"/>
        </w:rPr>
        <w:t>Section 7.04</w:t>
      </w:r>
      <w:r>
        <w:rPr>
          <w:rFonts w:ascii="Times New Roman" w:hAnsi="Times New Roman"/>
          <w:sz w:val="20"/>
        </w:rPr>
        <w:t xml:space="preserve">, which shall be limited to the Borrower) to: </w:t>
      </w:r>
    </w:p>
    <w:p>
      <w:pPr>
        <w:pStyle w:val="TextBody"/>
        <w:spacing w:before="180" w:after="0"/>
        <w:rPr>
          <w:rFonts w:ascii="Times New Roman" w:hAnsi="Times New Roman"/>
          <w:sz w:val="20"/>
        </w:rPr>
      </w:pPr>
      <w:r>
        <w:rPr>
          <w:rFonts w:ascii="Times New Roman" w:hAnsi="Times New Roman"/>
          <w:b/>
          <w:sz w:val="20"/>
        </w:rPr>
        <w:t xml:space="preserve">7.01 Liens. </w:t>
      </w:r>
      <w:r>
        <w:rPr>
          <w:rFonts w:ascii="Times New Roman" w:hAnsi="Times New Roman"/>
          <w:sz w:val="20"/>
        </w:rPr>
        <w:t xml:space="preserve">Create, incur, assume or permit to exist any Lien upon any of its Principal Property or upon the Equity Interests of any Subsidiary to secure Indebtedness (other than, for the avoidance of doubt, Unrestricted Subsidiaries), whether now owned or hereafter acquired, other than the following: </w:t>
      </w:r>
    </w:p>
    <w:p>
      <w:pPr>
        <w:pStyle w:val="TextBody"/>
        <w:spacing w:before="180" w:after="0"/>
        <w:rPr>
          <w:rFonts w:ascii="Times New Roman" w:hAnsi="Times New Roman"/>
          <w:sz w:val="20"/>
        </w:rPr>
      </w:pPr>
      <w:r>
        <w:rPr>
          <w:rFonts w:ascii="Times New Roman" w:hAnsi="Times New Roman"/>
          <w:sz w:val="20"/>
        </w:rPr>
        <w:t xml:space="preserve">(a) Liens pursuant to any Loan Document or securing any of the Obligations (which Liens may, if required as a condition to the granting or acceptance thereof, also secure, on a </w:t>
      </w:r>
      <w:r>
        <w:rPr>
          <w:rFonts w:ascii="Times New Roman" w:hAnsi="Times New Roman"/>
          <w:i/>
          <w:sz w:val="20"/>
        </w:rPr>
        <w:t>pari-passu</w:t>
      </w:r>
      <w:r>
        <w:rPr>
          <w:rFonts w:ascii="Times New Roman" w:hAnsi="Times New Roman"/>
          <w:sz w:val="20"/>
        </w:rPr>
        <w:t xml:space="preserve"> basis, any Swap Contracts with Lenders or their Affiliates); </w:t>
      </w:r>
    </w:p>
    <w:p>
      <w:pPr>
        <w:pStyle w:val="TextBody"/>
        <w:spacing w:before="180" w:after="0"/>
        <w:rPr>
          <w:rFonts w:ascii="Times New Roman" w:hAnsi="Times New Roman"/>
          <w:sz w:val="20"/>
        </w:rPr>
      </w:pPr>
      <w:r>
        <w:rPr>
          <w:rFonts w:ascii="Times New Roman" w:hAnsi="Times New Roman"/>
          <w:sz w:val="20"/>
        </w:rPr>
        <w:t xml:space="preserve">(b) Liens for taxes, assessments, charges and levies not yet delinquent or which are being contested in good faith and by appropriate proceedings diligently conducted, if adequate reserves with respect thereto are maintained on the books of the applicable Person in accordance with GAAP; </w:t>
      </w:r>
    </w:p>
    <w:p>
      <w:pPr>
        <w:pStyle w:val="TextBody"/>
        <w:spacing w:before="180" w:after="0"/>
        <w:rPr>
          <w:rFonts w:ascii="Times New Roman" w:hAnsi="Times New Roman"/>
          <w:sz w:val="20"/>
        </w:rPr>
      </w:pPr>
      <w:r>
        <w:rPr>
          <w:rFonts w:ascii="Times New Roman" w:hAnsi="Times New Roman"/>
          <w:sz w:val="20"/>
        </w:rPr>
        <w:t xml:space="preserve">(c) carriers, warehousemens, mechanics, materialmens, repairmens or other like Liens (including Liens on property of any Restricted Person in the possession of storage facilities, pipelines or barges) arising in the ordinary course of business for amounts which are not overdue for a period of more than 60 days or which are being contested in good faith and by appropriate proceedings, if necessary, diligently conducted, if adequate reserves with respect thereto are maintained on the books of the applicable Person in accordance with GAAP;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Liens on cash and cash equivalents under or with respect to accounts with brokers or counterparties with respect to hedging contracts consisting of cash, commodities or futures contracts, options, securities, instruments and other like assets securing only hedging contracts; </w:t>
      </w:r>
    </w:p>
    <w:p>
      <w:pPr>
        <w:pStyle w:val="TextBody"/>
        <w:spacing w:before="180" w:after="0"/>
        <w:rPr>
          <w:rFonts w:ascii="Times New Roman" w:hAnsi="Times New Roman"/>
          <w:sz w:val="20"/>
        </w:rPr>
      </w:pPr>
      <w:r>
        <w:rPr>
          <w:rFonts w:ascii="Times New Roman" w:hAnsi="Times New Roman"/>
          <w:sz w:val="20"/>
        </w:rPr>
        <w:t xml:space="preserve">(e) pledges or deposits in the ordinary course of business in connection with workers compensation, unemployment insurance and other social security legislation (other than any Lien imposed by ERISA), or to secure letters of credit issued with respect thereto; </w:t>
      </w:r>
    </w:p>
    <w:p>
      <w:pPr>
        <w:pStyle w:val="TextBody"/>
        <w:spacing w:before="180" w:after="0"/>
        <w:rPr>
          <w:rFonts w:ascii="Times New Roman" w:hAnsi="Times New Roman"/>
          <w:sz w:val="20"/>
        </w:rPr>
      </w:pPr>
      <w:r>
        <w:rPr>
          <w:rFonts w:ascii="Times New Roman" w:hAnsi="Times New Roman"/>
          <w:sz w:val="20"/>
        </w:rPr>
        <w:t xml:space="preserve">(f) deposits to secure the performance of bids, trade contracts, leases (other than for borrowed money), statutory obligations, surety and appeal bonds, performance bonds and other obligations of a like nature incurred in the ordinary course of business (or to secure letters of credit issued in connection therewith); </w:t>
      </w:r>
    </w:p>
    <w:p>
      <w:pPr>
        <w:pStyle w:val="TextBody"/>
        <w:spacing w:before="180" w:after="0"/>
        <w:rPr>
          <w:rFonts w:ascii="Times New Roman" w:hAnsi="Times New Roman"/>
          <w:sz w:val="20"/>
        </w:rPr>
      </w:pPr>
      <w:r>
        <w:rPr>
          <w:rFonts w:ascii="Times New Roman" w:hAnsi="Times New Roman"/>
          <w:sz w:val="20"/>
        </w:rPr>
        <w:t xml:space="preserve">(g) easements, rights-of-way, restrictions and other similar encumbrances affecting real property or minor imperfections in title thereto which, in the aggregate, are not material in amount, and which do not in any case materially detract from the value of the property subject thereto or materially interfere with the ordinary conduct of the business of the applicable Person; </w:t>
      </w:r>
    </w:p>
    <w:p>
      <w:pPr>
        <w:pStyle w:val="TextBody"/>
        <w:spacing w:before="180" w:after="0"/>
        <w:rPr>
          <w:rFonts w:ascii="Times New Roman" w:hAnsi="Times New Roman"/>
          <w:sz w:val="20"/>
        </w:rPr>
      </w:pPr>
      <w:r>
        <w:rPr>
          <w:rFonts w:ascii="Times New Roman" w:hAnsi="Times New Roman"/>
          <w:sz w:val="20"/>
        </w:rPr>
        <w:t xml:space="preserve">(h) inchoate Liens in respect of pending litigation, or Liens securing judgments for the payment of money (or securing letters of credit, appeal or other surety bonds related to such judgments) not constituting an Event of Default under </w:t>
      </w:r>
      <w:r>
        <w:rPr>
          <w:rFonts w:ascii="Times New Roman" w:hAnsi="Times New Roman"/>
          <w:sz w:val="20"/>
          <w:u w:val="single"/>
        </w:rPr>
        <w:t>Section 8.01(h)</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(i) Liens arising solely by virtue of any statutory or common law provision relating to bankers liens, rights of set-off or similar rights and remedies as to deposit accounts or other funds maintained with a creditor depository institution; provided, that (i) such deposit account is not a dedicated cash collateral account and is not subject to restrictions against access by the Borrower or any Subsidiary in excess of those set forth by regulations promulgated by the Board of Governors of the Federal Reserve System or pursuant to the Security Documents, and (ii) such deposit account is not intended by the Borrower or any Subsidiary to provide collateral to the depository institution; </w:t>
      </w:r>
    </w:p>
    <w:p>
      <w:pPr>
        <w:pStyle w:val="TextBody"/>
        <w:spacing w:before="180" w:after="0"/>
        <w:rPr>
          <w:rFonts w:ascii="Times New Roman" w:hAnsi="Times New Roman"/>
          <w:sz w:val="20"/>
        </w:rPr>
      </w:pPr>
      <w:r>
        <w:rPr>
          <w:rFonts w:ascii="Times New Roman" w:hAnsi="Times New Roman"/>
          <w:sz w:val="20"/>
        </w:rPr>
        <w:t xml:space="preserve">(j) Liens arising out of all presently existing and future division and transfer orders, advance payment agreements, processing contracts, gas processing plant agreements, operating agreements, gas balancing or deferred production agreements, pooling, unitization or communitization agreements, pipeline, gathering or transportation agreements, platform agreements, drilling contracts, injection or repressuring agreements, cycling agreements, construction agreements, salt water or other disposal agreements, leases or rental agreements, farm-out and farm-in agreements, exploration and development agreements, and any and all other contracts or agreements covering, arising out, used or useful in connection with or pertaining to the exploration, development, operation, production, sale, use, purchase, exchange, storage, separation, dehydration, treatment, compression, gathering, transportation, processing, improvement, marketing, disposal, or handling of any oil and gas property of the Borrower;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(k) Liens in respect of Operating Leases; </w:t>
      </w:r>
    </w:p>
    <w:p>
      <w:pPr>
        <w:pStyle w:val="TextBody"/>
        <w:spacing w:before="180" w:after="0"/>
        <w:rPr>
          <w:rFonts w:ascii="Times New Roman" w:hAnsi="Times New Roman"/>
          <w:sz w:val="20"/>
        </w:rPr>
      </w:pPr>
      <w:r>
        <w:rPr>
          <w:rFonts w:ascii="Times New Roman" w:hAnsi="Times New Roman"/>
          <w:sz w:val="20"/>
        </w:rPr>
        <w:t xml:space="preserve">(l) Liens securing Acquired Indebtedness, </w:t>
      </w:r>
      <w:r>
        <w:rPr>
          <w:rFonts w:ascii="Times New Roman" w:hAnsi="Times New Roman"/>
          <w:sz w:val="20"/>
          <w:u w:val="single"/>
        </w:rPr>
        <w:t>provided</w:t>
      </w:r>
      <w:r>
        <w:rPr>
          <w:rFonts w:ascii="Times New Roman" w:hAnsi="Times New Roman"/>
          <w:sz w:val="20"/>
        </w:rPr>
        <w:t xml:space="preserve"> that (i) each such Lien (A) existed at the time of its acquisition and was not created in anticipation thereof, or (B) was created solely for the purpose of securing Indebtedness representing, or incurred to finance, refinance or refund, the cost (including the cost of construction) of such property or asset, (ii)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 whole or part, of the foregoing, and (iii) such Lien shall not secure any additional Indebtedness and obligations; </w:t>
      </w:r>
    </w:p>
    <w:p>
      <w:pPr>
        <w:pStyle w:val="TextBody"/>
        <w:spacing w:before="180" w:after="0"/>
        <w:rPr>
          <w:rFonts w:ascii="Times New Roman" w:hAnsi="Times New Roman"/>
          <w:sz w:val="20"/>
        </w:rPr>
      </w:pPr>
      <w:r>
        <w:rPr>
          <w:rFonts w:ascii="Times New Roman" w:hAnsi="Times New Roman"/>
          <w:sz w:val="20"/>
        </w:rPr>
        <w:t xml:space="preserve">(m) 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 </w:t>
      </w:r>
    </w:p>
    <w:p>
      <w:pPr>
        <w:pStyle w:val="TextBody"/>
        <w:spacing w:before="180" w:after="0"/>
        <w:rPr>
          <w:rFonts w:ascii="Times New Roman" w:hAnsi="Times New Roman"/>
          <w:sz w:val="20"/>
        </w:rPr>
      </w:pPr>
      <w:r>
        <w:rPr>
          <w:rFonts w:ascii="Times New Roman" w:hAnsi="Times New Roman"/>
          <w:sz w:val="20"/>
        </w:rPr>
        <w:t xml:space="preserve">(n) 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 </w:t>
      </w:r>
    </w:p>
    <w:p>
      <w:pPr>
        <w:pStyle w:val="TextBody"/>
        <w:spacing w:before="180" w:after="0"/>
        <w:rPr>
          <w:rFonts w:ascii="Times New Roman" w:hAnsi="Times New Roman"/>
          <w:sz w:val="20"/>
        </w:rPr>
      </w:pPr>
      <w:r>
        <w:rPr>
          <w:rFonts w:ascii="Times New Roman" w:hAnsi="Times New Roman"/>
          <w:sz w:val="20"/>
        </w:rPr>
        <w:t xml:space="preserve">(o) 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 </w:t>
      </w:r>
    </w:p>
    <w:p>
      <w:pPr>
        <w:pStyle w:val="TextBody"/>
        <w:spacing w:before="180" w:after="0"/>
        <w:rPr>
          <w:rFonts w:ascii="Times New Roman" w:hAnsi="Times New Roman"/>
          <w:sz w:val="20"/>
        </w:rPr>
      </w:pPr>
      <w:r>
        <w:rPr>
          <w:rFonts w:ascii="Times New Roman" w:hAnsi="Times New Roman"/>
          <w:sz w:val="20"/>
        </w:rPr>
        <w:t xml:space="preserve">(p) Liens pursuant to the Pine Prairie Lease and extensions, renewals and replacement thereof; and </w:t>
      </w:r>
    </w:p>
    <w:p>
      <w:pPr>
        <w:pStyle w:val="TextBody"/>
        <w:spacing w:before="180" w:after="0"/>
        <w:rPr>
          <w:rFonts w:ascii="Times New Roman" w:hAnsi="Times New Roman"/>
          <w:sz w:val="20"/>
        </w:rPr>
      </w:pPr>
      <w:r>
        <w:rPr>
          <w:rFonts w:ascii="Times New Roman" w:hAnsi="Times New Roman"/>
          <w:sz w:val="20"/>
        </w:rPr>
        <w:t xml:space="preserve">(q) Liens otherwise not permitted herein which secure obligations in an aggregate principal amount not to exceed at any time outstanding 10% of the Borrowers Consolidated Net Tangible Assets. </w:t>
      </w:r>
    </w:p>
    <w:p>
      <w:pPr>
        <w:pStyle w:val="TextBody"/>
        <w:spacing w:before="180" w:after="0"/>
        <w:rPr>
          <w:rFonts w:ascii="Times New Roman" w:hAnsi="Times New Roman"/>
          <w:sz w:val="20"/>
        </w:rPr>
      </w:pPr>
      <w:r>
        <w:rPr>
          <w:rFonts w:ascii="Times New Roman" w:hAnsi="Times New Roman"/>
          <w:b/>
          <w:sz w:val="20"/>
        </w:rPr>
        <w:t xml:space="preserve">7.02 Indebtedness. </w:t>
      </w:r>
      <w:r>
        <w:rPr>
          <w:rFonts w:ascii="Times New Roman" w:hAnsi="Times New Roman"/>
          <w:sz w:val="20"/>
        </w:rPr>
        <w:t xml:space="preserve">Create, incur, assume or permit to exist any Indebtedness, except: </w:t>
      </w:r>
    </w:p>
    <w:p>
      <w:pPr>
        <w:pStyle w:val="TextBody"/>
        <w:spacing w:before="180" w:after="0"/>
        <w:rPr>
          <w:rFonts w:ascii="Times New Roman" w:hAnsi="Times New Roman"/>
          <w:sz w:val="20"/>
        </w:rPr>
      </w:pPr>
      <w:r>
        <w:rPr>
          <w:rFonts w:ascii="Times New Roman" w:hAnsi="Times New Roman"/>
          <w:sz w:val="20"/>
        </w:rPr>
        <w:t xml:space="preserve">(a) Indebtedness under the Loan Documents; </w:t>
      </w:r>
    </w:p>
    <w:p>
      <w:pPr>
        <w:pStyle w:val="TextBody"/>
        <w:spacing w:before="180" w:after="0"/>
        <w:rPr>
          <w:rFonts w:ascii="Times New Roman" w:hAnsi="Times New Roman"/>
          <w:sz w:val="20"/>
        </w:rPr>
      </w:pPr>
      <w:r>
        <w:rPr>
          <w:rFonts w:ascii="Times New Roman" w:hAnsi="Times New Roman"/>
          <w:sz w:val="20"/>
        </w:rPr>
        <w:t xml:space="preserve">(b) Indebtedness of any Restricted Person owing to another Restricted Person; </w:t>
      </w:r>
    </w:p>
    <w:p>
      <w:pPr>
        <w:pStyle w:val="TextBody"/>
        <w:spacing w:before="180" w:after="0"/>
        <w:rPr>
          <w:rFonts w:ascii="Times New Roman" w:hAnsi="Times New Roman"/>
          <w:sz w:val="20"/>
        </w:rPr>
      </w:pPr>
      <w:r>
        <w:rPr>
          <w:rFonts w:ascii="Times New Roman" w:hAnsi="Times New Roman"/>
          <w:sz w:val="20"/>
        </w:rPr>
        <w:t xml:space="preserve">(c) Acquired Indebtedness; </w:t>
      </w:r>
    </w:p>
    <w:p>
      <w:pPr>
        <w:pStyle w:val="TextBody"/>
        <w:spacing w:before="180" w:after="0"/>
        <w:rPr>
          <w:rFonts w:ascii="Times New Roman" w:hAnsi="Times New Roman"/>
          <w:sz w:val="20"/>
        </w:rPr>
      </w:pPr>
      <w:r>
        <w:rPr>
          <w:rFonts w:ascii="Times New Roman" w:hAnsi="Times New Roman"/>
          <w:sz w:val="20"/>
        </w:rPr>
        <w:t xml:space="preserve">(d) Indebtedness of (i) any of its Subsidiaries (and guarantees thereof by its Subsidiaries) under the PAA US/Canada Credit Agreement, (ii) Plains Marketing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guarantees thereof by its Subsidiaries) under the Hedged Inventory Credit Agreement and (iii) PNGS (and guarantees thereof by its Subsidiaries) (w) under the PNGS Credit Agreement, including GO Bond Term Loans thereunder, (x) owing to the GO Bond Issuer as defined in the PNGS Credit Agreement pursuant to the GO Bond Documents as defined in the PNGS Credit Agreement, (y) under other unsecured bank credit facilities or (z) under any unsecured notes, bonds or debentures; </w:t>
      </w:r>
    </w:p>
    <w:p>
      <w:pPr>
        <w:pStyle w:val="TextBody"/>
        <w:spacing w:before="180" w:after="0"/>
        <w:rPr>
          <w:rFonts w:ascii="Times New Roman" w:hAnsi="Times New Roman"/>
          <w:sz w:val="20"/>
        </w:rPr>
      </w:pPr>
      <w:r>
        <w:rPr>
          <w:rFonts w:ascii="Times New Roman" w:hAnsi="Times New Roman"/>
          <w:sz w:val="20"/>
        </w:rPr>
        <w:t xml:space="preserve">(e) Indebtedness under the Pine Prairie Lease and extensions, renewals and replacements of any such Indebtedness that do not increase the outstanding principal amount thereof except by an amount equal to a reasonable premium or other reasonable amount paid, and fees and expenses reasonably incurred, in connection with such extensions, renewals and replacements; and </w:t>
      </w:r>
    </w:p>
    <w:p>
      <w:pPr>
        <w:pStyle w:val="TextBody"/>
        <w:spacing w:before="180" w:after="0"/>
        <w:rPr>
          <w:rFonts w:ascii="Times New Roman" w:hAnsi="Times New Roman"/>
          <w:sz w:val="20"/>
        </w:rPr>
      </w:pPr>
      <w:r>
        <w:rPr>
          <w:rFonts w:ascii="Times New Roman" w:hAnsi="Times New Roman"/>
          <w:sz w:val="20"/>
        </w:rPr>
        <w:t xml:space="preserve">(f) other Indebtedness not otherwise permitted pursuant to the foregoing clauses (a), (b), (c), (d) and (e) in an aggregate principal amount at any time outstanding not to exceed 15% of the Borrowers Consolidated Net Tangible Assets. </w:t>
      </w:r>
    </w:p>
    <w:p>
      <w:pPr>
        <w:pStyle w:val="TextBody"/>
        <w:spacing w:before="180" w:after="0"/>
        <w:rPr>
          <w:rFonts w:ascii="Times New Roman" w:hAnsi="Times New Roman"/>
          <w:sz w:val="20"/>
        </w:rPr>
      </w:pPr>
      <w:r>
        <w:rPr>
          <w:rFonts w:ascii="Times New Roman" w:hAnsi="Times New Roman"/>
          <w:b/>
          <w:sz w:val="20"/>
        </w:rPr>
        <w:t xml:space="preserve">7.03 Fundamental Changes; Dispositions. </w:t>
      </w:r>
      <w:r>
        <w:rPr>
          <w:rFonts w:ascii="Times New Roman" w:hAnsi="Times New Roman"/>
          <w:sz w:val="20"/>
        </w:rPr>
        <w:t xml:space="preserve">Merge, dissolve, liquidate, consolidate with or into another Person, or sell, transfer, lease, exchange or otherwise dispose of (whether in one transaction or in a series of related transactions) all or substantially all of its assets (whether now owned or hereafter acquired) to or in favor of any Person, except that, so long as no Default exists or, upon giving pro forma effect thereto, would immediately result therefrom: </w:t>
      </w:r>
    </w:p>
    <w:p>
      <w:pPr>
        <w:pStyle w:val="TextBody"/>
        <w:spacing w:before="180" w:after="0"/>
        <w:rPr>
          <w:rFonts w:ascii="Times New Roman" w:hAnsi="Times New Roman"/>
          <w:sz w:val="20"/>
        </w:rPr>
      </w:pPr>
      <w:r>
        <w:rPr>
          <w:rFonts w:ascii="Times New Roman" w:hAnsi="Times New Roman"/>
          <w:sz w:val="20"/>
        </w:rPr>
        <w:t xml:space="preserve">(a) any Significant Restricted Person may merge, consolidate or amalgamate with another Person, </w:t>
      </w:r>
      <w:r>
        <w:rPr>
          <w:rFonts w:ascii="Times New Roman" w:hAnsi="Times New Roman"/>
          <w:sz w:val="20"/>
          <w:u w:val="single"/>
        </w:rPr>
        <w:t>provided</w:t>
      </w:r>
      <w:r>
        <w:rPr>
          <w:rFonts w:ascii="Times New Roman" w:hAnsi="Times New Roman"/>
          <w:sz w:val="20"/>
        </w:rPr>
        <w:t xml:space="preserve"> that (i) if such Significant Restricted Person is the Borrower, the Borrower shall be the acquiring, surviving or continuing entity, and (ii) as to any other Significant Restricted Person, (x) the Borrower or such Significant Restricted Person is the acquiring, surviving or continuing entity (or, with respect to any merger, consolidation or amalgamation involving such Significant Restricted Person, the surviving or continuing entity becomes a Significant Restricted Person in the transaction) or (y) such merger, consolidation or amalgamation is in connection with the sale, transfer, lease, exchange or other disposition of all or substantially all of such Significant Restricted Persons Equity Interests; </w:t>
      </w:r>
    </w:p>
    <w:p>
      <w:pPr>
        <w:pStyle w:val="TextBody"/>
        <w:spacing w:before="180" w:after="0"/>
        <w:rPr>
          <w:rFonts w:ascii="Times New Roman" w:hAnsi="Times New Roman"/>
          <w:sz w:val="20"/>
        </w:rPr>
      </w:pPr>
      <w:r>
        <w:rPr>
          <w:rFonts w:ascii="Times New Roman" w:hAnsi="Times New Roman"/>
          <w:sz w:val="20"/>
        </w:rPr>
        <w:t xml:space="preserve">(b) any Significant Restricted Person other than the Borrower may sell, transfer, lease exchange or otherwise dispose of all or substantially all of its assets (upon voluntary liquidation or otherwise); and </w:t>
      </w:r>
    </w:p>
    <w:p>
      <w:pPr>
        <w:pStyle w:val="TextBody"/>
        <w:spacing w:before="180" w:after="0"/>
        <w:rPr>
          <w:rFonts w:ascii="Times New Roman" w:hAnsi="Times New Roman"/>
          <w:sz w:val="20"/>
        </w:rPr>
      </w:pPr>
      <w:r>
        <w:rPr>
          <w:rFonts w:ascii="Times New Roman" w:hAnsi="Times New Roman"/>
          <w:sz w:val="20"/>
        </w:rPr>
        <w:t xml:space="preserve">(c) any Significant Restricted Person other than the Borrower may dissolve or liquidate if such dissolution or liquidation results from dispositions not prohibited by this Agreement. </w:t>
      </w:r>
    </w:p>
    <w:p>
      <w:pPr>
        <w:pStyle w:val="TextBody"/>
        <w:spacing w:before="180" w:after="0"/>
        <w:rPr>
          <w:rFonts w:ascii="Times New Roman" w:hAnsi="Times New Roman"/>
          <w:sz w:val="20"/>
        </w:rPr>
      </w:pPr>
      <w:r>
        <w:rPr>
          <w:rFonts w:ascii="Times New Roman" w:hAnsi="Times New Roman"/>
          <w:b/>
          <w:sz w:val="20"/>
        </w:rPr>
        <w:t xml:space="preserve">7.04 Restricted Payments. </w:t>
      </w:r>
      <w:r>
        <w:rPr>
          <w:rFonts w:ascii="Times New Roman" w:hAnsi="Times New Roman"/>
          <w:sz w:val="20"/>
        </w:rPr>
        <w:t xml:space="preserve">Declare or make any Restricted Payment unless no Default or Event of Default has occurred and is continuing or, immediately after giving effect thereto, would result therefrom. </w:t>
      </w:r>
    </w:p>
    <w:p>
      <w:pPr>
        <w:pStyle w:val="TextBody"/>
        <w:spacing w:before="180" w:after="0"/>
        <w:rPr>
          <w:rFonts w:ascii="Times New Roman" w:hAnsi="Times New Roman"/>
          <w:sz w:val="20"/>
        </w:rPr>
      </w:pPr>
      <w:r>
        <w:rPr>
          <w:rFonts w:ascii="Times New Roman" w:hAnsi="Times New Roman"/>
          <w:b/>
          <w:sz w:val="20"/>
        </w:rPr>
        <w:t>7.05 Transactions with Affiliates</w:t>
      </w:r>
      <w:r>
        <w:rPr>
          <w:rFonts w:ascii="Times New Roman" w:hAnsi="Times New Roman"/>
          <w:sz w:val="20"/>
        </w:rPr>
        <w:t xml:space="preserve">. Enter into any material transaction of any kind with any Affiliate of the Borrower, whether or not in the ordinary course of business, other than on terms that are no less favorable to the Borrower or such Restricted Person as would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obtainable by the Borrower or such Restricted Person at the time in an arms length transaction with a Person other than an Affiliate, </w:t>
      </w:r>
      <w:r>
        <w:rPr>
          <w:rFonts w:ascii="Times New Roman" w:hAnsi="Times New Roman"/>
          <w:sz w:val="20"/>
          <w:u w:val="single"/>
        </w:rPr>
        <w:t>provided</w:t>
      </w:r>
      <w:r>
        <w:rPr>
          <w:rFonts w:ascii="Times New Roman" w:hAnsi="Times New Roman"/>
          <w:sz w:val="20"/>
        </w:rPr>
        <w:t xml:space="preserve"> that the foregoing restriction shall not apply to any of the following transactions: (a) transactions between or among the Borrower and any of its Subsidiaries or between and among any Subsidiaries; (b) if and to the extent any of them constitute transactions with Affiliates, transactions governed by the Amended and Restated Omnibus Agreement between Plains Resources Inc., the Borrower, Plains Marketing, GP LLC, Plains Marketing GP, Inc. and Plains Pipeline (and successors of each) dated July 23, 2004, as amended and in effect; or the Amended and Restated Crude Oil Marketing Agreement among Plains Resources Inc., Calumet Florida, LLC and Plains Marketing dated as of July 23, 2004, as amended and in effect, (c) any employment, equity award, equity option or equity appreciation agreement or plan entered into by the Borrower or any of its Subsidiaries in the ordinary course of business of the Borrower or such Subsidiary; (d) transactions effected in accordance with the terms of agreements as in effect on the Closing Date; (e) customary compensation, indemnification and other benefits made available to officers, directors or employees of the Borrower, any of its Subsidiaries or the General Partner, including reimbursement or advancement of out-of-pocket expenses and provisions of officers and directors liability insurance; and (f) transactions as contemplated by the Borrowers agreement of limited partnership. </w:t>
      </w:r>
    </w:p>
    <w:p>
      <w:pPr>
        <w:pStyle w:val="TextBody"/>
        <w:spacing w:before="180" w:after="0"/>
        <w:rPr>
          <w:rFonts w:ascii="Times New Roman" w:hAnsi="Times New Roman"/>
          <w:sz w:val="20"/>
        </w:rPr>
      </w:pPr>
      <w:r>
        <w:rPr>
          <w:rFonts w:ascii="Times New Roman" w:hAnsi="Times New Roman"/>
          <w:b/>
          <w:sz w:val="20"/>
        </w:rPr>
        <w:t xml:space="preserve">7.06 Burdensome Agreements. </w:t>
      </w:r>
      <w:r>
        <w:rPr>
          <w:rFonts w:ascii="Times New Roman" w:hAnsi="Times New Roman"/>
          <w:sz w:val="20"/>
        </w:rPr>
        <w:t xml:space="preserve">Except as expressly provided for in the Loan Documents, as described in any Schedule hereto or pursuant to a Restriction Exception, the substance of which, in detail reasonably satisfactory to the Administrative Agent, is promptly reported to Administrative Agent, enter into any Contractual Obligation that limits the ability (a) of any Significant Restricted Person to make Restricted Payments to the Borrower or otherwise to transfer property to the Borrower, (b) of any Significant Restricted Person to redeem Equity Interests held in it by the Borrower, (c) of any Significant Restricted Person to repay loans and other Indebtedness owing by it to the Borrower, or (d) of any Significant Restricted Person to guarantee the payment of Indebtedness of the Borrower (excluding in each such case any restrictions with respect to PNGS and its Subsidiaries contained in (i) documents governing Indebtedness of PNGS and its Subsidiaries permitted under </w:t>
      </w:r>
      <w:r>
        <w:rPr>
          <w:rFonts w:ascii="Times New Roman" w:hAnsi="Times New Roman"/>
          <w:sz w:val="20"/>
          <w:u w:val="single"/>
        </w:rPr>
        <w:t>Section 7.02(d)(ii)</w:t>
      </w:r>
      <w:r>
        <w:rPr>
          <w:rFonts w:ascii="Times New Roman" w:hAnsi="Times New Roman"/>
          <w:sz w:val="20"/>
        </w:rPr>
        <w:t xml:space="preserve"> or (ii) the organizational and governance documents of PNGS as in effect on the Closing Date). </w:t>
      </w:r>
    </w:p>
    <w:p>
      <w:pPr>
        <w:pStyle w:val="TextBody"/>
        <w:spacing w:before="180" w:after="0"/>
        <w:rPr>
          <w:rFonts w:ascii="Times New Roman" w:hAnsi="Times New Roman"/>
          <w:sz w:val="20"/>
        </w:rPr>
      </w:pPr>
      <w:r>
        <w:rPr>
          <w:rFonts w:ascii="Times New Roman" w:hAnsi="Times New Roman"/>
          <w:b/>
          <w:sz w:val="20"/>
        </w:rPr>
        <w:t xml:space="preserve">7.07 Use of Proceeds. </w:t>
      </w:r>
      <w:r>
        <w:rPr>
          <w:rFonts w:ascii="Times New Roman" w:hAnsi="Times New Roman"/>
          <w:sz w:val="20"/>
        </w:rPr>
        <w:t xml:space="preserve">Use the proceeds of any Loans, whether directly or indirectly, and whether immediately, incidentally or ultimately, to purchase or carry margin stock or to extend credit to others for the purpose of purchasing or carrying margin stock or to refund indebtedness originally incurred for such purpose (within the meaning of Regulation U of the FRB). </w:t>
      </w:r>
    </w:p>
    <w:p>
      <w:pPr>
        <w:pStyle w:val="TextBody"/>
        <w:spacing w:before="180" w:after="0"/>
        <w:rPr>
          <w:rFonts w:ascii="Times New Roman" w:hAnsi="Times New Roman"/>
          <w:sz w:val="20"/>
        </w:rPr>
      </w:pPr>
      <w:r>
        <w:rPr>
          <w:rFonts w:ascii="Times New Roman" w:hAnsi="Times New Roman"/>
          <w:b/>
          <w:sz w:val="20"/>
        </w:rPr>
        <w:t xml:space="preserve">7.08 Consolidated Leverage Ratio. </w:t>
      </w:r>
      <w:r>
        <w:rPr>
          <w:rFonts w:ascii="Times New Roman" w:hAnsi="Times New Roman"/>
          <w:sz w:val="20"/>
        </w:rPr>
        <w:t xml:space="preserve">Permit the Consolidated Leverage Ratio as of the end of any fiscal quarter of the Borrower to be greater than the ratio set forth below opposite such period, calculated, with respect to Consolidated EBITDA, on a trailing four-quarter basis: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tbl>
      <w:tblPr>
        <w:tblW w:w="3400" w:type="pct"/>
        <w:jc w:val="center"/>
        <w:tblInd w:w="0" w:type="dxa"/>
        <w:tblCellMar>
          <w:top w:w="0" w:type="dxa"/>
          <w:left w:w="0" w:type="dxa"/>
          <w:bottom w:w="0" w:type="dxa"/>
          <w:right w:w="0" w:type="dxa"/>
        </w:tblCellMar>
      </w:tblPr>
      <w:tblGrid>
        <w:gridCol w:w="5291"/>
        <w:gridCol w:w="575"/>
        <w:gridCol w:w="74"/>
        <w:gridCol w:w="876"/>
        <w:gridCol w:w="123"/>
      </w:tblGrid>
      <w:tr>
        <w:trPr/>
        <w:tc>
          <w:tcPr>
            <w:tcW w:w="5291"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291"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Applicable Period</w:t>
            </w:r>
          </w:p>
        </w:tc>
        <w:tc>
          <w:tcPr>
            <w:tcW w:w="575" w:type="dxa"/>
            <w:tcBorders/>
            <w:shd w:fill="auto" w:val="clear"/>
            <w:vAlign w:val="bottom"/>
          </w:tcPr>
          <w:p>
            <w:pPr>
              <w:pStyle w:val="TableContents"/>
              <w:spacing w:before="0" w:after="283"/>
              <w:rPr/>
            </w:pPr>
            <w:r>
              <w:rPr/>
              <w:t>  </w:t>
            </w:r>
          </w:p>
        </w:tc>
        <w:tc>
          <w:tcPr>
            <w:tcW w:w="9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Maximum</w:t>
              <w:br/>
              <w:t>Consolidated</w:t>
              <w:br/>
              <w:t>Leverage Ratio</w:t>
            </w:r>
          </w:p>
        </w:tc>
        <w:tc>
          <w:tcPr>
            <w:tcW w:w="123" w:type="dxa"/>
            <w:tcBorders/>
            <w:shd w:fill="auto" w:val="clear"/>
            <w:vAlign w:val="bottom"/>
          </w:tcPr>
          <w:p>
            <w:pPr>
              <w:pStyle w:val="TableContents"/>
              <w:spacing w:before="0" w:after="283"/>
              <w:rPr/>
            </w:pPr>
            <w:r>
              <w:rPr/>
              <w:t> </w:t>
            </w:r>
          </w:p>
        </w:tc>
      </w:tr>
      <w:tr>
        <w:trPr/>
        <w:tc>
          <w:tcPr>
            <w:tcW w:w="5291" w:type="dxa"/>
            <w:tcBorders/>
            <w:shd w:fill="CCEEFF" w:val="clear"/>
          </w:tcPr>
          <w:p>
            <w:pPr>
              <w:pStyle w:val="TableContents"/>
              <w:spacing w:before="0" w:after="283"/>
              <w:rPr>
                <w:rFonts w:ascii="Times New Roman" w:hAnsi="Times New Roman"/>
                <w:sz w:val="20"/>
              </w:rPr>
            </w:pPr>
            <w:r>
              <w:rPr>
                <w:rFonts w:ascii="Times New Roman" w:hAnsi="Times New Roman"/>
                <w:sz w:val="20"/>
              </w:rPr>
              <w:t>(i) During an Acquisition Period</w:t>
            </w:r>
          </w:p>
        </w:tc>
        <w:tc>
          <w:tcPr>
            <w:tcW w:w="57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5.50:1.0</w:t>
            </w:r>
          </w:p>
        </w:tc>
        <w:tc>
          <w:tcPr>
            <w:tcW w:w="123" w:type="dxa"/>
            <w:tcBorders/>
            <w:shd w:fill="CCEEFF" w:val="clear"/>
            <w:vAlign w:val="bottom"/>
          </w:tcPr>
          <w:p>
            <w:pPr>
              <w:pStyle w:val="TableContents"/>
              <w:spacing w:before="0" w:after="283"/>
              <w:rPr/>
            </w:pPr>
            <w:r>
              <w:rPr/>
              <w:t>  </w:t>
            </w:r>
          </w:p>
        </w:tc>
      </w:tr>
      <w:tr>
        <w:trPr/>
        <w:tc>
          <w:tcPr>
            <w:tcW w:w="5291" w:type="dxa"/>
            <w:tcBorders/>
            <w:shd w:fill="auto" w:val="clear"/>
          </w:tcPr>
          <w:p>
            <w:pPr>
              <w:pStyle w:val="TableContents"/>
              <w:spacing w:before="0" w:after="283"/>
              <w:rPr>
                <w:rFonts w:ascii="Times New Roman" w:hAnsi="Times New Roman"/>
                <w:sz w:val="20"/>
              </w:rPr>
            </w:pPr>
            <w:r>
              <w:rPr>
                <w:rFonts w:ascii="Times New Roman" w:hAnsi="Times New Roman"/>
                <w:sz w:val="20"/>
              </w:rPr>
              <w:t>(ii) Other than during an Acquisition Period</w:t>
            </w:r>
          </w:p>
        </w:tc>
        <w:tc>
          <w:tcPr>
            <w:tcW w:w="5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5.00:1.0</w:t>
            </w:r>
          </w:p>
        </w:tc>
        <w:tc>
          <w:tcPr>
            <w:tcW w:w="123"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for purposes of this </w:t>
      </w:r>
      <w:r>
        <w:rPr>
          <w:rFonts w:ascii="Times New Roman" w:hAnsi="Times New Roman"/>
          <w:sz w:val="20"/>
          <w:u w:val="single"/>
        </w:rPr>
        <w:t>Section 7.08</w:t>
      </w:r>
      <w:r>
        <w:rPr>
          <w:rFonts w:ascii="Times New Roman" w:hAnsi="Times New Roman"/>
          <w:sz w:val="20"/>
        </w:rPr>
        <w:t xml:space="preserve">, Consolidated EBITDA may include, at the Borrowers option (a) any Material Project EBITDA Adjustments as provided below, limited in each case with respect to any non-wholly-owned Subsidiaries to a proportional amount of such adjustments equal to the Borrowers direct or indirect ownership interest therein, and (b) any New Cavern EBITDA Adjustments and Material Project EBITDA Adjustments (as such terms are defined in </w:t>
      </w:r>
      <w:r>
        <w:rPr>
          <w:rFonts w:ascii="Times New Roman" w:hAnsi="Times New Roman"/>
          <w:sz w:val="20"/>
          <w:u w:val="single"/>
        </w:rPr>
        <w:t>Section 7.09</w:t>
      </w:r>
      <w:r>
        <w:rPr>
          <w:rFonts w:ascii="Times New Roman" w:hAnsi="Times New Roman"/>
          <w:sz w:val="20"/>
        </w:rPr>
        <w:t xml:space="preserve"> of the PNGS Credit Agreement) (collectively, </w:t>
      </w:r>
      <w:r>
        <w:rPr>
          <w:rFonts w:ascii="Times New Roman" w:hAnsi="Times New Roman"/>
          <w:sz w:val="20"/>
          <w:u w:val="single"/>
        </w:rPr>
        <w:t>PNGS EBITDA Adjustments</w:t>
      </w:r>
      <w:r>
        <w:rPr>
          <w:rFonts w:ascii="Times New Roman" w:hAnsi="Times New Roman"/>
          <w:sz w:val="20"/>
        </w:rPr>
        <w:t xml:space="preserve">), limited to a proportional amount of such adjustments equal to the Borrowers direct or indirect ownership interest in PNGS. </w:t>
      </w:r>
    </w:p>
    <w:p>
      <w:pPr>
        <w:pStyle w:val="TextBody"/>
        <w:spacing w:before="180" w:after="0"/>
        <w:rPr>
          <w:rFonts w:ascii="Times New Roman" w:hAnsi="Times New Roman"/>
          <w:sz w:val="20"/>
        </w:rPr>
      </w:pPr>
      <w:r>
        <w:rPr>
          <w:rFonts w:ascii="Times New Roman" w:hAnsi="Times New Roman"/>
          <w:sz w:val="20"/>
        </w:rPr>
        <w:t>As used herein, </w:t>
      </w:r>
      <w:r>
        <w:rPr>
          <w:rFonts w:ascii="Times New Roman" w:hAnsi="Times New Roman"/>
          <w:sz w:val="20"/>
          <w:u w:val="single"/>
        </w:rPr>
        <w:t>Material Project EBITDA Adjustments</w:t>
      </w:r>
      <w:r>
        <w:rPr>
          <w:rFonts w:ascii="Times New Roman" w:hAnsi="Times New Roman"/>
          <w:sz w:val="20"/>
        </w:rPr>
        <w:t> means, with respect to the construction or expansion of any capital project of the Borrower or any of its Subsidiaries (other than PNGS) (excluding, for the avoidance of doubt, Unrestricted Subsidiaries), the aggregate capital cost of which (inclusive of capital costs expended prior to the acquisition thereof) is reasonably expected by the Borrower to exceed, or exceeds, $50,000,000 (a </w:t>
      </w:r>
      <w:r>
        <w:rPr>
          <w:rFonts w:ascii="Times New Roman" w:hAnsi="Times New Roman"/>
          <w:sz w:val="20"/>
          <w:u w:val="single"/>
        </w:rPr>
        <w:t>Material Project</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(A) prior to the date on which a Material Project has achieved commercial operation (the </w:t>
      </w:r>
      <w:r>
        <w:rPr>
          <w:rFonts w:ascii="Times New Roman" w:hAnsi="Times New Roman"/>
          <w:sz w:val="20"/>
          <w:u w:val="single"/>
        </w:rPr>
        <w:t>Commercial Operation Date</w:t>
      </w:r>
      <w:r>
        <w:rPr>
          <w:rFonts w:ascii="Times New Roman" w:hAnsi="Times New Roman"/>
          <w:sz w:val="20"/>
        </w:rPr>
        <w:t xml:space="preserve">) (but including the fiscal quarter in which such Commercial Operation Date occurs), a percentage (based on the then-current completion percentage of such Material Project) of an amount to be approved by the Administrative Agent as the projected Consolidated EBITDA attributable to such Material Project for the first 12-month period following the scheduled Commercial Operation Date of such Material Project, such amount based only on (i) projected revenues from firm fixed-fee contracts (subject to adjustments for customer creditworthiness) and tariffs relating to such Material Project, less expenses, (ii) projected Commercial Operations Date (to be no more than 18 months from the fiscal quarter in which such Material Project EBITDA Adjustment is initially proposed), and (iii) other factors reasonably deemed appropriate by the Administrative Agent, which may, at the Borrowers option, be added to actual Consolidated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Consolidated EBITDA attributable to such Material Project following such Commercial Operation Date); </w:t>
      </w:r>
      <w:r>
        <w:rPr>
          <w:rFonts w:ascii="Times New Roman" w:hAnsi="Times New Roman"/>
          <w:sz w:val="20"/>
          <w:u w:val="single"/>
        </w:rPr>
        <w:t>provided</w:t>
      </w:r>
      <w:r>
        <w:rPr>
          <w:rFonts w:ascii="Times New Roman" w:hAnsi="Times New Roman"/>
          <w:sz w:val="20"/>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Times New Roman" w:hAnsi="Times New Roman"/>
          <w:b/>
          <w:sz w:val="20"/>
        </w:rPr>
        <w:t>,</w:t>
      </w:r>
      <w:r>
        <w:rPr>
          <w:rFonts w:ascii="Times New Roman" w:hAnsi="Times New Roman"/>
          <w:sz w:val="20"/>
        </w:rPr>
        <w:t xml:space="preserve"> (iii) longer than 180 days but not more than 270 days, 50%, (iv) longer than 270 days but not more than 365 days, 75%, and (v) longer than 365 days, 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beginning with the first full fiscal quarter following the Commercial Operation Date of a Material Project and for the two immediately succeeding fiscal quarters, an amount to be approved by the Administrative Agent as the projected Consolidated EBITDA attributable to such Material Project for the balance of the four full fiscal quarter period following such Commercial Operation Date, which may, at the Borrowers option, be added to actual Consolidated EBITDA for such fiscal quarters; and </w:t>
      </w:r>
    </w:p>
    <w:p>
      <w:pPr>
        <w:pStyle w:val="TextBody"/>
        <w:spacing w:before="90" w:after="0"/>
        <w:rPr>
          <w:rFonts w:ascii="Times New Roman" w:hAnsi="Times New Roman"/>
          <w:sz w:val="20"/>
        </w:rPr>
      </w:pPr>
      <w:r>
        <w:rPr>
          <w:rFonts w:ascii="Times New Roman" w:hAnsi="Times New Roman"/>
          <w:sz w:val="20"/>
        </w:rPr>
        <w:t xml:space="preserve">(C) the aggregate amount of all Material Project EBITDA Adjustments and PNGS EBITDA Adjustments during any period shall be limited to 15% of the total actual Consolidated EBITDA for such period (which total actual Consolidated EBITDA shall be determined without including any Material Project EBITDA Adjustments or PNGS EBITDA Adjustments). </w:t>
      </w:r>
    </w:p>
    <w:p>
      <w:pPr>
        <w:pStyle w:val="TextBody"/>
        <w:spacing w:before="180" w:after="0"/>
        <w:rPr>
          <w:rFonts w:ascii="Times New Roman" w:hAnsi="Times New Roman"/>
          <w:sz w:val="20"/>
        </w:rPr>
      </w:pPr>
      <w:r>
        <w:rPr>
          <w:rFonts w:ascii="Times New Roman" w:hAnsi="Times New Roman"/>
          <w:sz w:val="20"/>
        </w:rPr>
        <w:t xml:space="preserve">In addition, for purposes of this </w:t>
      </w:r>
      <w:r>
        <w:rPr>
          <w:rFonts w:ascii="Times New Roman" w:hAnsi="Times New Roman"/>
          <w:sz w:val="20"/>
          <w:u w:val="single"/>
        </w:rPr>
        <w:t>Section 7.08</w:t>
      </w:r>
      <w:r>
        <w:rPr>
          <w:rFonts w:ascii="Times New Roman" w:hAnsi="Times New Roman"/>
          <w:sz w:val="20"/>
        </w:rPr>
        <w:t xml:space="preserve">, Hybrid Securities up to an aggregate principal amount of 15% of Consolidated Total Capitalization shall be excluded from Consolidated Funded Indebtedness. </w:t>
      </w:r>
    </w:p>
    <w:p>
      <w:pPr>
        <w:pStyle w:val="TextBody"/>
        <w:spacing w:before="180" w:after="0"/>
        <w:rPr>
          <w:rFonts w:ascii="Times New Roman" w:hAnsi="Times New Roman"/>
          <w:sz w:val="20"/>
        </w:rPr>
      </w:pPr>
      <w:r>
        <w:rPr>
          <w:rFonts w:ascii="Times New Roman" w:hAnsi="Times New Roman"/>
          <w:i/>
          <w:sz w:val="20"/>
          <w:u w:val="single"/>
        </w:rPr>
        <w:t>Deliverables for Material Project EBITDA Adjustments and PNGS EBITDA Adjustments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Borrower shall, no later than three Business Days prior to its delivery of a Compliance Certificate for any fiscal quarter for which the Borrower desires to include Material Project EBITDA Adjustments or PNGS EBITDA Adjustments, deliver to Administrative Agent, in form and substance reasonably satisfactory to Administrative Agent and certified by a financial officer of the Borrower, written pro forma projections of Consolidated EBITDA attributable to such Material Project EBITDA Adjustments or PNGS EBITDA Adjustments, and such other related information and documentation reasonably requested by and reasonably satisfactory to Administrative Agent in all respects, including with respect to Material Project EBITDA Adjustments, certification as to Material Project completion percentage, expected Commercial Operations Date and no material delays with respect thereto and with respect to PNGS EBITDA Adjustments such information with respect to the calculation thereof pursuant to the PNGS Credit Agreement. </w:t>
      </w:r>
    </w:p>
    <w:p>
      <w:pPr>
        <w:pStyle w:val="TextBody"/>
        <w:spacing w:before="270" w:after="0"/>
        <w:rPr>
          <w:rFonts w:ascii="Times New Roman" w:hAnsi="Times New Roman"/>
          <w:sz w:val="20"/>
        </w:rPr>
      </w:pPr>
      <w:r>
        <w:rPr>
          <w:rFonts w:ascii="Times New Roman" w:hAnsi="Times New Roman"/>
          <w:b/>
          <w:sz w:val="20"/>
        </w:rPr>
        <w:t>7.09 Unrestricted Subsidiaries .</w:t>
      </w:r>
      <w:r>
        <w:rPr>
          <w:rFonts w:ascii="Times New Roman" w:hAnsi="Times New Roman"/>
          <w:sz w:val="20"/>
        </w:rPr>
        <w:t xml:space="preserve"> So long as no Default or Event of Default has occurred and is continuing, and immediately after giving effect to such designation on a pro forma basis, no Default or Event of Default would result therefrom, the Borrower or any wholly-owned Subsidiary of the Borrower may designate one or more Subsidiaries as Unrestricted Subsidiaries (each such Subsidiary, and each of its Subsidiaries, an </w:t>
      </w:r>
      <w:r>
        <w:rPr>
          <w:rFonts w:ascii="Times New Roman" w:hAnsi="Times New Roman"/>
          <w:sz w:val="20"/>
          <w:u w:val="single"/>
        </w:rPr>
        <w:t>Unrestricted Subsidiary</w:t>
      </w:r>
      <w:r>
        <w:rPr>
          <w:rFonts w:ascii="Times New Roman" w:hAnsi="Times New Roman"/>
          <w:sz w:val="20"/>
        </w:rPr>
        <w:t xml:space="preserve">), which Unrestricted Subsidiaries shall be subject to the following: </w:t>
      </w:r>
    </w:p>
    <w:p>
      <w:pPr>
        <w:pStyle w:val="TextBody"/>
        <w:spacing w:before="180" w:after="0"/>
        <w:rPr>
          <w:rFonts w:ascii="Times New Roman" w:hAnsi="Times New Roman"/>
          <w:sz w:val="20"/>
        </w:rPr>
      </w:pPr>
      <w:r>
        <w:rPr>
          <w:rFonts w:ascii="Times New Roman" w:hAnsi="Times New Roman"/>
          <w:sz w:val="20"/>
        </w:rPr>
        <w:t xml:space="preserve">(a) No Unrestricted Subsidiary shall be deemed to be a Restricted Person or a Subsidiary of the Borrower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w:t>
      </w:r>
      <w:r>
        <w:rPr>
          <w:rFonts w:ascii="Times New Roman" w:hAnsi="Times New Roman"/>
          <w:sz w:val="20"/>
          <w:u w:val="single"/>
        </w:rPr>
        <w:t>Section 7.09</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No Restricted Person shall guarantee or otherwise become liable in respect of any Indebtedness of, grant any Lien on any of its property (other than its Equity Interests in an Unrestricted Subsidiary)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 obtained in a comparable arms length transaction with a non-Affiliate of such Restricted Person; </w:t>
      </w:r>
      <w:r>
        <w:rPr>
          <w:rFonts w:ascii="Times New Roman" w:hAnsi="Times New Roman"/>
          <w:sz w:val="20"/>
          <w:u w:val="single"/>
        </w:rPr>
        <w:t>provided</w:t>
      </w:r>
      <w:r>
        <w:rPr>
          <w:rFonts w:ascii="Times New Roman" w:hAnsi="Times New Roman"/>
          <w:sz w:val="20"/>
        </w:rPr>
        <w:t xml:space="preserve">, Restricted Persons may guarantee trade accounts payable of Unrestricted Subsidiaries that arise in the ordinary course of business in an amount not to exceed five percent (5%) of the Borrowers Consolidated Net Tangible Assets. </w:t>
      </w:r>
    </w:p>
    <w:p>
      <w:pPr>
        <w:pStyle w:val="TextBody"/>
        <w:spacing w:before="180" w:after="0"/>
        <w:rPr>
          <w:rFonts w:ascii="Times New Roman" w:hAnsi="Times New Roman"/>
          <w:sz w:val="20"/>
        </w:rPr>
      </w:pPr>
      <w:r>
        <w:rPr>
          <w:rFonts w:ascii="Times New Roman" w:hAnsi="Times New Roman"/>
          <w:sz w:val="20"/>
        </w:rPr>
        <w:t xml:space="preserve">(c) The Borrower shall at all times maintain, as between Restricted Persons and Unrestricted Subsidiaries, the separate existence of each Unrestricted Subsidiary. </w:t>
      </w:r>
    </w:p>
    <w:p>
      <w:pPr>
        <w:pStyle w:val="TextBody"/>
        <w:spacing w:before="180" w:after="0"/>
        <w:rPr>
          <w:rFonts w:ascii="Times New Roman" w:hAnsi="Times New Roman"/>
          <w:sz w:val="20"/>
        </w:rPr>
      </w:pPr>
      <w:r>
        <w:rPr>
          <w:rFonts w:ascii="Times New Roman" w:hAnsi="Times New Roman"/>
          <w:sz w:val="20"/>
        </w:rPr>
        <w:t xml:space="preserve">(d) Restricted Persons shall notify each Lender Party, not later than five (5) Business Days after any executive officer of Restricted Persons has knowledge of, any claim, including any claim under any Environmental Law, or any notice of potential liability under any Environmental Law, asserted against any Unrestricted Subsidiary or with respect to any Unrestricted Subsidiarys properties that would reasonably be expected to result in a Material Adverse Effect, stating that such notice is being given pursuant to this </w:t>
      </w:r>
      <w:r>
        <w:rPr>
          <w:rFonts w:ascii="Times New Roman" w:hAnsi="Times New Roman"/>
          <w:sz w:val="20"/>
          <w:u w:val="single"/>
        </w:rPr>
        <w:t>Section 7.09</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Borrower may designate any Unrestricted Subsidiary to become a Restricted Person if a Default or Event of Default is not continuing, such designation would not, immediately after giving effect thereto, result in a Default or an Event of Default, and immediately thereafter such Subsidiary has no outstanding Indebtedness. Immediately thereafter, the Borrower shall promptly notify Administrative Agent of such designation and provide to it an officers certificate that such designation was made in compliance with this </w:t>
      </w:r>
      <w:r>
        <w:rPr>
          <w:rFonts w:ascii="Times New Roman" w:hAnsi="Times New Roman"/>
          <w:sz w:val="20"/>
          <w:u w:val="single"/>
        </w:rPr>
        <w:t>Section 7.09</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 xml:space="preserve">ARTICLE VIII. EVENTS OF DEFAULT AND REMEDIES </w:t>
      </w:r>
    </w:p>
    <w:p>
      <w:pPr>
        <w:pStyle w:val="TextBody"/>
        <w:spacing w:before="180" w:after="0"/>
        <w:rPr>
          <w:rFonts w:ascii="Times New Roman" w:hAnsi="Times New Roman"/>
          <w:sz w:val="20"/>
        </w:rPr>
      </w:pPr>
      <w:r>
        <w:rPr>
          <w:rFonts w:ascii="Times New Roman" w:hAnsi="Times New Roman"/>
          <w:b/>
          <w:sz w:val="20"/>
        </w:rPr>
        <w:t>8.01 Events of Default</w:t>
      </w:r>
      <w:r>
        <w:rPr>
          <w:rFonts w:ascii="Times New Roman" w:hAnsi="Times New Roman"/>
          <w:sz w:val="20"/>
        </w:rPr>
        <w:t xml:space="preserve">. Any of the following shall constitute an Event of Default: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Non-Payment</w:t>
      </w:r>
      <w:r>
        <w:rPr>
          <w:rFonts w:ascii="Times New Roman" w:hAnsi="Times New Roman"/>
          <w:sz w:val="20"/>
        </w:rPr>
        <w:t xml:space="preserve">. The Borrower fails to pay (i) when due and payable, any amount of principal of any Loan, or (ii) within three Business Days after the same becomes due and payable, any interest on any Loan, or any fee due hereunder pursuant to </w:t>
      </w:r>
      <w:r>
        <w:rPr>
          <w:rFonts w:ascii="Times New Roman" w:hAnsi="Times New Roman"/>
          <w:sz w:val="20"/>
          <w:u w:val="single"/>
        </w:rPr>
        <w:t>Section 2.07</w:t>
      </w:r>
      <w:r>
        <w:rPr>
          <w:rFonts w:ascii="Times New Roman" w:hAnsi="Times New Roman"/>
          <w:sz w:val="20"/>
        </w:rPr>
        <w:t xml:space="preserve">, or (iii) within five Business Days after the same becomes due, any other amount payable hereunder or under any other Loan Document; or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Specific Covenants</w:t>
      </w:r>
      <w:r>
        <w:rPr>
          <w:rFonts w:ascii="Times New Roman" w:hAnsi="Times New Roman"/>
          <w:sz w:val="20"/>
        </w:rPr>
        <w:t xml:space="preserve">. The Borrower fails to perform or observe any term, covenant or agreement contained in any of </w:t>
      </w:r>
      <w:r>
        <w:rPr>
          <w:rFonts w:ascii="Times New Roman" w:hAnsi="Times New Roman"/>
          <w:sz w:val="20"/>
          <w:u w:val="single"/>
        </w:rPr>
        <w:t>Section 6.03</w:t>
      </w:r>
      <w:r>
        <w:rPr>
          <w:rFonts w:ascii="Times New Roman" w:hAnsi="Times New Roman"/>
          <w:sz w:val="20"/>
        </w:rPr>
        <w:t xml:space="preserve"> or </w:t>
      </w:r>
      <w:r>
        <w:rPr>
          <w:rFonts w:ascii="Times New Roman" w:hAnsi="Times New Roman"/>
          <w:sz w:val="20"/>
          <w:u w:val="single"/>
        </w:rPr>
        <w:t>Article VII</w:t>
      </w:r>
      <w:r>
        <w:rPr>
          <w:rFonts w:ascii="Times New Roman" w:hAnsi="Times New Roman"/>
          <w:sz w:val="20"/>
        </w:rPr>
        <w:t xml:space="preserve">; or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Defaults</w:t>
      </w:r>
      <w:r>
        <w:rPr>
          <w:rFonts w:ascii="Times New Roman" w:hAnsi="Times New Roman"/>
          <w:sz w:val="20"/>
        </w:rPr>
        <w:t xml:space="preserve">. The Borrower fails to perform or comply with any of its obligations under any other covenant or agreement (not specified in subsection (a) or (b) above) contained in any Loan Document to which it is a party on its part to be performed or complied with and such failure continues for 30 days after notice of such failure is given by the Administrative Agent to the Borrower;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Representations and Warranties</w:t>
      </w:r>
      <w:r>
        <w:rPr>
          <w:rFonts w:ascii="Times New Roman" w:hAnsi="Times New Roman"/>
          <w:sz w:val="20"/>
        </w:rPr>
        <w:t xml:space="preserve">. Any representation or warranty made or deemed made by or on behalf of the Borrower herein or in any other Loan Document shall be incorrect when made or deemed made in any material respect; or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Cross-Default</w:t>
      </w:r>
      <w:r>
        <w:rPr>
          <w:rFonts w:ascii="Times New Roman" w:hAnsi="Times New Roman"/>
          <w:sz w:val="20"/>
        </w:rPr>
        <w:t xml:space="preserve">. (i) The Borrower or any Restricted Person (A) fails to make any payment when due and payable (whether by scheduled maturity, required prepayment, acceleration, demand, or otherwise) of any principal of or interest on any Indebtedness (other than Indebtedness hereunder and Indebtedness under Swap Contracts) in an aggregate principal amount which exceeds the Threshold Amount, and such failure continues after the passing of the applicable notice and grace periods, (other than such Indebtedness the validity of which is being contested in good faith, by appropriate proceedings (if necessary) and for which adequate reserves with respect thereto are maintained on the books of such Restricted Person as required by GAAP) or (B) fails to observe or perform any other agreement or condition relating to any such Indebtedness or contained in any instrument or agreement evidencing, securing or relating thereto, or any other event occurs, in each case, beyond the applicable grace, cure, extension, forbearance or similar period, if the effect of which failure or other event is to cause, or to permit the holder or holders of such Indebtedness (or a trustee or agent on behalf of such holder or holders)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(1) the Swap Termination Value owed by the Borrower or such Subsidiary as a result thereof is greater than the Threshold Amount (other than amounts under such Swap Contract, the validity of which are being contested in good faith, by appropriate proceedings (if necessary) and for which adequate reserves with respect thereto are maintained on the books of such Restricted Person as required by GAAP), (2) after giving effect to any applicable grace, cure, extension, forbearance or similar period, the effect of such Early Termination Date is to cause such Swap Termination Value to become due, and (3) such Swap Termination Value has not been paid when due; or </w:t>
      </w:r>
    </w:p>
    <w:p>
      <w:pPr>
        <w:pStyle w:val="TextBody"/>
        <w:spacing w:before="180" w:after="0"/>
        <w:rPr>
          <w:rFonts w:ascii="Times New Roman" w:hAnsi="Times New Roman"/>
          <w:sz w:val="20"/>
        </w:rPr>
      </w:pPr>
      <w:r>
        <w:rPr>
          <w:rFonts w:ascii="Times New Roman" w:hAnsi="Times New Roman"/>
          <w:sz w:val="20"/>
        </w:rPr>
        <w:t xml:space="preserve">(f) </w:t>
      </w:r>
      <w:r>
        <w:rPr>
          <w:rFonts w:ascii="Times New Roman" w:hAnsi="Times New Roman"/>
          <w:sz w:val="20"/>
          <w:u w:val="single"/>
        </w:rPr>
        <w:t>Insolvency Proceedings, Etc.</w:t>
      </w:r>
      <w:r>
        <w:rPr>
          <w:rFonts w:ascii="Times New Roman" w:hAnsi="Times New Roman"/>
          <w:sz w:val="20"/>
        </w:rPr>
        <w:t xml:space="preserve"> The Borrower, any other Significant Restricted Person, GP LLC, Plains AAP or the General Partner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 </w:t>
      </w:r>
      <w:r>
        <w:rPr>
          <w:rFonts w:ascii="Times New Roman" w:hAnsi="Times New Roman"/>
          <w:sz w:val="20"/>
          <w:u w:val="single"/>
        </w:rPr>
        <w:t>Inability to Pay Debts; Attachment</w:t>
      </w:r>
      <w:r>
        <w:rPr>
          <w:rFonts w:ascii="Times New Roman" w:hAnsi="Times New Roman"/>
          <w:sz w:val="20"/>
        </w:rPr>
        <w:t xml:space="preserve">. (i) The Borrower or any other Significant Restricted Person becomes unable or admits in writing its inability or fails generally to pay its debts as they become due, or (ii) any writ or warrant of attachment or execution or similar process is issued or levied against all or any material part of the property of any such Person and is not stayed, released, vacated or fully bonded within 60 days (or such longer period for which a stay of enforcement is allowed by applicable Law) after its issue or levy; or </w:t>
      </w:r>
    </w:p>
    <w:p>
      <w:pPr>
        <w:pStyle w:val="TextBody"/>
        <w:spacing w:before="180" w:after="0"/>
        <w:rPr>
          <w:rFonts w:ascii="Times New Roman" w:hAnsi="Times New Roman"/>
          <w:sz w:val="20"/>
        </w:rPr>
      </w:pPr>
      <w:r>
        <w:rPr>
          <w:rFonts w:ascii="Times New Roman" w:hAnsi="Times New Roman"/>
          <w:sz w:val="20"/>
        </w:rPr>
        <w:t xml:space="preserve">(h) </w:t>
      </w:r>
      <w:r>
        <w:rPr>
          <w:rFonts w:ascii="Times New Roman" w:hAnsi="Times New Roman"/>
          <w:sz w:val="20"/>
          <w:u w:val="single"/>
        </w:rPr>
        <w:t>Judgments</w:t>
      </w:r>
      <w:r>
        <w:rPr>
          <w:rFonts w:ascii="Times New Roman" w:hAnsi="Times New Roman"/>
          <w:sz w:val="20"/>
        </w:rPr>
        <w:t xml:space="preserve">. There is entered against any Significant Restricted Person a final judgment for the payment of money in an aggregate amount (as to all such judgments or orders) which exceeds $50,000,000 (to the extent not covered by independent third-party insurance as to which such insurer has not disputed coverage, or self-insurance reasonably acceptable to the Administrative Agent) at any one time outstanding and prior to the discharge thereof, (i) enforcement proceedings are lawfully commenced by any creditor upon such judgment, or (ii) there is a period of 30 consecutive days after the entry of such judgment during which a discharge, stay of enforcement of such judgment, by reason of a pending appeal or otherwise, is not in effect; or </w:t>
      </w:r>
    </w:p>
    <w:p>
      <w:pPr>
        <w:pStyle w:val="TextBody"/>
        <w:spacing w:before="180" w:after="0"/>
        <w:rPr>
          <w:rFonts w:ascii="Times New Roman" w:hAnsi="Times New Roman"/>
          <w:sz w:val="20"/>
        </w:rPr>
      </w:pPr>
      <w:r>
        <w:rPr>
          <w:rFonts w:ascii="Times New Roman" w:hAnsi="Times New Roman"/>
          <w:sz w:val="20"/>
        </w:rPr>
        <w:t xml:space="preserve">(i) </w:t>
      </w:r>
      <w:r>
        <w:rPr>
          <w:rFonts w:ascii="Times New Roman" w:hAnsi="Times New Roman"/>
          <w:sz w:val="20"/>
          <w:u w:val="single"/>
        </w:rPr>
        <w:t>ERISA</w:t>
      </w:r>
      <w:r>
        <w:rPr>
          <w:rFonts w:ascii="Times New Roman" w:hAnsi="Times New Roman"/>
          <w:sz w:val="20"/>
        </w:rPr>
        <w:t xml:space="preserve">. (i) An ERISA Event occurs with respect to a Pension Plan or Multiemployer Plan which has resulted or could reasonably be expected to result in liability of the Borrower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 </w:t>
      </w:r>
    </w:p>
    <w:p>
      <w:pPr>
        <w:pStyle w:val="TextBody"/>
        <w:spacing w:before="180" w:after="0"/>
        <w:rPr>
          <w:rFonts w:ascii="Times New Roman" w:hAnsi="Times New Roman"/>
          <w:sz w:val="20"/>
        </w:rPr>
      </w:pPr>
      <w:r>
        <w:rPr>
          <w:rFonts w:ascii="Times New Roman" w:hAnsi="Times New Roman"/>
          <w:sz w:val="20"/>
        </w:rPr>
        <w:t xml:space="preserve">(j) </w:t>
      </w:r>
      <w:r>
        <w:rPr>
          <w:rFonts w:ascii="Times New Roman" w:hAnsi="Times New Roman"/>
          <w:sz w:val="20"/>
          <w:u w:val="single"/>
        </w:rPr>
        <w:t>Invalidity of Loan Documents</w:t>
      </w:r>
      <w:r>
        <w:rPr>
          <w:rFonts w:ascii="Times New Roman" w:hAnsi="Times New Roman"/>
          <w:sz w:val="20"/>
        </w:rPr>
        <w:t xml:space="preserve">. Any Loan Document, at any time after its execution and delivery and for any reason other than as expressly permitted hereunder or thereunder or satisfaction in full of all the payment Obligations, ceases to be in full force and effect; or the Borrower contests in any manner the validity or enforceability of any Loan Document; or the Borrower denies that it has any or further liability or obligation under any Loan Document, or purports to revoke, terminate or rescind any Loan Document; or </w:t>
      </w:r>
    </w:p>
    <w:p>
      <w:pPr>
        <w:pStyle w:val="TextBody"/>
        <w:spacing w:before="180" w:after="0"/>
        <w:rPr>
          <w:rFonts w:ascii="Times New Roman" w:hAnsi="Times New Roman"/>
          <w:sz w:val="20"/>
        </w:rPr>
      </w:pPr>
      <w:r>
        <w:rPr>
          <w:rFonts w:ascii="Times New Roman" w:hAnsi="Times New Roman"/>
          <w:sz w:val="20"/>
        </w:rPr>
        <w:t xml:space="preserve">(k) </w:t>
      </w:r>
      <w:r>
        <w:rPr>
          <w:rFonts w:ascii="Times New Roman" w:hAnsi="Times New Roman"/>
          <w:sz w:val="20"/>
          <w:u w:val="single"/>
        </w:rPr>
        <w:t>Change of Control</w:t>
      </w:r>
      <w:r>
        <w:rPr>
          <w:rFonts w:ascii="Times New Roman" w:hAnsi="Times New Roman"/>
          <w:sz w:val="20"/>
        </w:rPr>
        <w:t xml:space="preserve">. There occurs any Change of Control. </w:t>
      </w:r>
    </w:p>
    <w:p>
      <w:pPr>
        <w:pStyle w:val="TextBody"/>
        <w:spacing w:before="180" w:after="0"/>
        <w:rPr>
          <w:rFonts w:ascii="Times New Roman" w:hAnsi="Times New Roman"/>
          <w:sz w:val="20"/>
        </w:rPr>
      </w:pPr>
      <w:r>
        <w:rPr>
          <w:rFonts w:ascii="Times New Roman" w:hAnsi="Times New Roman"/>
          <w:b/>
          <w:sz w:val="20"/>
        </w:rPr>
        <w:t>8.02 Remedies Upon Event of Default.</w:t>
      </w:r>
      <w:r>
        <w:rPr>
          <w:rFonts w:ascii="Times New Roman" w:hAnsi="Times New Roman"/>
          <w:sz w:val="20"/>
        </w:rPr>
        <w:t xml:space="preserve"> If any Event of Default occurs and is continuing, the Administrative Agent shall, at the request of, or may, with the consent of, the Required Lenders, take any or all of the following actions: </w:t>
      </w:r>
    </w:p>
    <w:p>
      <w:pPr>
        <w:pStyle w:val="TextBody"/>
        <w:spacing w:before="180" w:after="0"/>
        <w:rPr>
          <w:rFonts w:ascii="Times New Roman" w:hAnsi="Times New Roman"/>
          <w:sz w:val="20"/>
        </w:rPr>
      </w:pPr>
      <w:r>
        <w:rPr>
          <w:rFonts w:ascii="Times New Roman" w:hAnsi="Times New Roman"/>
          <w:sz w:val="20"/>
        </w:rPr>
        <w:t xml:space="preserve">(a) declare the commitment of each Lender to make Loans to be terminated or suspended (as the case may be), whereupon such commitments and obligation shall be terminated or suspended (as the case may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 </w:t>
      </w:r>
    </w:p>
    <w:p>
      <w:pPr>
        <w:pStyle w:val="TextBody"/>
        <w:spacing w:before="180" w:after="0"/>
        <w:rPr>
          <w:rFonts w:ascii="Times New Roman" w:hAnsi="Times New Roman"/>
          <w:sz w:val="20"/>
        </w:rPr>
      </w:pPr>
      <w:r>
        <w:rPr>
          <w:rFonts w:ascii="Times New Roman" w:hAnsi="Times New Roman"/>
          <w:sz w:val="20"/>
        </w:rPr>
        <w:t xml:space="preserve">(c) exercise on behalf of itself and the Lenders all rights and remedies available to it and the Lenders under the Loan Documents; </w:t>
      </w:r>
    </w:p>
    <w:p>
      <w:pPr>
        <w:pStyle w:val="TextBody"/>
        <w:spacing w:before="180" w:after="0"/>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upon the occurrence of an actual or deemed entry of an order for relief with respect to the Borrower under the Bankruptcy Code of the United States, the obligation of each Lender to make Loans shall automatically terminate, the unpaid principal amount of all outstanding Loans and all interest and other amounts that have accrued and are owing as aforesaid shall automatically become due and payable, in each case without further act of the Administrative Agent or any Lender. </w:t>
      </w:r>
    </w:p>
    <w:p>
      <w:pPr>
        <w:pStyle w:val="TextBody"/>
        <w:spacing w:before="180" w:after="0"/>
        <w:rPr>
          <w:rFonts w:ascii="Times New Roman" w:hAnsi="Times New Roman"/>
          <w:sz w:val="20"/>
        </w:rPr>
      </w:pPr>
      <w:r>
        <w:rPr>
          <w:rFonts w:ascii="Times New Roman" w:hAnsi="Times New Roman"/>
          <w:b/>
          <w:sz w:val="20"/>
        </w:rPr>
        <w:t>8.03 Application of Funds.</w:t>
      </w:r>
      <w:r>
        <w:rPr>
          <w:rFonts w:ascii="Times New Roman" w:hAnsi="Times New Roman"/>
          <w:sz w:val="20"/>
        </w:rPr>
        <w:t xml:space="preserve"> After the exercise of remedies provided for in </w:t>
      </w:r>
      <w:r>
        <w:rPr>
          <w:rFonts w:ascii="Times New Roman" w:hAnsi="Times New Roman"/>
          <w:sz w:val="20"/>
          <w:u w:val="single"/>
        </w:rPr>
        <w:t>Section 8.02</w:t>
      </w:r>
      <w:r>
        <w:rPr>
          <w:rFonts w:ascii="Times New Roman" w:hAnsi="Times New Roman"/>
          <w:sz w:val="20"/>
        </w:rPr>
        <w:t xml:space="preserve"> (or after the Loans have automatically become immediately due and payable, any amounts received on account of the Obligations shall, subject to the provisions of </w:t>
      </w:r>
      <w:r>
        <w:rPr>
          <w:rFonts w:ascii="Times New Roman" w:hAnsi="Times New Roman"/>
          <w:sz w:val="20"/>
          <w:u w:val="single"/>
        </w:rPr>
        <w:t>Section 2.12</w:t>
      </w:r>
      <w:r>
        <w:rPr>
          <w:rFonts w:ascii="Times New Roman" w:hAnsi="Times New Roman"/>
          <w:sz w:val="20"/>
        </w:rPr>
        <w:t xml:space="preserve">, be applied by the Administrative Agent in the following order: </w:t>
      </w:r>
    </w:p>
    <w:p>
      <w:pPr>
        <w:pStyle w:val="TextBody"/>
        <w:spacing w:before="180" w:after="0"/>
        <w:rPr>
          <w:rFonts w:ascii="Times New Roman" w:hAnsi="Times New Roman"/>
          <w:sz w:val="20"/>
        </w:rPr>
      </w:pPr>
      <w:r>
        <w:rPr>
          <w:rFonts w:ascii="Times New Roman" w:hAnsi="Times New Roman"/>
          <w:sz w:val="20"/>
          <w:u w:val="single"/>
        </w:rPr>
        <w:t>First</w:t>
      </w:r>
      <w:r>
        <w:rPr>
          <w:rFonts w:ascii="Times New Roman" w:hAnsi="Times New Roman"/>
          <w:sz w:val="20"/>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hAnsi="Times New Roman"/>
          <w:sz w:val="20"/>
          <w:u w:val="single"/>
        </w:rPr>
        <w:t>Article III</w:t>
      </w:r>
      <w:r>
        <w:rPr>
          <w:rFonts w:ascii="Times New Roman" w:hAnsi="Times New Roman"/>
          <w:sz w:val="20"/>
        </w:rPr>
        <w:t xml:space="preserve">) payable to the Administrative Agent in its capacity as such; </w:t>
      </w:r>
    </w:p>
    <w:p>
      <w:pPr>
        <w:pStyle w:val="TextBody"/>
        <w:spacing w:before="180" w:after="0"/>
        <w:rPr>
          <w:rFonts w:ascii="Times New Roman" w:hAnsi="Times New Roman"/>
          <w:sz w:val="20"/>
        </w:rPr>
      </w:pPr>
      <w:r>
        <w:rPr>
          <w:rFonts w:ascii="Times New Roman" w:hAnsi="Times New Roman"/>
          <w:sz w:val="20"/>
          <w:u w:val="single"/>
        </w:rPr>
        <w:t>Second</w:t>
      </w:r>
      <w:r>
        <w:rPr>
          <w:rFonts w:ascii="Times New Roman" w:hAnsi="Times New Roman"/>
          <w:sz w:val="20"/>
        </w:rPr>
        <w:t xml:space="preserve">, to payment of that portion of the Obligations constituting fees, indemnities and other amounts (other than principal and interest) payable to the Lenders (including fees, charges and disbursements of counsel to the respective Lenders (including fees and time charges for attorneys who may be employees of any Lender) and amounts payable under </w:t>
      </w:r>
      <w:r>
        <w:rPr>
          <w:rFonts w:ascii="Times New Roman" w:hAnsi="Times New Roman"/>
          <w:sz w:val="20"/>
          <w:u w:val="single"/>
        </w:rPr>
        <w:t>Article III</w:t>
      </w:r>
      <w:r>
        <w:rPr>
          <w:rFonts w:ascii="Times New Roman" w:hAnsi="Times New Roman"/>
          <w:sz w:val="20"/>
        </w:rPr>
        <w:t xml:space="preserve">), ratably among them in proportion to the respective amounts described in this clause </w:t>
      </w:r>
      <w:r>
        <w:rPr>
          <w:rFonts w:ascii="Times New Roman" w:hAnsi="Times New Roman"/>
          <w:sz w:val="20"/>
          <w:u w:val="single"/>
        </w:rPr>
        <w:t>Second</w:t>
      </w:r>
      <w:r>
        <w:rPr>
          <w:rFonts w:ascii="Times New Roman" w:hAnsi="Times New Roman"/>
          <w:sz w:val="20"/>
        </w:rPr>
        <w:t xml:space="preserve"> payable to them; </w:t>
      </w:r>
    </w:p>
    <w:p>
      <w:pPr>
        <w:pStyle w:val="TextBody"/>
        <w:spacing w:before="180" w:after="0"/>
        <w:rPr>
          <w:rFonts w:ascii="Times New Roman" w:hAnsi="Times New Roman"/>
          <w:sz w:val="20"/>
        </w:rPr>
      </w:pPr>
      <w:r>
        <w:rPr>
          <w:rFonts w:ascii="Times New Roman" w:hAnsi="Times New Roman"/>
          <w:sz w:val="20"/>
          <w:u w:val="single"/>
        </w:rPr>
        <w:t>Third</w:t>
      </w:r>
      <w:r>
        <w:rPr>
          <w:rFonts w:ascii="Times New Roman" w:hAnsi="Times New Roman"/>
          <w:sz w:val="20"/>
        </w:rPr>
        <w:t xml:space="preserve">, to payment of that portion of the Obligations constituting accrued and unpaid interest on the Loans and other Obligations, ratably among the Lenders in proportion to the respective amounts described in this clause </w:t>
      </w:r>
      <w:r>
        <w:rPr>
          <w:rFonts w:ascii="Times New Roman" w:hAnsi="Times New Roman"/>
          <w:sz w:val="20"/>
          <w:u w:val="single"/>
        </w:rPr>
        <w:t>Third</w:t>
      </w:r>
      <w:r>
        <w:rPr>
          <w:rFonts w:ascii="Times New Roman" w:hAnsi="Times New Roman"/>
          <w:sz w:val="20"/>
        </w:rPr>
        <w:t xml:space="preserve"> payable to them; </w:t>
      </w:r>
    </w:p>
    <w:p>
      <w:pPr>
        <w:pStyle w:val="TextBody"/>
        <w:spacing w:before="180" w:after="0"/>
        <w:rPr>
          <w:rFonts w:ascii="Times New Roman" w:hAnsi="Times New Roman"/>
          <w:sz w:val="20"/>
        </w:rPr>
      </w:pPr>
      <w:r>
        <w:rPr>
          <w:rFonts w:ascii="Times New Roman" w:hAnsi="Times New Roman"/>
          <w:sz w:val="20"/>
          <w:u w:val="single"/>
        </w:rPr>
        <w:t>Fourth</w:t>
      </w:r>
      <w:r>
        <w:rPr>
          <w:rFonts w:ascii="Times New Roman" w:hAnsi="Times New Roman"/>
          <w:sz w:val="20"/>
        </w:rPr>
        <w:t xml:space="preserve">, to payment of that portion of the Obligations constituting unpaid principal of the Loans, ratably among the Lenders in proportion to the respective amounts described in this clause </w:t>
      </w:r>
      <w:r>
        <w:rPr>
          <w:rFonts w:ascii="Times New Roman" w:hAnsi="Times New Roman"/>
          <w:sz w:val="20"/>
          <w:u w:val="single"/>
        </w:rPr>
        <w:t>Fourth</w:t>
      </w:r>
      <w:r>
        <w:rPr>
          <w:rFonts w:ascii="Times New Roman" w:hAnsi="Times New Roman"/>
          <w:sz w:val="20"/>
        </w:rPr>
        <w:t xml:space="preserve"> held by them; and </w:t>
      </w:r>
    </w:p>
    <w:p>
      <w:pPr>
        <w:pStyle w:val="TextBody"/>
        <w:spacing w:before="180" w:after="0"/>
        <w:rPr>
          <w:rFonts w:ascii="Times New Roman" w:hAnsi="Times New Roman"/>
          <w:sz w:val="20"/>
        </w:rPr>
      </w:pPr>
      <w:r>
        <w:rPr>
          <w:rFonts w:ascii="Times New Roman" w:hAnsi="Times New Roman"/>
          <w:sz w:val="20"/>
          <w:u w:val="single"/>
        </w:rPr>
        <w:t>Last</w:t>
      </w:r>
      <w:r>
        <w:rPr>
          <w:rFonts w:ascii="Times New Roman" w:hAnsi="Times New Roman"/>
          <w:sz w:val="20"/>
        </w:rPr>
        <w:t xml:space="preserve">, the balance, if any, after all of the payment Obligations have been indefeasibly paid in full, to the Borrower or as otherwise required by Law. </w:t>
      </w:r>
    </w:p>
    <w:p>
      <w:pPr>
        <w:pStyle w:val="TextBody"/>
        <w:spacing w:before="360" w:after="0"/>
        <w:jc w:val="center"/>
        <w:rPr>
          <w:rFonts w:ascii="Times New Roman" w:hAnsi="Times New Roman"/>
          <w:b/>
          <w:sz w:val="20"/>
        </w:rPr>
      </w:pPr>
      <w:r>
        <w:rPr>
          <w:rFonts w:ascii="Times New Roman" w:hAnsi="Times New Roman"/>
          <w:b/>
          <w:sz w:val="20"/>
        </w:rPr>
        <w:t xml:space="preserve">ARTICLE IX. ADMINISTRATIVE AGENT </w:t>
      </w:r>
    </w:p>
    <w:p>
      <w:pPr>
        <w:pStyle w:val="TextBody"/>
        <w:spacing w:before="180" w:after="0"/>
        <w:rPr>
          <w:rFonts w:ascii="Times New Roman" w:hAnsi="Times New Roman"/>
          <w:sz w:val="20"/>
        </w:rPr>
      </w:pPr>
      <w:r>
        <w:rPr>
          <w:rFonts w:ascii="Times New Roman" w:hAnsi="Times New Roman"/>
          <w:b/>
          <w:sz w:val="20"/>
        </w:rPr>
        <w:t xml:space="preserve">9.01 Appointment and Authority. </w:t>
      </w:r>
      <w:r>
        <w:rPr>
          <w:rFonts w:ascii="Times New Roman" w:hAnsi="Times New Roman"/>
          <w:sz w:val="20"/>
        </w:rPr>
        <w:t xml:space="preserve">Each of the Lenders hereby irrevocably appoints DNB 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provisions of this Article are solely for the benefit of the Administrative Agent and the Lenders, and the Borrower shall not have rights as a third party beneficiary of any of such provisions (other than the right to reasonably approve a successor Administrative Agent pursuant to </w:t>
      </w:r>
      <w:r>
        <w:rPr>
          <w:rFonts w:ascii="Times New Roman" w:hAnsi="Times New Roman"/>
          <w:sz w:val="20"/>
          <w:u w:val="single"/>
        </w:rPr>
        <w:t>Section 9.06</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b/>
          <w:sz w:val="20"/>
        </w:rPr>
        <w:t>9.02 Rights as a Lender.</w:t>
      </w:r>
      <w:r>
        <w:rPr>
          <w:rFonts w:ascii="Times New Roman" w:hAnsi="Times New Roman"/>
          <w:sz w:val="20"/>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w:t>
      </w:r>
    </w:p>
    <w:p>
      <w:pPr>
        <w:pStyle w:val="TextBody"/>
        <w:spacing w:before="180" w:after="0"/>
        <w:rPr>
          <w:rFonts w:ascii="Times New Roman" w:hAnsi="Times New Roman"/>
          <w:sz w:val="20"/>
        </w:rPr>
      </w:pPr>
      <w:r>
        <w:rPr>
          <w:rFonts w:ascii="Times New Roman" w:hAnsi="Times New Roman"/>
          <w:b/>
          <w:sz w:val="20"/>
        </w:rPr>
        <w:t>9.03 Exculpatory Provisions.</w:t>
      </w:r>
      <w:r>
        <w:rPr>
          <w:rFonts w:ascii="Times New Roman" w:hAnsi="Times New Roman"/>
          <w:sz w:val="20"/>
        </w:rPr>
        <w:t xml:space="preserve"> The Administrative Agent shall not have any duties or obligations except those expressly set forth herein and in the other Loan Documents. Without limiting the generality of the foregoing, the Administrative Agent: </w:t>
      </w:r>
    </w:p>
    <w:p>
      <w:pPr>
        <w:pStyle w:val="TextBody"/>
        <w:spacing w:before="90" w:after="0"/>
        <w:rPr>
          <w:rFonts w:ascii="Times New Roman" w:hAnsi="Times New Roman"/>
          <w:sz w:val="20"/>
        </w:rPr>
      </w:pPr>
      <w:r>
        <w:rPr>
          <w:rFonts w:ascii="Times New Roman" w:hAnsi="Times New Roman"/>
          <w:sz w:val="20"/>
        </w:rPr>
        <w:t xml:space="preserve">(a) shall not be subject to any fiduciary or other implied duties, regardless of whether a Default has occurred and is continuing; </w:t>
      </w:r>
    </w:p>
    <w:p>
      <w:pPr>
        <w:pStyle w:val="TextBody"/>
        <w:spacing w:before="90" w:after="0"/>
        <w:rPr>
          <w:rFonts w:ascii="Times New Roman" w:hAnsi="Times New Roman"/>
          <w:sz w:val="20"/>
        </w:rPr>
      </w:pPr>
      <w:r>
        <w:rPr>
          <w:rFonts w:ascii="Times New Roman" w:hAnsi="Times New Roman"/>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sz w:val="20"/>
          <w:u w:val="single"/>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law; and </w:t>
      </w:r>
    </w:p>
    <w:p>
      <w:pPr>
        <w:pStyle w:val="TextBody"/>
        <w:spacing w:before="90" w:after="0"/>
        <w:rPr>
          <w:rFonts w:ascii="Times New Roman" w:hAnsi="Times New Roman"/>
          <w:sz w:val="20"/>
        </w:rPr>
      </w:pPr>
      <w:r>
        <w:rPr>
          <w:rFonts w:ascii="Times New Roman" w:hAnsi="Times New Roman"/>
          <w:sz w:val="20"/>
        </w:rPr>
        <w:t xml:space="preserve">(c)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 </w:t>
      </w:r>
    </w:p>
    <w:p>
      <w:pPr>
        <w:pStyle w:val="TextBody"/>
        <w:spacing w:before="180" w:after="0"/>
        <w:rPr>
          <w:rFonts w:ascii="Times New Roman" w:hAnsi="Times New Roman"/>
          <w:sz w:val="20"/>
        </w:rPr>
      </w:pPr>
      <w:r>
        <w:rPr>
          <w:rFonts w:ascii="Times New Roman" w:hAnsi="Times New Roman"/>
          <w:sz w:val="20"/>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Sections 10.01</w:t>
      </w:r>
      <w:r>
        <w:rPr>
          <w:rFonts w:ascii="Times New Roman" w:hAnsi="Times New Roman"/>
          <w:sz w:val="20"/>
        </w:rPr>
        <w:t xml:space="preserve"> and </w:t>
      </w:r>
      <w:r>
        <w:rPr>
          <w:rFonts w:ascii="Times New Roman" w:hAnsi="Times New Roman"/>
          <w:sz w:val="20"/>
          <w:u w:val="single"/>
        </w:rPr>
        <w:t>8.02</w:t>
      </w:r>
      <w:r>
        <w:rPr>
          <w:rFonts w:ascii="Times New Roman" w:hAnsi="Times New Roman"/>
          <w:sz w:val="20"/>
        </w:rPr>
        <w:t xml:space="preserve">) or (ii) in the absence of its own gross negligence or willful misconduct. The Administrative Agent shall be deemed not to have knowledge of any Default unless and until notice describing such Default is given to the Administrative Agent by the Borrower or a Lender.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hAnsi="Times New Roman"/>
          <w:sz w:val="20"/>
          <w:u w:val="single"/>
        </w:rPr>
        <w:t>Article IV</w:t>
      </w:r>
      <w:r>
        <w:rPr>
          <w:rFonts w:ascii="Times New Roman" w:hAnsi="Times New Roman"/>
          <w:sz w:val="20"/>
        </w:rPr>
        <w:t xml:space="preserve"> or elsewhere herein, other than to confirm receipt of items expressly required to be delivered to the Administrative Agent. </w:t>
      </w:r>
    </w:p>
    <w:p>
      <w:pPr>
        <w:pStyle w:val="TextBody"/>
        <w:spacing w:before="180" w:after="0"/>
        <w:rPr>
          <w:rFonts w:ascii="Times New Roman" w:hAnsi="Times New Roman"/>
          <w:sz w:val="20"/>
        </w:rPr>
      </w:pPr>
      <w:r>
        <w:rPr>
          <w:rFonts w:ascii="Times New Roman" w:hAnsi="Times New Roman"/>
          <w:b/>
          <w:sz w:val="20"/>
        </w:rPr>
        <w:t>9.04 Reliance by Administrative Agent.</w:t>
      </w:r>
      <w:r>
        <w:rPr>
          <w:rFonts w:ascii="Times New Roman" w:hAnsi="Times New Roman"/>
          <w:sz w:val="20"/>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w:t>
      </w:r>
    </w:p>
    <w:p>
      <w:pPr>
        <w:pStyle w:val="TextBody"/>
        <w:spacing w:before="180" w:after="0"/>
        <w:rPr>
          <w:rFonts w:ascii="Times New Roman" w:hAnsi="Times New Roman"/>
          <w:sz w:val="20"/>
        </w:rPr>
      </w:pPr>
      <w:r>
        <w:rPr>
          <w:rFonts w:ascii="Times New Roman" w:hAnsi="Times New Roman"/>
          <w:b/>
          <w:sz w:val="20"/>
        </w:rPr>
        <w:t>9.05 Delegation of Duties.</w:t>
      </w:r>
      <w:r>
        <w:rPr>
          <w:rFonts w:ascii="Times New Roman" w:hAnsi="Times New Roman"/>
          <w:sz w:val="20"/>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w:t>
      </w:r>
    </w:p>
    <w:p>
      <w:pPr>
        <w:pStyle w:val="TextBody"/>
        <w:spacing w:before="180" w:after="0"/>
        <w:rPr>
          <w:rFonts w:ascii="Times New Roman" w:hAnsi="Times New Roman"/>
          <w:sz w:val="20"/>
        </w:rPr>
      </w:pPr>
      <w:r>
        <w:rPr>
          <w:rFonts w:ascii="Times New Roman" w:hAnsi="Times New Roman"/>
          <w:b/>
          <w:sz w:val="20"/>
        </w:rPr>
        <w:t>9.06 Resignation or Removal of Administrative Agent.</w:t>
      </w:r>
      <w:r>
        <w:rPr>
          <w:rFonts w:ascii="Times New Roman" w:hAnsi="Times New Roman"/>
          <w:sz w:val="20"/>
        </w:rPr>
        <w:t xml:space="preserve"> The Administrative Agent may at any time give notice of its resignation to the Lenders and the Borrower, which notice shall set forth the proposed date of resignation, which shall be not less than 30 days after the date of such notice, during which time the Administrative Agent shall continue to act as the Administrative Agent hereunder, unless sooner replaced or removed in accordance with the provisions hereof. In addition, at any time the Person serving as Administrative Agent is a Defaulting Lender pursuant to clause (d) of the definition thereof, the Required Lenders may, to the extent permitted by applicable law, by notice in writing to the Borrower and such Person, remove such Person as Administrative Agent. Upon receipt of any such notice of resignation or issuance of notice of removal, the Required Lenders shall have the right to appoint a successor (subject to consultation with the Borrower, unless an Event of Default has occurred and is continuing), which shall be a bank with an office in the United States, or an Affiliate of any such bank with an office in the United States. If no such successor shall have been so appointed 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Required Lenders and shall have accepted such appointment within 30 days after the retiring Administrative Agent gives notice of its resignation or the Required Lenders issue such notice of removal, then the retiring or removed Administrative Agent may on behalf of the Lenders, appoint a successor Administrative Agent meeting the qualifications set forth above (subject to consultation with the Borrower, unless an Event of Default has occurred and is continuing); </w:t>
      </w:r>
      <w:r>
        <w:rPr>
          <w:rFonts w:ascii="Times New Roman" w:hAnsi="Times New Roman"/>
          <w:sz w:val="20"/>
          <w:u w:val="single"/>
        </w:rPr>
        <w:t>provided</w:t>
      </w:r>
      <w:r>
        <w:rPr>
          <w:rFonts w:ascii="Times New Roman" w:hAnsi="Times New Roman"/>
          <w:sz w:val="20"/>
        </w:rPr>
        <w:t xml:space="preserve"> that if the Administrative Agent shall notify the Borrower and the Lenders that no qualifying Person has accepted such appointment, then such resignation or removal shall nonetheless become effective in accordance with such notice and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or removal hereunder and under the other Loan Documents, the provisions of this Article and </w:t>
      </w:r>
      <w:r>
        <w:rPr>
          <w:rFonts w:ascii="Times New Roman" w:hAnsi="Times New Roman"/>
          <w:sz w:val="20"/>
          <w:u w:val="single"/>
        </w:rPr>
        <w:t>Section 10.04</w:t>
      </w:r>
      <w:r>
        <w:rPr>
          <w:rFonts w:ascii="Times New Roman" w:hAnsi="Times New Roman"/>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w:t>
      </w:r>
    </w:p>
    <w:p>
      <w:pPr>
        <w:pStyle w:val="TextBody"/>
        <w:spacing w:before="180" w:after="0"/>
        <w:rPr>
          <w:rFonts w:ascii="Times New Roman" w:hAnsi="Times New Roman"/>
          <w:sz w:val="20"/>
        </w:rPr>
      </w:pPr>
      <w:r>
        <w:rPr>
          <w:rFonts w:ascii="Times New Roman" w:hAnsi="Times New Roman"/>
          <w:b/>
          <w:sz w:val="20"/>
        </w:rPr>
        <w:t>9.07 Non-Reliance on Administrative Agent and Other Lenders.</w:t>
      </w:r>
      <w:r>
        <w:rPr>
          <w:rFonts w:ascii="Times New Roman" w:hAnsi="Times New Roman"/>
          <w:sz w:val="20"/>
        </w:rPr>
        <w:t xml:space="preserve">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w:t>
      </w:r>
    </w:p>
    <w:p>
      <w:pPr>
        <w:pStyle w:val="TextBody"/>
        <w:spacing w:before="180" w:after="0"/>
        <w:rPr>
          <w:rFonts w:ascii="Times New Roman" w:hAnsi="Times New Roman"/>
          <w:sz w:val="20"/>
        </w:rPr>
      </w:pPr>
      <w:r>
        <w:rPr>
          <w:rFonts w:ascii="Times New Roman" w:hAnsi="Times New Roman"/>
          <w:b/>
          <w:sz w:val="20"/>
        </w:rPr>
        <w:t>9.08 No Other Duties, Etc.</w:t>
      </w:r>
      <w:r>
        <w:rPr>
          <w:rFonts w:ascii="Times New Roman" w:hAnsi="Times New Roman"/>
          <w:sz w:val="20"/>
        </w:rPr>
        <w:t xml:space="preserve"> Anything herein to the contrary notwithstanding, none of the Bookrunners, Arrangers or Syndication Agents listed on the cover page hereof shall have any powers, duties or responsibilities under this Agreement or any of the other Loan Documents, except in its capacity, as applicable, as the Administrative Agent or a Lender hereunder. </w:t>
      </w:r>
    </w:p>
    <w:p>
      <w:pPr>
        <w:pStyle w:val="TextBody"/>
        <w:spacing w:before="180" w:after="0"/>
        <w:rPr>
          <w:rFonts w:ascii="Times New Roman" w:hAnsi="Times New Roman"/>
          <w:sz w:val="20"/>
        </w:rPr>
      </w:pPr>
      <w:r>
        <w:rPr>
          <w:rFonts w:ascii="Times New Roman" w:hAnsi="Times New Roman"/>
          <w:b/>
          <w:sz w:val="20"/>
        </w:rPr>
        <w:t>9.09 Administrative Agent May File Proofs of Claim.</w:t>
      </w:r>
      <w:r>
        <w:rPr>
          <w:rFonts w:ascii="Times New Roman" w:hAnsi="Times New Roman"/>
          <w:sz w:val="20"/>
        </w:rPr>
        <w:t xml:space="preserve"> In case of the pendency of any proceeding under any Debtor Relief Law or any 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hAnsi="Times New Roman"/>
          <w:sz w:val="20"/>
          <w:u w:val="single"/>
        </w:rPr>
        <w:t>Sections 2.08</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allowed in such judicial proceeding; and </w:t>
      </w:r>
    </w:p>
    <w:p>
      <w:pPr>
        <w:pStyle w:val="TextBody"/>
        <w:spacing w:before="90" w:after="0"/>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in accordance with </w:t>
      </w:r>
      <w:r>
        <w:rPr>
          <w:rFonts w:ascii="Times New Roman" w:hAnsi="Times New Roman"/>
          <w:sz w:val="20"/>
          <w:u w:val="single"/>
        </w:rPr>
        <w:t>Section 8.03</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sz w:val="20"/>
          <w:u w:val="single"/>
        </w:rPr>
        <w:t>Sections 2.08</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in each case, in accordance with </w:t>
      </w:r>
      <w:r>
        <w:rPr>
          <w:rFonts w:ascii="Times New Roman" w:hAnsi="Times New Roman"/>
          <w:sz w:val="20"/>
          <w:u w:val="single"/>
        </w:rPr>
        <w:t>Section 8.03</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 </w:t>
      </w:r>
    </w:p>
    <w:p>
      <w:pPr>
        <w:pStyle w:val="TextBody"/>
        <w:spacing w:before="180" w:after="0"/>
        <w:rPr>
          <w:rFonts w:ascii="Times New Roman" w:hAnsi="Times New Roman"/>
          <w:sz w:val="20"/>
        </w:rPr>
      </w:pPr>
      <w:r>
        <w:rPr>
          <w:rFonts w:ascii="Times New Roman" w:hAnsi="Times New Roman"/>
          <w:b/>
          <w:sz w:val="20"/>
        </w:rPr>
        <w:t>9.10 Collateral Matters.</w:t>
      </w:r>
      <w:r>
        <w:rPr>
          <w:rFonts w:ascii="Times New Roman" w:hAnsi="Times New Roman"/>
          <w:sz w:val="20"/>
        </w:rPr>
        <w:t xml:space="preserve"> The Lenders irrevocably authorize the Administrative Agent, at its option and in its discretion, to release any Lien on any property granted to or held by the Administrative Agent under any Loan Document (i) upon termination of the Aggregate Commitments and payment in full of all payment Obligations (other than contingent indemnification obligations), (ii) that is sold or to be sold as part of or in connection with any sale not prohibited hereunder or under any other Loan Document, or (iii) subject to </w:t>
      </w:r>
      <w:r>
        <w:rPr>
          <w:rFonts w:ascii="Times New Roman" w:hAnsi="Times New Roman"/>
          <w:sz w:val="20"/>
          <w:u w:val="single"/>
        </w:rPr>
        <w:t>Section 10.01</w:t>
      </w:r>
      <w:r>
        <w:rPr>
          <w:rFonts w:ascii="Times New Roman" w:hAnsi="Times New Roman"/>
          <w:sz w:val="20"/>
        </w:rPr>
        <w:t xml:space="preserve">, if approved, authorized or ratified in writing by the Required Lenders. Upon request by the Administrative Agent at any time, the Required Lenders will confirm in writing the Administrative Agents authority to release or subordinate its interest in particular types or items of property pursuant to this </w:t>
      </w:r>
      <w:r>
        <w:rPr>
          <w:rFonts w:ascii="Times New Roman" w:hAnsi="Times New Roman"/>
          <w:sz w:val="20"/>
          <w:u w:val="single"/>
        </w:rPr>
        <w:t>Section 9.10</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 xml:space="preserve">ARTICLE X. MISCELLANEOUS </w:t>
      </w:r>
    </w:p>
    <w:p>
      <w:pPr>
        <w:pStyle w:val="TextBody"/>
        <w:spacing w:before="180" w:after="0"/>
        <w:rPr>
          <w:rFonts w:ascii="Times New Roman" w:hAnsi="Times New Roman"/>
          <w:sz w:val="20"/>
        </w:rPr>
      </w:pPr>
      <w:r>
        <w:rPr>
          <w:rFonts w:ascii="Times New Roman" w:hAnsi="Times New Roman"/>
          <w:b/>
          <w:sz w:val="20"/>
        </w:rPr>
        <w:t>10.01 Amendments, Etc.</w:t>
      </w:r>
      <w:r>
        <w:rPr>
          <w:rFonts w:ascii="Times New Roman" w:hAnsi="Times New Roman"/>
          <w:sz w:val="20"/>
        </w:rPr>
        <w:t xml:space="preserve"> No amendment or waiver of any provision of this Agreement or any other Loan Document, and no consent to any departure by the Borrower therefrom, shall be effective unless in writing signed by the Required Lenders and the Borrower, and acknowledged by the Administrative Agent, and each such waiver or consent shall be effective only in the specific instance and for the specific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amendment, waiver or consent shall: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waive any condition set forth in </w:t>
      </w:r>
      <w:r>
        <w:rPr>
          <w:rFonts w:ascii="Times New Roman" w:hAnsi="Times New Roman"/>
          <w:sz w:val="20"/>
          <w:u w:val="single"/>
        </w:rPr>
        <w:t>Section 4.01(a)</w:t>
      </w:r>
      <w:r>
        <w:rPr>
          <w:rFonts w:ascii="Times New Roman" w:hAnsi="Times New Roman"/>
          <w:sz w:val="20"/>
        </w:rPr>
        <w:t xml:space="preserve"> without the written consent of each Lender; </w:t>
      </w:r>
    </w:p>
    <w:p>
      <w:pPr>
        <w:pStyle w:val="TextBody"/>
        <w:spacing w:before="180" w:after="0"/>
        <w:rPr>
          <w:rFonts w:ascii="Times New Roman" w:hAnsi="Times New Roman"/>
          <w:sz w:val="20"/>
        </w:rPr>
      </w:pPr>
      <w:r>
        <w:rPr>
          <w:rFonts w:ascii="Times New Roman" w:hAnsi="Times New Roman"/>
          <w:sz w:val="20"/>
        </w:rPr>
        <w:t xml:space="preserve">(b) extend or increase the Commitment of any Lender (or reinstate any Commitment terminated pursuant to </w:t>
      </w:r>
      <w:r>
        <w:rPr>
          <w:rFonts w:ascii="Times New Roman" w:hAnsi="Times New Roman"/>
          <w:sz w:val="20"/>
          <w:u w:val="single"/>
        </w:rPr>
        <w:t>Section 8.02</w:t>
      </w:r>
      <w:r>
        <w:rPr>
          <w:rFonts w:ascii="Times New Roman" w:hAnsi="Times New Roman"/>
          <w:sz w:val="20"/>
        </w:rPr>
        <w:t xml:space="preserve">) without the written consent of such Lender; </w:t>
      </w:r>
    </w:p>
    <w:p>
      <w:pPr>
        <w:pStyle w:val="TextBody"/>
        <w:spacing w:before="180" w:after="0"/>
        <w:rPr>
          <w:rFonts w:ascii="Times New Roman" w:hAnsi="Times New Roman"/>
          <w:sz w:val="20"/>
        </w:rPr>
      </w:pPr>
      <w:r>
        <w:rPr>
          <w:rFonts w:ascii="Times New Roman" w:hAnsi="Times New Roman"/>
          <w:sz w:val="20"/>
        </w:rPr>
        <w:t xml:space="preserve">(c) 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 </w:t>
      </w:r>
    </w:p>
    <w:p>
      <w:pPr>
        <w:pStyle w:val="TextBody"/>
        <w:spacing w:before="180" w:after="0"/>
        <w:rPr>
          <w:rFonts w:ascii="Times New Roman" w:hAnsi="Times New Roman"/>
          <w:sz w:val="20"/>
        </w:rPr>
      </w:pPr>
      <w:r>
        <w:rPr>
          <w:rFonts w:ascii="Times New Roman" w:hAnsi="Times New Roman"/>
          <w:sz w:val="20"/>
        </w:rPr>
        <w:t xml:space="preserve">(d) reduce the principal of, or the rate of interest specified herein on, any Loan, or (subject to clause (ii) of the second proviso to this </w:t>
      </w:r>
      <w:r>
        <w:rPr>
          <w:rFonts w:ascii="Times New Roman" w:hAnsi="Times New Roman"/>
          <w:sz w:val="20"/>
          <w:u w:val="single"/>
        </w:rPr>
        <w:t>Section 10.01</w:t>
      </w:r>
      <w:r>
        <w:rPr>
          <w:rFonts w:ascii="Times New Roman" w:hAnsi="Times New Roman"/>
          <w:sz w:val="20"/>
        </w:rPr>
        <w:t xml:space="preserve">) any fees or other amounts payable hereunder or under any other Loan Document without the written consent of each Lender directly affected thereby;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only the consent of the Required Lenders shall be necessary (i) to amend the definition of Default Rate or to waive any obligation of the Borrower to pay interest at the Default Rate, except with respect to interest on past-due principal of any Loan, which shall require the written consent of each Lender, or (ii) to amend any financial covenant hereunder (or any defined term used therein) even if the effect of such amendment would be to reduce the rate of interest on any Loan or to reduce any fee payable hereunder; </w:t>
      </w:r>
    </w:p>
    <w:p>
      <w:pPr>
        <w:pStyle w:val="TextBody"/>
        <w:spacing w:before="180" w:after="0"/>
        <w:rPr>
          <w:rFonts w:ascii="Times New Roman" w:hAnsi="Times New Roman"/>
          <w:sz w:val="20"/>
        </w:rPr>
      </w:pPr>
      <w:r>
        <w:rPr>
          <w:rFonts w:ascii="Times New Roman" w:hAnsi="Times New Roman"/>
          <w:sz w:val="20"/>
        </w:rPr>
        <w:t xml:space="preserve">(e) change </w:t>
      </w:r>
      <w:r>
        <w:rPr>
          <w:rFonts w:ascii="Times New Roman" w:hAnsi="Times New Roman"/>
          <w:sz w:val="20"/>
          <w:u w:val="single"/>
        </w:rPr>
        <w:t>Section 2.11</w:t>
      </w:r>
      <w:r>
        <w:rPr>
          <w:rFonts w:ascii="Times New Roman" w:hAnsi="Times New Roman"/>
          <w:sz w:val="20"/>
        </w:rPr>
        <w:t xml:space="preserve"> or </w:t>
      </w:r>
      <w:r>
        <w:rPr>
          <w:rFonts w:ascii="Times New Roman" w:hAnsi="Times New Roman"/>
          <w:sz w:val="20"/>
          <w:u w:val="single"/>
        </w:rPr>
        <w:t>Section 8.03</w:t>
      </w:r>
      <w:r>
        <w:rPr>
          <w:rFonts w:ascii="Times New Roman" w:hAnsi="Times New Roman"/>
          <w:sz w:val="20"/>
        </w:rPr>
        <w:t xml:space="preserve"> in a manner that would alter the pro rata sharing of payments required thereby without the written consent of each Lender; or </w:t>
      </w:r>
    </w:p>
    <w:p>
      <w:pPr>
        <w:pStyle w:val="TextBody"/>
        <w:spacing w:before="180" w:after="0"/>
        <w:rPr>
          <w:rFonts w:ascii="Times New Roman" w:hAnsi="Times New Roman"/>
          <w:sz w:val="20"/>
        </w:rPr>
      </w:pPr>
      <w:r>
        <w:rPr>
          <w:rFonts w:ascii="Times New Roman" w:hAnsi="Times New Roman"/>
          <w:sz w:val="20"/>
        </w:rPr>
        <w:t xml:space="preserve">(f) 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w:t>
      </w:r>
    </w:p>
    <w:p>
      <w:pPr>
        <w:pStyle w:val="TextBody"/>
        <w:spacing w:before="180" w:after="0"/>
        <w:rPr>
          <w:rFonts w:ascii="Times New Roman" w:hAnsi="Times New Roman"/>
          <w:sz w:val="20"/>
        </w:rPr>
      </w:pPr>
      <w:r>
        <w:rPr>
          <w:rFonts w:ascii="Times New Roman" w:hAnsi="Times New Roman"/>
          <w:sz w:val="20"/>
        </w:rPr>
        <w:t xml:space="preserve">and, </w:t>
      </w:r>
      <w:r>
        <w:rPr>
          <w:rFonts w:ascii="Times New Roman" w:hAnsi="Times New Roman"/>
          <w:sz w:val="20"/>
          <w:u w:val="single"/>
        </w:rPr>
        <w:t>provided further</w:t>
      </w:r>
      <w:r>
        <w:rPr>
          <w:rFonts w:ascii="Times New Roman" w:hAnsi="Times New Roman"/>
          <w:sz w:val="20"/>
        </w:rPr>
        <w:t xml:space="preserve">, that (i) no amendment, waiver or consent shall, unless in writing and signed by the Administrative Agent in addition to the Lenders required above, affect the rights or duties of the Administrative Agent under this Agreement or any other Loan Document; and (ii)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10.02 Notices; Effectiveness; Electronic Communication</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 Generally</w:t>
      </w:r>
      <w:r>
        <w:rPr>
          <w:rFonts w:ascii="Times New Roman" w:hAnsi="Times New Roman"/>
          <w:sz w:val="20"/>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or other electronic transmission as follows, and all notices and other communications expressly permitted hereunder to be given by telephone shall be made to the applicable telephone number, as follows: </w:t>
      </w:r>
    </w:p>
    <w:p>
      <w:pPr>
        <w:pStyle w:val="TextBody"/>
        <w:spacing w:before="180" w:after="0"/>
        <w:rPr>
          <w:rFonts w:ascii="Times New Roman" w:hAnsi="Times New Roman"/>
          <w:sz w:val="20"/>
        </w:rPr>
      </w:pPr>
      <w:r>
        <w:rPr>
          <w:rFonts w:ascii="Times New Roman" w:hAnsi="Times New Roman"/>
          <w:sz w:val="20"/>
        </w:rPr>
        <w:t xml:space="preserve">(i) if to the Borrower or the Administrative Agent, to the address, telecopier number, electronic mail address or telephone number specified for such Person on </w:t>
      </w:r>
      <w:r>
        <w:rPr>
          <w:rFonts w:ascii="Times New Roman" w:hAnsi="Times New Roman"/>
          <w:sz w:val="20"/>
          <w:u w:val="single"/>
        </w:rPr>
        <w:t>Schedule 10.02</w:t>
      </w:r>
      <w:r>
        <w:rPr>
          <w:rFonts w:ascii="Times New Roman" w:hAnsi="Times New Roman"/>
          <w:sz w:val="20"/>
        </w:rPr>
        <w:t xml:space="preserve">; and </w:t>
      </w:r>
    </w:p>
    <w:p>
      <w:pPr>
        <w:pStyle w:val="TextBody"/>
        <w:spacing w:before="180" w:after="0"/>
        <w:rPr>
          <w:rFonts w:ascii="Times New Roman" w:hAnsi="Times New Roman"/>
          <w:sz w:val="20"/>
        </w:rPr>
      </w:pPr>
      <w:r>
        <w:rPr>
          <w:rFonts w:ascii="Times New Roman" w:hAnsi="Times New Roman"/>
          <w:sz w:val="20"/>
        </w:rPr>
        <w:t xml:space="preserve">(ii) 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 and its Affiliates), if such questionnaire has been received by the Person sending such notice or communication, or if such questionnaire has not been received by such sending Person, to such address as may be reasonably believed to be correct by such sending Person. </w:t>
      </w:r>
    </w:p>
    <w:p>
      <w:pPr>
        <w:pStyle w:val="TextBody"/>
        <w:spacing w:before="180" w:after="0"/>
        <w:rPr>
          <w:rFonts w:ascii="Times New Roman" w:hAnsi="Times New Roman"/>
          <w:sz w:val="20"/>
        </w:rPr>
      </w:pPr>
      <w:r>
        <w:rPr>
          <w:rFonts w:ascii="Times New Roman" w:hAnsi="Times New Roman"/>
          <w:sz w:val="20"/>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Communications</w:t>
      </w:r>
      <w:r>
        <w:rPr>
          <w:rFonts w:ascii="Times New Roman" w:hAnsi="Times New Roman"/>
          <w:sz w:val="20"/>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pursuant to </w:t>
      </w:r>
      <w:r>
        <w:rPr>
          <w:rFonts w:ascii="Times New Roman" w:hAnsi="Times New Roman"/>
          <w:sz w:val="20"/>
          <w:u w:val="single"/>
        </w:rPr>
        <w:t>Article II</w:t>
      </w:r>
      <w:r>
        <w:rPr>
          <w:rFonts w:ascii="Times New Roman" w:hAnsi="Times New Roman"/>
          <w:sz w:val="20"/>
        </w:rPr>
        <w:t xml:space="preserve"> if such Lender has notified the Administrative Agent and the Borrower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p>
    <w:p>
      <w:pPr>
        <w:pStyle w:val="TextBody"/>
        <w:spacing w:before="180" w:after="0"/>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sz w:val="20"/>
          <w:u w:val="single"/>
        </w:rPr>
        <w:t>provided</w:t>
      </w:r>
      <w:r>
        <w:rPr>
          <w:rFonts w:ascii="Times New Roman" w:hAnsi="Times New Roman"/>
          <w:sz w:val="20"/>
        </w:rPr>
        <w:t xml:space="preserve"> that if such notice or other communication is not sent during the normal business hours of the recipient, such notice or communication shall be deemed to have been sent at the opening of business on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The Platform</w:t>
      </w:r>
      <w:r>
        <w:rPr>
          <w:rFonts w:ascii="Times New Roman" w:hAnsi="Times New Roman"/>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sz w:val="20"/>
          <w:u w:val="single"/>
        </w:rPr>
        <w:t>Agent Parties</w:t>
      </w:r>
      <w:r>
        <w:rPr>
          <w:rFonts w:ascii="Times New Roman" w:hAnsi="Times New Roman"/>
          <w:sz w:val="20"/>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have resulted from such Agent Partys gross negligence, willful misconduct or material breach of any of its obligations under any Loan Document;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party hereto, Related Party of any party hereto or Agent Party have any liability to each other party hereto, its Related Parties, any Agent Party or any other Person for indirect, special, incidental, consequential or punitive damages (as opposed to direct or actual damages).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Change of Address, Etc</w:t>
      </w:r>
      <w:r>
        <w:rPr>
          <w:rFonts w:ascii="Times New Roman" w:hAnsi="Times New Roman"/>
          <w:sz w:val="20"/>
        </w:rPr>
        <w:t xml:space="preserve">. The Borrower and the Administrative Agent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Subsidiaries or their respective securities for purposes of United States Federal or state securities laws.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Reliance by Administrative Agent and Lenders</w:t>
      </w:r>
      <w:r>
        <w:rPr>
          <w:rFonts w:ascii="Times New Roman" w:hAnsi="Times New Roman"/>
          <w:sz w:val="20"/>
        </w:rPr>
        <w:t xml:space="preserve">. The Administrative Agent and the Lenders shall be entitled to rely and act upon any notices (including telephonic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as provided in </w:t>
      </w:r>
      <w:r>
        <w:rPr>
          <w:rFonts w:ascii="Times New Roman" w:hAnsi="Times New Roman"/>
          <w:sz w:val="20"/>
          <w:u w:val="single"/>
        </w:rPr>
        <w:t>Section 10.04(b)</w:t>
      </w:r>
      <w:r>
        <w:rPr>
          <w:rFonts w:ascii="Times New Roman" w:hAnsi="Times New Roman"/>
          <w:sz w:val="20"/>
        </w:rPr>
        <w:t xml:space="preserve">. All telephone notices to and other telephonic communications with the Administrative Agent may be recorded by any person a party thereto, and each of the parties hereto consent to such recording. </w:t>
      </w:r>
    </w:p>
    <w:p>
      <w:pPr>
        <w:pStyle w:val="TextBody"/>
        <w:spacing w:before="180" w:after="0"/>
        <w:rPr>
          <w:rFonts w:ascii="Times New Roman" w:hAnsi="Times New Roman"/>
          <w:sz w:val="20"/>
        </w:rPr>
      </w:pPr>
      <w:r>
        <w:rPr>
          <w:rFonts w:ascii="Times New Roman" w:hAnsi="Times New Roman"/>
          <w:b/>
          <w:sz w:val="20"/>
        </w:rPr>
        <w:t>10.03 No Waiver; Cumulative Remedies; Enforcement; Nature of Obligations.</w:t>
      </w:r>
      <w:r>
        <w:rPr>
          <w:rFonts w:ascii="Times New Roman" w:hAnsi="Times New Roman"/>
          <w:sz w:val="20"/>
        </w:rPr>
        <w:t xml:space="preserve"> No failure by any Lender or the 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w:t>
      </w:r>
    </w:p>
    <w:p>
      <w:pPr>
        <w:pStyle w:val="TextBody"/>
        <w:spacing w:before="180" w:after="0"/>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Times New Roman" w:hAnsi="Times New Roman"/>
          <w:sz w:val="20"/>
          <w:u w:val="single"/>
        </w:rPr>
        <w:t>Section 8.02</w:t>
      </w:r>
      <w:r>
        <w:rPr>
          <w:rFonts w:ascii="Times New Roman" w:hAnsi="Times New Roman"/>
          <w:sz w:val="20"/>
        </w:rPr>
        <w:t xml:space="preserve"> for the benefit of all the Lenders;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 w:hAnsi="Times New Roman"/>
          <w:sz w:val="20"/>
          <w:u w:val="single"/>
        </w:rPr>
        <w:t>Section 10.08</w:t>
      </w:r>
      <w:r>
        <w:rPr>
          <w:rFonts w:ascii="Times New Roman" w:hAnsi="Times New Roman"/>
          <w:sz w:val="20"/>
        </w:rPr>
        <w:t xml:space="preserve"> (subject to the terms of </w:t>
      </w:r>
      <w:r>
        <w:rPr>
          <w:rFonts w:ascii="Times New Roman" w:hAnsi="Times New Roman"/>
          <w:sz w:val="20"/>
          <w:u w:val="single"/>
        </w:rPr>
        <w:t>Section 2.11</w:t>
      </w:r>
      <w:r>
        <w:rPr>
          <w:rFonts w:ascii="Times New Roman" w:hAnsi="Times New Roman"/>
          <w:sz w:val="20"/>
        </w:rPr>
        <w:t xml:space="preserve">), or (c) any Lender from filing proofs of claim or appearing and filing pleadings on its own behalf during the pendency of a proceeding relative to the Borrower under any Debtor Relief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sz w:val="20"/>
          <w:u w:val="single"/>
        </w:rPr>
        <w:t>Section 8.02</w:t>
      </w:r>
      <w:r>
        <w:rPr>
          <w:rFonts w:ascii="Times New Roman" w:hAnsi="Times New Roman"/>
          <w:sz w:val="20"/>
        </w:rPr>
        <w:t xml:space="preserve"> and (ii) in addition to the matters set forth in clauses (b) and (c) of the preceding proviso and subject to </w:t>
      </w:r>
      <w:r>
        <w:rPr>
          <w:rFonts w:ascii="Times New Roman" w:hAnsi="Times New Roman"/>
          <w:sz w:val="20"/>
          <w:u w:val="single"/>
        </w:rPr>
        <w:t>Section 2.11</w:t>
      </w:r>
      <w:r>
        <w:rPr>
          <w:rFonts w:ascii="Times New Roman" w:hAnsi="Times New Roman"/>
          <w:sz w:val="20"/>
        </w:rPr>
        <w:t xml:space="preserve">, any Lender may, with the consent of the Required Lenders, enforce any rights and remedies available to it and as authorized by the Required Lenders. </w:t>
      </w:r>
    </w:p>
    <w:p>
      <w:pPr>
        <w:pStyle w:val="TextBody"/>
        <w:spacing w:before="180" w:after="0"/>
        <w:rPr>
          <w:rFonts w:ascii="Times New Roman" w:hAnsi="Times New Roman"/>
          <w:sz w:val="20"/>
        </w:rPr>
      </w:pPr>
      <w:r>
        <w:rPr>
          <w:rFonts w:ascii="Times New Roman" w:hAnsi="Times New Roman"/>
          <w:b/>
          <w:sz w:val="20"/>
        </w:rPr>
        <w:t>10.04 Expenses; Indemnity; Damage Waiver.</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Costs and Expenses</w:t>
      </w:r>
      <w:r>
        <w:rPr>
          <w:rFonts w:ascii="Times New Roman" w:hAnsi="Times New Roman"/>
          <w:sz w:val="20"/>
        </w:rPr>
        <w:t xml:space="preserve">. The Borrower shall pay (i) all reasonable out-of-pocket expenses incurred by the Administrative Agent and its Affiliates (including the reasonable fees, charges and disbursements of counsel for the Administrative Agent),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in connection with the Loans made hereunder, including all such out-of-pocket expenses incurred during any workout, restructuring or negotiations in respect of such Loans, other than expenses of a Defaulting Lender proximately caused by conduct, acts or omissions described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of the definition of Defaulting Lender.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the Borrower</w:t>
      </w:r>
      <w:r>
        <w:rPr>
          <w:rFonts w:ascii="Times New Roman" w:hAnsi="Times New Roman"/>
          <w:sz w:val="20"/>
        </w:rPr>
        <w:t>. The Borrower shall indemnify the Administrative Agent (and any sub-agent thereof), each Lender (each such Person being called an </w:t>
      </w:r>
      <w:r>
        <w:rPr>
          <w:rFonts w:ascii="Times New Roman" w:hAnsi="Times New Roman"/>
          <w:sz w:val="20"/>
          <w:u w:val="single"/>
        </w:rPr>
        <w:t>Indemnitee</w:t>
      </w:r>
      <w:r>
        <w:rPr>
          <w:rFonts w:ascii="Times New Roman" w:hAnsi="Times New Roman"/>
          <w:sz w:val="20"/>
        </w:rPr>
        <w:t xml:space="preserve">) against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the Loan Documents and the transactions and events (including the enforcement or defense thereof) at any time associated therewith or contemplated therein and the Borrowers use of Loan proceeds (whether arising in contract or in tort or otherwise and including any violation or noncompliance with any Environmental Laws by any Indemnitee or any other Person or any liabilities or duties of any Indemnitee or any other Person with respect to Hazardous Materials found in or released into the environment). In the case of an investigation, litigation or proceeding to which the indemnity in this </w:t>
      </w:r>
      <w:r>
        <w:rPr>
          <w:rFonts w:ascii="Times New Roman" w:hAnsi="Times New Roman"/>
          <w:sz w:val="20"/>
          <w:u w:val="single"/>
        </w:rPr>
        <w:t>Section 10.04</w:t>
      </w:r>
      <w:r>
        <w:rPr>
          <w:rFonts w:ascii="Times New Roman" w:hAnsi="Times New Roman"/>
          <w:sz w:val="20"/>
        </w:rPr>
        <w:t xml:space="preserve"> applies, such indemnity shall be effective whether or not such investigation, litigation or proceeding is brought by the Borrower, any of its equity holders, Affiliates or creditors or an Indemnitee or any third party and whether or not an Indemnitee is otherwise a party thereto. </w:t>
      </w:r>
    </w:p>
    <w:p>
      <w:pPr>
        <w:pStyle w:val="TextBody"/>
        <w:spacing w:before="90" w:after="0"/>
        <w:rPr>
          <w:rFonts w:ascii="Times New Roman" w:hAnsi="Times New Roman"/>
          <w:sz w:val="20"/>
        </w:rPr>
      </w:pPr>
      <w:r>
        <w:rPr>
          <w:rFonts w:ascii="Times New Roman" w:hAnsi="Times New Roman"/>
          <w:sz w:val="20"/>
        </w:rPr>
        <w:t xml:space="preserve">(c) </w:t>
      </w:r>
      <w:r>
        <w:rPr>
          <w:rFonts w:ascii="Times New Roman" w:hAnsi="Times New Roman"/>
          <w:b/>
          <w:sz w:val="20"/>
        </w:rPr>
        <w:t>THE FOREGOING INDEMNIFICATION SHALL APPLY WHETHER OR NOT SUCH LIABILITIES AND COSTS ARE IN ANY WAY OR TO ANY EXTENT OWED, IN WHOLE OR IN PART, UNDER ANY CLAIM OR THEORY OF STRICT LIABILITY OR CAUSED, IN WHOLE OR IN PART, BY ANY NEGLIGENT ACT OR OMISSION OF ANY KIND BY ANY INDEMNITEE</w:t>
      </w:r>
      <w:r>
        <w:rPr>
          <w:rFonts w:ascii="Times New Roman" w:hAnsi="Times New Roman"/>
          <w:sz w:val="20"/>
        </w:rPr>
        <w:t xml:space="preserve">, provided only that no Indemnitee shall be entitled under this section to receive indemnification for that portion, if any, of any liabilities and costs which (i) is proximately caused by its own (A) individual gross negligence or willful misconduct, as determined by a court of competent jurisdiction in a final judgment, or (B) material breach of any of its obligations hereunder or under any other Loan Documents, as determined by a court of competent jurisdiction in a final judgment, (ii) arises by reason of a claim (A) by any one or more Indemnitees against any one or more other Indemnitees or (B) by an equity-interest owner of any Indemnitee against any one or more Indemnitees, so long as in either such case, such claim is not proximately caused solely by the breach hereunder or under any other Loan Document by the Borrower or its Affiliates or (iii) are incurred by an Indemnitee that is a Defaulting Lender, and such liabilities or costs are proximately caused by conduct, acts or omissions described in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of the definition of Defaulting Lender. If any Person (including the Borrower or any of its Affiliates) ever alleges gross negligence or willful misconduct pursuant to the preceding clause (i)(A) (but, for the avoidance of doubt, not with respect to an allegation of a material breach pursuant to the preceding clause (i)(B)) by any Indemnitee, the indemnification provided for in this section shall nonetheless be paid upon demand, subject to later adjustment or reimbursement, until such time as a court of competent jurisdiction enters a final judgment as to the extent and effect of the alleged gross negligence or willful misconduct. As used in this section the term Indemnitee shall refer not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only to each Person designated as a Lender Party in </w:t>
      </w:r>
      <w:r>
        <w:rPr>
          <w:rFonts w:ascii="Times New Roman" w:hAnsi="Times New Roman"/>
          <w:sz w:val="20"/>
          <w:u w:val="single"/>
        </w:rPr>
        <w:t>Section 1.01</w:t>
      </w:r>
      <w:r>
        <w:rPr>
          <w:rFonts w:ascii="Times New Roman" w:hAnsi="Times New Roman"/>
          <w:sz w:val="20"/>
        </w:rPr>
        <w:t xml:space="preserve"> but also to each director, officer, trustee, agent, attorney, employee, representative and Affiliate of such Persons. So long as no Default has occurred and is continuing and the Borrower is financially solvent, no Indemnitee may settle any claim to be indemnified without the consent of the Borrower, such consent not to be unreasonably withheld; provided that the Borrower may not reasonably withhold consent to any settlement that an Indemnitee proposes, if the Borrower does not have the financial ability to pay all its obligations outstanding and asserted against the Borrower at that time, including the maximum potential claims against the Indemnitee to be indemnified pursuant to this </w:t>
      </w:r>
      <w:r>
        <w:rPr>
          <w:rFonts w:ascii="Times New Roman" w:hAnsi="Times New Roman"/>
          <w:sz w:val="20"/>
          <w:u w:val="single"/>
        </w:rPr>
        <w:t>Section 10.04</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Reimbursement by Lenders</w:t>
      </w:r>
      <w:r>
        <w:rPr>
          <w:rFonts w:ascii="Times New Roman" w:hAnsi="Times New Roman"/>
          <w:sz w:val="20"/>
        </w:rPr>
        <w:t xml:space="preserve">. To the extent that the Borrower for any reason fails to indefeasibly pay any amount required under subsection (a) or (b) of this Section to be paid by it to the Administrative Agent (or any sub-agent thereof), or any applicable Related Party of any of the foregoing, without affecting the Borrowers payment obligations with respect thereto, each Lender severally agrees to pay to the Administrative Agent (or any such sub-agent) or such Related Party, as the case may be, such Lenders Applicable Percentage (determined as of the time that the applicable unreimbursed expense or indemnity payment is sought) of such unpaid amount,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 in connection with such capacity. The obligations of the Lenders under this subsection (d) are subject to the provisions of </w:t>
      </w:r>
      <w:r>
        <w:rPr>
          <w:rFonts w:ascii="Times New Roman" w:hAnsi="Times New Roman"/>
          <w:sz w:val="20"/>
          <w:u w:val="single"/>
        </w:rPr>
        <w:t>Section 2.10(d)</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Waiver of Consequential Damages, Etc.</w:t>
      </w:r>
      <w:r>
        <w:rPr>
          <w:rFonts w:ascii="Times New Roman" w:hAnsi="Times New Roman"/>
          <w:sz w:val="20"/>
        </w:rPr>
        <w:t xml:space="preserve"> To the fullest extent permitted by applicable law, no party hereto or Related Party of any party hereto shall assert, and hereby waives, any claim against each other party hereto and its Related Parties (including, as applicable, each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any of its obligations under any Loan Document. </w:t>
      </w:r>
    </w:p>
    <w:p>
      <w:pPr>
        <w:pStyle w:val="TextBody"/>
        <w:spacing w:before="90" w:after="0"/>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Payments</w:t>
      </w:r>
      <w:r>
        <w:rPr>
          <w:rFonts w:ascii="Times New Roman" w:hAnsi="Times New Roman"/>
          <w:sz w:val="20"/>
        </w:rPr>
        <w:t xml:space="preserve">. All amounts due under this Section shall be payable not later than ten Business Days after demand therefor and the Borrowers receipt of reasonably detailed invoices or statements related thereto. </w:t>
      </w:r>
    </w:p>
    <w:p>
      <w:pPr>
        <w:pStyle w:val="TextBody"/>
        <w:spacing w:before="90" w:after="0"/>
        <w:rPr>
          <w:rFonts w:ascii="Times New Roman" w:hAnsi="Times New Roman"/>
          <w:sz w:val="20"/>
        </w:rPr>
      </w:pPr>
      <w:r>
        <w:rPr>
          <w:rFonts w:ascii="Times New Roman" w:hAnsi="Times New Roman"/>
          <w:sz w:val="20"/>
        </w:rPr>
        <w:t xml:space="preserve">(g) </w:t>
      </w:r>
      <w:r>
        <w:rPr>
          <w:rFonts w:ascii="Times New Roman" w:hAnsi="Times New Roman"/>
          <w:sz w:val="20"/>
          <w:u w:val="single"/>
        </w:rPr>
        <w:t>Survival</w:t>
      </w:r>
      <w:r>
        <w:rPr>
          <w:rFonts w:ascii="Times New Roman" w:hAnsi="Times New Roman"/>
          <w:sz w:val="20"/>
        </w:rPr>
        <w:t xml:space="preserve">. The agreements in this Section shall survive the resignation of the Administrative Agent, the replacement of any Lender, the termination of the Aggregate Commitments and the repayment, satisfaction or discharge of all the other Obligations.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10.05 Payments Set Aside.</w:t>
      </w:r>
      <w:r>
        <w:rPr>
          <w:rFonts w:ascii="Times New Roman" w:hAnsi="Times New Roman"/>
          <w:sz w:val="20"/>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The obligations of the Lenders under clause (b) of the preceding sentence shall survive the payment in full of the Obligations and the termination of this Agreement. </w:t>
      </w:r>
    </w:p>
    <w:p>
      <w:pPr>
        <w:pStyle w:val="TextBody"/>
        <w:spacing w:before="180" w:after="0"/>
        <w:rPr>
          <w:rFonts w:ascii="Times New Roman" w:hAnsi="Times New Roman"/>
          <w:sz w:val="20"/>
        </w:rPr>
      </w:pPr>
      <w:r>
        <w:rPr>
          <w:rFonts w:ascii="Times New Roman" w:hAnsi="Times New Roman"/>
          <w:b/>
          <w:sz w:val="20"/>
        </w:rPr>
        <w:t>10.06 Successors and Assigns.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and the Lenders) any legal or equitable right, remedy or claim under or by reason of this Agreement.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 w:hAnsi="Times New Roman"/>
          <w:sz w:val="20"/>
          <w:u w:val="single"/>
        </w:rPr>
        <w:t>provided</w:t>
      </w:r>
      <w:r>
        <w:rPr>
          <w:rFonts w:ascii="Times New Roman" w:hAnsi="Times New Roman"/>
          <w:sz w:val="20"/>
        </w:rPr>
        <w:t xml:space="preserve"> that any such assignment shall be subject to the following conditions: </w:t>
      </w:r>
    </w:p>
    <w:p>
      <w:pPr>
        <w:pStyle w:val="TextBody"/>
        <w:spacing w:before="90" w:after="0"/>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in the case of an assignment of the entire remaining amount of the assigning Lenders Commitment and the Loans at the time owing to it or in the case of an assignment to a Lender, an Affiliate of a Lender or an Approved Fund, no minimum amount need be assigned;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w:t>
      </w:r>
    </w:p>
    <w:p>
      <w:pPr>
        <w:pStyle w:val="TextBody"/>
        <w:spacing w:before="90" w:after="0"/>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Loans or the Commitment assigned; </w:t>
      </w:r>
    </w:p>
    <w:p>
      <w:pPr>
        <w:pStyle w:val="TextBody"/>
        <w:spacing w:before="90" w:after="0"/>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such assignment except to the extent required by </w:t>
      </w:r>
      <w:r>
        <w:rPr>
          <w:rFonts w:ascii="Times New Roman" w:hAnsi="Times New Roman"/>
          <w:sz w:val="20"/>
          <w:u w:val="single"/>
        </w:rPr>
        <w:t>subsection (b)(i)(B)</w:t>
      </w:r>
      <w:r>
        <w:rPr>
          <w:rFonts w:ascii="Times New Roman" w:hAnsi="Times New Roman"/>
          <w:sz w:val="20"/>
        </w:rPr>
        <w:t xml:space="preserve"> of this Section and, in addition: </w:t>
      </w:r>
    </w:p>
    <w:p>
      <w:pPr>
        <w:pStyle w:val="TextBody"/>
        <w:spacing w:before="90" w:after="0"/>
        <w:rPr>
          <w:rFonts w:ascii="Times New Roman" w:hAnsi="Times New Roman"/>
          <w:sz w:val="20"/>
        </w:rPr>
      </w:pPr>
      <w:r>
        <w:rPr>
          <w:rFonts w:ascii="Times New Roman" w:hAnsi="Times New Roman"/>
          <w:sz w:val="20"/>
        </w:rPr>
        <w:t xml:space="preserve">(A) the consent of the Borrower (such consent not to be unreasonably withheld) shall be required unless (1) an Event of Default has occurred and is continuing at the time of such assignment or (2) such assignment is to a Lender; </w:t>
      </w:r>
      <w:r>
        <w:rPr>
          <w:rFonts w:ascii="Times New Roman" w:hAnsi="Times New Roman"/>
          <w:sz w:val="20"/>
          <w:u w:val="single"/>
        </w:rPr>
        <w:t>provided</w:t>
      </w:r>
      <w:r>
        <w:rPr>
          <w:rFonts w:ascii="Times New Roman" w:hAnsi="Times New Roman"/>
          <w:sz w:val="20"/>
        </w:rPr>
        <w:t xml:space="preserve"> that the Borrower shall be deemed to have consented to any such assignment unless it shall object thereto by written notice to the Administrative Agent within five (5) Business Days after having received notice thereof; and </w:t>
      </w:r>
    </w:p>
    <w:p>
      <w:pPr>
        <w:pStyle w:val="TextBody"/>
        <w:spacing w:before="90" w:after="0"/>
        <w:rPr>
          <w:rFonts w:ascii="Times New Roman" w:hAnsi="Times New Roman"/>
          <w:sz w:val="20"/>
        </w:rPr>
      </w:pPr>
      <w:r>
        <w:rPr>
          <w:rFonts w:ascii="Times New Roman" w:hAnsi="Times New Roman"/>
          <w:sz w:val="20"/>
        </w:rPr>
        <w:t xml:space="preserve">(B) the consent of the Administrative Agent (such consent not to be unreasonably withheld or delayed) shall be required if such assignment is to a Person that is not a Lender, an Affiliate of such Lender or an Approved Fund with respect to such Lender. </w:t>
      </w:r>
    </w:p>
    <w:p>
      <w:pPr>
        <w:pStyle w:val="TextBody"/>
        <w:spacing w:before="90" w:after="0"/>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w:t>
      </w:r>
      <w:r>
        <w:rPr>
          <w:rFonts w:ascii="Times New Roman" w:hAnsi="Times New Roman"/>
          <w:sz w:val="20"/>
        </w:rPr>
        <w:t xml:space="preserve">. The parties to each assignment permitted by </w:t>
      </w:r>
      <w:r>
        <w:rPr>
          <w:rFonts w:ascii="Times New Roman" w:hAnsi="Times New Roman"/>
          <w:sz w:val="20"/>
          <w:u w:val="single"/>
        </w:rPr>
        <w:t>Section 10.06(b)</w:t>
      </w:r>
      <w:r>
        <w:rPr>
          <w:rFonts w:ascii="Times New Roman" w:hAnsi="Times New Roman"/>
          <w:sz w:val="20"/>
        </w:rPr>
        <w:t xml:space="preserve"> shall execute and deliver to the Administrative Agent an Assignment and Assumption, together with a processing and recordation fee in the amount of $3,500;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Administrative Agent may, in its sole discretion, elect to waive such processing and recordation fee in the case of any assignment. The assignee, if it is not a Lender, shall deliver to the Administrative Agent an Administrative Questionnaire. </w:t>
      </w:r>
    </w:p>
    <w:p>
      <w:pPr>
        <w:pStyle w:val="TextBody"/>
        <w:spacing w:before="90" w:after="0"/>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Certain Persons</w:t>
      </w:r>
      <w:r>
        <w:rPr>
          <w:rFonts w:ascii="Times New Roman" w:hAnsi="Times New Roman"/>
          <w:sz w:val="20"/>
        </w:rPr>
        <w:t xml:space="preserve">. No such assignment shall be made (A) to the Borrower or any of the Borrowers Affiliates or Subsidiaries, or (B) to any Defaulting Lender or any of its Subsidiaries, or any Person who, upon becoming a Lender hereunder, would constitute any of the foregoing Persons described in this clause (B), or (C) to a natural person.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(vi) </w:t>
      </w:r>
      <w:r>
        <w:rPr>
          <w:rFonts w:ascii="Times New Roman" w:hAnsi="Times New Roman"/>
          <w:sz w:val="20"/>
          <w:u w:val="single"/>
        </w:rPr>
        <w:t>Certain Additional Payments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spacing w:before="180" w:after="0"/>
        <w:rPr>
          <w:rFonts w:ascii="Times New Roman" w:hAnsi="Times New Roman"/>
          <w:sz w:val="20"/>
        </w:rPr>
      </w:pPr>
      <w:r>
        <w:rPr>
          <w:rFonts w:ascii="Times New Roman" w:hAnsi="Times New Roman"/>
          <w:sz w:val="20"/>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with respect to facts and circumstances occurring prior to the effective date of such assignment. Upon request, the Borrower (at its expense) shall execute and deliver a Note to the assignee Lender against receipt by the Borrower of the cancelled original Note of the assignor, if its entire Commitment was assigned, or evidence that such assignors Note is marked to reflect its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an agent of the Borrower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and recordation of Assignments and Assumptions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 and the Administrative Agent shall provide any information therein as the Borrower shall reasonably request from time to time.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without the consent of, or notice to, the Borrower or the Administrative Agent, sell participations to any Person (other than a natural person, a Defaulting Lender or the Borrower or any of the Borrowers Affiliates or Subsidiaries) (each, a </w:t>
      </w:r>
      <w:r>
        <w:rPr>
          <w:rFonts w:ascii="Times New Roman" w:hAnsi="Times New Roman"/>
          <w:sz w:val="20"/>
          <w:u w:val="single"/>
        </w:rPr>
        <w:t>Participant</w:t>
      </w:r>
      <w:r>
        <w:rPr>
          <w:rFonts w:ascii="Times New Roman" w:hAnsi="Times New Roman"/>
          <w:sz w:val="20"/>
        </w:rPr>
        <w:t xml:space="preserve">) in all or a portion of such Lenders rights and/or obligations under this Agreement (including all or a portion of its Commitment and/or the Loans); </w:t>
      </w:r>
      <w:r>
        <w:rPr>
          <w:rFonts w:ascii="Times New Roman" w:hAnsi="Times New Roman"/>
          <w:sz w:val="20"/>
          <w:u w:val="single"/>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w:t>
      </w:r>
    </w:p>
    <w:p>
      <w:pPr>
        <w:pStyle w:val="TextBody"/>
        <w:spacing w:before="180" w:after="0"/>
        <w:rPr>
          <w:rFonts w:ascii="Times New Roman" w:hAnsi="Times New Roman"/>
          <w:sz w:val="20"/>
        </w:rPr>
      </w:pPr>
      <w:r>
        <w:rPr>
          <w:rFonts w:ascii="Times New Roman" w:hAnsi="Times New Roman"/>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waiver or other modification described in the first proviso to </w:t>
      </w:r>
      <w:r>
        <w:rPr>
          <w:rFonts w:ascii="Times New Roman" w:hAnsi="Times New Roman"/>
          <w:sz w:val="20"/>
          <w:u w:val="single"/>
        </w:rPr>
        <w:t>Section 10.01</w:t>
      </w:r>
      <w:r>
        <w:rPr>
          <w:rFonts w:ascii="Times New Roman" w:hAnsi="Times New Roman"/>
          <w:sz w:val="20"/>
        </w:rPr>
        <w:t xml:space="preserve"> that affects such Participant. Subject to subsection (e) of this Section, the Borrower agrees that each Participant shall be entitled to the benefits of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and </w:t>
      </w:r>
      <w:r>
        <w:rPr>
          <w:rFonts w:ascii="Times New Roman" w:hAnsi="Times New Roman"/>
          <w:sz w:val="20"/>
          <w:u w:val="single"/>
        </w:rPr>
        <w:t>3.05</w:t>
      </w:r>
      <w:r>
        <w:rPr>
          <w:rFonts w:ascii="Times New Roman" w:hAnsi="Times New Roman"/>
          <w:sz w:val="20"/>
        </w:rPr>
        <w:t xml:space="preserve"> (subject to the requirements and limitations therein, including the requirements under </w:t>
      </w:r>
      <w:r>
        <w:rPr>
          <w:rFonts w:ascii="Times New Roman" w:hAnsi="Times New Roman"/>
          <w:sz w:val="20"/>
          <w:u w:val="single"/>
        </w:rPr>
        <w:t>Section 3.01</w:t>
      </w:r>
      <w:r>
        <w:rPr>
          <w:rFonts w:ascii="Times New Roman" w:hAnsi="Times New Roman"/>
          <w:sz w:val="20"/>
        </w:rPr>
        <w:t xml:space="preserve"> (it being understood that the documentation required under </w:t>
      </w:r>
      <w:r>
        <w:rPr>
          <w:rFonts w:ascii="Times New Roman" w:hAnsi="Times New Roman"/>
          <w:sz w:val="20"/>
          <w:u w:val="single"/>
        </w:rPr>
        <w:t>Section 3.01</w:t>
      </w:r>
      <w:r>
        <w:rPr>
          <w:rFonts w:ascii="Times New Roman" w:hAnsi="Times New Roman"/>
          <w:sz w:val="20"/>
        </w:rPr>
        <w:t xml:space="preserve"> shall be delivered to the participating Lender) and the obligations imposed by such Sections and shall be subject to replacement pursuant to </w:t>
      </w:r>
      <w:r>
        <w:rPr>
          <w:rFonts w:ascii="Times New Roman" w:hAnsi="Times New Roman"/>
          <w:sz w:val="20"/>
          <w:u w:val="single"/>
        </w:rPr>
        <w:t>Section 3.06</w:t>
      </w:r>
      <w:r>
        <w:rPr>
          <w:rFonts w:ascii="Times New Roman" w:hAnsi="Times New Roman"/>
          <w:sz w:val="20"/>
        </w:rPr>
        <w:t xml:space="preserve"> to the same extent as if it were a Lender and had acquired its interest by assignment pursuant to subsection (b) of this Section. Each Lender that sells a participation agrees, at such Lenders request and expense, to use reasonable efforts to cooperate with the Borrower to effectuate the provisions of </w:t>
      </w:r>
      <w:r>
        <w:rPr>
          <w:rFonts w:ascii="Times New Roman" w:hAnsi="Times New Roman"/>
          <w:sz w:val="20"/>
          <w:u w:val="single"/>
        </w:rPr>
        <w:t>Section 3.06</w:t>
      </w:r>
      <w:r>
        <w:rPr>
          <w:rFonts w:ascii="Times New Roman" w:hAnsi="Times New Roman"/>
          <w:sz w:val="20"/>
        </w:rPr>
        <w:t xml:space="preserve"> with respect to any Participant. To the extent permitted by law, each Participant also shall be entitled to the benefits of </w:t>
      </w:r>
      <w:r>
        <w:rPr>
          <w:rFonts w:ascii="Times New Roman" w:hAnsi="Times New Roman"/>
          <w:sz w:val="20"/>
          <w:u w:val="single"/>
        </w:rPr>
        <w:t xml:space="preserve">Section 10.08 </w:t>
      </w:r>
      <w:r>
        <w:rPr>
          <w:rFonts w:ascii="Times New Roman" w:hAnsi="Times New Roman"/>
          <w:sz w:val="20"/>
        </w:rPr>
        <w:t xml:space="preserve">as though it were a Lender, </w:t>
      </w:r>
      <w:r>
        <w:rPr>
          <w:rFonts w:ascii="Times New Roman" w:hAnsi="Times New Roman"/>
          <w:sz w:val="20"/>
          <w:u w:val="single"/>
        </w:rPr>
        <w:t>provided</w:t>
      </w:r>
      <w:r>
        <w:rPr>
          <w:rFonts w:ascii="Times New Roman" w:hAnsi="Times New Roman"/>
          <w:sz w:val="20"/>
        </w:rPr>
        <w:t xml:space="preserve"> such Participant agrees to be subject to </w:t>
      </w:r>
      <w:r>
        <w:rPr>
          <w:rFonts w:ascii="Times New Roman" w:hAnsi="Times New Roman"/>
          <w:sz w:val="20"/>
          <w:u w:val="single"/>
        </w:rPr>
        <w:t>Section 2.11</w:t>
      </w:r>
      <w:r>
        <w:rPr>
          <w:rFonts w:ascii="Times New Roman" w:hAnsi="Times New Roman"/>
          <w:sz w:val="20"/>
        </w:rPr>
        <w:t xml:space="preserve"> as though it were a Lender. Each Lender that sells a participation shall, solely for tax purposes, maintain a register on which it enters the name and address of each Participant in such Lenders Loans and the principal amounts (and stated interest) of each such Participants interest in such Lenders Loans or other obligations under the Loan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its Participant Register to any Person (including the identity of any Participant or any information relating to a Participants interest in such Lenders commitments, loans or its other obligations under any Loan Document) except to the extent that such disclosure is necessary to establish that such commitment, loan, letter of credit or other obligation is in registered form under Section 5f.103-1(c) of the Treasury regulations. The entries in the Participant Register shall be conclusive absent manifest error, and such Lender shall treat each Person whose name is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recorded in such Lenders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spacing w:before="18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upon Participant Rights</w:t>
      </w:r>
      <w:r>
        <w:rPr>
          <w:rFonts w:ascii="Times New Roman" w:hAnsi="Times New Roman"/>
          <w:sz w:val="20"/>
        </w:rPr>
        <w:t xml:space="preserve">. A Participant shall not be entitled to receive any greater payment under </w:t>
      </w:r>
      <w:r>
        <w:rPr>
          <w:rFonts w:ascii="Times New Roman" w:hAnsi="Times New Roman"/>
          <w:sz w:val="20"/>
          <w:u w:val="single"/>
        </w:rPr>
        <w:t>Section 3.01</w:t>
      </w:r>
      <w:r>
        <w:rPr>
          <w:rFonts w:ascii="Times New Roman" w:hAnsi="Times New Roman"/>
          <w:sz w:val="20"/>
        </w:rPr>
        <w:t xml:space="preserve">, </w:t>
      </w:r>
      <w:r>
        <w:rPr>
          <w:rFonts w:ascii="Times New Roman" w:hAnsi="Times New Roman"/>
          <w:sz w:val="20"/>
          <w:u w:val="single"/>
        </w:rPr>
        <w:t xml:space="preserve">3.04 </w:t>
      </w:r>
      <w:r>
        <w:rPr>
          <w:rFonts w:ascii="Times New Roman" w:hAnsi="Times New Roman"/>
          <w:sz w:val="20"/>
        </w:rPr>
        <w:t xml:space="preserve">or </w:t>
      </w:r>
      <w:r>
        <w:rPr>
          <w:rFonts w:ascii="Times New Roman" w:hAnsi="Times New Roman"/>
          <w:sz w:val="20"/>
          <w:u w:val="single"/>
        </w:rPr>
        <w:t>3.05</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hAnsi="Times New Roman"/>
          <w:sz w:val="20"/>
          <w:u w:val="single"/>
        </w:rPr>
        <w:t>Section 3.01</w:t>
      </w:r>
      <w:r>
        <w:rPr>
          <w:rFonts w:ascii="Times New Roman" w:hAnsi="Times New Roman"/>
          <w:sz w:val="20"/>
        </w:rPr>
        <w:t xml:space="preserve"> unless the Borrower is notified of the participation sold to such Participant and such Participant agrees, for the benefit of the Borrower, to comply and complies with </w:t>
      </w:r>
      <w:r>
        <w:rPr>
          <w:rFonts w:ascii="Times New Roman" w:hAnsi="Times New Roman"/>
          <w:sz w:val="20"/>
          <w:u w:val="single"/>
        </w:rPr>
        <w:t>Section 3.01(e)</w:t>
      </w:r>
      <w:r>
        <w:rPr>
          <w:rFonts w:ascii="Times New Roman" w:hAnsi="Times New Roman"/>
          <w:sz w:val="20"/>
        </w:rPr>
        <w:t xml:space="preserve"> as though it were a Lender. </w:t>
      </w:r>
    </w:p>
    <w:p>
      <w:pPr>
        <w:pStyle w:val="TextBody"/>
        <w:spacing w:before="180" w:after="0"/>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Pledges</w:t>
      </w:r>
      <w:r>
        <w:rPr>
          <w:rFonts w:ascii="Times New Roman" w:hAnsi="Times New Roman"/>
          <w:sz w:val="20"/>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any central bank having jurisdiction over such Lender; </w:t>
      </w:r>
      <w:r>
        <w:rPr>
          <w:rFonts w:ascii="Times New Roman" w:hAnsi="Times New Roman"/>
          <w:sz w:val="20"/>
          <w:u w:val="single"/>
        </w:rPr>
        <w:t>provided</w:t>
      </w:r>
      <w:r>
        <w:rPr>
          <w:rFonts w:ascii="Times New Roman" w:hAnsi="Times New Roman"/>
          <w:sz w:val="20"/>
        </w:rPr>
        <w:t xml:space="preserve"> that no such pledge or assignment shall release such Lender from any of its obligations hereunder or substitute any such pledgee or assignee for such Lender as a party hereto. </w:t>
      </w:r>
    </w:p>
    <w:p>
      <w:pPr>
        <w:pStyle w:val="TextBody"/>
        <w:spacing w:before="180" w:after="0"/>
        <w:rPr>
          <w:rFonts w:ascii="Times New Roman" w:hAnsi="Times New Roman"/>
          <w:sz w:val="20"/>
        </w:rPr>
      </w:pPr>
      <w:r>
        <w:rPr>
          <w:rFonts w:ascii="Times New Roman" w:hAnsi="Times New Roman"/>
          <w:sz w:val="20"/>
        </w:rPr>
        <w:t xml:space="preserve">(g) </w:t>
      </w:r>
      <w:r>
        <w:rPr>
          <w:rFonts w:ascii="Times New Roman" w:hAnsi="Times New Roman"/>
          <w:sz w:val="20"/>
          <w:u w:val="single"/>
        </w:rPr>
        <w:t>Lost Notes</w:t>
      </w:r>
      <w:r>
        <w:rPr>
          <w:rFonts w:ascii="Times New Roman" w:hAnsi="Times New Roman"/>
          <w:sz w:val="20"/>
        </w:rPr>
        <w:t xml:space="preserve">. Upon receipt of an affidavit reasonably satisfactory to the Borrower of an officer of any Lender as to the loss, theft, destruction or mutilation of its Note which is not of public record, and, in the case of any such loss, theft, destruction or mutilation, upon cancellation of such Note, the Borrower will execute and deliver, in lieu thereof, a replacement Note in the principal amount of such Lenders then Commitment or if no Commitment is in effect, the outstanding principal amount owed to such Lender and otherwise of like tenor. </w:t>
      </w:r>
    </w:p>
    <w:p>
      <w:pPr>
        <w:pStyle w:val="TextBody"/>
        <w:spacing w:before="180" w:after="0"/>
        <w:rPr>
          <w:rFonts w:ascii="Times New Roman" w:hAnsi="Times New Roman"/>
          <w:sz w:val="20"/>
        </w:rPr>
      </w:pPr>
      <w:r>
        <w:rPr>
          <w:rFonts w:ascii="Times New Roman" w:hAnsi="Times New Roman"/>
          <w:b/>
          <w:sz w:val="20"/>
        </w:rPr>
        <w:t>10.07 Treatment of Certain Information; Confidentiality.</w:t>
      </w:r>
      <w:r>
        <w:rPr>
          <w:rFonts w:ascii="Times New Roman" w:hAnsi="Times New Roman"/>
          <w:sz w:val="20"/>
        </w:rPr>
        <w:t xml:space="preserve"> Each of the Administrative Agent and the Lenders (for itself and each of its Related Parties)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will maintain such confidences), (b) to the extent requested or required by applicable laws or regulations or by any subpoena or similar legal process, including in connection with any pledge or assignment made pursuant to </w:t>
      </w:r>
      <w:r>
        <w:rPr>
          <w:rFonts w:ascii="Times New Roman" w:hAnsi="Times New Roman"/>
          <w:sz w:val="20"/>
          <w:u w:val="single"/>
        </w:rPr>
        <w:t>Section 10.06(f)</w:t>
      </w:r>
      <w:r>
        <w:rPr>
          <w:rFonts w:ascii="Times New Roman" w:hAnsi="Times New Roman"/>
          <w:sz w:val="20"/>
        </w:rPr>
        <w:t xml:space="preserve">, (c) subject to this </w:t>
      </w:r>
      <w:r>
        <w:rPr>
          <w:rFonts w:ascii="Times New Roman" w:hAnsi="Times New Roman"/>
          <w:sz w:val="20"/>
          <w:u w:val="single"/>
        </w:rPr>
        <w:t>Section 10.07</w:t>
      </w:r>
      <w:r>
        <w:rPr>
          <w:rFonts w:ascii="Times New Roman" w:hAnsi="Times New Roman"/>
          <w:sz w:val="20"/>
        </w:rPr>
        <w:t xml:space="preserve">, to any other party hereto, (d) in connection with the exercise of any remedies hereunder or under any other Loan Document or any action or proceeding relating to this Agreement or any other Loan Document or in connection with any Default or anticipated Default, the enforcement of rights hereunder or thereunder, (e)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and requested by, the Borrower and its obligations, (f) with the consent of the Borrower or (g) to the extent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Information (x) becomes publicly available other than as a result of a breach of this Section or (y) becomes available to the Administrative Agent, any Lender or any of their respective Affiliates on a nonconfidential basis from a source other than the Borrower. </w:t>
      </w:r>
    </w:p>
    <w:p>
      <w:pPr>
        <w:pStyle w:val="TextBody"/>
        <w:spacing w:before="180" w:after="0"/>
        <w:rPr>
          <w:rFonts w:ascii="Times New Roman" w:hAnsi="Times New Roman"/>
          <w:sz w:val="20"/>
        </w:rPr>
      </w:pPr>
      <w:r>
        <w:rPr>
          <w:rFonts w:ascii="Times New Roman" w:hAnsi="Times New Roman"/>
          <w:sz w:val="20"/>
        </w:rPr>
        <w:t xml:space="preserve">For purposes of this Section, Information means all information received from the Borrower or any Subsidiary relating to the Borrower or any Subsidiary or any Affiliate of any of them, or any of their respective businesses, other than any such information that is available to the Administrative Agent or any Lender on a nonconfidential basis prior to disclosure by the Borrower or any Subsidiary, provided that, in the case of information received from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w:t>
      </w:r>
    </w:p>
    <w:p>
      <w:pPr>
        <w:pStyle w:val="TextBody"/>
        <w:spacing w:before="180" w:after="0"/>
        <w:rPr>
          <w:rFonts w:ascii="Times New Roman" w:hAnsi="Times New Roman"/>
          <w:sz w:val="20"/>
        </w:rPr>
      </w:pPr>
      <w:r>
        <w:rPr>
          <w:rFonts w:ascii="Times New Roman" w:hAnsi="Times New Roman"/>
          <w:sz w:val="20"/>
        </w:rPr>
        <w:t xml:space="preserve">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 </w:t>
      </w:r>
    </w:p>
    <w:p>
      <w:pPr>
        <w:pStyle w:val="TextBody"/>
        <w:spacing w:before="180" w:after="0"/>
        <w:rPr>
          <w:rFonts w:ascii="Times New Roman" w:hAnsi="Times New Roman"/>
          <w:sz w:val="20"/>
        </w:rPr>
      </w:pPr>
      <w:r>
        <w:rPr>
          <w:rFonts w:ascii="Times New Roman" w:hAnsi="Times New Roman"/>
          <w:b/>
          <w:sz w:val="20"/>
        </w:rPr>
        <w:t xml:space="preserve">10.08 Right of Setoff. </w:t>
      </w:r>
      <w:r>
        <w:rPr>
          <w:rFonts w:ascii="Times New Roman" w:hAnsi="Times New Roman"/>
          <w:sz w:val="20"/>
        </w:rPr>
        <w:t xml:space="preserve">At any time and from time to time during the continuance of any Event of Default, each Lender is hereby authorized, to the fullest extent permitted by applicable law, to set off and apply against the payment Obligations then due and payable (without notice to any Restricted Person), any and all deposits (general or special, time or demand, provisional or final, in whatever currency) at any time held and other obligations (in whatever currency) at any time owing by such Lender or any such Affiliate to or for the credit or the account of the Borrower;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sz w:val="20"/>
          <w:u w:val="single"/>
        </w:rPr>
        <w:t>Section 2.12</w:t>
      </w:r>
      <w:r>
        <w:rPr>
          <w:rFonts w:ascii="Times New Roman" w:hAnsi="Times New Roman"/>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its Affiliates may have. Each Lender agrees to notify the Borrower and the Administrative Agent promptly after any such setoff and application,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w:t>
      </w:r>
    </w:p>
    <w:p>
      <w:pPr>
        <w:pStyle w:val="TextBody"/>
        <w:spacing w:before="180" w:after="0"/>
        <w:rPr>
          <w:rFonts w:ascii="Times New Roman" w:hAnsi="Times New Roman"/>
          <w:sz w:val="20"/>
        </w:rPr>
      </w:pPr>
      <w:r>
        <w:rPr>
          <w:rFonts w:ascii="Times New Roman" w:hAnsi="Times New Roman"/>
          <w:b/>
          <w:sz w:val="20"/>
        </w:rPr>
        <w:t>10.09 Interest Rate Limitation.</w:t>
      </w:r>
      <w:r>
        <w:rPr>
          <w:rFonts w:ascii="Times New Roman" w:hAnsi="Times New Roman"/>
          <w:sz w:val="20"/>
        </w:rPr>
        <w:t xml:space="preserve"> 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sz w:val="20"/>
          <w:u w:val="single"/>
        </w:rPr>
        <w:t>Maximum Rate</w:t>
      </w:r>
      <w:r>
        <w:rPr>
          <w:rFonts w:ascii="Times New Roman" w:hAnsi="Times New Roman"/>
          <w:sz w:val="20"/>
        </w:rPr>
        <w:t xml:space="preserve">).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spacing w:before="180" w:after="0"/>
        <w:rPr>
          <w:rFonts w:ascii="Times New Roman" w:hAnsi="Times New Roman"/>
          <w:sz w:val="20"/>
        </w:rPr>
      </w:pPr>
      <w:r>
        <w:rPr>
          <w:rFonts w:ascii="Times New Roman" w:hAnsi="Times New Roman"/>
          <w:b/>
          <w:sz w:val="20"/>
        </w:rPr>
        <w:t xml:space="preserve">10.10 Counterparts; Integration; Effectiveness. </w:t>
      </w:r>
      <w:r>
        <w:rPr>
          <w:rFonts w:ascii="Times New Roman" w:hAnsi="Times New Roman"/>
          <w:sz w:val="20"/>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4.01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 </w:t>
      </w:r>
    </w:p>
    <w:p>
      <w:pPr>
        <w:pStyle w:val="TextBody"/>
        <w:spacing w:before="180" w:after="0"/>
        <w:rPr>
          <w:rFonts w:ascii="Times New Roman" w:hAnsi="Times New Roman"/>
          <w:sz w:val="20"/>
        </w:rPr>
      </w:pPr>
      <w:r>
        <w:rPr>
          <w:rFonts w:ascii="Times New Roman" w:hAnsi="Times New Roman"/>
          <w:b/>
          <w:sz w:val="20"/>
        </w:rPr>
        <w:t xml:space="preserve">10.11 Survival of Representations and Warranties. </w:t>
      </w:r>
      <w:r>
        <w:rPr>
          <w:rFonts w:ascii="Times New Roman" w:hAnsi="Times New Roman"/>
          <w:sz w:val="20"/>
        </w:rPr>
        <w:t xml:space="preserve">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Loan, and shall continue in full force and effect as long as any Loan or any other Obligation hereunder shall remain unpaid or unsatisfied. </w:t>
      </w:r>
    </w:p>
    <w:p>
      <w:pPr>
        <w:pStyle w:val="TextBody"/>
        <w:spacing w:before="180" w:after="0"/>
        <w:rPr>
          <w:rFonts w:ascii="Times New Roman" w:hAnsi="Times New Roman"/>
          <w:sz w:val="20"/>
        </w:rPr>
      </w:pPr>
      <w:r>
        <w:rPr>
          <w:rFonts w:ascii="Times New Roman" w:hAnsi="Times New Roman"/>
          <w:b/>
          <w:sz w:val="20"/>
        </w:rPr>
        <w:t>10.12 Severability.</w:t>
      </w:r>
      <w:r>
        <w:rPr>
          <w:rFonts w:ascii="Times New Roman" w:hAnsi="Times New Roman"/>
          <w:sz w:val="20"/>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hAnsi="Times New Roman"/>
          <w:sz w:val="20"/>
          <w:u w:val="single"/>
        </w:rPr>
        <w:t>Section 10.12</w:t>
      </w:r>
      <w:r>
        <w:rPr>
          <w:rFonts w:ascii="Times New Roman" w:hAnsi="Times New Roman"/>
          <w:sz w:val="20"/>
        </w:rPr>
        <w:t xml:space="preserve">,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 </w:t>
      </w:r>
    </w:p>
    <w:p>
      <w:pPr>
        <w:pStyle w:val="TextBody"/>
        <w:spacing w:before="180" w:after="0"/>
        <w:rPr>
          <w:rFonts w:ascii="Times New Roman" w:hAnsi="Times New Roman"/>
          <w:sz w:val="20"/>
        </w:rPr>
      </w:pPr>
      <w:r>
        <w:rPr>
          <w:rFonts w:ascii="Times New Roman" w:hAnsi="Times New Roman"/>
          <w:b/>
          <w:sz w:val="20"/>
        </w:rPr>
        <w:t>10.13 Replacement of Lenders.</w:t>
      </w:r>
      <w:r>
        <w:rPr>
          <w:rFonts w:ascii="Times New Roman" w:hAnsi="Times New Roman"/>
          <w:sz w:val="20"/>
        </w:rPr>
        <w:t xml:space="preserve"> If (i) any Lender requests compensation under </w:t>
      </w:r>
      <w:r>
        <w:rPr>
          <w:rFonts w:ascii="Times New Roman" w:hAnsi="Times New Roman"/>
          <w:sz w:val="20"/>
          <w:u w:val="single"/>
        </w:rPr>
        <w:t>Section 3.04</w:t>
      </w:r>
      <w:r>
        <w:rPr>
          <w:rFonts w:ascii="Times New Roman" w:hAnsi="Times New Roman"/>
          <w:sz w:val="20"/>
        </w:rPr>
        <w:t xml:space="preserve"> or gives a notice pursuant to </w:t>
      </w:r>
      <w:r>
        <w:rPr>
          <w:rFonts w:ascii="Times New Roman" w:hAnsi="Times New Roman"/>
          <w:sz w:val="20"/>
          <w:u w:val="single"/>
        </w:rPr>
        <w:t>Section 3.02</w:t>
      </w:r>
      <w:r>
        <w:rPr>
          <w:rFonts w:ascii="Times New Roman" w:hAnsi="Times New Roman"/>
          <w:sz w:val="20"/>
        </w:rPr>
        <w:t xml:space="preserve"> and does not subsequently designate a different Lending Office or assign its rights and obligations hereunder to another of its offices, branches or affiliates as provided in </w:t>
      </w:r>
      <w:r>
        <w:rPr>
          <w:rFonts w:ascii="Times New Roman" w:hAnsi="Times New Roman"/>
          <w:sz w:val="20"/>
          <w:u w:val="single"/>
        </w:rPr>
        <w:t>Section 3.06(a)</w:t>
      </w:r>
      <w:r>
        <w:rPr>
          <w:rFonts w:ascii="Times New Roman" w:hAnsi="Times New Roman"/>
          <w:sz w:val="20"/>
        </w:rPr>
        <w:t xml:space="preserve">, (ii) the Borrower is required to pay any additional amount to any Lender or any Governmental Authority for the account of any Lender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pursuant to </w:t>
      </w:r>
      <w:r>
        <w:rPr>
          <w:rFonts w:ascii="Times New Roman" w:hAnsi="Times New Roman"/>
          <w:sz w:val="20"/>
          <w:u w:val="single"/>
        </w:rPr>
        <w:t>Section 3.01</w:t>
      </w:r>
      <w:r>
        <w:rPr>
          <w:rFonts w:ascii="Times New Roman" w:hAnsi="Times New Roman"/>
          <w:sz w:val="20"/>
        </w:rPr>
        <w:t xml:space="preserve">, (iii) any Lender is a Defaulting Lender, (iv) any Lender fails to consent to an election, consent, amendment, waiver or other modification to this Agreement or any other Loan Document that requires the consent of (A) the Required Lenders, and such election, consent, amendment, waiver or other modification is otherwise consented to by the Required Lenders, or (B) all Lenders (or all Lenders directly affected thereby), and such election, consent, amendment, waiver or other modification is otherwise consented to by Supermajority Lenders, or (v)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sz w:val="20"/>
          <w:u w:val="single"/>
        </w:rPr>
        <w:t>Section 10.06</w:t>
      </w:r>
      <w:r>
        <w:rPr>
          <w:rFonts w:ascii="Times New Roman" w:hAnsi="Times New Roman"/>
          <w:sz w:val="20"/>
        </w:rPr>
        <w:t xml:space="preserve">), all of its interests, rights and obligations under this Agreement and the related Loan Documents to an assignee that shall assume such obligations (which assignee may be another Lender, if a Lender accepts such assignment), provided that: </w:t>
      </w:r>
    </w:p>
    <w:p>
      <w:pPr>
        <w:pStyle w:val="TextBody"/>
        <w:spacing w:before="180" w:after="0"/>
        <w:rPr>
          <w:rFonts w:ascii="Times New Roman" w:hAnsi="Times New Roman"/>
          <w:sz w:val="20"/>
        </w:rPr>
      </w:pPr>
      <w:r>
        <w:rPr>
          <w:rFonts w:ascii="Times New Roman" w:hAnsi="Times New Roman"/>
          <w:sz w:val="20"/>
        </w:rPr>
        <w:t xml:space="preserve">(a) unless paid by the assignee or waived by the Administrative Agent in its sole discretion, the Borrower shall have paid to the Administrative Agent the assignment fee specified in </w:t>
      </w:r>
      <w:r>
        <w:rPr>
          <w:rFonts w:ascii="Times New Roman" w:hAnsi="Times New Roman"/>
          <w:sz w:val="20"/>
          <w:u w:val="single"/>
        </w:rPr>
        <w:t>Section 10.06(b)</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(b) such Lender shall have received payment of an amount equal to 100% of the outstanding principal of its Loans, accrued interest thereon, accrued fees and all other amounts payable to it hereunder and under the other Loan Documents (including any amounts under </w:t>
      </w:r>
      <w:r>
        <w:rPr>
          <w:rFonts w:ascii="Times New Roman" w:hAnsi="Times New Roman"/>
          <w:sz w:val="20"/>
          <w:u w:val="single"/>
        </w:rPr>
        <w:t>Section 3.05</w:t>
      </w:r>
      <w:r>
        <w:rPr>
          <w:rFonts w:ascii="Times New Roman" w:hAnsi="Times New Roman"/>
          <w:sz w:val="20"/>
        </w:rPr>
        <w:t xml:space="preserve"> and subject to </w:t>
      </w:r>
      <w:r>
        <w:rPr>
          <w:rFonts w:ascii="Times New Roman" w:hAnsi="Times New Roman"/>
          <w:sz w:val="20"/>
          <w:u w:val="single"/>
        </w:rPr>
        <w:t>Section 2.12</w:t>
      </w:r>
      <w:r>
        <w:rPr>
          <w:rFonts w:ascii="Times New Roman" w:hAnsi="Times New Roman"/>
          <w:sz w:val="20"/>
        </w:rPr>
        <w:t xml:space="preserve">) from the assignee (to the extent of such outstanding principal and accrued interest and fees) or the Borrower (in the case of all other amounts); </w:t>
      </w:r>
    </w:p>
    <w:p>
      <w:pPr>
        <w:pStyle w:val="TextBody"/>
        <w:spacing w:before="180" w:after="0"/>
        <w:rPr>
          <w:rFonts w:ascii="Times New Roman" w:hAnsi="Times New Roman"/>
          <w:sz w:val="20"/>
        </w:rPr>
      </w:pPr>
      <w:r>
        <w:rPr>
          <w:rFonts w:ascii="Times New Roman" w:hAnsi="Times New Roman"/>
          <w:sz w:val="20"/>
        </w:rPr>
        <w:t xml:space="preserve">(c) in the case of any such assignment resulting from a claim for compensation under </w:t>
      </w:r>
      <w:r>
        <w:rPr>
          <w:rFonts w:ascii="Times New Roman" w:hAnsi="Times New Roman"/>
          <w:sz w:val="20"/>
          <w:u w:val="single"/>
        </w:rPr>
        <w:t>Section 3.04</w:t>
      </w:r>
      <w:r>
        <w:rPr>
          <w:rFonts w:ascii="Times New Roman" w:hAnsi="Times New Roman"/>
          <w:sz w:val="20"/>
        </w:rPr>
        <w:t xml:space="preserve"> or payments required to be made pursuant to </w:t>
      </w:r>
      <w:r>
        <w:rPr>
          <w:rFonts w:ascii="Times New Roman" w:hAnsi="Times New Roman"/>
          <w:sz w:val="20"/>
          <w:u w:val="single"/>
        </w:rPr>
        <w:t>Section 3.01</w:t>
      </w:r>
      <w:r>
        <w:rPr>
          <w:rFonts w:ascii="Times New Roman" w:hAnsi="Times New Roman"/>
          <w:sz w:val="20"/>
        </w:rPr>
        <w:t xml:space="preserve">, such assignment will result in a reduction in such compensation or payments thereafter; and </w:t>
      </w:r>
    </w:p>
    <w:p>
      <w:pPr>
        <w:pStyle w:val="TextBody"/>
        <w:spacing w:before="180" w:after="0"/>
        <w:rPr>
          <w:rFonts w:ascii="Times New Roman" w:hAnsi="Times New Roman"/>
          <w:sz w:val="20"/>
        </w:rPr>
      </w:pPr>
      <w:r>
        <w:rPr>
          <w:rFonts w:ascii="Times New Roman" w:hAnsi="Times New Roman"/>
          <w:sz w:val="20"/>
        </w:rPr>
        <w:t xml:space="preserve">(d) such assignment does not violate applicable Laws. </w:t>
      </w:r>
    </w:p>
    <w:p>
      <w:pPr>
        <w:pStyle w:val="TextBody"/>
        <w:spacing w:before="180" w:after="0"/>
        <w:rPr>
          <w:rFonts w:ascii="Times New Roman" w:hAnsi="Times New Roman"/>
          <w:sz w:val="20"/>
        </w:rPr>
      </w:pPr>
      <w:r>
        <w:rPr>
          <w:rFonts w:ascii="Times New Roman" w:hAnsi="Times New Roman"/>
          <w:sz w:val="20"/>
        </w:rPr>
        <w:t xml:space="preserve">Notwithstanding the foregoing rights of the Borrower under this Section, the Borrower may not replace any Lender which seeks compensation under </w:t>
      </w:r>
      <w:r>
        <w:rPr>
          <w:rFonts w:ascii="Times New Roman" w:hAnsi="Times New Roman"/>
          <w:sz w:val="20"/>
          <w:u w:val="single"/>
        </w:rPr>
        <w:t>Section 3.04</w:t>
      </w:r>
      <w:r>
        <w:rPr>
          <w:rFonts w:ascii="Times New Roman" w:hAnsi="Times New Roman"/>
          <w:sz w:val="20"/>
        </w:rPr>
        <w:t xml:space="preserve"> or reimbursement under </w:t>
      </w:r>
      <w:r>
        <w:rPr>
          <w:rFonts w:ascii="Times New Roman" w:hAnsi="Times New Roman"/>
          <w:sz w:val="20"/>
          <w:u w:val="single"/>
        </w:rPr>
        <w:t>Section 3.01</w:t>
      </w:r>
      <w:r>
        <w:rPr>
          <w:rFonts w:ascii="Times New Roman" w:hAnsi="Times New Roman"/>
          <w:sz w:val="20"/>
        </w:rPr>
        <w:t xml:space="preserve"> unless the Borrower is replacing all Lenders which are then seeking such compensation or reimbursement. </w:t>
      </w:r>
    </w:p>
    <w:p>
      <w:pPr>
        <w:pStyle w:val="TextBody"/>
        <w:spacing w:before="180" w:after="0"/>
        <w:rPr>
          <w:rFonts w:ascii="Times New Roman" w:hAnsi="Times New Roman"/>
          <w:sz w:val="20"/>
        </w:rPr>
      </w:pPr>
      <w:r>
        <w:rPr>
          <w:rFonts w:ascii="Times New Roman" w:hAnsi="Times New Roman"/>
          <w:b/>
          <w:sz w:val="20"/>
        </w:rPr>
        <w:t>10.14 Governing Law; Jurisdiction; Etc.</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 OF THE STATE OF NEW YORK, WITHOUT REGARD TO PRINCIPLES OF CONFLICTS OF LAWS. </w:t>
      </w:r>
    </w:p>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SUBMISSION TO JURISDICTION</w:t>
      </w:r>
      <w:r>
        <w:rPr>
          <w:rFonts w:ascii="Times New Roman" w:hAnsi="Times New Roman"/>
          <w:sz w:val="20"/>
        </w:rPr>
        <w:t xml:space="preserve">. THE BORROWER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MAY OTHERWISE HAVE TO BRING ANY ACTION OR PROCEEDING RELATING TO THIS AGREEMENT OR ANY OTHER LOAN DOCUMENT AGAINST THE BORROWER OR ITS PROPERTIES IN THE COURTS OF ANY JURISDICTION. </w:t>
      </w:r>
    </w:p>
    <w:p>
      <w:pPr>
        <w:pStyle w:val="TextBody"/>
        <w:spacing w:before="18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VENUE</w:t>
      </w:r>
      <w:r>
        <w:rPr>
          <w:rFonts w:ascii="Times New Roman" w:hAnsi="Times New Roman"/>
          <w:sz w:val="20"/>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 </w:t>
      </w:r>
    </w:p>
    <w:p>
      <w:pPr>
        <w:pStyle w:val="TextBody"/>
        <w:spacing w:before="18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SERVICE OF PROCESS</w:t>
      </w:r>
      <w:r>
        <w:rPr>
          <w:rFonts w:ascii="Times New Roman" w:hAnsi="Times New Roman"/>
          <w:sz w:val="20"/>
        </w:rPr>
        <w:t xml:space="preserve">. EACH PARTY HERETO IRREVOCABLY CONSENTS TO SERVICE OF PROCESS IN THE MANNER PROVIDED FOR NOTICES IN </w:t>
      </w:r>
      <w:r>
        <w:rPr>
          <w:rFonts w:ascii="Times New Roman" w:hAnsi="Times New Roman"/>
          <w:sz w:val="20"/>
          <w:u w:val="single"/>
        </w:rPr>
        <w:t>SECTION 10.02</w:t>
      </w:r>
      <w:r>
        <w:rPr>
          <w:rFonts w:ascii="Times New Roman" w:hAnsi="Times New Roman"/>
          <w:sz w:val="20"/>
        </w:rPr>
        <w:t xml:space="preserve">. NOTHING IN THIS AGREEMENT WILL AFFECT THE RIGHT OF ANY PARTY HERETO TO SERVE PROCESS IN ANY OTHER MANNER PERMITTED BY APPLICABLE LAW. </w:t>
      </w:r>
    </w:p>
    <w:p>
      <w:pPr>
        <w:pStyle w:val="TextBody"/>
        <w:spacing w:before="180" w:after="0"/>
        <w:rPr>
          <w:rFonts w:ascii="Times New Roman" w:hAnsi="Times New Roman"/>
          <w:sz w:val="20"/>
        </w:rPr>
      </w:pPr>
      <w:r>
        <w:rPr>
          <w:rFonts w:ascii="Times New Roman" w:hAnsi="Times New Roman"/>
          <w:b/>
          <w:sz w:val="20"/>
        </w:rPr>
        <w:t xml:space="preserve">10.15 Waiver of Jury Trial. </w:t>
      </w:r>
      <w:r>
        <w:rPr>
          <w:rFonts w:ascii="Times New Roman" w:hAnsi="Times New Roman"/>
          <w:sz w:val="20"/>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10.16 No Advisory or Fiduciary Responsibility.</w:t>
      </w:r>
      <w:r>
        <w:rPr>
          <w:rFonts w:ascii="Times New Roman" w:hAnsi="Times New Roman"/>
          <w:sz w:val="20"/>
        </w:rPr>
        <w:t xml:space="preserve"> In connection with all aspects of each transaction contemplated hereby (including in connection with any amendment, waiver or other modification hereof or of any other Loan Document), the Borrower acknowledges and agrees, and acknowledges its Affiliates understanding, that: (a) (i) the arranging and other services regarding this Agreement provided by the Administrative Agent, the Arrangers, the Co-Syndication Agents and the Lenders are arms-length commercial transactions between the Borrower and its Affiliates, on the one hand, and the Administrative Agent, the Arrangers, the Co-Syndication Agents and the Lenders,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 (i) the Administrative Agent, the Co-Syndication Agents and the Arrangers each is and has been acting solely as a principal and, except as expressly agreed in writing by the relevant parties, has not been, is not, and will not be acting as an advisor, agent or fiduciary for the Borrower or any of their respective Affiliates, or any other Person and (ii) none of the Administrative Agent, any Arranger, any Co-Syndication Agent nor any Lender has any obligation to the Borrower or any of their respective Affiliates with respect to the transactions contemplated hereby except those obligations expressly set forth herein and in the other Loan Documents; and (c) the Administrative Agent, the Arrangers, the Co-Syndication Agents, the Lenders and their respective Affiliates may be engaged in a broad range of transactions that involve interests that differ from those of the Borrower and its Affiliates, and none of the Administrative Agent, any Arranger, any Co-Syndication Agent nor any Lender has any obligation to disclose any of such interests to the Borrower or its Affiliates. To the fullest extent permitted by law, the Borrower hereby waives and releases any claims that it may have against the Administrative Agent, the Co-Syndication Agents and the Arrangers with respect to any breach or alleged breach of agency or fiduciary duty in connection with any aspect of any transaction contemplated hereby. </w:t>
      </w:r>
    </w:p>
    <w:p>
      <w:pPr>
        <w:pStyle w:val="TextBody"/>
        <w:spacing w:before="180" w:after="0"/>
        <w:rPr>
          <w:rFonts w:ascii="Times New Roman" w:hAnsi="Times New Roman"/>
          <w:sz w:val="20"/>
        </w:rPr>
      </w:pPr>
      <w:r>
        <w:rPr>
          <w:rFonts w:ascii="Times New Roman" w:hAnsi="Times New Roman"/>
          <w:b/>
          <w:sz w:val="20"/>
        </w:rPr>
        <w:t>10.17 No Recourse to Other Persons.</w:t>
      </w:r>
      <w:r>
        <w:rPr>
          <w:rFonts w:ascii="Times New Roman" w:hAnsi="Times New Roman"/>
          <w:sz w:val="20"/>
        </w:rPr>
        <w:t xml:space="preserve"> No past, present or future director, officer, partner, employee, incorporator, manager, stockholder, unitholder or member of the Borrower, General Partner, Plains AAP, or GP LLC, and no past, present or future director, officer, partner, employee, incorporator, manager, stockholder, unitholder or member of any Subsidiary of the Borrower that is from time to time the Borrower shall have any liability for any Obligations or for any claim based on, in respect of, or by reason of, the Obligations or their creation as such. Each party hereto, for itself and each of its Related Parties, waives and releases all such liability. The waiver and release are part of the consideration for the incurrence of Indebtedness by the Borrower hereunder and, as applicable, the making of the Notes. </w:t>
      </w:r>
    </w:p>
    <w:p>
      <w:pPr>
        <w:pStyle w:val="TextBody"/>
        <w:spacing w:before="180" w:after="0"/>
        <w:rPr>
          <w:rFonts w:ascii="Times New Roman" w:hAnsi="Times New Roman"/>
          <w:sz w:val="20"/>
        </w:rPr>
      </w:pPr>
      <w:r>
        <w:rPr>
          <w:rFonts w:ascii="Times New Roman" w:hAnsi="Times New Roman"/>
          <w:b/>
          <w:sz w:val="20"/>
        </w:rPr>
        <w:t xml:space="preserve">10.18 Electronic Execution of Assignments and Certain Other Documents. </w:t>
      </w:r>
      <w:r>
        <w:rPr>
          <w:rFonts w:ascii="Times New Roman" w:hAnsi="Times New Roman"/>
          <w:sz w:val="20"/>
        </w:rPr>
        <w:t xml:space="preserve">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 xml:space="preserve">10.19 USA PATRIOT Act. </w:t>
      </w:r>
      <w:r>
        <w:rPr>
          <w:rFonts w:ascii="Times New Roman" w:hAnsi="Times New Roman"/>
          <w:sz w:val="20"/>
        </w:rPr>
        <w:t xml:space="preserve">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Act. The Borrower shall, promptly following a request by the Administrative Agent or any Lender, provide all information that is in its or any of its Subsidiarys possession or control and not subject to confidentiality arrangements with third parties or counsel which the Administrative Agent or such Lender reasonably requests to comply with its ongoing obligations under applicable know your customer and anti-money laundering rules and regulations, including the Act (and if any of such information is not in the Borrowers or any of its Subsidiarys possession or control, will use its commercially reasonable efforts to obtain such information and other documentation). </w:t>
      </w:r>
    </w:p>
    <w:p>
      <w:pPr>
        <w:pStyle w:val="TextBody"/>
        <w:spacing w:before="180" w:after="0"/>
        <w:rPr>
          <w:rFonts w:ascii="Times New Roman" w:hAnsi="Times New Roman"/>
          <w:sz w:val="20"/>
        </w:rPr>
      </w:pPr>
      <w:r>
        <w:rPr>
          <w:rFonts w:ascii="Times New Roman" w:hAnsi="Times New Roman"/>
          <w:b/>
          <w:sz w:val="20"/>
        </w:rPr>
        <w:t>10.20 Time of the Essence.</w:t>
      </w:r>
      <w:r>
        <w:rPr>
          <w:rFonts w:ascii="Times New Roman" w:hAnsi="Times New Roman"/>
          <w:sz w:val="20"/>
        </w:rPr>
        <w:t xml:space="preserve"> Time is of the essence of the Loan Documents. </w:t>
      </w:r>
    </w:p>
    <w:p>
      <w:pPr>
        <w:pStyle w:val="TextBody"/>
        <w:spacing w:before="180" w:after="0"/>
        <w:rPr>
          <w:rFonts w:ascii="Times New Roman" w:hAnsi="Times New Roman"/>
          <w:sz w:val="20"/>
        </w:rPr>
      </w:pPr>
      <w:r>
        <w:rPr>
          <w:rFonts w:ascii="Times New Roman" w:hAnsi="Times New Roman"/>
          <w:b/>
          <w:sz w:val="20"/>
        </w:rPr>
        <w:t>10.21 ENTIRE AGREEMENT.</w:t>
      </w:r>
      <w:r>
        <w:rPr>
          <w:rFonts w:ascii="Times New Roman" w:hAnsi="Times New Roman"/>
          <w:sz w:val="20"/>
        </w:rPr>
        <w:t xml:space="preserve"> THIS AGREEMENT AND THE OTHER LOAN DOCUMENTS REPRESENT THE FINAL AGREEMENT AMONG THE PARTIES AND MAY NOT BE CONTRADICTED BY EVIDENCE OF PRIOR, CONTEMPORANEOUS, OR SUBSEQUENT ORAL AGREEMENTS OF THE PARTIES. THERE ARE NO UNWRITTEN ORAL AGREEMENTS AMONG THE PARTIES.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i/>
          <w:sz w:val="20"/>
        </w:rPr>
        <w:t xml:space="preserve">IN WITNESS WHEREOF, </w:t>
      </w:r>
      <w:r>
        <w:rPr>
          <w:rFonts w:ascii="Times New Roman" w:hAnsi="Times New Roman"/>
          <w:sz w:val="20"/>
        </w:rPr>
        <w:t xml:space="preserve">the parties hereto have caused this Agreement to be duly executed as of the date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12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12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12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PLAINS ALL AMERICAN GP LLC,</w:t>
            </w:r>
          </w:p>
          <w:p>
            <w:pPr>
              <w:pStyle w:val="TableContents"/>
              <w:spacing w:before="0" w:after="15"/>
              <w:rPr>
                <w:rFonts w:ascii="Times New Roman" w:hAnsi="Times New Roman"/>
                <w:sz w:val="20"/>
              </w:rPr>
            </w:pPr>
            <w:r>
              <w:rPr>
                <w:rFonts w:ascii="Times New Roman" w:hAnsi="Times New Roman"/>
                <w:sz w:val="20"/>
              </w:rPr>
              <w:t>its general partner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0"/>
        <w:gridCol w:w="84"/>
        <w:gridCol w:w="3738"/>
      </w:tblGrid>
      <w:tr>
        <w:trPr/>
        <w:tc>
          <w:tcPr>
            <w:tcW w:w="2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8"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8"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Charles Kingswell-Smith</w:t>
            </w:r>
          </w:p>
        </w:tc>
      </w:tr>
      <w:tr>
        <w:trPr/>
        <w:tc>
          <w:tcPr>
            <w:tcW w:w="260"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Charles Kingswell-Smith</w:t>
            </w:r>
          </w:p>
        </w:tc>
      </w:tr>
      <w:tr>
        <w:trPr/>
        <w:tc>
          <w:tcPr>
            <w:tcW w:w="260"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Treasurer</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364-Day Credit Facility</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S-1</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632"/>
        <w:gridCol w:w="61"/>
        <w:gridCol w:w="3389"/>
      </w:tblGrid>
      <w:tr>
        <w:trPr/>
        <w:tc>
          <w:tcPr>
            <w:tcW w:w="63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8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DNB BANK ASA</w:t>
            </w:r>
            <w:r>
              <w:rPr>
                <w:rFonts w:ascii="Times New Roman" w:hAnsi="Times New Roman"/>
                <w:sz w:val="20"/>
              </w:rPr>
              <w:t>, as Administrative Agent</w:t>
            </w:r>
          </w:p>
        </w:tc>
      </w:tr>
      <w:tr>
        <w:trPr>
          <w:trHeight w:val="240" w:hRule="atLeast"/>
        </w:trPr>
        <w:tc>
          <w:tcPr>
            <w:tcW w:w="632" w:type="dxa"/>
            <w:tcBorders/>
            <w:shd w:fill="auto" w:val="clear"/>
            <w:vAlign w:val="center"/>
          </w:tcPr>
          <w:p>
            <w:pPr>
              <w:pStyle w:val="TableContents"/>
              <w:spacing w:before="0" w:after="283"/>
              <w:rPr>
                <w:sz w:val="4"/>
                <w:szCs w:val="4"/>
              </w:rPr>
            </w:pPr>
            <w:r>
              <w:rPr>
                <w:sz w:val="4"/>
                <w:szCs w:val="4"/>
              </w:rPr>
            </w:r>
          </w:p>
        </w:tc>
        <w:tc>
          <w:tcPr>
            <w:tcW w:w="3450" w:type="dxa"/>
            <w:gridSpan w:val="2"/>
            <w:tcBorders/>
            <w:shd w:fill="auto" w:val="clear"/>
            <w:vAlign w:val="center"/>
          </w:tcPr>
          <w:p>
            <w:pPr>
              <w:pStyle w:val="TableContents"/>
              <w:spacing w:before="0" w:after="283"/>
              <w:rPr>
                <w:sz w:val="4"/>
                <w:szCs w:val="4"/>
              </w:rPr>
            </w:pPr>
            <w:r>
              <w:rPr>
                <w:sz w:val="4"/>
                <w:szCs w:val="4"/>
              </w:rPr>
            </w:r>
          </w:p>
        </w:tc>
      </w:tr>
      <w:tr>
        <w:trPr/>
        <w:tc>
          <w:tcPr>
            <w:tcW w:w="63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8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Sanjiv Nayar</w:t>
            </w:r>
          </w:p>
        </w:tc>
      </w:tr>
      <w:tr>
        <w:trPr/>
        <w:tc>
          <w:tcPr>
            <w:tcW w:w="63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89"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Sanjiv Nayar</w:t>
            </w:r>
          </w:p>
        </w:tc>
      </w:tr>
      <w:tr>
        <w:trPr/>
        <w:tc>
          <w:tcPr>
            <w:tcW w:w="63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89"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Senior Vice President</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31"/>
        <w:gridCol w:w="61"/>
        <w:gridCol w:w="3390"/>
      </w:tblGrid>
      <w:tr>
        <w:trPr/>
        <w:tc>
          <w:tcPr>
            <w:tcW w:w="63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90"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631" w:type="dxa"/>
            <w:tcBorders/>
            <w:shd w:fill="auto" w:val="clear"/>
            <w:vAlign w:val="center"/>
          </w:tcPr>
          <w:p>
            <w:pPr>
              <w:pStyle w:val="TableContents"/>
              <w:spacing w:before="0" w:after="283"/>
              <w:rPr>
                <w:sz w:val="4"/>
                <w:szCs w:val="4"/>
              </w:rPr>
            </w:pPr>
            <w:r>
              <w:rPr>
                <w:sz w:val="4"/>
                <w:szCs w:val="4"/>
              </w:rPr>
            </w:r>
          </w:p>
        </w:tc>
        <w:tc>
          <w:tcPr>
            <w:tcW w:w="3451" w:type="dxa"/>
            <w:gridSpan w:val="2"/>
            <w:tcBorders/>
            <w:shd w:fill="auto" w:val="clear"/>
            <w:vAlign w:val="center"/>
          </w:tcPr>
          <w:p>
            <w:pPr>
              <w:pStyle w:val="TableContents"/>
              <w:spacing w:before="0" w:after="283"/>
              <w:rPr>
                <w:sz w:val="4"/>
                <w:szCs w:val="4"/>
              </w:rPr>
            </w:pPr>
            <w:r>
              <w:rPr>
                <w:sz w:val="4"/>
                <w:szCs w:val="4"/>
              </w:rPr>
            </w:r>
          </w:p>
        </w:tc>
      </w:tr>
      <w:tr>
        <w:trPr/>
        <w:tc>
          <w:tcPr>
            <w:tcW w:w="63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90"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Barbara Gronquist</w:t>
            </w:r>
          </w:p>
        </w:tc>
      </w:tr>
      <w:tr>
        <w:trPr/>
        <w:tc>
          <w:tcPr>
            <w:tcW w:w="63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90"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Barbara Gronquist</w:t>
            </w:r>
          </w:p>
        </w:tc>
      </w:tr>
      <w:tr>
        <w:trPr/>
        <w:tc>
          <w:tcPr>
            <w:tcW w:w="63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90"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Senior Vice President</w:t>
            </w:r>
          </w:p>
        </w:tc>
      </w:tr>
    </w:tbl>
    <w:p>
      <w:pPr>
        <w:pStyle w:val="TextBody"/>
        <w:spacing w:before="0" w:after="0"/>
        <w:rPr/>
      </w:pPr>
      <w:r>
        <w:rPr/>
        <w: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32"/>
        <w:gridCol w:w="61"/>
        <w:gridCol w:w="3389"/>
      </w:tblGrid>
      <w:tr>
        <w:trPr/>
        <w:tc>
          <w:tcPr>
            <w:tcW w:w="63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8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DNB BANK ASA</w:t>
            </w:r>
            <w:r>
              <w:rPr>
                <w:rFonts w:ascii="Times New Roman" w:hAnsi="Times New Roman"/>
                <w:sz w:val="20"/>
              </w:rPr>
              <w:t xml:space="preserve">, GRAND CAYMAN BRANCH, as a Lender </w:t>
            </w:r>
          </w:p>
        </w:tc>
      </w:tr>
      <w:tr>
        <w:trPr>
          <w:trHeight w:val="240" w:hRule="atLeast"/>
        </w:trPr>
        <w:tc>
          <w:tcPr>
            <w:tcW w:w="632" w:type="dxa"/>
            <w:tcBorders/>
            <w:shd w:fill="auto" w:val="clear"/>
            <w:vAlign w:val="center"/>
          </w:tcPr>
          <w:p>
            <w:pPr>
              <w:pStyle w:val="TableContents"/>
              <w:spacing w:before="0" w:after="283"/>
              <w:rPr>
                <w:sz w:val="4"/>
                <w:szCs w:val="4"/>
              </w:rPr>
            </w:pPr>
            <w:r>
              <w:rPr>
                <w:sz w:val="4"/>
                <w:szCs w:val="4"/>
              </w:rPr>
            </w:r>
          </w:p>
        </w:tc>
        <w:tc>
          <w:tcPr>
            <w:tcW w:w="3450" w:type="dxa"/>
            <w:gridSpan w:val="2"/>
            <w:tcBorders/>
            <w:shd w:fill="auto" w:val="clear"/>
            <w:vAlign w:val="center"/>
          </w:tcPr>
          <w:p>
            <w:pPr>
              <w:pStyle w:val="TableContents"/>
              <w:spacing w:before="0" w:after="283"/>
              <w:rPr>
                <w:sz w:val="4"/>
                <w:szCs w:val="4"/>
              </w:rPr>
            </w:pPr>
            <w:r>
              <w:rPr>
                <w:sz w:val="4"/>
                <w:szCs w:val="4"/>
              </w:rPr>
            </w:r>
          </w:p>
        </w:tc>
      </w:tr>
      <w:tr>
        <w:trPr/>
        <w:tc>
          <w:tcPr>
            <w:tcW w:w="63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89"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Sanjiv Nayar</w:t>
            </w:r>
          </w:p>
        </w:tc>
      </w:tr>
      <w:tr>
        <w:trPr/>
        <w:tc>
          <w:tcPr>
            <w:tcW w:w="63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89"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Sanjiv Nayar</w:t>
            </w:r>
          </w:p>
        </w:tc>
      </w:tr>
      <w:tr>
        <w:trPr/>
        <w:tc>
          <w:tcPr>
            <w:tcW w:w="63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89"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Senior Vice President</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31"/>
        <w:gridCol w:w="61"/>
        <w:gridCol w:w="3390"/>
      </w:tblGrid>
      <w:tr>
        <w:trPr/>
        <w:tc>
          <w:tcPr>
            <w:tcW w:w="63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90" w:type="dxa"/>
            <w:tcBorders/>
            <w:shd w:fill="auto" w:val="clear"/>
            <w:vAlign w:val="center"/>
          </w:tcPr>
          <w:p>
            <w:pPr>
              <w:pStyle w:val="TableContents"/>
              <w:spacing w:before="0" w:after="283"/>
              <w:rPr>
                <w:sz w:val="4"/>
                <w:szCs w:val="4"/>
              </w:rPr>
            </w:pPr>
            <w:r>
              <w:rPr>
                <w:sz w:val="4"/>
                <w:szCs w:val="4"/>
              </w:rPr>
            </w:r>
          </w:p>
        </w:tc>
      </w:tr>
      <w:tr>
        <w:trPr/>
        <w:tc>
          <w:tcPr>
            <w:tcW w:w="63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90"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Barbara Gronquist</w:t>
            </w:r>
          </w:p>
        </w:tc>
      </w:tr>
      <w:tr>
        <w:trPr/>
        <w:tc>
          <w:tcPr>
            <w:tcW w:w="63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90"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Barbara Gronquist</w:t>
            </w:r>
          </w:p>
        </w:tc>
      </w:tr>
      <w:tr>
        <w:trPr/>
        <w:tc>
          <w:tcPr>
            <w:tcW w:w="63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390"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Senior Vice President</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364-Day Credit Facility</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S-2</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629"/>
        <w:gridCol w:w="60"/>
        <w:gridCol w:w="3393"/>
      </w:tblGrid>
      <w:tr>
        <w:trPr/>
        <w:tc>
          <w:tcPr>
            <w:tcW w:w="6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9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 xml:space="preserve">BANK OF AMERICA, N.A., </w:t>
            </w:r>
            <w:r>
              <w:rPr>
                <w:rFonts w:ascii="Times New Roman" w:hAnsi="Times New Roman"/>
                <w:sz w:val="20"/>
              </w:rPr>
              <w:t xml:space="preserve">as a Lender </w:t>
            </w:r>
          </w:p>
        </w:tc>
      </w:tr>
      <w:tr>
        <w:trPr>
          <w:trHeight w:val="240" w:hRule="atLeast"/>
        </w:trPr>
        <w:tc>
          <w:tcPr>
            <w:tcW w:w="629" w:type="dxa"/>
            <w:tcBorders/>
            <w:shd w:fill="auto" w:val="clear"/>
            <w:vAlign w:val="center"/>
          </w:tcPr>
          <w:p>
            <w:pPr>
              <w:pStyle w:val="TableContents"/>
              <w:spacing w:before="0" w:after="283"/>
              <w:rPr>
                <w:sz w:val="4"/>
                <w:szCs w:val="4"/>
              </w:rPr>
            </w:pPr>
            <w:r>
              <w:rPr>
                <w:sz w:val="4"/>
                <w:szCs w:val="4"/>
              </w:rPr>
            </w:r>
          </w:p>
        </w:tc>
        <w:tc>
          <w:tcPr>
            <w:tcW w:w="3453" w:type="dxa"/>
            <w:gridSpan w:val="2"/>
            <w:tcBorders/>
            <w:shd w:fill="auto" w:val="clear"/>
            <w:vAlign w:val="center"/>
          </w:tcPr>
          <w:p>
            <w:pPr>
              <w:pStyle w:val="TableContents"/>
              <w:spacing w:before="0" w:after="283"/>
              <w:rPr>
                <w:sz w:val="4"/>
                <w:szCs w:val="4"/>
              </w:rPr>
            </w:pPr>
            <w:r>
              <w:rPr>
                <w:sz w:val="4"/>
                <w:szCs w:val="4"/>
              </w:rPr>
            </w:r>
          </w:p>
        </w:tc>
      </w:tr>
      <w:tr>
        <w:trPr/>
        <w:tc>
          <w:tcPr>
            <w:tcW w:w="62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3"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Adam H. Fey</w:t>
            </w:r>
          </w:p>
        </w:tc>
      </w:tr>
      <w:tr>
        <w:trPr/>
        <w:tc>
          <w:tcPr>
            <w:tcW w:w="629"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3"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Adam H. Fey</w:t>
            </w:r>
          </w:p>
        </w:tc>
      </w:tr>
      <w:tr>
        <w:trPr/>
        <w:tc>
          <w:tcPr>
            <w:tcW w:w="629"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3"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Director</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364-Day Credit Facility</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S-3</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625"/>
        <w:gridCol w:w="60"/>
        <w:gridCol w:w="3397"/>
      </w:tblGrid>
      <w:tr>
        <w:trPr/>
        <w:tc>
          <w:tcPr>
            <w:tcW w:w="6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9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JPMORGAN CHASE BANK</w:t>
            </w:r>
            <w:r>
              <w:rPr>
                <w:rFonts w:ascii="Times New Roman" w:hAnsi="Times New Roman"/>
                <w:sz w:val="20"/>
              </w:rPr>
              <w:t xml:space="preserve">, </w:t>
            </w:r>
            <w:r>
              <w:rPr>
                <w:rFonts w:ascii="Times New Roman" w:hAnsi="Times New Roman"/>
                <w:b/>
                <w:sz w:val="20"/>
              </w:rPr>
              <w:t xml:space="preserve">N.A., </w:t>
            </w:r>
            <w:r>
              <w:rPr>
                <w:rFonts w:ascii="Times New Roman" w:hAnsi="Times New Roman"/>
                <w:sz w:val="20"/>
              </w:rPr>
              <w:t xml:space="preserve">as a Lender </w:t>
            </w:r>
          </w:p>
        </w:tc>
      </w:tr>
      <w:tr>
        <w:trPr>
          <w:trHeight w:val="240" w:hRule="atLeast"/>
        </w:trPr>
        <w:tc>
          <w:tcPr>
            <w:tcW w:w="625" w:type="dxa"/>
            <w:tcBorders/>
            <w:shd w:fill="auto" w:val="clear"/>
            <w:vAlign w:val="center"/>
          </w:tcPr>
          <w:p>
            <w:pPr>
              <w:pStyle w:val="TableContents"/>
              <w:spacing w:before="0" w:after="283"/>
              <w:rPr>
                <w:sz w:val="4"/>
                <w:szCs w:val="4"/>
              </w:rPr>
            </w:pPr>
            <w:r>
              <w:rPr>
                <w:sz w:val="4"/>
                <w:szCs w:val="4"/>
              </w:rPr>
            </w:r>
          </w:p>
        </w:tc>
        <w:tc>
          <w:tcPr>
            <w:tcW w:w="3457"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Stephanie Balette</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7"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Stephanie Balette</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7"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Authorized Officer</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364-Day Credit Facility</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S-4</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625"/>
        <w:gridCol w:w="60"/>
        <w:gridCol w:w="3397"/>
      </w:tblGrid>
      <w:tr>
        <w:trPr/>
        <w:tc>
          <w:tcPr>
            <w:tcW w:w="6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9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 xml:space="preserve">MIZUHO CORPORATE BANK, LTD., </w:t>
            </w:r>
          </w:p>
          <w:p>
            <w:pPr>
              <w:pStyle w:val="TableContents"/>
              <w:spacing w:before="0" w:after="15"/>
              <w:rPr>
                <w:rFonts w:ascii="Times New Roman" w:hAnsi="Times New Roman"/>
                <w:sz w:val="20"/>
              </w:rPr>
            </w:pPr>
            <w:r>
              <w:rPr>
                <w:rFonts w:ascii="Times New Roman" w:hAnsi="Times New Roman"/>
                <w:sz w:val="20"/>
              </w:rPr>
              <w:t>as a Lender</w:t>
            </w:r>
          </w:p>
        </w:tc>
      </w:tr>
      <w:tr>
        <w:trPr>
          <w:trHeight w:val="240" w:hRule="atLeast"/>
        </w:trPr>
        <w:tc>
          <w:tcPr>
            <w:tcW w:w="625" w:type="dxa"/>
            <w:tcBorders/>
            <w:shd w:fill="auto" w:val="clear"/>
            <w:vAlign w:val="center"/>
          </w:tcPr>
          <w:p>
            <w:pPr>
              <w:pStyle w:val="TableContents"/>
              <w:spacing w:before="0" w:after="283"/>
              <w:rPr>
                <w:sz w:val="4"/>
                <w:szCs w:val="4"/>
              </w:rPr>
            </w:pPr>
            <w:r>
              <w:rPr>
                <w:sz w:val="4"/>
                <w:szCs w:val="4"/>
              </w:rPr>
            </w:r>
          </w:p>
        </w:tc>
        <w:tc>
          <w:tcPr>
            <w:tcW w:w="3457"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Leon Mo</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7"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Leon Mo</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7"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Authorized Signatory</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364-Day Credit Facility</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S-5</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626"/>
        <w:gridCol w:w="60"/>
        <w:gridCol w:w="3396"/>
      </w:tblGrid>
      <w:tr>
        <w:trPr/>
        <w:tc>
          <w:tcPr>
            <w:tcW w:w="6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UBS LOAN FINANCE LLC</w:t>
            </w:r>
            <w:r>
              <w:rPr>
                <w:rFonts w:ascii="Times New Roman" w:hAnsi="Times New Roman"/>
                <w:sz w:val="20"/>
              </w:rPr>
              <w:t>, as a Lender</w:t>
            </w:r>
          </w:p>
        </w:tc>
      </w:tr>
      <w:tr>
        <w:trPr>
          <w:trHeight w:val="240" w:hRule="atLeast"/>
        </w:trPr>
        <w:tc>
          <w:tcPr>
            <w:tcW w:w="626" w:type="dxa"/>
            <w:tcBorders/>
            <w:shd w:fill="auto" w:val="clear"/>
            <w:vAlign w:val="center"/>
          </w:tcPr>
          <w:p>
            <w:pPr>
              <w:pStyle w:val="TableContents"/>
              <w:spacing w:before="0" w:after="283"/>
              <w:rPr>
                <w:sz w:val="4"/>
                <w:szCs w:val="4"/>
              </w:rPr>
            </w:pPr>
            <w:r>
              <w:rPr>
                <w:sz w:val="4"/>
                <w:szCs w:val="4"/>
              </w:rPr>
            </w:r>
          </w:p>
        </w:tc>
        <w:tc>
          <w:tcPr>
            <w:tcW w:w="3456" w:type="dxa"/>
            <w:gridSpan w:val="2"/>
            <w:tcBorders/>
            <w:shd w:fill="auto" w:val="clear"/>
            <w:vAlign w:val="center"/>
          </w:tcPr>
          <w:p>
            <w:pPr>
              <w:pStyle w:val="TableContents"/>
              <w:spacing w:before="0" w:after="283"/>
              <w:rPr>
                <w:sz w:val="4"/>
                <w:szCs w:val="4"/>
              </w:rPr>
            </w:pPr>
            <w:r>
              <w:rPr>
                <w:sz w:val="4"/>
                <w:szCs w:val="4"/>
              </w:rPr>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Irja R. Otsa</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6"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Irja R. Otsa</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6"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Associate Director</w:t>
            </w:r>
          </w:p>
        </w:tc>
      </w:tr>
      <w:tr>
        <w:trPr>
          <w:trHeight w:val="240" w:hRule="atLeast"/>
        </w:trPr>
        <w:tc>
          <w:tcPr>
            <w:tcW w:w="626" w:type="dxa"/>
            <w:tcBorders/>
            <w:shd w:fill="auto" w:val="clear"/>
            <w:vAlign w:val="center"/>
          </w:tcPr>
          <w:p>
            <w:pPr>
              <w:pStyle w:val="TableContents"/>
              <w:spacing w:before="0" w:after="283"/>
              <w:rPr>
                <w:sz w:val="4"/>
                <w:szCs w:val="4"/>
              </w:rPr>
            </w:pPr>
            <w:r>
              <w:rPr>
                <w:sz w:val="4"/>
                <w:szCs w:val="4"/>
              </w:rPr>
            </w:r>
          </w:p>
        </w:tc>
        <w:tc>
          <w:tcPr>
            <w:tcW w:w="3456" w:type="dxa"/>
            <w:gridSpan w:val="2"/>
            <w:tcBorders/>
            <w:shd w:fill="auto" w:val="clear"/>
            <w:vAlign w:val="center"/>
          </w:tcPr>
          <w:p>
            <w:pPr>
              <w:pStyle w:val="TableContents"/>
              <w:spacing w:before="0" w:after="283"/>
              <w:rPr>
                <w:sz w:val="4"/>
                <w:szCs w:val="4"/>
              </w:rPr>
            </w:pPr>
            <w:r>
              <w:rPr>
                <w:sz w:val="4"/>
                <w:szCs w:val="4"/>
              </w:rPr>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Mary E. Evans</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6"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Mary E. Evans</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6"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Associate Director</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364-Day Credit Facility</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S-6</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626"/>
        <w:gridCol w:w="60"/>
        <w:gridCol w:w="3396"/>
      </w:tblGrid>
      <w:tr>
        <w:trPr/>
        <w:tc>
          <w:tcPr>
            <w:tcW w:w="6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 xml:space="preserve">WELLS FARGO BANK, NATIONAL ASSOCIATION, </w:t>
            </w:r>
            <w:r>
              <w:rPr>
                <w:rFonts w:ascii="Times New Roman" w:hAnsi="Times New Roman"/>
                <w:sz w:val="20"/>
              </w:rPr>
              <w:t xml:space="preserve">as a Lender </w:t>
            </w:r>
          </w:p>
        </w:tc>
      </w:tr>
      <w:tr>
        <w:trPr>
          <w:trHeight w:val="240" w:hRule="atLeast"/>
        </w:trPr>
        <w:tc>
          <w:tcPr>
            <w:tcW w:w="626" w:type="dxa"/>
            <w:tcBorders/>
            <w:shd w:fill="auto" w:val="clear"/>
            <w:vAlign w:val="center"/>
          </w:tcPr>
          <w:p>
            <w:pPr>
              <w:pStyle w:val="TableContents"/>
              <w:spacing w:before="0" w:after="283"/>
              <w:rPr>
                <w:sz w:val="4"/>
                <w:szCs w:val="4"/>
              </w:rPr>
            </w:pPr>
            <w:r>
              <w:rPr>
                <w:sz w:val="4"/>
                <w:szCs w:val="4"/>
              </w:rPr>
            </w:r>
          </w:p>
        </w:tc>
        <w:tc>
          <w:tcPr>
            <w:tcW w:w="3456" w:type="dxa"/>
            <w:gridSpan w:val="2"/>
            <w:tcBorders/>
            <w:shd w:fill="auto" w:val="clear"/>
            <w:vAlign w:val="center"/>
          </w:tcPr>
          <w:p>
            <w:pPr>
              <w:pStyle w:val="TableContents"/>
              <w:spacing w:before="0" w:after="283"/>
              <w:rPr>
                <w:sz w:val="4"/>
                <w:szCs w:val="4"/>
              </w:rPr>
            </w:pPr>
            <w:r>
              <w:rPr>
                <w:sz w:val="4"/>
                <w:szCs w:val="4"/>
              </w:rPr>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Mark Oberreuter</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6"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Mark Oberreuter</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6"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364-Day Credit Facility</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S-7</w:t>
            </w:r>
          </w:p>
        </w:tc>
      </w:tr>
    </w:tbl>
    <w:p>
      <w:pPr>
        <w:pStyle w:val="HorizontalLine"/>
        <w:pBdr>
          <w:bottom w:val="double" w:sz="6" w:space="0" w:color="808080"/>
        </w:pBdr>
        <w:rPr/>
      </w:pPr>
      <w:r>
        <w:br w:type="page"/>
      </w:r>
      <w:r>
        <w:rPr/>
      </w:r>
    </w:p>
    <w:p>
      <w:pPr>
        <w:pStyle w:val="TextBody"/>
        <w:spacing w:before="0" w:after="0"/>
        <w:jc w:val="right"/>
        <w:rPr>
          <w:rFonts w:ascii="Times New Roman" w:hAnsi="Times New Roman"/>
          <w:b/>
          <w:i/>
          <w:sz w:val="20"/>
        </w:rPr>
      </w:pPr>
      <w:r>
        <w:rPr>
          <w:rFonts w:ascii="Times New Roman" w:hAnsi="Times New Roman"/>
          <w:b/>
          <w:i/>
          <w:sz w:val="20"/>
        </w:rPr>
        <w:t xml:space="preserve">SCHEDULE 2.01 </w:t>
      </w:r>
    </w:p>
    <w:p>
      <w:pPr>
        <w:pStyle w:val="TextBody"/>
        <w:spacing w:before="360" w:after="0"/>
        <w:jc w:val="center"/>
        <w:rPr>
          <w:rFonts w:ascii="Times New Roman" w:hAnsi="Times New Roman"/>
          <w:b/>
          <w:sz w:val="20"/>
        </w:rPr>
      </w:pPr>
      <w:r>
        <w:rPr>
          <w:rFonts w:ascii="Times New Roman" w:hAnsi="Times New Roman"/>
          <w:b/>
          <w:sz w:val="20"/>
        </w:rPr>
        <w:t xml:space="preserve">COMMITMENTS </w:t>
      </w:r>
    </w:p>
    <w:p>
      <w:pPr>
        <w:pStyle w:val="TextBody"/>
        <w:spacing w:before="0" w:after="0"/>
        <w:jc w:val="center"/>
        <w:rPr>
          <w:rFonts w:ascii="Times New Roman" w:hAnsi="Times New Roman"/>
          <w:b/>
          <w:sz w:val="20"/>
        </w:rPr>
      </w:pPr>
      <w:r>
        <w:rPr>
          <w:rFonts w:ascii="Times New Roman" w:hAnsi="Times New Roman"/>
          <w:b/>
          <w:sz w:val="20"/>
        </w:rPr>
        <w:t xml:space="preserve">AND APPLICABLE PERCENTAGES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3775"/>
        <w:gridCol w:w="275"/>
        <w:gridCol w:w="145"/>
        <w:gridCol w:w="1419"/>
        <w:gridCol w:w="141"/>
        <w:gridCol w:w="275"/>
        <w:gridCol w:w="60"/>
        <w:gridCol w:w="1431"/>
        <w:gridCol w:w="234"/>
      </w:tblGrid>
      <w:tr>
        <w:trPr/>
        <w:tc>
          <w:tcPr>
            <w:tcW w:w="37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377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Lender</w:t>
            </w:r>
          </w:p>
        </w:tc>
        <w:tc>
          <w:tcPr>
            <w:tcW w:w="275" w:type="dxa"/>
            <w:tcBorders/>
            <w:shd w:fill="auto" w:val="clear"/>
            <w:vAlign w:val="bottom"/>
          </w:tcPr>
          <w:p>
            <w:pPr>
              <w:pStyle w:val="TableContents"/>
              <w:spacing w:before="0" w:after="283"/>
              <w:rPr/>
            </w:pPr>
            <w:r>
              <w:rPr/>
              <w:t>  </w:t>
            </w:r>
          </w:p>
        </w:tc>
        <w:tc>
          <w:tcPr>
            <w:tcW w:w="156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Commitment</w:t>
            </w:r>
          </w:p>
        </w:tc>
        <w:tc>
          <w:tcPr>
            <w:tcW w:w="141"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49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Applicable</w:t>
              <w:br/>
              <w:t>Percentage</w:t>
            </w:r>
          </w:p>
        </w:tc>
        <w:tc>
          <w:tcPr>
            <w:tcW w:w="234" w:type="dxa"/>
            <w:tcBorders/>
            <w:shd w:fill="auto" w:val="clear"/>
            <w:vAlign w:val="bottom"/>
          </w:tcPr>
          <w:p>
            <w:pPr>
              <w:pStyle w:val="TableContents"/>
              <w:spacing w:before="0" w:after="283"/>
              <w:rPr/>
            </w:pPr>
            <w:r>
              <w:rPr/>
              <w:t> </w:t>
            </w:r>
          </w:p>
        </w:tc>
      </w:tr>
      <w:tr>
        <w:trPr/>
        <w:tc>
          <w:tcPr>
            <w:tcW w:w="3775" w:type="dxa"/>
            <w:tcBorders/>
            <w:shd w:fill="CCEEFF" w:val="clear"/>
          </w:tcPr>
          <w:p>
            <w:pPr>
              <w:pStyle w:val="TableContents"/>
              <w:spacing w:before="0" w:after="283"/>
              <w:rPr>
                <w:rFonts w:ascii="Times New Roman" w:hAnsi="Times New Roman"/>
                <w:sz w:val="20"/>
              </w:rPr>
            </w:pPr>
            <w:r>
              <w:rPr>
                <w:rFonts w:ascii="Times New Roman" w:hAnsi="Times New Roman"/>
                <w:sz w:val="20"/>
              </w:rPr>
              <w:t>DNB Bank ASA, Grand Cayman Branch</w:t>
            </w:r>
          </w:p>
        </w:tc>
        <w:tc>
          <w:tcPr>
            <w:tcW w:w="27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200,000,000</w:t>
            </w:r>
          </w:p>
        </w:tc>
        <w:tc>
          <w:tcPr>
            <w:tcW w:w="141"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16.66666667</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75" w:type="dxa"/>
            <w:tcBorders/>
            <w:shd w:fill="auto" w:val="clear"/>
          </w:tcPr>
          <w:p>
            <w:pPr>
              <w:pStyle w:val="TableContents"/>
              <w:spacing w:before="0" w:after="283"/>
              <w:rPr>
                <w:rFonts w:ascii="Times New Roman" w:hAnsi="Times New Roman"/>
                <w:sz w:val="20"/>
              </w:rPr>
            </w:pPr>
            <w:r>
              <w:rPr>
                <w:rFonts w:ascii="Times New Roman" w:hAnsi="Times New Roman"/>
                <w:sz w:val="20"/>
              </w:rPr>
              <w:t>Bank of America, N.A.</w:t>
            </w:r>
          </w:p>
        </w:tc>
        <w:tc>
          <w:tcPr>
            <w:tcW w:w="27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200,000,000</w:t>
            </w:r>
          </w:p>
        </w:tc>
        <w:tc>
          <w:tcPr>
            <w:tcW w:w="141"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16.66666667</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75" w:type="dxa"/>
            <w:tcBorders/>
            <w:shd w:fill="CCEEFF" w:val="clear"/>
          </w:tcPr>
          <w:p>
            <w:pPr>
              <w:pStyle w:val="TableContents"/>
              <w:spacing w:before="0" w:after="283"/>
              <w:rPr>
                <w:rFonts w:ascii="Times New Roman" w:hAnsi="Times New Roman"/>
                <w:sz w:val="20"/>
              </w:rPr>
            </w:pPr>
            <w:r>
              <w:rPr>
                <w:rFonts w:ascii="Times New Roman" w:hAnsi="Times New Roman"/>
                <w:sz w:val="20"/>
              </w:rPr>
              <w:t>JPMorgan Chase Bank, N.A.</w:t>
            </w:r>
          </w:p>
        </w:tc>
        <w:tc>
          <w:tcPr>
            <w:tcW w:w="27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200,000,000</w:t>
            </w:r>
          </w:p>
        </w:tc>
        <w:tc>
          <w:tcPr>
            <w:tcW w:w="141"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16.66666667</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75" w:type="dxa"/>
            <w:tcBorders/>
            <w:shd w:fill="auto" w:val="clear"/>
          </w:tcPr>
          <w:p>
            <w:pPr>
              <w:pStyle w:val="TableContents"/>
              <w:spacing w:before="0" w:after="283"/>
              <w:rPr>
                <w:rFonts w:ascii="Times New Roman" w:hAnsi="Times New Roman"/>
                <w:sz w:val="20"/>
              </w:rPr>
            </w:pPr>
            <w:r>
              <w:rPr>
                <w:rFonts w:ascii="Times New Roman" w:hAnsi="Times New Roman"/>
                <w:sz w:val="20"/>
              </w:rPr>
              <w:t>Mizuho Corporate Bank, Ltd.</w:t>
            </w:r>
          </w:p>
        </w:tc>
        <w:tc>
          <w:tcPr>
            <w:tcW w:w="27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200,000,000</w:t>
            </w:r>
          </w:p>
        </w:tc>
        <w:tc>
          <w:tcPr>
            <w:tcW w:w="141"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16.66666667</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75" w:type="dxa"/>
            <w:tcBorders/>
            <w:shd w:fill="CCEEFF" w:val="clear"/>
          </w:tcPr>
          <w:p>
            <w:pPr>
              <w:pStyle w:val="TableContents"/>
              <w:spacing w:before="0" w:after="283"/>
              <w:rPr>
                <w:rFonts w:ascii="Times New Roman" w:hAnsi="Times New Roman"/>
                <w:sz w:val="20"/>
              </w:rPr>
            </w:pPr>
            <w:r>
              <w:rPr>
                <w:rFonts w:ascii="Times New Roman" w:hAnsi="Times New Roman"/>
                <w:sz w:val="20"/>
              </w:rPr>
              <w:t>UBS Loan Finance LLC</w:t>
            </w:r>
          </w:p>
        </w:tc>
        <w:tc>
          <w:tcPr>
            <w:tcW w:w="27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200,000,000</w:t>
            </w:r>
          </w:p>
        </w:tc>
        <w:tc>
          <w:tcPr>
            <w:tcW w:w="141"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16.66666667</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75" w:type="dxa"/>
            <w:tcBorders/>
            <w:shd w:fill="auto" w:val="clear"/>
          </w:tcPr>
          <w:p>
            <w:pPr>
              <w:pStyle w:val="TableContents"/>
              <w:spacing w:before="0" w:after="283"/>
              <w:rPr>
                <w:rFonts w:ascii="Times New Roman" w:hAnsi="Times New Roman"/>
                <w:sz w:val="20"/>
              </w:rPr>
            </w:pPr>
            <w:r>
              <w:rPr>
                <w:rFonts w:ascii="Times New Roman" w:hAnsi="Times New Roman"/>
                <w:sz w:val="20"/>
              </w:rPr>
              <w:t>Wells Fargo Bank, National Association</w:t>
            </w:r>
          </w:p>
        </w:tc>
        <w:tc>
          <w:tcPr>
            <w:tcW w:w="27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200,000,000</w:t>
            </w:r>
          </w:p>
        </w:tc>
        <w:tc>
          <w:tcPr>
            <w:tcW w:w="141"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16.66666667</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3775"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275"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4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1,200,000,000</w:t>
            </w:r>
          </w:p>
        </w:tc>
        <w:tc>
          <w:tcPr>
            <w:tcW w:w="141"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100.00000000</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HorizontalLine"/>
        <w:pBdr>
          <w:bottom w:val="double" w:sz="6" w:space="0" w:color="808080"/>
        </w:pBdr>
        <w:rPr/>
      </w:pPr>
      <w:r>
        <w:br w:type="page"/>
      </w:r>
      <w:r>
        <w:rPr/>
      </w:r>
    </w:p>
    <w:p>
      <w:pPr>
        <w:pStyle w:val="TextBody"/>
        <w:spacing w:before="0" w:after="0"/>
        <w:jc w:val="right"/>
        <w:rPr>
          <w:rFonts w:ascii="Times New Roman" w:hAnsi="Times New Roman"/>
          <w:b/>
          <w:i/>
          <w:sz w:val="20"/>
        </w:rPr>
      </w:pPr>
      <w:r>
        <w:rPr>
          <w:rFonts w:ascii="Times New Roman" w:hAnsi="Times New Roman"/>
          <w:b/>
          <w:i/>
          <w:sz w:val="20"/>
        </w:rPr>
        <w:t xml:space="preserve">SCHEDULE 5.03 </w:t>
      </w:r>
    </w:p>
    <w:p>
      <w:pPr>
        <w:pStyle w:val="TextBody"/>
        <w:spacing w:before="360" w:after="0"/>
        <w:jc w:val="center"/>
        <w:rPr>
          <w:rFonts w:ascii="Times New Roman" w:hAnsi="Times New Roman"/>
          <w:b/>
          <w:sz w:val="20"/>
        </w:rPr>
      </w:pPr>
      <w:r>
        <w:rPr>
          <w:rFonts w:ascii="Times New Roman" w:hAnsi="Times New Roman"/>
          <w:b/>
          <w:sz w:val="20"/>
        </w:rPr>
        <w:t xml:space="preserve">GOVERNMENTAL AUTHORIZATION; OTHER CONSENTS </w:t>
      </w:r>
    </w:p>
    <w:p>
      <w:pPr>
        <w:pStyle w:val="TextBody"/>
        <w:spacing w:before="180" w:after="0"/>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rPr>
      </w:pPr>
      <w:r>
        <w:rPr>
          <w:rFonts w:ascii="Times New Roman" w:hAnsi="Times New Roman"/>
          <w:b/>
          <w:i/>
          <w:sz w:val="20"/>
        </w:rPr>
        <w:t>SCHEDULE 5.06</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 xml:space="preserve">LITIGATION </w:t>
      </w:r>
    </w:p>
    <w:p>
      <w:pPr>
        <w:pStyle w:val="TextBody"/>
        <w:spacing w:before="270" w:after="0"/>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rPr>
      </w:pPr>
      <w:r>
        <w:rPr>
          <w:rFonts w:ascii="Times New Roman" w:hAnsi="Times New Roman"/>
          <w:b/>
          <w:i/>
          <w:sz w:val="20"/>
        </w:rPr>
        <w:t>SCHEDULE 5.07</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 xml:space="preserve">ENVIRONMENTAL MATTERS </w:t>
      </w:r>
    </w:p>
    <w:p>
      <w:pPr>
        <w:pStyle w:val="TextBody"/>
        <w:spacing w:before="180" w:after="0"/>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rPr>
      </w:pPr>
      <w:r>
        <w:rPr>
          <w:rFonts w:ascii="Times New Roman" w:hAnsi="Times New Roman"/>
          <w:b/>
          <w:i/>
          <w:sz w:val="20"/>
        </w:rPr>
        <w:t>SCHEDULE 5.08</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 xml:space="preserve">ERISA MATTERS </w:t>
      </w:r>
    </w:p>
    <w:p>
      <w:pPr>
        <w:pStyle w:val="TextBody"/>
        <w:spacing w:before="180" w:after="0"/>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rPr/>
      </w:pPr>
      <w:r>
        <w:rPr/>
      </w:r>
    </w:p>
    <w:p>
      <w:pPr>
        <w:pStyle w:val="TextBody"/>
        <w:spacing w:before="0" w:after="0"/>
        <w:jc w:val="right"/>
        <w:rPr>
          <w:rFonts w:ascii="Times New Roman" w:hAnsi="Times New Roman"/>
          <w:b/>
          <w:i/>
          <w:sz w:val="20"/>
        </w:rPr>
      </w:pPr>
      <w:r>
        <w:rPr>
          <w:rFonts w:ascii="Times New Roman" w:hAnsi="Times New Roman"/>
          <w:b/>
          <w:i/>
          <w:sz w:val="20"/>
        </w:rPr>
        <w:t xml:space="preserve">SCHEDULE 5.11 </w:t>
      </w:r>
    </w:p>
    <w:p>
      <w:pPr>
        <w:pStyle w:val="TextBody"/>
        <w:spacing w:before="180" w:after="0"/>
        <w:jc w:val="center"/>
        <w:rPr>
          <w:rFonts w:ascii="Times New Roman" w:hAnsi="Times New Roman"/>
          <w:b/>
          <w:sz w:val="20"/>
        </w:rPr>
      </w:pPr>
      <w:r>
        <w:rPr>
          <w:rFonts w:ascii="Times New Roman" w:hAnsi="Times New Roman"/>
          <w:b/>
          <w:sz w:val="20"/>
        </w:rPr>
        <w:t xml:space="preserve">COMPLIANCE WITH LAWS </w:t>
      </w:r>
    </w:p>
    <w:p>
      <w:pPr>
        <w:pStyle w:val="TextBody"/>
        <w:spacing w:before="270" w:after="0"/>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rPr/>
      </w:pPr>
      <w:r>
        <w:rPr/>
      </w:r>
    </w:p>
    <w:p>
      <w:pPr>
        <w:pStyle w:val="TextBody"/>
        <w:spacing w:before="0" w:after="0"/>
        <w:jc w:val="right"/>
        <w:rPr>
          <w:rFonts w:ascii="Times New Roman" w:hAnsi="Times New Roman"/>
          <w:b/>
          <w:i/>
          <w:sz w:val="20"/>
        </w:rPr>
      </w:pPr>
      <w:r>
        <w:rPr>
          <w:rFonts w:ascii="Times New Roman" w:hAnsi="Times New Roman"/>
          <w:b/>
          <w:i/>
          <w:sz w:val="20"/>
        </w:rPr>
        <w:t xml:space="preserve">SCHEDULE 10.02 </w:t>
      </w:r>
    </w:p>
    <w:p>
      <w:pPr>
        <w:pStyle w:val="TextBody"/>
        <w:spacing w:before="360" w:after="0"/>
        <w:jc w:val="center"/>
        <w:rPr>
          <w:rFonts w:ascii="Times New Roman" w:hAnsi="Times New Roman"/>
          <w:b/>
          <w:sz w:val="20"/>
        </w:rPr>
      </w:pPr>
      <w:r>
        <w:rPr>
          <w:rFonts w:ascii="Times New Roman" w:hAnsi="Times New Roman"/>
          <w:b/>
          <w:sz w:val="20"/>
        </w:rPr>
        <w:t xml:space="preserve">ADMINISTRATIVE AGENTS OFFICE; </w:t>
      </w:r>
    </w:p>
    <w:p>
      <w:pPr>
        <w:pStyle w:val="TextBody"/>
        <w:spacing w:before="0" w:after="0"/>
        <w:jc w:val="center"/>
        <w:rPr>
          <w:rFonts w:ascii="Times New Roman" w:hAnsi="Times New Roman"/>
          <w:b/>
          <w:sz w:val="20"/>
        </w:rPr>
      </w:pPr>
      <w:r>
        <w:rPr>
          <w:rFonts w:ascii="Times New Roman" w:hAnsi="Times New Roman"/>
          <w:b/>
          <w:sz w:val="20"/>
        </w:rPr>
        <w:t xml:space="preserve">CERTAIN ADDRESSES FOR NOTICES </w:t>
      </w:r>
    </w:p>
    <w:p>
      <w:pPr>
        <w:pStyle w:val="TextBody"/>
        <w:spacing w:before="90" w:after="0"/>
        <w:rPr>
          <w:rFonts w:ascii="Times New Roman" w:hAnsi="Times New Roman"/>
          <w:b/>
          <w:sz w:val="20"/>
        </w:rPr>
      </w:pPr>
      <w:r>
        <w:rPr>
          <w:rFonts w:ascii="Times New Roman" w:hAnsi="Times New Roman"/>
          <w:b/>
          <w:sz w:val="20"/>
        </w:rPr>
        <w:t xml:space="preserve">BORROWER: </w:t>
      </w:r>
    </w:p>
    <w:p>
      <w:pPr>
        <w:pStyle w:val="TextBody"/>
        <w:spacing w:before="9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1700 </w:t>
      </w:r>
    </w:p>
    <w:p>
      <w:pPr>
        <w:pStyle w:val="TextBody"/>
        <w:spacing w:before="0" w:after="0"/>
        <w:rPr>
          <w:rFonts w:ascii="Times New Roman" w:hAnsi="Times New Roman"/>
          <w:sz w:val="20"/>
        </w:rPr>
      </w:pPr>
      <w:r>
        <w:rPr>
          <w:rFonts w:ascii="Times New Roman" w:hAnsi="Times New Roman"/>
          <w:sz w:val="20"/>
        </w:rPr>
        <w:t xml:space="preserve">Houston, TX 77002 </w:t>
      </w:r>
    </w:p>
    <w:p>
      <w:pPr>
        <w:pStyle w:val="TextBody"/>
        <w:spacing w:before="0" w:after="0"/>
        <w:rPr>
          <w:rFonts w:ascii="Times New Roman" w:hAnsi="Times New Roman"/>
          <w:sz w:val="20"/>
        </w:rPr>
      </w:pPr>
      <w:r>
        <w:rPr>
          <w:rFonts w:ascii="Times New Roman" w:hAnsi="Times New Roman"/>
          <w:sz w:val="20"/>
        </w:rPr>
        <w:t xml:space="preserve">Attention: Chief Financial Officer </w:t>
      </w:r>
    </w:p>
    <w:p>
      <w:pPr>
        <w:pStyle w:val="TextBody"/>
        <w:spacing w:before="0" w:after="0"/>
        <w:rPr>
          <w:rFonts w:ascii="Times New Roman" w:hAnsi="Times New Roman"/>
          <w:sz w:val="20"/>
        </w:rPr>
      </w:pPr>
      <w:r>
        <w:rPr>
          <w:rFonts w:ascii="Times New Roman" w:hAnsi="Times New Roman"/>
          <w:sz w:val="20"/>
        </w:rPr>
        <w:t xml:space="preserve">Telephone: 713-646-4100 </w:t>
      </w:r>
    </w:p>
    <w:p>
      <w:pPr>
        <w:pStyle w:val="TextBody"/>
        <w:spacing w:before="0" w:after="0"/>
        <w:rPr>
          <w:rFonts w:ascii="Times New Roman" w:hAnsi="Times New Roman"/>
          <w:sz w:val="20"/>
        </w:rPr>
      </w:pPr>
      <w:r>
        <w:rPr>
          <w:rFonts w:ascii="Times New Roman" w:hAnsi="Times New Roman"/>
          <w:sz w:val="20"/>
        </w:rPr>
        <w:t xml:space="preserve">Telecopier: (713) 646-4313 </w:t>
      </w:r>
    </w:p>
    <w:p>
      <w:pPr>
        <w:pStyle w:val="TextBody"/>
        <w:spacing w:before="0" w:after="0"/>
        <w:rPr>
          <w:rFonts w:ascii="Times New Roman" w:hAnsi="Times New Roman"/>
          <w:sz w:val="20"/>
        </w:rPr>
      </w:pPr>
      <w:r>
        <w:rPr>
          <w:rFonts w:ascii="Times New Roman" w:hAnsi="Times New Roman"/>
          <w:sz w:val="20"/>
        </w:rPr>
        <w:t xml:space="preserve">U.S. Taxpayer Identification Number: 76-0582150 </w:t>
      </w:r>
    </w:p>
    <w:p>
      <w:pPr>
        <w:pStyle w:val="TextBody"/>
        <w:spacing w:before="270" w:after="0"/>
        <w:rPr>
          <w:rFonts w:ascii="Times New Roman" w:hAnsi="Times New Roman"/>
          <w:b/>
          <w:sz w:val="20"/>
        </w:rPr>
      </w:pPr>
      <w:r>
        <w:rPr>
          <w:rFonts w:ascii="Times New Roman" w:hAnsi="Times New Roman"/>
          <w:b/>
          <w:sz w:val="20"/>
        </w:rPr>
        <w:t xml:space="preserve">ADMINISTRATIVE AGENT: </w:t>
      </w:r>
    </w:p>
    <w:p>
      <w:pPr>
        <w:pStyle w:val="TextBody"/>
        <w:spacing w:before="90" w:after="0"/>
        <w:rPr>
          <w:rFonts w:ascii="Times New Roman" w:hAnsi="Times New Roman"/>
          <w:i/>
          <w:sz w:val="20"/>
          <w:u w:val="single"/>
        </w:rPr>
      </w:pPr>
      <w:r>
        <w:rPr>
          <w:rFonts w:ascii="Times New Roman" w:hAnsi="Times New Roman"/>
          <w:i/>
          <w:sz w:val="20"/>
          <w:u w:val="single"/>
        </w:rPr>
        <w:t xml:space="preserve">Administrative Agent </w:t>
      </w:r>
    </w:p>
    <w:p>
      <w:pPr>
        <w:pStyle w:val="TextBody"/>
        <w:spacing w:before="0" w:after="0"/>
        <w:rPr>
          <w:rFonts w:ascii="Times New Roman" w:hAnsi="Times New Roman"/>
          <w:sz w:val="20"/>
        </w:rPr>
      </w:pPr>
      <w:r>
        <w:rPr>
          <w:rFonts w:ascii="Times New Roman" w:hAnsi="Times New Roman"/>
          <w:sz w:val="20"/>
        </w:rPr>
        <w:t xml:space="preserve">DNB Bank ASA </w:t>
      </w:r>
    </w:p>
    <w:p>
      <w:pPr>
        <w:pStyle w:val="TextBody"/>
        <w:pBdr/>
        <w:spacing w:before="0" w:after="0"/>
        <w:rPr/>
      </w:pPr>
      <w:r>
        <w:rPr>
          <w:rFonts w:ascii="Times New Roman" w:hAnsi="Times New Roman"/>
          <w:sz w:val="20"/>
        </w:rPr>
        <w:t>200 Park Avenue, 31</w:t>
      </w:r>
      <w:r>
        <w:rPr>
          <w:rFonts w:ascii="Times New Roman" w:hAnsi="Times New Roman"/>
          <w:sz w:val="14"/>
        </w:rPr>
        <w:t>st</w:t>
      </w:r>
      <w:r>
        <w:rPr/>
        <w:t xml:space="preserve"> </w:t>
      </w:r>
      <w:r>
        <w:rPr>
          <w:rFonts w:ascii="Times New Roman" w:hAnsi="Times New Roman"/>
          <w:sz w:val="20"/>
        </w:rPr>
        <w:t xml:space="preserve">Floor </w:t>
      </w:r>
    </w:p>
    <w:p>
      <w:pPr>
        <w:pStyle w:val="TextBody"/>
        <w:spacing w:before="0" w:after="0"/>
        <w:rPr>
          <w:rFonts w:ascii="Times New Roman" w:hAnsi="Times New Roman"/>
          <w:sz w:val="20"/>
        </w:rPr>
      </w:pPr>
      <w:r>
        <w:rPr>
          <w:rFonts w:ascii="Times New Roman" w:hAnsi="Times New Roman"/>
          <w:sz w:val="20"/>
        </w:rPr>
        <w:t xml:space="preserve">New York, NY 10166 </w:t>
      </w:r>
    </w:p>
    <w:p>
      <w:pPr>
        <w:pStyle w:val="TextBody"/>
        <w:spacing w:before="270" w:after="0"/>
        <w:rPr>
          <w:rFonts w:ascii="Times New Roman" w:hAnsi="Times New Roman"/>
          <w:sz w:val="20"/>
        </w:rPr>
      </w:pPr>
      <w:r>
        <w:rPr>
          <w:rFonts w:ascii="Times New Roman" w:hAnsi="Times New Roman"/>
          <w:i/>
          <w:sz w:val="20"/>
          <w:u w:val="single"/>
        </w:rPr>
        <w:t>Administrative Contact (Primary)t</w:t>
      </w:r>
      <w:r>
        <w:rPr>
          <w:rFonts w:ascii="Times New Roman" w:hAnsi="Times New Roman"/>
          <w:sz w:val="20"/>
        </w:rPr>
        <w:t xml:space="preserve"> </w:t>
      </w:r>
    </w:p>
    <w:p>
      <w:pPr>
        <w:pStyle w:val="TextBody"/>
        <w:spacing w:before="0" w:after="0"/>
        <w:rPr>
          <w:rFonts w:ascii="Times New Roman" w:hAnsi="Times New Roman"/>
          <w:sz w:val="20"/>
        </w:rPr>
      </w:pPr>
      <w:r>
        <w:rPr>
          <w:rFonts w:ascii="Times New Roman" w:hAnsi="Times New Roman"/>
          <w:sz w:val="20"/>
        </w:rPr>
        <w:t xml:space="preserve">Alberto Caceda </w:t>
      </w:r>
    </w:p>
    <w:p>
      <w:pPr>
        <w:pStyle w:val="TextBody"/>
        <w:spacing w:before="0" w:after="0"/>
        <w:rPr>
          <w:rFonts w:ascii="Times New Roman" w:hAnsi="Times New Roman"/>
          <w:sz w:val="20"/>
        </w:rPr>
      </w:pPr>
      <w:r>
        <w:rPr>
          <w:rFonts w:ascii="Times New Roman" w:hAnsi="Times New Roman"/>
          <w:sz w:val="20"/>
        </w:rPr>
        <w:t xml:space="preserve">Assistant Treasurer </w:t>
      </w:r>
    </w:p>
    <w:p>
      <w:pPr>
        <w:pStyle w:val="TextBody"/>
        <w:spacing w:before="0" w:after="0"/>
        <w:rPr>
          <w:rFonts w:ascii="Times New Roman" w:hAnsi="Times New Roman"/>
          <w:sz w:val="20"/>
        </w:rPr>
      </w:pPr>
      <w:r>
        <w:rPr>
          <w:rFonts w:ascii="Times New Roman" w:hAnsi="Times New Roman"/>
          <w:sz w:val="20"/>
        </w:rPr>
        <w:t xml:space="preserve">DNB Bank ASA </w:t>
      </w:r>
    </w:p>
    <w:p>
      <w:pPr>
        <w:pStyle w:val="TextBody"/>
        <w:spacing w:before="0" w:after="0"/>
        <w:rPr>
          <w:rFonts w:ascii="Times New Roman" w:hAnsi="Times New Roman"/>
          <w:sz w:val="20"/>
        </w:rPr>
      </w:pPr>
      <w:r>
        <w:rPr>
          <w:rFonts w:ascii="Times New Roman" w:hAnsi="Times New Roman"/>
          <w:sz w:val="20"/>
        </w:rPr>
        <w:t xml:space="preserve">333 Clay Street, Suite 3950 </w:t>
      </w:r>
    </w:p>
    <w:p>
      <w:pPr>
        <w:pStyle w:val="TextBody"/>
        <w:spacing w:before="0" w:after="0"/>
        <w:rPr>
          <w:rFonts w:ascii="Times New Roman" w:hAnsi="Times New Roman"/>
          <w:sz w:val="20"/>
        </w:rPr>
      </w:pPr>
      <w:r>
        <w:rPr>
          <w:rFonts w:ascii="Times New Roman" w:hAnsi="Times New Roman"/>
          <w:sz w:val="20"/>
        </w:rPr>
        <w:t xml:space="preserve">Houston, TX 77002 </w:t>
      </w:r>
    </w:p>
    <w:p>
      <w:pPr>
        <w:pStyle w:val="TextBody"/>
        <w:spacing w:before="0" w:after="0"/>
        <w:rPr>
          <w:rFonts w:ascii="Times New Roman" w:hAnsi="Times New Roman"/>
          <w:sz w:val="20"/>
        </w:rPr>
      </w:pPr>
      <w:r>
        <w:rPr>
          <w:rFonts w:ascii="Times New Roman" w:hAnsi="Times New Roman"/>
          <w:sz w:val="20"/>
        </w:rPr>
        <w:t xml:space="preserve">Telephone: 832-214-5807 </w:t>
      </w:r>
    </w:p>
    <w:p>
      <w:pPr>
        <w:pStyle w:val="TextBody"/>
        <w:spacing w:before="0" w:after="0"/>
        <w:rPr>
          <w:rFonts w:ascii="Times New Roman" w:hAnsi="Times New Roman"/>
          <w:sz w:val="20"/>
        </w:rPr>
      </w:pPr>
      <w:r>
        <w:rPr>
          <w:rFonts w:ascii="Times New Roman" w:hAnsi="Times New Roman"/>
          <w:sz w:val="20"/>
        </w:rPr>
        <w:t xml:space="preserve">Telecopier: 832-214-5839 </w:t>
      </w:r>
    </w:p>
    <w:p>
      <w:pPr>
        <w:pStyle w:val="TextBody"/>
        <w:spacing w:before="0" w:after="0"/>
        <w:rPr>
          <w:rFonts w:ascii="Times New Roman" w:hAnsi="Times New Roman"/>
          <w:sz w:val="20"/>
        </w:rPr>
      </w:pPr>
      <w:r>
        <w:rPr>
          <w:rFonts w:ascii="Times New Roman" w:hAnsi="Times New Roman"/>
          <w:sz w:val="20"/>
        </w:rPr>
        <w:t xml:space="preserve">Electronic Mail: alberto.caceda@dnb.no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i/>
                <w:sz w:val="20"/>
                <w:u w:val="single"/>
              </w:rPr>
            </w:pPr>
            <w:r>
              <w:rPr>
                <w:rFonts w:ascii="Times New Roman" w:hAnsi="Times New Roman"/>
                <w:i/>
                <w:sz w:val="20"/>
                <w:u w:val="single"/>
              </w:rPr>
              <w:t>Payment Instructions:</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Name of Bank:</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Bank of New York, New York</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ABA Number:</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021 000 018</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Account Name: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DNB Bank ASA, New York Branch</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Account Number:</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802 500 1499</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Favor account Name: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Favor account Number</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15356999</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Reference: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bl>
    <w:p>
      <w:pPr>
        <w:pStyle w:val="HorizontalLine"/>
        <w:pBdr>
          <w:bottom w:val="double" w:sz="6" w:space="0" w:color="808080"/>
        </w:pBdr>
        <w:rPr/>
      </w:pPr>
      <w:r>
        <w:br w:type="page"/>
      </w:r>
      <w:r>
        <w:rPr/>
      </w:r>
    </w:p>
    <w:p>
      <w:pPr>
        <w:pStyle w:val="TextBody"/>
        <w:spacing w:before="0" w:after="0"/>
        <w:jc w:val="right"/>
        <w:rPr>
          <w:rFonts w:ascii="Times New Roman" w:hAnsi="Times New Roman"/>
          <w:sz w:val="20"/>
        </w:rPr>
      </w:pPr>
      <w:r>
        <w:rPr>
          <w:rFonts w:ascii="Times New Roman" w:hAnsi="Times New Roman"/>
          <w:b/>
          <w:i/>
          <w:sz w:val="20"/>
        </w:rPr>
        <w:t>EXHIBIT A</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 xml:space="preserve">FORM OF LOAN NOTICE </w:t>
      </w:r>
    </w:p>
    <w:p>
      <w:pPr>
        <w:pStyle w:val="TextBody"/>
        <w:spacing w:before="0" w:after="0"/>
        <w:jc w:val="right"/>
        <w:rPr>
          <w:rFonts w:ascii="Times New Roman" w:hAnsi="Times New Roman"/>
          <w:sz w:val="20"/>
        </w:rPr>
      </w:pPr>
      <w:r>
        <w:rPr>
          <w:rFonts w:ascii="Times New Roman" w:hAnsi="Times New Roman"/>
          <w:sz w:val="20"/>
        </w:rPr>
        <w:t xml:space="preserve">Date:                     ,              </w:t>
      </w:r>
    </w:p>
    <w:p>
      <w:pPr>
        <w:pStyle w:val="TextBody"/>
        <w:spacing w:before="180" w:after="0"/>
        <w:rPr>
          <w:rFonts w:ascii="Times New Roman" w:hAnsi="Times New Roman"/>
          <w:sz w:val="20"/>
        </w:rPr>
      </w:pPr>
      <w:r>
        <w:rPr>
          <w:rFonts w:ascii="Times New Roman" w:hAnsi="Times New Roman"/>
          <w:sz w:val="20"/>
        </w:rPr>
        <w:t xml:space="preserve">To: DNB Bank ASA, as Administrative Agent </w:t>
      </w:r>
    </w:p>
    <w:p>
      <w:pPr>
        <w:pStyle w:val="TextBody"/>
        <w:spacing w:before="9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Reference is made to that certain 364-Day Credit Agreement, dated as of December 9, 2011 (as amended, restated, extended, supplemented or otherwise modified in writing from time to time, the </w:t>
      </w:r>
      <w:r>
        <w:rPr>
          <w:rFonts w:ascii="Times New Roman" w:hAnsi="Times New Roman"/>
          <w:sz w:val="20"/>
          <w:u w:val="single"/>
        </w:rPr>
        <w:t>Agreement</w:t>
      </w:r>
      <w:r>
        <w:rPr>
          <w:rFonts w:ascii="Times New Roman" w:hAnsi="Times New Roman"/>
          <w:sz w:val="20"/>
        </w:rPr>
        <w:t>; the terms defined therein being used herein as therein defined), among Plains All American Pipeline, L.P., a Delaware limited partnership (the </w:t>
      </w:r>
      <w:r>
        <w:rPr>
          <w:rFonts w:ascii="Times New Roman" w:hAnsi="Times New Roman"/>
          <w:sz w:val="20"/>
          <w:u w:val="single"/>
        </w:rPr>
        <w:t>Borrower</w:t>
      </w:r>
      <w:r>
        <w:rPr>
          <w:rFonts w:ascii="Times New Roman" w:hAnsi="Times New Roman"/>
          <w:sz w:val="20"/>
        </w:rPr>
        <w:t xml:space="preserve">), DNB Bank ASA, as Administrative Agent, and the Lenders from time to time party thereto. </w:t>
      </w:r>
    </w:p>
    <w:p>
      <w:pPr>
        <w:pStyle w:val="TextBody"/>
        <w:spacing w:before="180" w:after="0"/>
        <w:rPr>
          <w:rFonts w:ascii="Times New Roman" w:hAnsi="Times New Roman"/>
          <w:sz w:val="20"/>
        </w:rPr>
      </w:pPr>
      <w:r>
        <w:rPr>
          <w:rFonts w:ascii="Times New Roman" w:hAnsi="Times New Roman"/>
          <w:sz w:val="20"/>
        </w:rPr>
        <w:t xml:space="preserve">The undersigned hereby requests (select one): </w:t>
      </w:r>
    </w:p>
    <w:p>
      <w:pPr>
        <w:pStyle w:val="TextBody"/>
        <w:spacing w:before="90" w:after="0"/>
        <w:rPr/>
      </w:pPr>
      <w:r>
        <w:rPr/>
        <w:t xml:space="preserve">☐     </w:t>
      </w:r>
      <w:r>
        <w:rPr>
          <w:rFonts w:ascii="Times New Roman" w:hAnsi="Times New Roman"/>
          <w:sz w:val="20"/>
        </w:rPr>
        <w:t xml:space="preserve">A Borrowing of Loans </w:t>
      </w:r>
    </w:p>
    <w:p>
      <w:pPr>
        <w:pStyle w:val="TextBody"/>
        <w:spacing w:before="90" w:after="0"/>
        <w:rPr/>
      </w:pPr>
      <w:r>
        <w:rPr/>
        <w:t>☐     </w:t>
      </w:r>
      <w:r>
        <w:rPr>
          <w:rFonts w:ascii="Times New Roman" w:hAnsi="Times New Roman"/>
          <w:sz w:val="20"/>
        </w:rPr>
        <w:t xml:space="preserve">A conversion or continuation of Loans </w:t>
      </w:r>
    </w:p>
    <w:p>
      <w:pPr>
        <w:pStyle w:val="TextBody"/>
        <w:spacing w:before="180" w:after="0"/>
        <w:rPr>
          <w:rFonts w:ascii="Times New Roman" w:hAnsi="Times New Roman"/>
          <w:sz w:val="20"/>
        </w:rPr>
      </w:pPr>
      <w:r>
        <w:rPr>
          <w:rFonts w:ascii="Times New Roman" w:hAnsi="Times New Roman"/>
          <w:sz w:val="20"/>
        </w:rPr>
        <w:t xml:space="preserve">1. On                     (a Business Day). </w:t>
      </w:r>
    </w:p>
    <w:p>
      <w:pPr>
        <w:pStyle w:val="TextBody"/>
        <w:spacing w:before="90" w:after="0"/>
        <w:rPr>
          <w:rFonts w:ascii="Times New Roman" w:hAnsi="Times New Roman"/>
          <w:sz w:val="20"/>
        </w:rPr>
      </w:pPr>
      <w:r>
        <w:rPr>
          <w:rFonts w:ascii="Times New Roman" w:hAnsi="Times New Roman"/>
          <w:sz w:val="20"/>
        </w:rPr>
        <w:t xml:space="preserve">2. In the [principal amount of $             . </w:t>
      </w:r>
    </w:p>
    <w:p>
      <w:pPr>
        <w:pStyle w:val="TextBody"/>
        <w:spacing w:before="0" w:after="0"/>
        <w:rPr/>
      </w:pPr>
      <w:r>
        <w:rPr/>
        <w:t>    </w:t>
      </w:r>
      <w:r>
        <w:rPr>
          <w:rFonts w:ascii="Times New Roman" w:hAnsi="Times New Roman"/>
          <w:sz w:val="20"/>
        </w:rPr>
        <w:t xml:space="preserve">[Amount designated as Working Capital Borrowing: $             .] </w:t>
      </w:r>
    </w:p>
    <w:p>
      <w:pPr>
        <w:pStyle w:val="TextBody"/>
        <w:spacing w:before="90" w:after="0"/>
        <w:rPr>
          <w:rFonts w:ascii="Times New Roman" w:hAnsi="Times New Roman"/>
          <w:sz w:val="20"/>
        </w:rPr>
      </w:pPr>
      <w:r>
        <w:rPr>
          <w:rFonts w:ascii="Times New Roman" w:hAnsi="Times New Roman"/>
          <w:sz w:val="20"/>
        </w:rPr>
        <w:t xml:space="preserve">3. Comprised of [Base Rate Loans] [Eurodollar Rate Loans] </w:t>
      </w:r>
    </w:p>
    <w:p>
      <w:pPr>
        <w:pStyle w:val="TextBody"/>
        <w:spacing w:before="90" w:after="0"/>
        <w:rPr>
          <w:rFonts w:ascii="Times New Roman" w:hAnsi="Times New Roman"/>
          <w:sz w:val="20"/>
        </w:rPr>
      </w:pPr>
      <w:r>
        <w:rPr>
          <w:rFonts w:ascii="Times New Roman" w:hAnsi="Times New Roman"/>
          <w:sz w:val="20"/>
        </w:rPr>
        <w:t xml:space="preserve">4. For Eurodollar Rate Loans: with an Interest Period of [seven] [fourteen] [days] [one] [two] [three] [six] [            ] [month[s]]. </w:t>
      </w:r>
    </w:p>
    <w:p>
      <w:pPr>
        <w:pStyle w:val="TextBody"/>
        <w:spacing w:before="90" w:after="0"/>
        <w:rPr>
          <w:rFonts w:ascii="Times New Roman" w:hAnsi="Times New Roman"/>
          <w:sz w:val="20"/>
        </w:rPr>
      </w:pPr>
      <w:r>
        <w:rPr>
          <w:rFonts w:ascii="Times New Roman" w:hAnsi="Times New Roman"/>
          <w:sz w:val="20"/>
        </w:rPr>
        <w:t xml:space="preserve">[5. If a conversion or continuation of Loans, the existing Borrowing(s) of Loans to be converted or continued: </w:t>
      </w:r>
    </w:p>
    <w:p>
      <w:pPr>
        <w:pStyle w:val="TextBody"/>
        <w:spacing w:before="180" w:after="0"/>
        <w:rPr>
          <w:rFonts w:ascii="Times New Roman" w:hAnsi="Times New Roman"/>
          <w:sz w:val="20"/>
        </w:rPr>
      </w:pPr>
      <w:r>
        <w:rPr>
          <w:rFonts w:ascii="Times New Roman" w:hAnsi="Times New Roman"/>
          <w:sz w:val="20"/>
        </w:rPr>
        <w:t xml:space="preserve">Principal amount of $            of Eurodollar Rate Loans with an Interest Period ending             . </w:t>
      </w:r>
    </w:p>
    <w:p>
      <w:pPr>
        <w:pStyle w:val="TextBody"/>
        <w:spacing w:before="180" w:after="0"/>
        <w:rPr>
          <w:rFonts w:ascii="Times New Roman" w:hAnsi="Times New Roman"/>
          <w:sz w:val="20"/>
        </w:rPr>
      </w:pPr>
      <w:r>
        <w:rPr>
          <w:rFonts w:ascii="Times New Roman" w:hAnsi="Times New Roman"/>
          <w:sz w:val="20"/>
        </w:rPr>
        <w:t xml:space="preserve">Principal amount of $            of Base Rate Loans.] </w:t>
      </w:r>
    </w:p>
    <w:p>
      <w:pPr>
        <w:pStyle w:val="TextBody"/>
        <w:spacing w:before="180" w:after="0"/>
        <w:rPr>
          <w:rFonts w:ascii="Times New Roman" w:hAnsi="Times New Roman"/>
          <w:sz w:val="20"/>
        </w:rPr>
      </w:pPr>
      <w:r>
        <w:rPr>
          <w:rFonts w:ascii="Times New Roman" w:hAnsi="Times New Roman"/>
          <w:sz w:val="20"/>
        </w:rPr>
        <w:t xml:space="preserve">The Borrowing, if any, requested herein complies with the proviso to the first sentence of </w:t>
      </w:r>
      <w:r>
        <w:rPr>
          <w:rFonts w:ascii="Times New Roman" w:hAnsi="Times New Roman"/>
          <w:sz w:val="20"/>
          <w:u w:val="single"/>
        </w:rPr>
        <w:t>Section 2.01</w:t>
      </w:r>
      <w:r>
        <w:rPr>
          <w:rFonts w:ascii="Times New Roman" w:hAnsi="Times New Roman"/>
          <w:sz w:val="20"/>
        </w:rPr>
        <w:t xml:space="preserve"> of the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 - 1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Loan Notice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475"/>
        <w:gridCol w:w="61"/>
        <w:gridCol w:w="351"/>
        <w:gridCol w:w="61"/>
        <w:gridCol w:w="3134"/>
      </w:tblGrid>
      <w:tr>
        <w:trPr/>
        <w:tc>
          <w:tcPr>
            <w:tcW w:w="475"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134"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475" w:type="dxa"/>
            <w:tcBorders/>
            <w:shd w:fill="auto" w:val="clear"/>
            <w:vAlign w:val="center"/>
          </w:tcPr>
          <w:p>
            <w:pPr>
              <w:pStyle w:val="TableContents"/>
              <w:spacing w:before="0" w:after="283"/>
              <w:rPr>
                <w:sz w:val="4"/>
                <w:szCs w:val="4"/>
              </w:rPr>
            </w:pPr>
            <w:r>
              <w:rPr>
                <w:sz w:val="4"/>
                <w:szCs w:val="4"/>
              </w:rPr>
            </w:r>
          </w:p>
        </w:tc>
        <w:tc>
          <w:tcPr>
            <w:tcW w:w="412" w:type="dxa"/>
            <w:gridSpan w:val="2"/>
            <w:tcBorders/>
            <w:shd w:fill="auto" w:val="clear"/>
            <w:vAlign w:val="center"/>
          </w:tcPr>
          <w:p>
            <w:pPr>
              <w:pStyle w:val="TableContents"/>
              <w:spacing w:before="0" w:after="283"/>
              <w:rPr>
                <w:sz w:val="4"/>
                <w:szCs w:val="4"/>
              </w:rPr>
            </w:pPr>
            <w:r>
              <w:rPr>
                <w:sz w:val="4"/>
                <w:szCs w:val="4"/>
              </w:rPr>
            </w:r>
          </w:p>
        </w:tc>
        <w:tc>
          <w:tcPr>
            <w:tcW w:w="3195" w:type="dxa"/>
            <w:gridSpan w:val="2"/>
            <w:tcBorders/>
            <w:shd w:fill="auto" w:val="clear"/>
            <w:vAlign w:val="center"/>
          </w:tcPr>
          <w:p>
            <w:pPr>
              <w:pStyle w:val="TableContents"/>
              <w:spacing w:before="0" w:after="283"/>
              <w:rPr>
                <w:sz w:val="4"/>
                <w:szCs w:val="4"/>
              </w:rPr>
            </w:pPr>
            <w:r>
              <w:rPr>
                <w:sz w:val="4"/>
                <w:szCs w:val="4"/>
              </w:rPr>
            </w:r>
          </w:p>
        </w:tc>
      </w:tr>
      <w:tr>
        <w:trPr/>
        <w:tc>
          <w:tcPr>
            <w:tcW w:w="4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shd w:fill="auto" w:val="clear"/>
            <w:vAlign w:val="bottom"/>
          </w:tcPr>
          <w:p>
            <w:pPr>
              <w:pStyle w:val="TableContents"/>
              <w:spacing w:before="0" w:after="283"/>
              <w:rPr/>
            </w:pPr>
            <w:r>
              <w:rPr/>
              <w:t> </w:t>
            </w:r>
          </w:p>
        </w:tc>
        <w:tc>
          <w:tcPr>
            <w:tcW w:w="3134"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120" w:hRule="atLeast"/>
        </w:trPr>
        <w:tc>
          <w:tcPr>
            <w:tcW w:w="475" w:type="dxa"/>
            <w:tcBorders/>
            <w:shd w:fill="auto" w:val="clear"/>
            <w:vAlign w:val="center"/>
          </w:tcPr>
          <w:p>
            <w:pPr>
              <w:pStyle w:val="TableContents"/>
              <w:spacing w:before="0" w:after="283"/>
              <w:rPr>
                <w:sz w:val="4"/>
                <w:szCs w:val="4"/>
              </w:rPr>
            </w:pPr>
            <w:r>
              <w:rPr>
                <w:sz w:val="4"/>
                <w:szCs w:val="4"/>
              </w:rPr>
            </w:r>
          </w:p>
        </w:tc>
        <w:tc>
          <w:tcPr>
            <w:tcW w:w="412" w:type="dxa"/>
            <w:gridSpan w:val="2"/>
            <w:tcBorders/>
            <w:shd w:fill="auto" w:val="clear"/>
            <w:vAlign w:val="center"/>
          </w:tcPr>
          <w:p>
            <w:pPr>
              <w:pStyle w:val="TableContents"/>
              <w:spacing w:before="0" w:after="283"/>
              <w:rPr>
                <w:sz w:val="4"/>
                <w:szCs w:val="4"/>
              </w:rPr>
            </w:pPr>
            <w:r>
              <w:rPr>
                <w:sz w:val="4"/>
                <w:szCs w:val="4"/>
              </w:rPr>
            </w:r>
          </w:p>
        </w:tc>
        <w:tc>
          <w:tcPr>
            <w:tcW w:w="3195" w:type="dxa"/>
            <w:gridSpan w:val="2"/>
            <w:tcBorders/>
            <w:shd w:fill="auto" w:val="clear"/>
            <w:vAlign w:val="center"/>
          </w:tcPr>
          <w:p>
            <w:pPr>
              <w:pStyle w:val="TableContents"/>
              <w:spacing w:before="0" w:after="283"/>
              <w:rPr>
                <w:sz w:val="4"/>
                <w:szCs w:val="4"/>
              </w:rPr>
            </w:pPr>
            <w:r>
              <w:rPr>
                <w:sz w:val="4"/>
                <w:szCs w:val="4"/>
              </w:rPr>
            </w:r>
          </w:p>
        </w:tc>
      </w:tr>
      <w:tr>
        <w:trPr/>
        <w:tc>
          <w:tcPr>
            <w:tcW w:w="4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shd w:fill="auto" w:val="clear"/>
            <w:vAlign w:val="bottom"/>
          </w:tcPr>
          <w:p>
            <w:pPr>
              <w:pStyle w:val="TableContents"/>
              <w:spacing w:before="0" w:after="283"/>
              <w:rPr/>
            </w:pPr>
            <w:r>
              <w:rPr/>
              <w:t> </w:t>
            </w:r>
          </w:p>
        </w:tc>
        <w:tc>
          <w:tcPr>
            <w:tcW w:w="3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120" w:hRule="atLeast"/>
        </w:trPr>
        <w:tc>
          <w:tcPr>
            <w:tcW w:w="475" w:type="dxa"/>
            <w:tcBorders/>
            <w:shd w:fill="auto" w:val="clear"/>
            <w:vAlign w:val="center"/>
          </w:tcPr>
          <w:p>
            <w:pPr>
              <w:pStyle w:val="TableContents"/>
              <w:spacing w:before="0" w:after="283"/>
              <w:rPr>
                <w:sz w:val="4"/>
                <w:szCs w:val="4"/>
              </w:rPr>
            </w:pPr>
            <w:r>
              <w:rPr>
                <w:sz w:val="4"/>
                <w:szCs w:val="4"/>
              </w:rPr>
            </w:r>
          </w:p>
        </w:tc>
        <w:tc>
          <w:tcPr>
            <w:tcW w:w="3607" w:type="dxa"/>
            <w:gridSpan w:val="4"/>
            <w:tcBorders/>
            <w:shd w:fill="auto" w:val="clear"/>
            <w:vAlign w:val="center"/>
          </w:tcPr>
          <w:p>
            <w:pPr>
              <w:pStyle w:val="TableContents"/>
              <w:spacing w:before="0" w:after="283"/>
              <w:rPr>
                <w:sz w:val="4"/>
                <w:szCs w:val="4"/>
              </w:rPr>
            </w:pPr>
            <w:r>
              <w:rPr>
                <w:sz w:val="4"/>
                <w:szCs w:val="4"/>
              </w:rPr>
            </w:r>
          </w:p>
        </w:tc>
      </w:tr>
      <w:tr>
        <w:trPr/>
        <w:tc>
          <w:tcPr>
            <w:tcW w:w="4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546"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By: PLAINS ALL AMERICAN GP LLC,</w:t>
            </w:r>
          </w:p>
          <w:p>
            <w:pPr>
              <w:pStyle w:val="TableContents"/>
              <w:spacing w:before="0" w:after="15"/>
              <w:rPr>
                <w:rFonts w:ascii="Times New Roman" w:hAnsi="Times New Roman"/>
                <w:sz w:val="20"/>
              </w:rPr>
            </w:pPr>
            <w:r>
              <w:rPr>
                <w:rFonts w:ascii="Times New Roman" w:hAnsi="Times New Roman"/>
                <w:sz w:val="20"/>
              </w:rPr>
              <w:t>its general partner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03"/>
        <w:gridCol w:w="61"/>
        <w:gridCol w:w="646"/>
        <w:gridCol w:w="61"/>
        <w:gridCol w:w="2811"/>
      </w:tblGrid>
      <w:tr>
        <w:trPr/>
        <w:tc>
          <w:tcPr>
            <w:tcW w:w="503"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2811"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503"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c>
          <w:tcPr>
            <w:tcW w:w="2872"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2811" w:type="dxa"/>
            <w:tcBorders>
              <w:bottom w:val="single" w:sz="2" w:space="0" w:color="000000"/>
            </w:tcBorders>
            <w:shd w:fill="auto" w:val="clear"/>
            <w:tcMar>
              <w:bottom w:w="28" w:type="dxa"/>
            </w:tcMar>
          </w:tcPr>
          <w:p>
            <w:pPr>
              <w:pStyle w:val="TableContents"/>
              <w:spacing w:before="0" w:after="283"/>
              <w:rPr/>
            </w:pPr>
            <w:r>
              <w:rPr/>
              <w:t> </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c>
          <w:tcPr>
            <w:tcW w:w="2872"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2811"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c>
          <w:tcPr>
            <w:tcW w:w="2872"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2811" w:type="dxa"/>
            <w:tcBorders>
              <w:bottom w:val="single" w:sz="2" w:space="0" w:color="000000"/>
            </w:tcBorders>
            <w:shd w:fill="auto" w:val="clear"/>
            <w:tcMar>
              <w:bottom w:w="28" w:type="dxa"/>
            </w:tcM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 - 2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Loan Notice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rPr>
      </w:pPr>
      <w:r>
        <w:rPr>
          <w:rFonts w:ascii="Times New Roman" w:hAnsi="Times New Roman"/>
          <w:b/>
          <w:i/>
          <w:sz w:val="20"/>
        </w:rPr>
        <w:t>EXHIBIT B</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 xml:space="preserve">FORM OF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pPr>
            <w:r>
              <w:rPr/>
              <w:t>            </w:t>
            </w:r>
            <w:r>
              <w:rPr>
                <w:rFonts w:ascii="Times New Roman" w:hAnsi="Times New Roman"/>
                <w:sz w:val="20"/>
              </w:rPr>
              <w:t>, 20    </w:t>
            </w:r>
          </w:p>
        </w:tc>
      </w:tr>
    </w:tbl>
    <w:p>
      <w:pPr>
        <w:pStyle w:val="TextBody"/>
        <w:spacing w:before="90" w:after="0"/>
        <w:rPr>
          <w:rFonts w:ascii="Times New Roman" w:hAnsi="Times New Roman"/>
          <w:sz w:val="20"/>
        </w:rPr>
      </w:pPr>
      <w:r>
        <w:rPr>
          <w:rFonts w:ascii="Times New Roman" w:hAnsi="Times New Roman"/>
          <w:sz w:val="20"/>
        </w:rPr>
        <w:t>FOR VALUE RECEIVED, the undersigned, PLAINS ALL AMERICAN PIPELINE, L.P., a Delaware limited partnership (</w:t>
      </w:r>
      <w:r>
        <w:rPr>
          <w:rFonts w:ascii="Times New Roman" w:hAnsi="Times New Roman"/>
          <w:sz w:val="20"/>
          <w:u w:val="single"/>
        </w:rPr>
        <w:t>Borrower</w:t>
      </w:r>
      <w:r>
        <w:rPr>
          <w:rFonts w:ascii="Times New Roman" w:hAnsi="Times New Roman"/>
          <w:sz w:val="20"/>
        </w:rPr>
        <w:t>), hereby promises to pay to             or its registered and permitted assigns (the </w:t>
      </w:r>
      <w:r>
        <w:rPr>
          <w:rFonts w:ascii="Times New Roman" w:hAnsi="Times New Roman"/>
          <w:sz w:val="20"/>
          <w:u w:val="single"/>
        </w:rPr>
        <w:t>Lender</w:t>
      </w:r>
      <w:r>
        <w:rPr>
          <w:rFonts w:ascii="Times New Roman" w:hAnsi="Times New Roman"/>
          <w:sz w:val="20"/>
        </w:rPr>
        <w:t>), in accordance with the provisions of the Agreement (as hereinafter defined), the principal sum of             Dollars ($            ), or, if greater or less, the aggregate unpaid principal amount of each Loan from time to time made by the Lender to Borrower under that certain 364-Day Credit Agreement, dated as of December 9, 2011 (as amended, restated, extended, supplemented or otherwise modified in writing from time to time, the </w:t>
      </w:r>
      <w:r>
        <w:rPr>
          <w:rFonts w:ascii="Times New Roman" w:hAnsi="Times New Roman"/>
          <w:sz w:val="20"/>
          <w:u w:val="single"/>
        </w:rPr>
        <w:t>Agreement</w:t>
      </w:r>
      <w:r>
        <w:rPr>
          <w:rFonts w:ascii="Times New Roman" w:hAnsi="Times New Roman"/>
          <w:sz w:val="20"/>
        </w:rPr>
        <w:t xml:space="preserve">; the terms defined therein being used herein as therein defined), among the Borrower, DNB Bank ASA, as Administrative Agent, and the Lenders from time to time party thereto. </w:t>
      </w:r>
    </w:p>
    <w:p>
      <w:pPr>
        <w:pStyle w:val="TextBody"/>
        <w:spacing w:before="180" w:after="0"/>
        <w:rPr>
          <w:rFonts w:ascii="Times New Roman" w:hAnsi="Times New Roman"/>
          <w:sz w:val="20"/>
        </w:rPr>
      </w:pPr>
      <w:r>
        <w:rPr>
          <w:rFonts w:ascii="Times New Roman" w:hAnsi="Times New Roman"/>
          <w:sz w:val="20"/>
        </w:rPr>
        <w:t xml:space="preserve">Borrower promises to pay interest on the unpaid principal amount of each Loan from the date of such Loan until such principal amount is paid in full, at such interest rates and at such times as provided in the Agreement. All payments of principal and interest shall be made as provided in the Agreement and to the Administrative Agent for the account of the Lender in Dollars in immediately available funds at the Administrative Agents Office. If any amount is not paid in full when due pursuant to the Agreement, such unpaid amount shall bear interest, to be paid upon demand, from the due date thereof until the date of actual payment (and before as well as after judgment) computed at the per annum rate set forth in the Agreement. </w:t>
      </w:r>
    </w:p>
    <w:p>
      <w:pPr>
        <w:pStyle w:val="TextBody"/>
        <w:spacing w:before="180" w:after="0"/>
        <w:rPr>
          <w:rFonts w:ascii="Times New Roman" w:hAnsi="Times New Roman"/>
          <w:sz w:val="20"/>
        </w:rPr>
      </w:pPr>
      <w:r>
        <w:rPr>
          <w:rFonts w:ascii="Times New Roman" w:hAnsi="Times New Roman"/>
          <w:sz w:val="20"/>
        </w:rPr>
        <w:t xml:space="preserve">This Note is one of the Notes referred to in the Agreement, is entitled to the benefits thereof and may be prepaid in whole or in part subject to the terms and conditions provided therein. Upon the occurrence and continuation of one or more of the Events of Default specified in the Agreement, all amounts then remaining unpaid on this Note shall become, or may be declared to be, immediately due and payable, in each case, to the extent provided in the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 </w:t>
      </w:r>
    </w:p>
    <w:p>
      <w:pPr>
        <w:pStyle w:val="TextBody"/>
        <w:spacing w:before="180" w:after="0"/>
        <w:rPr>
          <w:rFonts w:ascii="Times New Roman" w:hAnsi="Times New Roman"/>
          <w:sz w:val="20"/>
        </w:rPr>
      </w:pPr>
      <w:r>
        <w:rPr>
          <w:rFonts w:ascii="Times New Roman" w:hAnsi="Times New Roman"/>
          <w:sz w:val="20"/>
        </w:rPr>
        <w:t xml:space="preserve">Borrower, for itself, its successors and assigns, hereby waives diligence in collecting, presentment, protest and demand and notice of protest, demand, dishonor and non-payment of this Note.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 - 1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Note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THIS NOTE SHALL BE GOVERNED BY AND CONSTRUED IN ACCORDANCE WITH THE LAWS OF THE STATE OF NEW YORK.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75"/>
        <w:gridCol w:w="61"/>
        <w:gridCol w:w="351"/>
        <w:gridCol w:w="61"/>
        <w:gridCol w:w="3134"/>
      </w:tblGrid>
      <w:tr>
        <w:trPr/>
        <w:tc>
          <w:tcPr>
            <w:tcW w:w="475"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134"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475" w:type="dxa"/>
            <w:tcBorders/>
            <w:shd w:fill="auto" w:val="clear"/>
            <w:vAlign w:val="center"/>
          </w:tcPr>
          <w:p>
            <w:pPr>
              <w:pStyle w:val="TableContents"/>
              <w:spacing w:before="0" w:after="283"/>
              <w:rPr>
                <w:sz w:val="4"/>
                <w:szCs w:val="4"/>
              </w:rPr>
            </w:pPr>
            <w:r>
              <w:rPr>
                <w:sz w:val="4"/>
                <w:szCs w:val="4"/>
              </w:rPr>
            </w:r>
          </w:p>
        </w:tc>
        <w:tc>
          <w:tcPr>
            <w:tcW w:w="412" w:type="dxa"/>
            <w:gridSpan w:val="2"/>
            <w:tcBorders/>
            <w:shd w:fill="auto" w:val="clear"/>
            <w:vAlign w:val="center"/>
          </w:tcPr>
          <w:p>
            <w:pPr>
              <w:pStyle w:val="TableContents"/>
              <w:spacing w:before="0" w:after="283"/>
              <w:rPr>
                <w:sz w:val="4"/>
                <w:szCs w:val="4"/>
              </w:rPr>
            </w:pPr>
            <w:r>
              <w:rPr>
                <w:sz w:val="4"/>
                <w:szCs w:val="4"/>
              </w:rPr>
            </w:r>
          </w:p>
        </w:tc>
        <w:tc>
          <w:tcPr>
            <w:tcW w:w="3195" w:type="dxa"/>
            <w:gridSpan w:val="2"/>
            <w:tcBorders/>
            <w:shd w:fill="auto" w:val="clear"/>
            <w:vAlign w:val="center"/>
          </w:tcPr>
          <w:p>
            <w:pPr>
              <w:pStyle w:val="TableContents"/>
              <w:spacing w:before="0" w:after="283"/>
              <w:rPr>
                <w:sz w:val="4"/>
                <w:szCs w:val="4"/>
              </w:rPr>
            </w:pPr>
            <w:r>
              <w:rPr>
                <w:sz w:val="4"/>
                <w:szCs w:val="4"/>
              </w:rPr>
            </w:r>
          </w:p>
        </w:tc>
      </w:tr>
      <w:tr>
        <w:trPr/>
        <w:tc>
          <w:tcPr>
            <w:tcW w:w="4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shd w:fill="auto" w:val="clear"/>
            <w:vAlign w:val="bottom"/>
          </w:tcPr>
          <w:p>
            <w:pPr>
              <w:pStyle w:val="TableContents"/>
              <w:spacing w:before="0" w:after="283"/>
              <w:rPr/>
            </w:pPr>
            <w:r>
              <w:rPr/>
              <w:t> </w:t>
            </w:r>
          </w:p>
        </w:tc>
        <w:tc>
          <w:tcPr>
            <w:tcW w:w="3134"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120" w:hRule="atLeast"/>
        </w:trPr>
        <w:tc>
          <w:tcPr>
            <w:tcW w:w="475" w:type="dxa"/>
            <w:tcBorders/>
            <w:shd w:fill="auto" w:val="clear"/>
            <w:vAlign w:val="center"/>
          </w:tcPr>
          <w:p>
            <w:pPr>
              <w:pStyle w:val="TableContents"/>
              <w:spacing w:before="0" w:after="283"/>
              <w:rPr>
                <w:sz w:val="4"/>
                <w:szCs w:val="4"/>
              </w:rPr>
            </w:pPr>
            <w:r>
              <w:rPr>
                <w:sz w:val="4"/>
                <w:szCs w:val="4"/>
              </w:rPr>
            </w:r>
          </w:p>
        </w:tc>
        <w:tc>
          <w:tcPr>
            <w:tcW w:w="412" w:type="dxa"/>
            <w:gridSpan w:val="2"/>
            <w:tcBorders/>
            <w:shd w:fill="auto" w:val="clear"/>
            <w:vAlign w:val="center"/>
          </w:tcPr>
          <w:p>
            <w:pPr>
              <w:pStyle w:val="TableContents"/>
              <w:spacing w:before="0" w:after="283"/>
              <w:rPr>
                <w:sz w:val="4"/>
                <w:szCs w:val="4"/>
              </w:rPr>
            </w:pPr>
            <w:r>
              <w:rPr>
                <w:sz w:val="4"/>
                <w:szCs w:val="4"/>
              </w:rPr>
            </w:r>
          </w:p>
        </w:tc>
        <w:tc>
          <w:tcPr>
            <w:tcW w:w="3195" w:type="dxa"/>
            <w:gridSpan w:val="2"/>
            <w:tcBorders/>
            <w:shd w:fill="auto" w:val="clear"/>
            <w:vAlign w:val="center"/>
          </w:tcPr>
          <w:p>
            <w:pPr>
              <w:pStyle w:val="TableContents"/>
              <w:spacing w:before="0" w:after="283"/>
              <w:rPr>
                <w:sz w:val="4"/>
                <w:szCs w:val="4"/>
              </w:rPr>
            </w:pPr>
            <w:r>
              <w:rPr>
                <w:sz w:val="4"/>
                <w:szCs w:val="4"/>
              </w:rPr>
            </w:r>
          </w:p>
        </w:tc>
      </w:tr>
      <w:tr>
        <w:trPr/>
        <w:tc>
          <w:tcPr>
            <w:tcW w:w="4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5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shd w:fill="auto" w:val="clear"/>
            <w:vAlign w:val="bottom"/>
          </w:tcPr>
          <w:p>
            <w:pPr>
              <w:pStyle w:val="TableContents"/>
              <w:spacing w:before="0" w:after="283"/>
              <w:rPr/>
            </w:pPr>
            <w:r>
              <w:rPr/>
              <w:t> </w:t>
            </w:r>
          </w:p>
        </w:tc>
        <w:tc>
          <w:tcPr>
            <w:tcW w:w="31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120" w:hRule="atLeast"/>
        </w:trPr>
        <w:tc>
          <w:tcPr>
            <w:tcW w:w="475" w:type="dxa"/>
            <w:tcBorders/>
            <w:shd w:fill="auto" w:val="clear"/>
            <w:vAlign w:val="center"/>
          </w:tcPr>
          <w:p>
            <w:pPr>
              <w:pStyle w:val="TableContents"/>
              <w:spacing w:before="0" w:after="283"/>
              <w:rPr>
                <w:sz w:val="4"/>
                <w:szCs w:val="4"/>
              </w:rPr>
            </w:pPr>
            <w:r>
              <w:rPr>
                <w:sz w:val="4"/>
                <w:szCs w:val="4"/>
              </w:rPr>
            </w:r>
          </w:p>
        </w:tc>
        <w:tc>
          <w:tcPr>
            <w:tcW w:w="3607" w:type="dxa"/>
            <w:gridSpan w:val="4"/>
            <w:tcBorders/>
            <w:shd w:fill="auto" w:val="clear"/>
            <w:vAlign w:val="center"/>
          </w:tcPr>
          <w:p>
            <w:pPr>
              <w:pStyle w:val="TableContents"/>
              <w:spacing w:before="0" w:after="283"/>
              <w:rPr>
                <w:sz w:val="4"/>
                <w:szCs w:val="4"/>
              </w:rPr>
            </w:pPr>
            <w:r>
              <w:rPr>
                <w:sz w:val="4"/>
                <w:szCs w:val="4"/>
              </w:rPr>
            </w:r>
          </w:p>
        </w:tc>
      </w:tr>
      <w:tr>
        <w:trPr/>
        <w:tc>
          <w:tcPr>
            <w:tcW w:w="47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54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PLAINS ALL AMERICAN GP LLC, its general partner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03"/>
        <w:gridCol w:w="61"/>
        <w:gridCol w:w="646"/>
        <w:gridCol w:w="61"/>
        <w:gridCol w:w="2811"/>
      </w:tblGrid>
      <w:tr>
        <w:trPr/>
        <w:tc>
          <w:tcPr>
            <w:tcW w:w="503"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2811"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503"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c>
          <w:tcPr>
            <w:tcW w:w="2872"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2811" w:type="dxa"/>
            <w:tcBorders>
              <w:bottom w:val="single" w:sz="2" w:space="0" w:color="000000"/>
            </w:tcBorders>
            <w:shd w:fill="auto" w:val="clear"/>
            <w:tcMar>
              <w:bottom w:w="28" w:type="dxa"/>
            </w:tcMar>
          </w:tcPr>
          <w:p>
            <w:pPr>
              <w:pStyle w:val="TableContents"/>
              <w:spacing w:before="0" w:after="283"/>
              <w:rPr/>
            </w:pPr>
            <w:r>
              <w:rPr/>
              <w:t> </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c>
          <w:tcPr>
            <w:tcW w:w="2872"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2811"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c>
          <w:tcPr>
            <w:tcW w:w="2872"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2811" w:type="dxa"/>
            <w:tcBorders>
              <w:bottom w:val="single" w:sz="2" w:space="0" w:color="000000"/>
            </w:tcBorders>
            <w:shd w:fill="auto" w:val="clear"/>
            <w:tcMar>
              <w:bottom w:w="28" w:type="dxa"/>
            </w:tcM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 - 2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Note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LOANS AND PAYMENTS WITH RESPECT THERETO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224"/>
        <w:gridCol w:w="102"/>
        <w:gridCol w:w="1327"/>
        <w:gridCol w:w="102"/>
        <w:gridCol w:w="1429"/>
        <w:gridCol w:w="102"/>
        <w:gridCol w:w="1428"/>
        <w:gridCol w:w="102"/>
        <w:gridCol w:w="1429"/>
        <w:gridCol w:w="102"/>
        <w:gridCol w:w="1429"/>
        <w:gridCol w:w="102"/>
        <w:gridCol w:w="1327"/>
      </w:tblGrid>
      <w:tr>
        <w:trPr/>
        <w:tc>
          <w:tcPr>
            <w:tcW w:w="122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r>
      <w:tr>
        <w:trPr/>
        <w:tc>
          <w:tcPr>
            <w:tcW w:w="1224"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Date</w:t>
            </w:r>
          </w:p>
        </w:tc>
        <w:tc>
          <w:tcPr>
            <w:tcW w:w="102" w:type="dxa"/>
            <w:tcBorders/>
            <w:shd w:fill="auto" w:val="clear"/>
            <w:vAlign w:val="bottom"/>
          </w:tcPr>
          <w:p>
            <w:pPr>
              <w:pStyle w:val="TableContents"/>
              <w:spacing w:before="0" w:after="283"/>
              <w:rPr/>
            </w:pPr>
            <w:r>
              <w:rPr/>
              <w:t> </w:t>
            </w:r>
          </w:p>
        </w:tc>
        <w:tc>
          <w:tcPr>
            <w:tcW w:w="1327"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Type of</w:t>
              <w:br/>
              <w:t>Loan Made</w:t>
            </w:r>
          </w:p>
        </w:tc>
        <w:tc>
          <w:tcPr>
            <w:tcW w:w="102" w:type="dxa"/>
            <w:tcBorders/>
            <w:shd w:fill="auto" w:val="clear"/>
            <w:vAlign w:val="bottom"/>
          </w:tcPr>
          <w:p>
            <w:pPr>
              <w:pStyle w:val="TableContents"/>
              <w:spacing w:before="0" w:after="283"/>
              <w:rPr/>
            </w:pPr>
            <w:r>
              <w:rPr/>
              <w:t> </w:t>
            </w:r>
          </w:p>
        </w:tc>
        <w:tc>
          <w:tcPr>
            <w:tcW w:w="1429"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Amount of Loan</w:t>
              <w:br/>
              <w:t>Made</w:t>
            </w:r>
          </w:p>
        </w:tc>
        <w:tc>
          <w:tcPr>
            <w:tcW w:w="102" w:type="dxa"/>
            <w:tcBorders/>
            <w:shd w:fill="auto" w:val="clear"/>
            <w:vAlign w:val="bottom"/>
          </w:tcPr>
          <w:p>
            <w:pPr>
              <w:pStyle w:val="TableContents"/>
              <w:spacing w:before="0" w:after="283"/>
              <w:rPr/>
            </w:pPr>
            <w:r>
              <w:rPr/>
              <w:t> </w:t>
            </w:r>
          </w:p>
        </w:tc>
        <w:tc>
          <w:tcPr>
            <w:tcW w:w="1428"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End of Interest</w:t>
              <w:br/>
              <w:t>Period</w:t>
            </w:r>
          </w:p>
        </w:tc>
        <w:tc>
          <w:tcPr>
            <w:tcW w:w="102" w:type="dxa"/>
            <w:tcBorders/>
            <w:shd w:fill="auto" w:val="clear"/>
            <w:vAlign w:val="bottom"/>
          </w:tcPr>
          <w:p>
            <w:pPr>
              <w:pStyle w:val="TableContents"/>
              <w:spacing w:before="0" w:after="283"/>
              <w:rPr/>
            </w:pPr>
            <w:r>
              <w:rPr/>
              <w:t> </w:t>
            </w:r>
          </w:p>
        </w:tc>
        <w:tc>
          <w:tcPr>
            <w:tcW w:w="1429"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Amount of Principal</w:t>
              <w:br/>
              <w:t>or Interest Paid This</w:t>
              <w:br/>
              <w:t>Date</w:t>
            </w:r>
          </w:p>
        </w:tc>
        <w:tc>
          <w:tcPr>
            <w:tcW w:w="102" w:type="dxa"/>
            <w:tcBorders/>
            <w:shd w:fill="auto" w:val="clear"/>
            <w:vAlign w:val="bottom"/>
          </w:tcPr>
          <w:p>
            <w:pPr>
              <w:pStyle w:val="TableContents"/>
              <w:spacing w:before="0" w:after="283"/>
              <w:rPr/>
            </w:pPr>
            <w:r>
              <w:rPr/>
              <w:t> </w:t>
            </w:r>
          </w:p>
        </w:tc>
        <w:tc>
          <w:tcPr>
            <w:tcW w:w="1429"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Outstanding</w:t>
              <w:br/>
              <w:t>Principal Balance</w:t>
              <w:br/>
              <w:t>This Date</w:t>
            </w:r>
          </w:p>
        </w:tc>
        <w:tc>
          <w:tcPr>
            <w:tcW w:w="102" w:type="dxa"/>
            <w:tcBorders/>
            <w:shd w:fill="auto" w:val="clear"/>
            <w:vAlign w:val="bottom"/>
          </w:tcPr>
          <w:p>
            <w:pPr>
              <w:pStyle w:val="TableContents"/>
              <w:spacing w:before="0" w:after="283"/>
              <w:rPr/>
            </w:pPr>
            <w:r>
              <w:rPr/>
              <w:t> </w:t>
            </w:r>
          </w:p>
        </w:tc>
        <w:tc>
          <w:tcPr>
            <w:tcW w:w="1327"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Notation Made By</w:t>
            </w:r>
          </w:p>
        </w:tc>
      </w:tr>
      <w:tr>
        <w:trPr/>
        <w:tc>
          <w:tcPr>
            <w:tcW w:w="1224"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327"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327" w:type="dxa"/>
            <w:tcBorders/>
            <w:shd w:fill="auto" w:val="clear"/>
            <w:vAlign w:val="bottom"/>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327"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327" w:type="dxa"/>
            <w:tcBorders/>
            <w:shd w:fill="auto" w:val="clear"/>
            <w:vAlign w:val="bottom"/>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327"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327" w:type="dxa"/>
            <w:tcBorders/>
            <w:shd w:fill="auto" w:val="clear"/>
            <w:vAlign w:val="bottom"/>
          </w:tcPr>
          <w:p>
            <w:pPr>
              <w:pStyle w:val="TableContents"/>
              <w:spacing w:before="0" w:after="283"/>
              <w:rPr>
                <w:sz w:val="4"/>
                <w:szCs w:val="4"/>
              </w:rPr>
            </w:pPr>
            <w:r>
              <w:rPr>
                <w:sz w:val="4"/>
                <w:szCs w:val="4"/>
              </w:rPr>
            </w:r>
          </w:p>
        </w:tc>
      </w:tr>
      <w:tr>
        <w:trPr/>
        <w:tc>
          <w:tcPr>
            <w:tcW w:w="1224"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327"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29"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327"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 - 3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Note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rPr>
      </w:pPr>
      <w:r>
        <w:rPr>
          <w:rFonts w:ascii="Times New Roman" w:hAnsi="Times New Roman"/>
          <w:b/>
          <w:i/>
          <w:sz w:val="20"/>
        </w:rPr>
        <w:t>EXHIBIT C</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 xml:space="preserve">FORM OF COMPLIANCE CERTIFICATE </w:t>
      </w:r>
    </w:p>
    <w:p>
      <w:pPr>
        <w:pStyle w:val="TextBody"/>
        <w:spacing w:before="180" w:after="0"/>
        <w:jc w:val="right"/>
        <w:rPr>
          <w:rFonts w:ascii="Times New Roman" w:hAnsi="Times New Roman"/>
          <w:sz w:val="20"/>
        </w:rPr>
      </w:pPr>
      <w:r>
        <w:rPr>
          <w:rFonts w:ascii="Times New Roman" w:hAnsi="Times New Roman"/>
          <w:sz w:val="20"/>
        </w:rPr>
        <w:t xml:space="preserve">Financial Statement Date:             ,              </w:t>
      </w:r>
    </w:p>
    <w:p>
      <w:pPr>
        <w:pStyle w:val="TextBody"/>
        <w:spacing w:before="180" w:after="0"/>
        <w:rPr>
          <w:rFonts w:ascii="Times New Roman" w:hAnsi="Times New Roman"/>
          <w:sz w:val="20"/>
        </w:rPr>
      </w:pPr>
      <w:r>
        <w:rPr>
          <w:rFonts w:ascii="Times New Roman" w:hAnsi="Times New Roman"/>
          <w:sz w:val="20"/>
        </w:rPr>
        <w:t xml:space="preserve">To: DNB Bank ASA, as Administrative Agent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Reference is made to that certain 364-Day Credit Agreement, dated as of December 9, 2011 (as amended, restated, extended, supplemented or otherwise modified in writing from time to time, the </w:t>
      </w:r>
      <w:r>
        <w:rPr>
          <w:rFonts w:ascii="Times New Roman" w:hAnsi="Times New Roman"/>
          <w:sz w:val="20"/>
          <w:u w:val="single"/>
        </w:rPr>
        <w:t>Agreement</w:t>
      </w:r>
      <w:r>
        <w:rPr>
          <w:rFonts w:ascii="Times New Roman" w:hAnsi="Times New Roman"/>
          <w:sz w:val="20"/>
        </w:rPr>
        <w:t>; the terms defined therein being used herein as therein defined), among Plains All American Pipeline, L.P., a Delaware limited partnership (the </w:t>
      </w:r>
      <w:r>
        <w:rPr>
          <w:rFonts w:ascii="Times New Roman" w:hAnsi="Times New Roman"/>
          <w:sz w:val="20"/>
          <w:u w:val="single"/>
        </w:rPr>
        <w:t>Company</w:t>
      </w:r>
      <w:r>
        <w:rPr>
          <w:rFonts w:ascii="Times New Roman" w:hAnsi="Times New Roman"/>
          <w:sz w:val="20"/>
        </w:rPr>
        <w:t xml:space="preserve">), DNB Bank ASA, as Administrative Agent, and the Lenders from time to time party thereto. </w:t>
      </w:r>
    </w:p>
    <w:p>
      <w:pPr>
        <w:pStyle w:val="TextBody"/>
        <w:spacing w:before="180" w:after="0"/>
        <w:rPr>
          <w:rFonts w:ascii="Times New Roman" w:hAnsi="Times New Roman"/>
          <w:sz w:val="20"/>
        </w:rPr>
      </w:pPr>
      <w:r>
        <w:rPr>
          <w:rFonts w:ascii="Times New Roman" w:hAnsi="Times New Roman"/>
          <w:sz w:val="20"/>
        </w:rPr>
        <w:t>The undersigned Responsible Officer hereby certifies as of the date hereof that he/she is the duly elected, qualified and acting [chief financial officer / principal accounting officer / treasurer] of PLAINS ALL AMERICAN GP LLC, a Delaware limited liability company (</w:t>
      </w:r>
      <w:r>
        <w:rPr>
          <w:rFonts w:ascii="Times New Roman" w:hAnsi="Times New Roman"/>
          <w:sz w:val="20"/>
          <w:u w:val="single"/>
        </w:rPr>
        <w:t>General Partner</w:t>
      </w:r>
      <w:r>
        <w:rPr>
          <w:rFonts w:ascii="Times New Roman" w:hAnsi="Times New Roman"/>
          <w:sz w:val="20"/>
        </w:rPr>
        <w:t xml:space="preserve">), the sole general partner of PLAINS AAP, L.P., the sole member of PAA GP LLC, the sole general partner of the Company, and that, as such, he/she is authorized to execute and deliver this Certificate to the Administrative Agent on the behalf of General Partner, in its capacity as the sole general partner of PLAINS AAP, L.P., the sole member of PAA GP LLC, the sole general partner of the Company, and that: </w:t>
      </w:r>
    </w:p>
    <w:p>
      <w:pPr>
        <w:pStyle w:val="TextBody"/>
        <w:spacing w:before="180" w:after="0"/>
        <w:jc w:val="center"/>
        <w:rPr>
          <w:rFonts w:ascii="Times New Roman" w:hAnsi="Times New Roman"/>
          <w:sz w:val="20"/>
        </w:rPr>
      </w:pPr>
      <w:r>
        <w:rPr>
          <w:rFonts w:ascii="Times New Roman" w:hAnsi="Times New Roman"/>
          <w:i/>
          <w:sz w:val="20"/>
        </w:rPr>
        <w:t xml:space="preserve">[Use following paragraph 1 for fiscal </w:t>
      </w:r>
      <w:r>
        <w:rPr>
          <w:rFonts w:ascii="Times New Roman" w:hAnsi="Times New Roman"/>
          <w:b/>
          <w:i/>
          <w:sz w:val="20"/>
        </w:rPr>
        <w:t>year-end</w:t>
      </w:r>
      <w:r>
        <w:rPr>
          <w:rFonts w:ascii="Times New Roman" w:hAnsi="Times New Roman"/>
          <w:sz w:val="20"/>
        </w:rPr>
        <w:t xml:space="preserve"> </w:t>
      </w:r>
      <w:r>
        <w:rPr>
          <w:rFonts w:ascii="Times New Roman" w:hAnsi="Times New Roman"/>
          <w:i/>
          <w:sz w:val="20"/>
        </w:rPr>
        <w:t xml:space="preserve">financial statements] </w:t>
      </w:r>
    </w:p>
    <w:p>
      <w:pPr>
        <w:pStyle w:val="TextBody"/>
        <w:spacing w:before="180" w:after="0"/>
        <w:rPr>
          <w:rFonts w:ascii="Times New Roman" w:hAnsi="Times New Roman"/>
          <w:sz w:val="20"/>
        </w:rPr>
      </w:pPr>
      <w:r>
        <w:rPr>
          <w:rFonts w:ascii="Times New Roman" w:hAnsi="Times New Roman"/>
          <w:sz w:val="20"/>
        </w:rPr>
        <w:t xml:space="preserve">1. The Company has delivered the year-end audited consolidated financial statements required by </w:t>
      </w:r>
      <w:r>
        <w:rPr>
          <w:rFonts w:ascii="Times New Roman" w:hAnsi="Times New Roman"/>
          <w:sz w:val="20"/>
          <w:u w:val="single"/>
        </w:rPr>
        <w:t>Section 6.01(a)</w:t>
      </w:r>
      <w:r>
        <w:rPr>
          <w:rFonts w:ascii="Times New Roman" w:hAnsi="Times New Roman"/>
          <w:sz w:val="20"/>
        </w:rPr>
        <w:t xml:space="preserve"> of the Agreement for the fiscal year of the Company ended as of the date above designated as the Financial Statement Date (the </w:t>
      </w:r>
      <w:r>
        <w:rPr>
          <w:rFonts w:ascii="Times New Roman" w:hAnsi="Times New Roman"/>
          <w:sz w:val="20"/>
          <w:u w:val="single"/>
        </w:rPr>
        <w:t>Reporting Date</w:t>
      </w:r>
      <w:r>
        <w:rPr>
          <w:rFonts w:ascii="Times New Roman" w:hAnsi="Times New Roman"/>
          <w:sz w:val="20"/>
        </w:rPr>
        <w:t xml:space="preserve">), together with the opinion of an independent certified public accountant required by such section. Such consolidated financial statements are accurate and complete in all material respects (subject to normal year-end adjustments). </w:t>
      </w:r>
    </w:p>
    <w:p>
      <w:pPr>
        <w:pStyle w:val="TextBody"/>
        <w:spacing w:before="180" w:after="0"/>
        <w:jc w:val="center"/>
        <w:rPr>
          <w:rFonts w:ascii="Times New Roman" w:hAnsi="Times New Roman"/>
          <w:sz w:val="20"/>
        </w:rPr>
      </w:pPr>
      <w:r>
        <w:rPr>
          <w:rFonts w:ascii="Times New Roman" w:hAnsi="Times New Roman"/>
          <w:i/>
          <w:sz w:val="20"/>
        </w:rPr>
        <w:t xml:space="preserve">[Use following paragraph 1 for fiscal </w:t>
      </w:r>
      <w:r>
        <w:rPr>
          <w:rFonts w:ascii="Times New Roman" w:hAnsi="Times New Roman"/>
          <w:b/>
          <w:i/>
          <w:sz w:val="20"/>
        </w:rPr>
        <w:t>quarter-end</w:t>
      </w:r>
      <w:r>
        <w:rPr>
          <w:rFonts w:ascii="Times New Roman" w:hAnsi="Times New Roman"/>
          <w:sz w:val="20"/>
        </w:rPr>
        <w:t xml:space="preserve"> </w:t>
      </w:r>
      <w:r>
        <w:rPr>
          <w:rFonts w:ascii="Times New Roman" w:hAnsi="Times New Roman"/>
          <w:i/>
          <w:sz w:val="20"/>
        </w:rPr>
        <w:t xml:space="preserve">financial statements] </w:t>
      </w:r>
    </w:p>
    <w:p>
      <w:pPr>
        <w:pStyle w:val="TextBody"/>
        <w:spacing w:before="180" w:after="0"/>
        <w:rPr>
          <w:rFonts w:ascii="Times New Roman" w:hAnsi="Times New Roman"/>
          <w:sz w:val="20"/>
        </w:rPr>
      </w:pPr>
      <w:r>
        <w:rPr>
          <w:rFonts w:ascii="Times New Roman" w:hAnsi="Times New Roman"/>
          <w:sz w:val="20"/>
        </w:rPr>
        <w:t xml:space="preserve">1. The Company has delivered the unaudited consolidated financial statements required by </w:t>
      </w:r>
      <w:r>
        <w:rPr>
          <w:rFonts w:ascii="Times New Roman" w:hAnsi="Times New Roman"/>
          <w:sz w:val="20"/>
          <w:u w:val="single"/>
        </w:rPr>
        <w:t>Section 6.01(b)</w:t>
      </w:r>
      <w:r>
        <w:rPr>
          <w:rFonts w:ascii="Times New Roman" w:hAnsi="Times New Roman"/>
          <w:sz w:val="20"/>
        </w:rPr>
        <w:t xml:space="preserve"> of the Agreement for the fiscal quarter of the Company ended as of the date above designated as the Financial Statement Date (the </w:t>
      </w:r>
      <w:r>
        <w:rPr>
          <w:rFonts w:ascii="Times New Roman" w:hAnsi="Times New Roman"/>
          <w:sz w:val="20"/>
          <w:u w:val="single"/>
        </w:rPr>
        <w:t>Reporting Date</w:t>
      </w:r>
      <w:r>
        <w:rPr>
          <w:rFonts w:ascii="Times New Roman" w:hAnsi="Times New Roman"/>
          <w:sz w:val="20"/>
        </w:rPr>
        <w:t xml:space="preserve">). Such consolidated financial statements fairly present the financial condition of the Company and its Subsidiaries on a consolidated basis in accordance with GAAP as at such date and their results of operations for such period, subject only to the absence of footnotes and to normal year-end audit adjustments. </w:t>
      </w:r>
    </w:p>
    <w:p>
      <w:pPr>
        <w:pStyle w:val="TextBody"/>
        <w:spacing w:before="180" w:after="0"/>
        <w:rPr>
          <w:rFonts w:ascii="Times New Roman" w:hAnsi="Times New Roman"/>
          <w:sz w:val="20"/>
        </w:rPr>
      </w:pPr>
      <w:r>
        <w:rPr>
          <w:rFonts w:ascii="Times New Roman" w:hAnsi="Times New Roman"/>
          <w:sz w:val="20"/>
        </w:rPr>
        <w:t xml:space="preserve">2. The undersigned has reviewed and is familiar with the terms of the Agreement and has made, or has caused to be made under his/her supervision, a review of the transactions and condition (financial or otherwise) of the Company during the fiscal period covered by such consolidated financial statements with a view to determining whether during such fiscal period the Company performed and observed all its Obligations under the Loan Documents,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 - 1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Compliance Certificate </w:t>
      </w:r>
      <w:r>
        <w:br w:type="page"/>
      </w:r>
    </w:p>
    <w:p>
      <w:pPr>
        <w:pStyle w:val="HorizontalLine"/>
        <w:pBdr>
          <w:bottom w:val="double" w:sz="6" w:space="0" w:color="808080"/>
        </w:pBdr>
        <w:rPr/>
      </w:pPr>
      <w:r>
        <w:rPr/>
      </w:r>
    </w:p>
    <w:p>
      <w:pPr>
        <w:pStyle w:val="TextBody"/>
        <w:spacing w:before="0" w:after="0"/>
        <w:jc w:val="center"/>
        <w:rPr>
          <w:rFonts w:ascii="Times New Roman" w:hAnsi="Times New Roman"/>
          <w:b/>
          <w:i/>
          <w:sz w:val="20"/>
        </w:rPr>
      </w:pPr>
      <w:r>
        <w:rPr>
          <w:rFonts w:ascii="Times New Roman" w:hAnsi="Times New Roman"/>
          <w:b/>
          <w:i/>
          <w:sz w:val="20"/>
        </w:rPr>
        <w:t xml:space="preserve">[select one:] </w:t>
      </w:r>
    </w:p>
    <w:p>
      <w:pPr>
        <w:pStyle w:val="TextBody"/>
        <w:spacing w:before="90" w:after="0"/>
        <w:rPr>
          <w:rFonts w:ascii="Times New Roman" w:hAnsi="Times New Roman"/>
          <w:b/>
          <w:sz w:val="20"/>
        </w:rPr>
      </w:pPr>
      <w:r>
        <w:rPr>
          <w:rFonts w:ascii="Times New Roman" w:hAnsi="Times New Roman"/>
          <w:b/>
          <w:sz w:val="20"/>
        </w:rPr>
        <w:t xml:space="preserve">[to the best knowledge of the undersigned, no Default has occurred and is continuing on the Reporting Date.] </w:t>
      </w:r>
    </w:p>
    <w:p>
      <w:pPr>
        <w:pStyle w:val="TextBody"/>
        <w:spacing w:before="180" w:after="0"/>
        <w:jc w:val="center"/>
        <w:rPr>
          <w:rFonts w:ascii="Times New Roman" w:hAnsi="Times New Roman"/>
          <w:b/>
          <w:i/>
          <w:sz w:val="20"/>
        </w:rPr>
      </w:pPr>
      <w:r>
        <w:rPr>
          <w:rFonts w:ascii="Times New Roman" w:hAnsi="Times New Roman"/>
          <w:b/>
          <w:i/>
          <w:sz w:val="20"/>
        </w:rPr>
        <w:t xml:space="preserve">or </w:t>
      </w:r>
    </w:p>
    <w:p>
      <w:pPr>
        <w:pStyle w:val="TextBody"/>
        <w:spacing w:before="180" w:after="0"/>
        <w:rPr>
          <w:rFonts w:ascii="Times New Roman" w:hAnsi="Times New Roman"/>
          <w:b/>
          <w:sz w:val="20"/>
        </w:rPr>
      </w:pPr>
      <w:r>
        <w:rPr>
          <w:rFonts w:ascii="Times New Roman" w:hAnsi="Times New Roman"/>
          <w:b/>
          <w:sz w:val="20"/>
        </w:rPr>
        <w:t xml:space="preserve">[to the best knowledge of the undersigned, the following is a list of (i) each Default that has occurred and is continuing on the Reporting Date and (ii) its nature and status:] </w:t>
      </w:r>
    </w:p>
    <w:p>
      <w:pPr>
        <w:pStyle w:val="TextBody"/>
        <w:spacing w:before="180" w:after="0"/>
        <w:rPr>
          <w:rFonts w:ascii="Times New Roman" w:hAnsi="Times New Roman"/>
          <w:sz w:val="20"/>
        </w:rPr>
      </w:pPr>
      <w:r>
        <w:rPr>
          <w:rFonts w:ascii="Times New Roman" w:hAnsi="Times New Roman"/>
          <w:sz w:val="20"/>
        </w:rPr>
        <w:t xml:space="preserve">3. The financial covenant analyses and information set forth on </w:t>
      </w:r>
      <w:r>
        <w:rPr>
          <w:rFonts w:ascii="Times New Roman" w:hAnsi="Times New Roman"/>
          <w:sz w:val="20"/>
          <w:u w:val="single"/>
        </w:rPr>
        <w:t>Schedule 1</w:t>
      </w:r>
      <w:r>
        <w:rPr>
          <w:rFonts w:ascii="Times New Roman" w:hAnsi="Times New Roman"/>
          <w:sz w:val="20"/>
        </w:rPr>
        <w:t xml:space="preserve"> attached hereto are true and accurate on and as of the Reporting Date. </w:t>
      </w:r>
    </w:p>
    <w:p>
      <w:pPr>
        <w:pStyle w:val="TextBody"/>
        <w:spacing w:before="180" w:after="0"/>
        <w:rPr>
          <w:rFonts w:ascii="Times New Roman" w:hAnsi="Times New Roman"/>
          <w:sz w:val="20"/>
        </w:rPr>
      </w:pPr>
      <w:r>
        <w:rPr>
          <w:rFonts w:ascii="Times New Roman" w:hAnsi="Times New Roman"/>
          <w:sz w:val="20"/>
        </w:rPr>
        <w:t xml:space="preserve">4. Attached hereto as </w:t>
      </w:r>
      <w:r>
        <w:rPr>
          <w:rFonts w:ascii="Times New Roman" w:hAnsi="Times New Roman"/>
          <w:sz w:val="20"/>
          <w:u w:val="single"/>
        </w:rPr>
        <w:t>Schedule 2</w:t>
      </w:r>
      <w:r>
        <w:rPr>
          <w:rFonts w:ascii="Times New Roman" w:hAnsi="Times New Roman"/>
          <w:sz w:val="20"/>
        </w:rPr>
        <w:t xml:space="preserve"> is a list of each Subsidiary designated as an Unrestricted Subsidiary since the date of the most-recently delivered prior Compliance Certificate under </w:t>
      </w:r>
      <w:r>
        <w:rPr>
          <w:rFonts w:ascii="Times New Roman" w:hAnsi="Times New Roman"/>
          <w:sz w:val="20"/>
          <w:u w:val="single"/>
        </w:rPr>
        <w:t>Section 6.02(a)</w:t>
      </w:r>
      <w:r>
        <w:rPr>
          <w:rFonts w:ascii="Times New Roman" w:hAnsi="Times New Roman"/>
          <w:sz w:val="20"/>
        </w:rPr>
        <w:t xml:space="preserve"> of the Agreement. </w:t>
      </w:r>
    </w:p>
    <w:p>
      <w:pPr>
        <w:pStyle w:val="TextBody"/>
        <w:spacing w:before="270" w:after="0"/>
        <w:rPr>
          <w:rFonts w:ascii="Times New Roman" w:hAnsi="Times New Roman"/>
          <w:sz w:val="20"/>
        </w:rPr>
      </w:pPr>
      <w:r>
        <w:rPr>
          <w:rFonts w:ascii="Times New Roman" w:hAnsi="Times New Roman"/>
          <w:i/>
          <w:sz w:val="20"/>
        </w:rPr>
        <w:t>IN WITNESS WHEREOF,</w:t>
      </w:r>
      <w:r>
        <w:rPr>
          <w:rFonts w:ascii="Times New Roman" w:hAnsi="Times New Roman"/>
          <w:sz w:val="20"/>
        </w:rPr>
        <w:t xml:space="preserve"> the undersigned has executed this Certificate on behalf of the Company as of                 ,                 .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57"/>
        <w:gridCol w:w="60"/>
        <w:gridCol w:w="319"/>
        <w:gridCol w:w="60"/>
        <w:gridCol w:w="3186"/>
      </w:tblGrid>
      <w:tr>
        <w:trPr/>
        <w:tc>
          <w:tcPr>
            <w:tcW w:w="4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86"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457" w:type="dxa"/>
            <w:tcBorders/>
            <w:shd w:fill="auto" w:val="clear"/>
            <w:vAlign w:val="center"/>
          </w:tcPr>
          <w:p>
            <w:pPr>
              <w:pStyle w:val="TableContents"/>
              <w:spacing w:before="0" w:after="283"/>
              <w:rPr>
                <w:sz w:val="4"/>
                <w:szCs w:val="4"/>
              </w:rPr>
            </w:pPr>
            <w:r>
              <w:rPr>
                <w:sz w:val="4"/>
                <w:szCs w:val="4"/>
              </w:rPr>
            </w:r>
          </w:p>
        </w:tc>
        <w:tc>
          <w:tcPr>
            <w:tcW w:w="379" w:type="dxa"/>
            <w:gridSpan w:val="2"/>
            <w:tcBorders/>
            <w:shd w:fill="auto" w:val="clear"/>
            <w:vAlign w:val="center"/>
          </w:tcPr>
          <w:p>
            <w:pPr>
              <w:pStyle w:val="TableContents"/>
              <w:spacing w:before="0" w:after="283"/>
              <w:rPr>
                <w:sz w:val="4"/>
                <w:szCs w:val="4"/>
              </w:rPr>
            </w:pPr>
            <w:r>
              <w:rPr>
                <w:sz w:val="4"/>
                <w:szCs w:val="4"/>
              </w:rPr>
            </w:r>
          </w:p>
        </w:tc>
        <w:tc>
          <w:tcPr>
            <w:tcW w:w="3246" w:type="dxa"/>
            <w:gridSpan w:val="2"/>
            <w:tcBorders/>
            <w:shd w:fill="auto" w:val="clear"/>
            <w:vAlign w:val="center"/>
          </w:tcPr>
          <w:p>
            <w:pPr>
              <w:pStyle w:val="TableContents"/>
              <w:spacing w:before="0" w:after="283"/>
              <w:rPr>
                <w:sz w:val="4"/>
                <w:szCs w:val="4"/>
              </w:rPr>
            </w:pPr>
            <w:r>
              <w:rPr>
                <w:sz w:val="4"/>
                <w:szCs w:val="4"/>
              </w:rPr>
            </w:r>
          </w:p>
        </w:tc>
      </w:tr>
      <w:tr>
        <w:trPr/>
        <w:tc>
          <w:tcPr>
            <w:tcW w:w="4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186"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120" w:hRule="atLeast"/>
        </w:trPr>
        <w:tc>
          <w:tcPr>
            <w:tcW w:w="457" w:type="dxa"/>
            <w:tcBorders/>
            <w:shd w:fill="auto" w:val="clear"/>
            <w:vAlign w:val="center"/>
          </w:tcPr>
          <w:p>
            <w:pPr>
              <w:pStyle w:val="TableContents"/>
              <w:spacing w:before="0" w:after="283"/>
              <w:rPr>
                <w:sz w:val="4"/>
                <w:szCs w:val="4"/>
              </w:rPr>
            </w:pPr>
            <w:r>
              <w:rPr>
                <w:sz w:val="4"/>
                <w:szCs w:val="4"/>
              </w:rPr>
            </w:r>
          </w:p>
        </w:tc>
        <w:tc>
          <w:tcPr>
            <w:tcW w:w="379" w:type="dxa"/>
            <w:gridSpan w:val="2"/>
            <w:tcBorders/>
            <w:shd w:fill="auto" w:val="clear"/>
            <w:vAlign w:val="center"/>
          </w:tcPr>
          <w:p>
            <w:pPr>
              <w:pStyle w:val="TableContents"/>
              <w:spacing w:before="0" w:after="283"/>
              <w:rPr>
                <w:sz w:val="4"/>
                <w:szCs w:val="4"/>
              </w:rPr>
            </w:pPr>
            <w:r>
              <w:rPr>
                <w:sz w:val="4"/>
                <w:szCs w:val="4"/>
              </w:rPr>
            </w:r>
          </w:p>
        </w:tc>
        <w:tc>
          <w:tcPr>
            <w:tcW w:w="3246" w:type="dxa"/>
            <w:gridSpan w:val="2"/>
            <w:tcBorders/>
            <w:shd w:fill="auto" w:val="clear"/>
            <w:vAlign w:val="center"/>
          </w:tcPr>
          <w:p>
            <w:pPr>
              <w:pStyle w:val="TableContents"/>
              <w:spacing w:before="0" w:after="283"/>
              <w:rPr>
                <w:sz w:val="4"/>
                <w:szCs w:val="4"/>
              </w:rPr>
            </w:pPr>
            <w:r>
              <w:rPr>
                <w:sz w:val="4"/>
                <w:szCs w:val="4"/>
              </w:rPr>
            </w:r>
          </w:p>
        </w:tc>
      </w:tr>
      <w:tr>
        <w:trPr/>
        <w:tc>
          <w:tcPr>
            <w:tcW w:w="4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120" w:hRule="atLeast"/>
        </w:trPr>
        <w:tc>
          <w:tcPr>
            <w:tcW w:w="457" w:type="dxa"/>
            <w:tcBorders/>
            <w:shd w:fill="auto" w:val="clear"/>
            <w:vAlign w:val="center"/>
          </w:tcPr>
          <w:p>
            <w:pPr>
              <w:pStyle w:val="TableContents"/>
              <w:spacing w:before="0" w:after="283"/>
              <w:rPr>
                <w:sz w:val="4"/>
                <w:szCs w:val="4"/>
              </w:rPr>
            </w:pPr>
            <w:r>
              <w:rPr>
                <w:sz w:val="4"/>
                <w:szCs w:val="4"/>
              </w:rPr>
            </w:r>
          </w:p>
        </w:tc>
        <w:tc>
          <w:tcPr>
            <w:tcW w:w="379" w:type="dxa"/>
            <w:gridSpan w:val="2"/>
            <w:tcBorders/>
            <w:shd w:fill="auto" w:val="clear"/>
            <w:vAlign w:val="center"/>
          </w:tcPr>
          <w:p>
            <w:pPr>
              <w:pStyle w:val="TableContents"/>
              <w:spacing w:before="0" w:after="283"/>
              <w:rPr>
                <w:sz w:val="4"/>
                <w:szCs w:val="4"/>
              </w:rPr>
            </w:pPr>
            <w:r>
              <w:rPr>
                <w:sz w:val="4"/>
                <w:szCs w:val="4"/>
              </w:rPr>
            </w:r>
          </w:p>
        </w:tc>
        <w:tc>
          <w:tcPr>
            <w:tcW w:w="3246" w:type="dxa"/>
            <w:gridSpan w:val="2"/>
            <w:tcBorders/>
            <w:shd w:fill="auto" w:val="clear"/>
            <w:vAlign w:val="center"/>
          </w:tcPr>
          <w:p>
            <w:pPr>
              <w:pStyle w:val="TableContents"/>
              <w:spacing w:before="0" w:after="283"/>
              <w:rPr>
                <w:sz w:val="4"/>
                <w:szCs w:val="4"/>
              </w:rPr>
            </w:pPr>
            <w:r>
              <w:rPr>
                <w:sz w:val="4"/>
                <w:szCs w:val="4"/>
              </w:rPr>
            </w:r>
          </w:p>
        </w:tc>
      </w:tr>
      <w:tr>
        <w:trPr/>
        <w:tc>
          <w:tcPr>
            <w:tcW w:w="4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03"/>
        <w:gridCol w:w="61"/>
        <w:gridCol w:w="646"/>
        <w:gridCol w:w="61"/>
        <w:gridCol w:w="2811"/>
      </w:tblGrid>
      <w:tr>
        <w:trPr/>
        <w:tc>
          <w:tcPr>
            <w:tcW w:w="503"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2811"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503"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c>
          <w:tcPr>
            <w:tcW w:w="2872"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2811" w:type="dxa"/>
            <w:tcBorders>
              <w:bottom w:val="single" w:sz="2" w:space="0" w:color="000000"/>
            </w:tcBorders>
            <w:shd w:fill="auto" w:val="clear"/>
            <w:tcMar>
              <w:bottom w:w="28" w:type="dxa"/>
            </w:tcMar>
          </w:tcPr>
          <w:p>
            <w:pPr>
              <w:pStyle w:val="TableContents"/>
              <w:spacing w:before="0" w:after="283"/>
              <w:rPr/>
            </w:pPr>
            <w:r>
              <w:rPr/>
              <w:t> </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c>
          <w:tcPr>
            <w:tcW w:w="2872"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2811" w:type="dxa"/>
            <w:tcBorders>
              <w:bottom w:val="single" w:sz="2" w:space="0" w:color="000000"/>
            </w:tcBorders>
            <w:shd w:fill="auto" w:val="clear"/>
            <w:tcMar>
              <w:bottom w:w="28" w:type="dxa"/>
            </w:tcMar>
            <w:vAlign w:val="bottom"/>
          </w:tcPr>
          <w:p>
            <w:pPr>
              <w:pStyle w:val="TableContents"/>
              <w:spacing w:before="0" w:after="283"/>
              <w:rPr/>
            </w:pPr>
            <w:r>
              <w:rPr/>
              <w:t> </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707" w:type="dxa"/>
            <w:gridSpan w:val="2"/>
            <w:tcBorders/>
            <w:shd w:fill="auto" w:val="clear"/>
            <w:vAlign w:val="center"/>
          </w:tcPr>
          <w:p>
            <w:pPr>
              <w:pStyle w:val="TableContents"/>
              <w:spacing w:before="0" w:after="283"/>
              <w:rPr>
                <w:sz w:val="4"/>
                <w:szCs w:val="4"/>
              </w:rPr>
            </w:pPr>
            <w:r>
              <w:rPr>
                <w:sz w:val="4"/>
                <w:szCs w:val="4"/>
              </w:rPr>
            </w:r>
          </w:p>
        </w:tc>
        <w:tc>
          <w:tcPr>
            <w:tcW w:w="2872"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64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2811" w:type="dxa"/>
            <w:tcBorders>
              <w:bottom w:val="single" w:sz="2" w:space="0" w:color="000000"/>
            </w:tcBorders>
            <w:shd w:fill="auto" w:val="clear"/>
            <w:tcMar>
              <w:bottom w:w="28" w:type="dxa"/>
            </w:tcM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 - 2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Compliance Certificate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rPr>
      </w:pPr>
      <w:r>
        <w:rPr>
          <w:rFonts w:ascii="Times New Roman" w:hAnsi="Times New Roman"/>
          <w:sz w:val="20"/>
        </w:rPr>
        <w:t>For the Quarter/Year ended             (</w:t>
      </w:r>
      <w:r>
        <w:rPr>
          <w:rFonts w:ascii="Times New Roman" w:hAnsi="Times New Roman"/>
          <w:sz w:val="20"/>
          <w:u w:val="single"/>
        </w:rPr>
        <w:t>Statement Date</w:t>
      </w:r>
      <w:r>
        <w:rPr>
          <w:rFonts w:ascii="Times New Roman" w:hAnsi="Times New Roman"/>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SCHEDULE 1 </w:t>
      </w:r>
    </w:p>
    <w:p>
      <w:pPr>
        <w:pStyle w:val="TextBody"/>
        <w:spacing w:before="0" w:after="0"/>
        <w:jc w:val="center"/>
        <w:rPr>
          <w:rFonts w:ascii="Times New Roman" w:hAnsi="Times New Roman"/>
          <w:sz w:val="20"/>
        </w:rPr>
      </w:pPr>
      <w:r>
        <w:rPr>
          <w:rFonts w:ascii="Times New Roman" w:hAnsi="Times New Roman"/>
          <w:sz w:val="20"/>
        </w:rPr>
        <w:t xml:space="preserve">to the Compliance Certificate </w:t>
      </w:r>
    </w:p>
    <w:p>
      <w:pPr>
        <w:pStyle w:val="TextBody"/>
        <w:spacing w:before="0" w:after="0"/>
        <w:jc w:val="center"/>
        <w:rPr>
          <w:rFonts w:ascii="Times New Roman" w:hAnsi="Times New Roman"/>
          <w:sz w:val="20"/>
        </w:rPr>
      </w:pPr>
      <w:r>
        <w:rPr>
          <w:rFonts w:ascii="Times New Roman" w:hAnsi="Times New Roman"/>
          <w:sz w:val="20"/>
        </w:rPr>
        <w:t xml:space="preserve">($ in 000s)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3"/>
        <w:gridCol w:w="121"/>
        <w:gridCol w:w="316"/>
        <w:gridCol w:w="161"/>
        <w:gridCol w:w="8298"/>
        <w:gridCol w:w="161"/>
        <w:gridCol w:w="125"/>
        <w:gridCol w:w="724"/>
        <w:gridCol w:w="126"/>
      </w:tblGrid>
      <w:tr>
        <w:trPr/>
        <w:tc>
          <w:tcPr>
            <w:tcW w:w="17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829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173" w:type="dxa"/>
            <w:tcBorders/>
            <w:shd w:fill="CCEEFF" w:val="clear"/>
          </w:tcPr>
          <w:p>
            <w:pPr>
              <w:pStyle w:val="TableContents"/>
              <w:spacing w:before="0" w:after="283"/>
              <w:rPr>
                <w:rFonts w:ascii="Times New Roman" w:hAnsi="Times New Roman"/>
                <w:b/>
                <w:sz w:val="20"/>
              </w:rPr>
            </w:pPr>
            <w:r>
              <w:rPr>
                <w:rFonts w:ascii="Times New Roman" w:hAnsi="Times New Roman"/>
                <w:b/>
                <w:sz w:val="20"/>
              </w:rPr>
              <w:t>I.</w:t>
            </w:r>
          </w:p>
        </w:tc>
        <w:tc>
          <w:tcPr>
            <w:tcW w:w="121" w:type="dxa"/>
            <w:tcBorders/>
            <w:shd w:fill="CCEEFF" w:val="clear"/>
            <w:vAlign w:val="bottom"/>
          </w:tcPr>
          <w:p>
            <w:pPr>
              <w:pStyle w:val="TableContents"/>
              <w:spacing w:before="0" w:after="283"/>
              <w:rPr/>
            </w:pPr>
            <w:r>
              <w:rPr/>
              <w:t> </w:t>
            </w:r>
          </w:p>
        </w:tc>
        <w:tc>
          <w:tcPr>
            <w:tcW w:w="8775" w:type="dxa"/>
            <w:gridSpan w:val="3"/>
            <w:tcBorders/>
            <w:shd w:fill="CCEEFF" w:val="clear"/>
          </w:tcPr>
          <w:p>
            <w:pPr>
              <w:pStyle w:val="TableContents"/>
              <w:spacing w:before="0" w:after="283"/>
              <w:rPr>
                <w:rFonts w:ascii="Times New Roman" w:hAnsi="Times New Roman"/>
                <w:b/>
                <w:sz w:val="20"/>
              </w:rPr>
            </w:pPr>
            <w:r>
              <w:rPr>
                <w:rFonts w:ascii="Times New Roman" w:hAnsi="Times New Roman"/>
                <w:b/>
                <w:sz w:val="20"/>
              </w:rPr>
              <w:t>Section 7.08  Consolidated Leverage Ratio.</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161" w:type="dxa"/>
            <w:tcBorders/>
            <w:shd w:fill="auto" w:val="clear"/>
            <w:vAlign w:val="bottom"/>
          </w:tcPr>
          <w:p>
            <w:pPr>
              <w:pStyle w:val="TableContents"/>
              <w:spacing w:before="0" w:after="283"/>
              <w:rPr/>
            </w:pPr>
            <w:r>
              <w:rPr/>
              <w:t>  </w:t>
            </w:r>
          </w:p>
        </w:tc>
        <w:tc>
          <w:tcPr>
            <w:tcW w:w="82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Consolidated EBITDA for four consecutive fiscal quarters ending on above date (</w:t>
            </w:r>
            <w:r>
              <w:rPr>
                <w:rFonts w:ascii="Times New Roman" w:hAnsi="Times New Roman"/>
                <w:sz w:val="20"/>
                <w:u w:val="single"/>
              </w:rPr>
              <w:t>Subject Period</w:t>
            </w:r>
            <w:r>
              <w:rPr>
                <w:rFonts w:ascii="Times New Roman" w:hAnsi="Times New Roman"/>
                <w:sz w:val="20"/>
              </w:rPr>
              <w:t>):</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CCEEFF" w:val="clear"/>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316" w:type="dxa"/>
            <w:tcBorders/>
            <w:shd w:fill="CCEEFF" w:val="clear"/>
          </w:tcPr>
          <w:p>
            <w:pPr>
              <w:pStyle w:val="TableContents"/>
              <w:spacing w:before="0" w:after="283"/>
              <w:rPr>
                <w:rFonts w:ascii="Times New Roman" w:hAnsi="Times New Roman"/>
                <w:sz w:val="20"/>
              </w:rPr>
            </w:pPr>
            <w:r>
              <w:rPr>
                <w:rFonts w:ascii="Times New Roman" w:hAnsi="Times New Roman"/>
                <w:sz w:val="20"/>
              </w:rPr>
              <w:t>1.</w:t>
            </w:r>
          </w:p>
        </w:tc>
        <w:tc>
          <w:tcPr>
            <w:tcW w:w="161" w:type="dxa"/>
            <w:tcBorders/>
            <w:shd w:fill="CCEEFF" w:val="clear"/>
            <w:vAlign w:val="bottom"/>
          </w:tcPr>
          <w:p>
            <w:pPr>
              <w:pStyle w:val="TableContents"/>
              <w:spacing w:before="0" w:after="283"/>
              <w:rPr/>
            </w:pPr>
            <w:r>
              <w:rPr/>
              <w:t>  </w:t>
            </w:r>
          </w:p>
        </w:tc>
        <w:tc>
          <w:tcPr>
            <w:tcW w:w="82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Consolidated Net Income for Subject Period:</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161" w:type="dxa"/>
            <w:tcBorders/>
            <w:shd w:fill="auto" w:val="clear"/>
            <w:vAlign w:val="bottom"/>
          </w:tcPr>
          <w:p>
            <w:pPr>
              <w:pStyle w:val="TableContents"/>
              <w:spacing w:before="0" w:after="283"/>
              <w:rPr/>
            </w:pPr>
            <w:r>
              <w:rPr/>
              <w:t>  </w:t>
            </w:r>
          </w:p>
        </w:tc>
        <w:tc>
          <w:tcPr>
            <w:tcW w:w="82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Consolidated interest charges and expenses for Subject Period:</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CCEEFF" w:val="clear"/>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316" w:type="dxa"/>
            <w:tcBorders/>
            <w:shd w:fill="CCEEFF" w:val="clear"/>
          </w:tcPr>
          <w:p>
            <w:pPr>
              <w:pStyle w:val="TableContents"/>
              <w:spacing w:before="0" w:after="283"/>
              <w:rPr>
                <w:rFonts w:ascii="Times New Roman" w:hAnsi="Times New Roman"/>
                <w:sz w:val="20"/>
              </w:rPr>
            </w:pPr>
            <w:r>
              <w:rPr>
                <w:rFonts w:ascii="Times New Roman" w:hAnsi="Times New Roman"/>
                <w:sz w:val="20"/>
              </w:rPr>
              <w:t>3.</w:t>
            </w:r>
          </w:p>
        </w:tc>
        <w:tc>
          <w:tcPr>
            <w:tcW w:w="161" w:type="dxa"/>
            <w:tcBorders/>
            <w:shd w:fill="CCEEFF" w:val="clear"/>
            <w:vAlign w:val="bottom"/>
          </w:tcPr>
          <w:p>
            <w:pPr>
              <w:pStyle w:val="TableContents"/>
              <w:spacing w:before="0" w:after="283"/>
              <w:rPr/>
            </w:pPr>
            <w:r>
              <w:rPr/>
              <w:t>  </w:t>
            </w:r>
          </w:p>
        </w:tc>
        <w:tc>
          <w:tcPr>
            <w:tcW w:w="82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Provision for income taxes for Subject Period:</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161" w:type="dxa"/>
            <w:tcBorders/>
            <w:shd w:fill="auto" w:val="clear"/>
            <w:vAlign w:val="bottom"/>
          </w:tcPr>
          <w:p>
            <w:pPr>
              <w:pStyle w:val="TableContents"/>
              <w:spacing w:before="0" w:after="283"/>
              <w:rPr/>
            </w:pPr>
            <w:r>
              <w:rPr/>
              <w:t>  </w:t>
            </w:r>
          </w:p>
        </w:tc>
        <w:tc>
          <w:tcPr>
            <w:tcW w:w="82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Depreciation expenses for Subject Period:</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CCEEFF" w:val="clear"/>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316" w:type="dxa"/>
            <w:tcBorders/>
            <w:shd w:fill="CCEEFF" w:val="clear"/>
          </w:tcPr>
          <w:p>
            <w:pPr>
              <w:pStyle w:val="TableContents"/>
              <w:spacing w:before="0" w:after="283"/>
              <w:rPr>
                <w:rFonts w:ascii="Times New Roman" w:hAnsi="Times New Roman"/>
                <w:sz w:val="20"/>
              </w:rPr>
            </w:pPr>
            <w:r>
              <w:rPr>
                <w:rFonts w:ascii="Times New Roman" w:hAnsi="Times New Roman"/>
                <w:sz w:val="20"/>
              </w:rPr>
              <w:t>5.</w:t>
            </w:r>
          </w:p>
        </w:tc>
        <w:tc>
          <w:tcPr>
            <w:tcW w:w="161" w:type="dxa"/>
            <w:tcBorders/>
            <w:shd w:fill="CCEEFF" w:val="clear"/>
            <w:vAlign w:val="bottom"/>
          </w:tcPr>
          <w:p>
            <w:pPr>
              <w:pStyle w:val="TableContents"/>
              <w:spacing w:before="0" w:after="283"/>
              <w:rPr/>
            </w:pPr>
            <w:r>
              <w:rPr/>
              <w:t>  </w:t>
            </w:r>
          </w:p>
        </w:tc>
        <w:tc>
          <w:tcPr>
            <w:tcW w:w="82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Depletion expenses for Subject Period:</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rPr>
                <w:rFonts w:ascii="Times New Roman" w:hAnsi="Times New Roman"/>
                <w:sz w:val="20"/>
              </w:rPr>
            </w:pPr>
            <w:r>
              <w:rPr>
                <w:rFonts w:ascii="Times New Roman" w:hAnsi="Times New Roman"/>
                <w:sz w:val="20"/>
              </w:rPr>
              <w:t>6.</w:t>
            </w:r>
          </w:p>
        </w:tc>
        <w:tc>
          <w:tcPr>
            <w:tcW w:w="161" w:type="dxa"/>
            <w:tcBorders/>
            <w:shd w:fill="auto" w:val="clear"/>
            <w:vAlign w:val="bottom"/>
          </w:tcPr>
          <w:p>
            <w:pPr>
              <w:pStyle w:val="TableContents"/>
              <w:spacing w:before="0" w:after="283"/>
              <w:rPr/>
            </w:pPr>
            <w:r>
              <w:rPr/>
              <w:t>  </w:t>
            </w:r>
          </w:p>
        </w:tc>
        <w:tc>
          <w:tcPr>
            <w:tcW w:w="82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Amortization expenses for Subject Period:</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CCEEFF" w:val="clear"/>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316" w:type="dxa"/>
            <w:tcBorders/>
            <w:shd w:fill="CCEEFF" w:val="clear"/>
          </w:tcPr>
          <w:p>
            <w:pPr>
              <w:pStyle w:val="TableContents"/>
              <w:spacing w:before="0" w:after="283"/>
              <w:rPr>
                <w:rFonts w:ascii="Times New Roman" w:hAnsi="Times New Roman"/>
                <w:sz w:val="20"/>
              </w:rPr>
            </w:pPr>
            <w:r>
              <w:rPr>
                <w:rFonts w:ascii="Times New Roman" w:hAnsi="Times New Roman"/>
                <w:sz w:val="20"/>
              </w:rPr>
              <w:t>7.</w:t>
            </w:r>
          </w:p>
        </w:tc>
        <w:tc>
          <w:tcPr>
            <w:tcW w:w="161" w:type="dxa"/>
            <w:tcBorders/>
            <w:shd w:fill="CCEEFF" w:val="clear"/>
            <w:vAlign w:val="bottom"/>
          </w:tcPr>
          <w:p>
            <w:pPr>
              <w:pStyle w:val="TableContents"/>
              <w:spacing w:before="0" w:after="283"/>
              <w:rPr/>
            </w:pPr>
            <w:r>
              <w:rPr/>
              <w:t>  </w:t>
            </w:r>
          </w:p>
        </w:tc>
        <w:tc>
          <w:tcPr>
            <w:tcW w:w="82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Costs or expenses resulting from distributions or redemptions of the Companys units issued pursuant to the Companys long-term incentive plan for Subject Period:</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4" w:type="dxa"/>
            <w:tcBorders/>
            <w:shd w:fill="CCEEFF" w:val="clear"/>
            <w:vAlign w:val="bottom"/>
          </w:tcPr>
          <w:p>
            <w:pPr>
              <w:pStyle w:val="TableContents"/>
              <w:spacing w:before="0" w:after="283"/>
              <w:rPr>
                <w:sz w:val="4"/>
                <w:szCs w:val="4"/>
              </w:rPr>
            </w:pPr>
            <w:r>
              <w:rPr>
                <w:sz w:val="4"/>
                <w:szCs w:val="4"/>
              </w:rPr>
            </w:r>
          </w:p>
        </w:tc>
        <w:tc>
          <w:tcPr>
            <w:tcW w:w="126"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rPr>
                <w:rFonts w:ascii="Times New Roman" w:hAnsi="Times New Roman"/>
                <w:sz w:val="20"/>
              </w:rPr>
            </w:pPr>
            <w:r>
              <w:rPr>
                <w:rFonts w:ascii="Times New Roman" w:hAnsi="Times New Roman"/>
                <w:sz w:val="20"/>
              </w:rPr>
              <w:t>8.</w:t>
            </w:r>
          </w:p>
        </w:tc>
        <w:tc>
          <w:tcPr>
            <w:tcW w:w="161" w:type="dxa"/>
            <w:tcBorders/>
            <w:shd w:fill="auto" w:val="clear"/>
            <w:vAlign w:val="bottom"/>
          </w:tcPr>
          <w:p>
            <w:pPr>
              <w:pStyle w:val="TableContents"/>
              <w:spacing w:before="0" w:after="283"/>
              <w:rPr/>
            </w:pPr>
            <w:r>
              <w:rPr/>
              <w:t>  </w:t>
            </w:r>
          </w:p>
        </w:tc>
        <w:tc>
          <w:tcPr>
            <w:tcW w:w="82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Any acquisition-related expenses deducted from Consolidated Net Income for Subject Period and associated with closed acquisitions or any other potential acquisitions that have not been abandoned:</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CCEEFF" w:val="clear"/>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316" w:type="dxa"/>
            <w:tcBorders/>
            <w:shd w:fill="CCEEFF" w:val="clear"/>
          </w:tcPr>
          <w:p>
            <w:pPr>
              <w:pStyle w:val="TableContents"/>
              <w:spacing w:before="0" w:after="283"/>
              <w:rPr>
                <w:rFonts w:ascii="Times New Roman" w:hAnsi="Times New Roman"/>
                <w:sz w:val="20"/>
              </w:rPr>
            </w:pPr>
            <w:r>
              <w:rPr>
                <w:rFonts w:ascii="Times New Roman" w:hAnsi="Times New Roman"/>
                <w:sz w:val="20"/>
              </w:rPr>
              <w:t>9.</w:t>
            </w:r>
          </w:p>
        </w:tc>
        <w:tc>
          <w:tcPr>
            <w:tcW w:w="161" w:type="dxa"/>
            <w:tcBorders/>
            <w:shd w:fill="CCEEFF" w:val="clear"/>
            <w:vAlign w:val="bottom"/>
          </w:tcPr>
          <w:p>
            <w:pPr>
              <w:pStyle w:val="TableContents"/>
              <w:spacing w:before="0" w:after="283"/>
              <w:rPr/>
            </w:pPr>
            <w:r>
              <w:rPr/>
              <w:t>  </w:t>
            </w:r>
          </w:p>
        </w:tc>
        <w:tc>
          <w:tcPr>
            <w:tcW w:w="82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Non-recurring non-cash reductions of Consolidated Net Income for Subject Period:</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rPr>
                <w:rFonts w:ascii="Times New Roman" w:hAnsi="Times New Roman"/>
                <w:sz w:val="20"/>
              </w:rPr>
            </w:pPr>
            <w:r>
              <w:rPr>
                <w:rFonts w:ascii="Times New Roman" w:hAnsi="Times New Roman"/>
                <w:sz w:val="20"/>
              </w:rPr>
              <w:t>10.</w:t>
            </w:r>
          </w:p>
        </w:tc>
        <w:tc>
          <w:tcPr>
            <w:tcW w:w="161" w:type="dxa"/>
            <w:tcBorders/>
            <w:shd w:fill="auto" w:val="clear"/>
            <w:vAlign w:val="bottom"/>
          </w:tcPr>
          <w:p>
            <w:pPr>
              <w:pStyle w:val="TableContents"/>
              <w:spacing w:before="0" w:after="283"/>
              <w:rPr/>
            </w:pPr>
            <w:r>
              <w:rPr/>
              <w:t>  </w:t>
            </w:r>
          </w:p>
        </w:tc>
        <w:tc>
          <w:tcPr>
            <w:tcW w:w="82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Income tax credits for Subject Period:</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CCEEFF" w:val="clear"/>
          </w:tcPr>
          <w:p>
            <w:pPr>
              <w:pStyle w:val="TableContents"/>
              <w:spacing w:before="0" w:after="283"/>
              <w:rPr>
                <w:sz w:val="4"/>
                <w:szCs w:val="4"/>
              </w:rPr>
            </w:pPr>
            <w:r>
              <w:rPr>
                <w:sz w:val="4"/>
                <w:szCs w:val="4"/>
              </w:rPr>
            </w:r>
          </w:p>
        </w:tc>
        <w:tc>
          <w:tcPr>
            <w:tcW w:w="121" w:type="dxa"/>
            <w:tcBorders/>
            <w:shd w:fill="CCEEFF" w:val="clear"/>
            <w:vAlign w:val="bottom"/>
          </w:tcPr>
          <w:p>
            <w:pPr>
              <w:pStyle w:val="TableContents"/>
              <w:spacing w:before="0" w:after="283"/>
              <w:rPr/>
            </w:pPr>
            <w:r>
              <w:rPr/>
              <w:t> </w:t>
            </w:r>
          </w:p>
        </w:tc>
        <w:tc>
          <w:tcPr>
            <w:tcW w:w="316" w:type="dxa"/>
            <w:tcBorders/>
            <w:shd w:fill="CCEEFF" w:val="clear"/>
          </w:tcPr>
          <w:p>
            <w:pPr>
              <w:pStyle w:val="TableContents"/>
              <w:spacing w:before="0" w:after="283"/>
              <w:rPr>
                <w:rFonts w:ascii="Times New Roman" w:hAnsi="Times New Roman"/>
                <w:sz w:val="20"/>
              </w:rPr>
            </w:pPr>
            <w:r>
              <w:rPr>
                <w:rFonts w:ascii="Times New Roman" w:hAnsi="Times New Roman"/>
                <w:sz w:val="20"/>
              </w:rPr>
              <w:t>11.</w:t>
            </w:r>
          </w:p>
        </w:tc>
        <w:tc>
          <w:tcPr>
            <w:tcW w:w="161" w:type="dxa"/>
            <w:tcBorders/>
            <w:shd w:fill="CCEEFF" w:val="clear"/>
            <w:vAlign w:val="bottom"/>
          </w:tcPr>
          <w:p>
            <w:pPr>
              <w:pStyle w:val="TableContents"/>
              <w:spacing w:before="0" w:after="283"/>
              <w:rPr/>
            </w:pPr>
            <w:r>
              <w:rPr/>
              <w:t>  </w:t>
            </w:r>
          </w:p>
        </w:tc>
        <w:tc>
          <w:tcPr>
            <w:tcW w:w="82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Non-cash additions to Consolidated Net Income for Subject Period:</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rPr/>
            </w:pPr>
            <w:r>
              <w:rPr/>
              <w:t>  </w:t>
            </w:r>
          </w:p>
        </w:tc>
      </w:tr>
      <w:tr>
        <w:trPr>
          <w:trHeight w:val="120" w:hRule="atLeast"/>
        </w:trPr>
        <w:tc>
          <w:tcPr>
            <w:tcW w:w="173" w:type="dxa"/>
            <w:tcBorders/>
            <w:shd w:fill="auto" w:val="clear"/>
            <w:vAlign w:val="center"/>
          </w:tcPr>
          <w:p>
            <w:pPr>
              <w:pStyle w:val="TableContents"/>
              <w:spacing w:before="0" w:after="283"/>
              <w:rPr>
                <w:sz w:val="4"/>
                <w:szCs w:val="4"/>
              </w:rPr>
            </w:pPr>
            <w:r>
              <w:rPr>
                <w:sz w:val="4"/>
                <w:szCs w:val="4"/>
              </w:rPr>
            </w:r>
          </w:p>
        </w:tc>
        <w:tc>
          <w:tcPr>
            <w:tcW w:w="437" w:type="dxa"/>
            <w:gridSpan w:val="2"/>
            <w:tcBorders/>
            <w:shd w:fill="auto" w:val="clear"/>
            <w:vAlign w:val="center"/>
          </w:tcPr>
          <w:p>
            <w:pPr>
              <w:pStyle w:val="TableContents"/>
              <w:spacing w:before="0" w:after="283"/>
              <w:rPr>
                <w:sz w:val="4"/>
                <w:szCs w:val="4"/>
              </w:rPr>
            </w:pPr>
            <w:r>
              <w:rPr>
                <w:sz w:val="4"/>
                <w:szCs w:val="4"/>
              </w:rPr>
            </w:r>
          </w:p>
        </w:tc>
        <w:tc>
          <w:tcPr>
            <w:tcW w:w="8459" w:type="dxa"/>
            <w:gridSpan w:val="2"/>
            <w:tcBorders/>
            <w:shd w:fill="auto" w:val="clear"/>
            <w:vAlign w:val="center"/>
          </w:tcPr>
          <w:p>
            <w:pPr>
              <w:pStyle w:val="TableContents"/>
              <w:spacing w:before="0" w:after="283"/>
              <w:rPr>
                <w:sz w:val="4"/>
                <w:szCs w:val="4"/>
              </w:rPr>
            </w:pPr>
            <w:r>
              <w:rPr>
                <w:sz w:val="4"/>
                <w:szCs w:val="4"/>
              </w:rPr>
            </w:r>
          </w:p>
        </w:tc>
        <w:tc>
          <w:tcPr>
            <w:tcW w:w="1136" w:type="dxa"/>
            <w:gridSpan w:val="4"/>
            <w:tcBorders/>
            <w:shd w:fill="auto" w:val="clear"/>
            <w:vAlign w:val="center"/>
          </w:tcPr>
          <w:p>
            <w:pPr>
              <w:pStyle w:val="TableContents"/>
              <w:spacing w:before="0" w:after="283"/>
              <w:rPr>
                <w:sz w:val="4"/>
                <w:szCs w:val="4"/>
              </w:rPr>
            </w:pPr>
            <w:r>
              <w:rPr>
                <w:sz w:val="4"/>
                <w:szCs w:val="4"/>
              </w:rPr>
            </w:r>
          </w:p>
        </w:tc>
      </w:tr>
      <w:tr>
        <w:trPr/>
        <w:tc>
          <w:tcPr>
            <w:tcW w:w="173"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16" w:type="dxa"/>
            <w:tcBorders/>
            <w:shd w:fill="auto" w:val="clear"/>
          </w:tcPr>
          <w:p>
            <w:pPr>
              <w:pStyle w:val="TableContents"/>
              <w:spacing w:before="0" w:after="283"/>
              <w:rPr>
                <w:rFonts w:ascii="Times New Roman" w:hAnsi="Times New Roman"/>
                <w:sz w:val="20"/>
              </w:rPr>
            </w:pPr>
            <w:r>
              <w:rPr>
                <w:rFonts w:ascii="Times New Roman" w:hAnsi="Times New Roman"/>
                <w:sz w:val="20"/>
              </w:rPr>
              <w:t>12.</w:t>
            </w:r>
          </w:p>
        </w:tc>
        <w:tc>
          <w:tcPr>
            <w:tcW w:w="161" w:type="dxa"/>
            <w:tcBorders/>
            <w:shd w:fill="auto" w:val="clear"/>
            <w:vAlign w:val="bottom"/>
          </w:tcPr>
          <w:p>
            <w:pPr>
              <w:pStyle w:val="TableContents"/>
              <w:spacing w:before="0" w:after="283"/>
              <w:rPr/>
            </w:pPr>
            <w:r>
              <w:rPr/>
              <w:t>  </w:t>
            </w:r>
          </w:p>
        </w:tc>
        <w:tc>
          <w:tcPr>
            <w:tcW w:w="82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Consolidated EBITDA (Lines I.A1 + 2 + 3 + 4 + 5 + 6 + 7 + 8 + 9  10  11):</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4" w:type="dxa"/>
            <w:tcBorders/>
            <w:shd w:fill="auto" w:val="clear"/>
            <w:vAlign w:val="bottom"/>
          </w:tcPr>
          <w:p>
            <w:pPr>
              <w:pStyle w:val="TableContents"/>
              <w:spacing w:before="0" w:after="283"/>
              <w:jc w:val="right"/>
              <w:rPr/>
            </w:pPr>
            <w:r>
              <w:rPr/>
              <w:t> </w:t>
            </w:r>
          </w:p>
        </w:tc>
        <w:tc>
          <w:tcPr>
            <w:tcW w:w="126"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 - 3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Compliance Certificate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22"/>
        <w:gridCol w:w="125"/>
        <w:gridCol w:w="223"/>
        <w:gridCol w:w="167"/>
        <w:gridCol w:w="8434"/>
        <w:gridCol w:w="167"/>
        <w:gridCol w:w="125"/>
        <w:gridCol w:w="819"/>
        <w:gridCol w:w="123"/>
      </w:tblGrid>
      <w:tr>
        <w:trPr/>
        <w:tc>
          <w:tcPr>
            <w:tcW w:w="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843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348" w:type="dxa"/>
            <w:gridSpan w:val="2"/>
            <w:tcBorders/>
            <w:shd w:fill="auto" w:val="clear"/>
            <w:vAlign w:val="center"/>
          </w:tcPr>
          <w:p>
            <w:pPr>
              <w:pStyle w:val="TableContents"/>
              <w:spacing w:before="0" w:after="283"/>
              <w:rPr>
                <w:sz w:val="4"/>
                <w:szCs w:val="4"/>
              </w:rPr>
            </w:pPr>
            <w:r>
              <w:rPr>
                <w:sz w:val="4"/>
                <w:szCs w:val="4"/>
              </w:rPr>
            </w:r>
          </w:p>
        </w:tc>
        <w:tc>
          <w:tcPr>
            <w:tcW w:w="8601" w:type="dxa"/>
            <w:gridSpan w:val="2"/>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r>
      <w:tr>
        <w:trPr/>
        <w:tc>
          <w:tcPr>
            <w:tcW w:w="22" w:type="dxa"/>
            <w:tcBorders/>
            <w:shd w:fill="CCEEFF" w:val="clear"/>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223" w:type="dxa"/>
            <w:tcBorders/>
            <w:shd w:fill="CCEEFF" w:val="clear"/>
          </w:tcPr>
          <w:p>
            <w:pPr>
              <w:pStyle w:val="TableContents"/>
              <w:spacing w:before="0" w:after="283"/>
              <w:rPr>
                <w:rFonts w:ascii="Times New Roman" w:hAnsi="Times New Roman"/>
                <w:sz w:val="20"/>
              </w:rPr>
            </w:pPr>
            <w:r>
              <w:rPr>
                <w:rFonts w:ascii="Times New Roman" w:hAnsi="Times New Roman"/>
                <w:sz w:val="20"/>
              </w:rPr>
              <w:t>B.</w:t>
            </w:r>
          </w:p>
        </w:tc>
        <w:tc>
          <w:tcPr>
            <w:tcW w:w="167" w:type="dxa"/>
            <w:tcBorders/>
            <w:shd w:fill="CCEEFF" w:val="clear"/>
            <w:vAlign w:val="bottom"/>
          </w:tcPr>
          <w:p>
            <w:pPr>
              <w:pStyle w:val="TableContents"/>
              <w:spacing w:before="0" w:after="283"/>
              <w:rPr/>
            </w:pPr>
            <w:r>
              <w:rPr/>
              <w:t>  </w:t>
            </w:r>
          </w:p>
        </w:tc>
        <w:tc>
          <w:tcPr>
            <w:tcW w:w="84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Adjusted Consolidated Funded Indebtedness at Statement Date:</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19"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348" w:type="dxa"/>
            <w:gridSpan w:val="2"/>
            <w:tcBorders/>
            <w:shd w:fill="auto" w:val="clear"/>
            <w:vAlign w:val="center"/>
          </w:tcPr>
          <w:p>
            <w:pPr>
              <w:pStyle w:val="TableContents"/>
              <w:spacing w:before="0" w:after="283"/>
              <w:rPr>
                <w:sz w:val="4"/>
                <w:szCs w:val="4"/>
              </w:rPr>
            </w:pPr>
            <w:r>
              <w:rPr>
                <w:sz w:val="4"/>
                <w:szCs w:val="4"/>
              </w:rPr>
            </w:r>
          </w:p>
        </w:tc>
        <w:tc>
          <w:tcPr>
            <w:tcW w:w="8601" w:type="dxa"/>
            <w:gridSpan w:val="2"/>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223"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167" w:type="dxa"/>
            <w:tcBorders/>
            <w:shd w:fill="auto" w:val="clear"/>
            <w:vAlign w:val="bottom"/>
          </w:tcPr>
          <w:p>
            <w:pPr>
              <w:pStyle w:val="TableContents"/>
              <w:spacing w:before="0" w:after="283"/>
              <w:rPr/>
            </w:pPr>
            <w:r>
              <w:rPr/>
              <w:t>  </w:t>
            </w:r>
          </w:p>
        </w:tc>
        <w:tc>
          <w:tcPr>
            <w:tcW w:w="84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Consolidated Funded Indebtedness at Statement Date:</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9"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rPr/>
            </w:pPr>
            <w:r>
              <w:rPr/>
              <w:t>  </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348" w:type="dxa"/>
            <w:gridSpan w:val="2"/>
            <w:tcBorders/>
            <w:shd w:fill="auto" w:val="clear"/>
            <w:vAlign w:val="center"/>
          </w:tcPr>
          <w:p>
            <w:pPr>
              <w:pStyle w:val="TableContents"/>
              <w:spacing w:before="0" w:after="283"/>
              <w:rPr>
                <w:sz w:val="4"/>
                <w:szCs w:val="4"/>
              </w:rPr>
            </w:pPr>
            <w:r>
              <w:rPr>
                <w:sz w:val="4"/>
                <w:szCs w:val="4"/>
              </w:rPr>
            </w:r>
          </w:p>
        </w:tc>
        <w:tc>
          <w:tcPr>
            <w:tcW w:w="8601" w:type="dxa"/>
            <w:gridSpan w:val="2"/>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r>
      <w:tr>
        <w:trPr/>
        <w:tc>
          <w:tcPr>
            <w:tcW w:w="22" w:type="dxa"/>
            <w:tcBorders/>
            <w:shd w:fill="CCEEFF" w:val="clear"/>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223" w:type="dxa"/>
            <w:tcBorders/>
            <w:shd w:fill="CCEEFF" w:val="clear"/>
          </w:tcPr>
          <w:p>
            <w:pPr>
              <w:pStyle w:val="TableContents"/>
              <w:spacing w:before="0" w:after="283"/>
              <w:rPr>
                <w:rFonts w:ascii="Times New Roman" w:hAnsi="Times New Roman"/>
                <w:sz w:val="20"/>
              </w:rPr>
            </w:pPr>
            <w:r>
              <w:rPr>
                <w:rFonts w:ascii="Times New Roman" w:hAnsi="Times New Roman"/>
                <w:sz w:val="20"/>
              </w:rPr>
              <w:t>2.</w:t>
            </w:r>
          </w:p>
        </w:tc>
        <w:tc>
          <w:tcPr>
            <w:tcW w:w="167" w:type="dxa"/>
            <w:tcBorders/>
            <w:shd w:fill="CCEEFF" w:val="clear"/>
            <w:vAlign w:val="bottom"/>
          </w:tcPr>
          <w:p>
            <w:pPr>
              <w:pStyle w:val="TableContents"/>
              <w:spacing w:before="0" w:after="283"/>
              <w:rPr/>
            </w:pPr>
            <w:r>
              <w:rPr/>
              <w:t>  </w:t>
            </w:r>
          </w:p>
        </w:tc>
        <w:tc>
          <w:tcPr>
            <w:tcW w:w="84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Hybrid Securities up to an aggregate principal amount of 15% of Consolidated Total Capitalization at Statement Date:</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19"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348" w:type="dxa"/>
            <w:gridSpan w:val="2"/>
            <w:tcBorders/>
            <w:shd w:fill="auto" w:val="clear"/>
            <w:vAlign w:val="center"/>
          </w:tcPr>
          <w:p>
            <w:pPr>
              <w:pStyle w:val="TableContents"/>
              <w:spacing w:before="0" w:after="283"/>
              <w:rPr>
                <w:sz w:val="4"/>
                <w:szCs w:val="4"/>
              </w:rPr>
            </w:pPr>
            <w:r>
              <w:rPr>
                <w:sz w:val="4"/>
                <w:szCs w:val="4"/>
              </w:rPr>
            </w:r>
          </w:p>
        </w:tc>
        <w:tc>
          <w:tcPr>
            <w:tcW w:w="8601" w:type="dxa"/>
            <w:gridSpan w:val="2"/>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223"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167" w:type="dxa"/>
            <w:tcBorders/>
            <w:shd w:fill="auto" w:val="clear"/>
            <w:vAlign w:val="bottom"/>
          </w:tcPr>
          <w:p>
            <w:pPr>
              <w:pStyle w:val="TableContents"/>
              <w:spacing w:before="0" w:after="283"/>
              <w:rPr/>
            </w:pPr>
            <w:r>
              <w:rPr/>
              <w:t>  </w:t>
            </w:r>
          </w:p>
        </w:tc>
        <w:tc>
          <w:tcPr>
            <w:tcW w:w="84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Adjusted Consolidated Funded Indebtedness (Lines I.B.1  2 ):</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9"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rPr/>
            </w:pPr>
            <w:r>
              <w:rPr/>
              <w:t>  </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348" w:type="dxa"/>
            <w:gridSpan w:val="2"/>
            <w:tcBorders/>
            <w:shd w:fill="auto" w:val="clear"/>
            <w:vAlign w:val="center"/>
          </w:tcPr>
          <w:p>
            <w:pPr>
              <w:pStyle w:val="TableContents"/>
              <w:spacing w:before="0" w:after="283"/>
              <w:rPr>
                <w:sz w:val="4"/>
                <w:szCs w:val="4"/>
              </w:rPr>
            </w:pPr>
            <w:r>
              <w:rPr>
                <w:sz w:val="4"/>
                <w:szCs w:val="4"/>
              </w:rPr>
            </w:r>
          </w:p>
        </w:tc>
        <w:tc>
          <w:tcPr>
            <w:tcW w:w="8601" w:type="dxa"/>
            <w:gridSpan w:val="2"/>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r>
      <w:tr>
        <w:trPr/>
        <w:tc>
          <w:tcPr>
            <w:tcW w:w="22" w:type="dxa"/>
            <w:tcBorders/>
            <w:shd w:fill="CCEEFF" w:val="clear"/>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223" w:type="dxa"/>
            <w:tcBorders/>
            <w:shd w:fill="CCEEFF" w:val="clear"/>
          </w:tcPr>
          <w:p>
            <w:pPr>
              <w:pStyle w:val="TableContents"/>
              <w:spacing w:before="0" w:after="283"/>
              <w:rPr>
                <w:rFonts w:ascii="Times New Roman" w:hAnsi="Times New Roman"/>
                <w:sz w:val="20"/>
              </w:rPr>
            </w:pPr>
            <w:r>
              <w:rPr>
                <w:rFonts w:ascii="Times New Roman" w:hAnsi="Times New Roman"/>
                <w:sz w:val="20"/>
              </w:rPr>
              <w:t>C.</w:t>
            </w:r>
          </w:p>
        </w:tc>
        <w:tc>
          <w:tcPr>
            <w:tcW w:w="167" w:type="dxa"/>
            <w:tcBorders/>
            <w:shd w:fill="CCEEFF" w:val="clear"/>
            <w:vAlign w:val="bottom"/>
          </w:tcPr>
          <w:p>
            <w:pPr>
              <w:pStyle w:val="TableContents"/>
              <w:spacing w:before="0" w:after="283"/>
              <w:rPr/>
            </w:pPr>
            <w:r>
              <w:rPr/>
              <w:t>  </w:t>
            </w:r>
          </w:p>
        </w:tc>
        <w:tc>
          <w:tcPr>
            <w:tcW w:w="84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Adjusted Consolidated EBITDA for Subject Period:</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19"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348" w:type="dxa"/>
            <w:gridSpan w:val="2"/>
            <w:tcBorders/>
            <w:shd w:fill="auto" w:val="clear"/>
            <w:vAlign w:val="center"/>
          </w:tcPr>
          <w:p>
            <w:pPr>
              <w:pStyle w:val="TableContents"/>
              <w:spacing w:before="0" w:after="283"/>
              <w:rPr>
                <w:sz w:val="4"/>
                <w:szCs w:val="4"/>
              </w:rPr>
            </w:pPr>
            <w:r>
              <w:rPr>
                <w:sz w:val="4"/>
                <w:szCs w:val="4"/>
              </w:rPr>
            </w:r>
          </w:p>
        </w:tc>
        <w:tc>
          <w:tcPr>
            <w:tcW w:w="8601" w:type="dxa"/>
            <w:gridSpan w:val="2"/>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223"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167" w:type="dxa"/>
            <w:tcBorders/>
            <w:shd w:fill="auto" w:val="clear"/>
            <w:vAlign w:val="bottom"/>
          </w:tcPr>
          <w:p>
            <w:pPr>
              <w:pStyle w:val="TableContents"/>
              <w:spacing w:before="0" w:after="283"/>
              <w:rPr/>
            </w:pPr>
            <w:r>
              <w:rPr/>
              <w:t>  </w:t>
            </w:r>
          </w:p>
        </w:tc>
        <w:tc>
          <w:tcPr>
            <w:tcW w:w="84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Actual Consolidated EBITDA for Subject Period (Line I.A.12 above):</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9"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rPr/>
            </w:pPr>
            <w:r>
              <w:rPr/>
              <w:t>  </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348" w:type="dxa"/>
            <w:gridSpan w:val="2"/>
            <w:tcBorders/>
            <w:shd w:fill="auto" w:val="clear"/>
            <w:vAlign w:val="center"/>
          </w:tcPr>
          <w:p>
            <w:pPr>
              <w:pStyle w:val="TableContents"/>
              <w:spacing w:before="0" w:after="283"/>
              <w:rPr>
                <w:sz w:val="4"/>
                <w:szCs w:val="4"/>
              </w:rPr>
            </w:pPr>
            <w:r>
              <w:rPr>
                <w:sz w:val="4"/>
                <w:szCs w:val="4"/>
              </w:rPr>
            </w:r>
          </w:p>
        </w:tc>
        <w:tc>
          <w:tcPr>
            <w:tcW w:w="8601" w:type="dxa"/>
            <w:gridSpan w:val="2"/>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r>
      <w:tr>
        <w:trPr/>
        <w:tc>
          <w:tcPr>
            <w:tcW w:w="22" w:type="dxa"/>
            <w:tcBorders/>
            <w:shd w:fill="CCEEFF" w:val="clear"/>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223" w:type="dxa"/>
            <w:tcBorders/>
            <w:shd w:fill="CCEEFF" w:val="clear"/>
          </w:tcPr>
          <w:p>
            <w:pPr>
              <w:pStyle w:val="TableContents"/>
              <w:spacing w:before="0" w:after="283"/>
              <w:rPr>
                <w:rFonts w:ascii="Times New Roman" w:hAnsi="Times New Roman"/>
                <w:sz w:val="20"/>
              </w:rPr>
            </w:pPr>
            <w:r>
              <w:rPr>
                <w:rFonts w:ascii="Times New Roman" w:hAnsi="Times New Roman"/>
                <w:sz w:val="20"/>
              </w:rPr>
              <w:t>2.</w:t>
            </w:r>
          </w:p>
        </w:tc>
        <w:tc>
          <w:tcPr>
            <w:tcW w:w="167" w:type="dxa"/>
            <w:tcBorders/>
            <w:shd w:fill="CCEEFF" w:val="clear"/>
            <w:vAlign w:val="bottom"/>
          </w:tcPr>
          <w:p>
            <w:pPr>
              <w:pStyle w:val="TableContents"/>
              <w:spacing w:before="0" w:after="283"/>
              <w:rPr/>
            </w:pPr>
            <w:r>
              <w:rPr/>
              <w:t>  </w:t>
            </w:r>
          </w:p>
        </w:tc>
        <w:tc>
          <w:tcPr>
            <w:tcW w:w="84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Material Project EBITDA Adjustments for Subject Period:</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19"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348" w:type="dxa"/>
            <w:gridSpan w:val="2"/>
            <w:tcBorders/>
            <w:shd w:fill="auto" w:val="clear"/>
            <w:vAlign w:val="center"/>
          </w:tcPr>
          <w:p>
            <w:pPr>
              <w:pStyle w:val="TableContents"/>
              <w:spacing w:before="0" w:after="283"/>
              <w:rPr>
                <w:sz w:val="4"/>
                <w:szCs w:val="4"/>
              </w:rPr>
            </w:pPr>
            <w:r>
              <w:rPr>
                <w:sz w:val="4"/>
                <w:szCs w:val="4"/>
              </w:rPr>
            </w:r>
          </w:p>
        </w:tc>
        <w:tc>
          <w:tcPr>
            <w:tcW w:w="8601" w:type="dxa"/>
            <w:gridSpan w:val="2"/>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223"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167" w:type="dxa"/>
            <w:tcBorders/>
            <w:shd w:fill="auto" w:val="clear"/>
            <w:vAlign w:val="bottom"/>
          </w:tcPr>
          <w:p>
            <w:pPr>
              <w:pStyle w:val="TableContents"/>
              <w:spacing w:before="0" w:after="283"/>
              <w:rPr/>
            </w:pPr>
            <w:r>
              <w:rPr/>
              <w:t>  </w:t>
            </w:r>
          </w:p>
        </w:tc>
        <w:tc>
          <w:tcPr>
            <w:tcW w:w="84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Adjusted Consolidated EBITDA for Subject Period (Lines I.C.1 + 2):</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9"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rPr/>
            </w:pPr>
            <w:r>
              <w:rPr/>
              <w:t>  </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348" w:type="dxa"/>
            <w:gridSpan w:val="2"/>
            <w:tcBorders/>
            <w:shd w:fill="auto" w:val="clear"/>
            <w:vAlign w:val="center"/>
          </w:tcPr>
          <w:p>
            <w:pPr>
              <w:pStyle w:val="TableContents"/>
              <w:spacing w:before="0" w:after="283"/>
              <w:rPr>
                <w:sz w:val="4"/>
                <w:szCs w:val="4"/>
              </w:rPr>
            </w:pPr>
            <w:r>
              <w:rPr>
                <w:sz w:val="4"/>
                <w:szCs w:val="4"/>
              </w:rPr>
            </w:r>
          </w:p>
        </w:tc>
        <w:tc>
          <w:tcPr>
            <w:tcW w:w="8601" w:type="dxa"/>
            <w:gridSpan w:val="2"/>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r>
      <w:tr>
        <w:trPr/>
        <w:tc>
          <w:tcPr>
            <w:tcW w:w="22" w:type="dxa"/>
            <w:tcBorders/>
            <w:shd w:fill="CCEEFF" w:val="clear"/>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pPr>
            <w:r>
              <w:rPr/>
              <w:t> </w:t>
            </w:r>
          </w:p>
        </w:tc>
        <w:tc>
          <w:tcPr>
            <w:tcW w:w="223" w:type="dxa"/>
            <w:tcBorders/>
            <w:shd w:fill="CCEEFF" w:val="clear"/>
          </w:tcPr>
          <w:p>
            <w:pPr>
              <w:pStyle w:val="TableContents"/>
              <w:spacing w:before="0" w:after="283"/>
              <w:rPr>
                <w:rFonts w:ascii="Times New Roman" w:hAnsi="Times New Roman"/>
                <w:sz w:val="20"/>
              </w:rPr>
            </w:pPr>
            <w:r>
              <w:rPr>
                <w:rFonts w:ascii="Times New Roman" w:hAnsi="Times New Roman"/>
                <w:sz w:val="20"/>
              </w:rPr>
              <w:t>D.</w:t>
            </w:r>
          </w:p>
        </w:tc>
        <w:tc>
          <w:tcPr>
            <w:tcW w:w="167" w:type="dxa"/>
            <w:tcBorders/>
            <w:shd w:fill="CCEEFF" w:val="clear"/>
            <w:vAlign w:val="bottom"/>
          </w:tcPr>
          <w:p>
            <w:pPr>
              <w:pStyle w:val="TableContents"/>
              <w:spacing w:before="0" w:after="283"/>
              <w:rPr/>
            </w:pPr>
            <w:r>
              <w:rPr/>
              <w:t>  </w:t>
            </w:r>
          </w:p>
        </w:tc>
        <w:tc>
          <w:tcPr>
            <w:tcW w:w="84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Consolidated Leverage Ratio (Line I.B.3 ÷ Line I.C.3):</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pPr>
            <w:r>
              <w:rPr/>
              <w:t>        </w:t>
            </w:r>
            <w:r>
              <w:rPr>
                <w:rFonts w:ascii="Times New Roman" w:hAnsi="Times New Roman"/>
                <w:sz w:val="20"/>
              </w:rPr>
              <w:t>to 1</w:t>
            </w:r>
          </w:p>
        </w:tc>
        <w:tc>
          <w:tcPr>
            <w:tcW w:w="123" w:type="dxa"/>
            <w:tcBorders/>
            <w:shd w:fill="CCEEFF" w:val="clear"/>
            <w:vAlign w:val="bottom"/>
          </w:tcPr>
          <w:p>
            <w:pPr>
              <w:pStyle w:val="TableContents"/>
              <w:spacing w:before="0" w:after="283"/>
              <w:rPr/>
            </w:pPr>
            <w:r>
              <w:rPr/>
              <w:t>  </w:t>
            </w:r>
          </w:p>
        </w:tc>
      </w:tr>
      <w:tr>
        <w:trPr>
          <w:trHeight w:val="120" w:hRule="atLeast"/>
        </w:trPr>
        <w:tc>
          <w:tcPr>
            <w:tcW w:w="22" w:type="dxa"/>
            <w:tcBorders/>
            <w:shd w:fill="auto" w:val="clear"/>
            <w:vAlign w:val="center"/>
          </w:tcPr>
          <w:p>
            <w:pPr>
              <w:pStyle w:val="TableContents"/>
              <w:spacing w:before="0" w:after="283"/>
              <w:rPr>
                <w:sz w:val="4"/>
                <w:szCs w:val="4"/>
              </w:rPr>
            </w:pPr>
            <w:r>
              <w:rPr>
                <w:sz w:val="4"/>
                <w:szCs w:val="4"/>
              </w:rPr>
            </w:r>
          </w:p>
        </w:tc>
        <w:tc>
          <w:tcPr>
            <w:tcW w:w="8949" w:type="dxa"/>
            <w:gridSpan w:val="4"/>
            <w:tcBorders/>
            <w:shd w:fill="auto" w:val="clear"/>
            <w:vAlign w:val="center"/>
          </w:tcPr>
          <w:p>
            <w:pPr>
              <w:pStyle w:val="TableContents"/>
              <w:spacing w:before="0" w:after="283"/>
              <w:rPr>
                <w:sz w:val="4"/>
                <w:szCs w:val="4"/>
              </w:rPr>
            </w:pPr>
            <w:r>
              <w:rPr>
                <w:sz w:val="4"/>
                <w:szCs w:val="4"/>
              </w:rPr>
            </w:r>
          </w:p>
        </w:tc>
        <w:tc>
          <w:tcPr>
            <w:tcW w:w="1234" w:type="dxa"/>
            <w:gridSpan w:val="4"/>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pPr>
            <w:r>
              <w:rPr/>
              <w:t> </w:t>
            </w:r>
          </w:p>
        </w:tc>
        <w:tc>
          <w:tcPr>
            <w:tcW w:w="882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Maximum permitted:</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19"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291"/>
        <w:gridCol w:w="575"/>
        <w:gridCol w:w="74"/>
        <w:gridCol w:w="876"/>
        <w:gridCol w:w="123"/>
      </w:tblGrid>
      <w:tr>
        <w:trPr/>
        <w:tc>
          <w:tcPr>
            <w:tcW w:w="5291"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291"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Applicable Period</w:t>
            </w:r>
          </w:p>
        </w:tc>
        <w:tc>
          <w:tcPr>
            <w:tcW w:w="575" w:type="dxa"/>
            <w:tcBorders/>
            <w:shd w:fill="auto" w:val="clear"/>
            <w:vAlign w:val="bottom"/>
          </w:tcPr>
          <w:p>
            <w:pPr>
              <w:pStyle w:val="TableContents"/>
              <w:spacing w:before="0" w:after="283"/>
              <w:rPr/>
            </w:pPr>
            <w:r>
              <w:rPr/>
              <w:t>  </w:t>
            </w:r>
          </w:p>
        </w:tc>
        <w:tc>
          <w:tcPr>
            <w:tcW w:w="9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Maximum</w:t>
              <w:br/>
              <w:t>Consolidated</w:t>
              <w:br/>
              <w:t>Leverage Ratio</w:t>
            </w:r>
          </w:p>
        </w:tc>
        <w:tc>
          <w:tcPr>
            <w:tcW w:w="123" w:type="dxa"/>
            <w:tcBorders/>
            <w:shd w:fill="auto" w:val="clear"/>
            <w:vAlign w:val="bottom"/>
          </w:tcPr>
          <w:p>
            <w:pPr>
              <w:pStyle w:val="TableContents"/>
              <w:spacing w:before="0" w:after="283"/>
              <w:rPr/>
            </w:pPr>
            <w:r>
              <w:rPr/>
              <w:t> </w:t>
            </w:r>
          </w:p>
        </w:tc>
      </w:tr>
      <w:tr>
        <w:trPr/>
        <w:tc>
          <w:tcPr>
            <w:tcW w:w="5291" w:type="dxa"/>
            <w:tcBorders/>
            <w:shd w:fill="CCEEFF" w:val="clear"/>
          </w:tcPr>
          <w:p>
            <w:pPr>
              <w:pStyle w:val="TableContents"/>
              <w:spacing w:before="0" w:after="283"/>
              <w:rPr>
                <w:rFonts w:ascii="Times New Roman" w:hAnsi="Times New Roman"/>
                <w:sz w:val="20"/>
              </w:rPr>
            </w:pPr>
            <w:r>
              <w:rPr>
                <w:rFonts w:ascii="Times New Roman" w:hAnsi="Times New Roman"/>
                <w:sz w:val="20"/>
              </w:rPr>
              <w:t>During an Acquisition Period</w:t>
            </w:r>
          </w:p>
        </w:tc>
        <w:tc>
          <w:tcPr>
            <w:tcW w:w="575"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5.50:1.0</w:t>
            </w:r>
          </w:p>
        </w:tc>
        <w:tc>
          <w:tcPr>
            <w:tcW w:w="123" w:type="dxa"/>
            <w:tcBorders/>
            <w:shd w:fill="CCEEFF" w:val="clear"/>
            <w:vAlign w:val="bottom"/>
          </w:tcPr>
          <w:p>
            <w:pPr>
              <w:pStyle w:val="TableContents"/>
              <w:spacing w:before="0" w:after="283"/>
              <w:rPr/>
            </w:pPr>
            <w:r>
              <w:rPr/>
              <w:t>  </w:t>
            </w:r>
          </w:p>
        </w:tc>
      </w:tr>
      <w:tr>
        <w:trPr/>
        <w:tc>
          <w:tcPr>
            <w:tcW w:w="5291" w:type="dxa"/>
            <w:tcBorders/>
            <w:shd w:fill="auto" w:val="clear"/>
          </w:tcPr>
          <w:p>
            <w:pPr>
              <w:pStyle w:val="TableContents"/>
              <w:spacing w:before="0" w:after="283"/>
              <w:rPr>
                <w:rFonts w:ascii="Times New Roman" w:hAnsi="Times New Roman"/>
                <w:sz w:val="20"/>
              </w:rPr>
            </w:pPr>
            <w:r>
              <w:rPr>
                <w:rFonts w:ascii="Times New Roman" w:hAnsi="Times New Roman"/>
                <w:sz w:val="20"/>
              </w:rPr>
              <w:t>Other than during an Acquisition Period</w:t>
            </w:r>
          </w:p>
        </w:tc>
        <w:tc>
          <w:tcPr>
            <w:tcW w:w="575"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5.00:1.0</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 - 4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Compliance Certificate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rPr>
      </w:pPr>
      <w:r>
        <w:rPr>
          <w:rFonts w:ascii="Times New Roman" w:hAnsi="Times New Roman"/>
          <w:sz w:val="20"/>
        </w:rPr>
        <w:t xml:space="preserve">For the Quarter/Year ended              </w:t>
      </w:r>
    </w:p>
    <w:p>
      <w:pPr>
        <w:pStyle w:val="TextBody"/>
        <w:spacing w:before="180" w:after="0"/>
        <w:jc w:val="center"/>
        <w:rPr>
          <w:rFonts w:ascii="Times New Roman" w:hAnsi="Times New Roman"/>
          <w:b/>
          <w:sz w:val="20"/>
        </w:rPr>
      </w:pPr>
      <w:r>
        <w:rPr>
          <w:rFonts w:ascii="Times New Roman" w:hAnsi="Times New Roman"/>
          <w:b/>
          <w:sz w:val="20"/>
        </w:rPr>
        <w:t xml:space="preserve">SCHEDULE 2 </w:t>
      </w:r>
    </w:p>
    <w:p>
      <w:pPr>
        <w:pStyle w:val="TextBody"/>
        <w:spacing w:before="0" w:after="0"/>
        <w:jc w:val="center"/>
        <w:rPr>
          <w:rFonts w:ascii="Times New Roman" w:hAnsi="Times New Roman"/>
          <w:sz w:val="20"/>
        </w:rPr>
      </w:pPr>
      <w:r>
        <w:rPr>
          <w:rFonts w:ascii="Times New Roman" w:hAnsi="Times New Roman"/>
          <w:sz w:val="20"/>
        </w:rPr>
        <w:t xml:space="preserve">to the Compliance Certificate </w:t>
      </w:r>
    </w:p>
    <w:p>
      <w:pPr>
        <w:pStyle w:val="TextBody"/>
        <w:spacing w:before="180" w:after="0"/>
        <w:jc w:val="center"/>
        <w:rPr>
          <w:rFonts w:ascii="Times New Roman" w:hAnsi="Times New Roman"/>
          <w:b/>
          <w:sz w:val="20"/>
        </w:rPr>
      </w:pPr>
      <w:r>
        <w:rPr>
          <w:rFonts w:ascii="Times New Roman" w:hAnsi="Times New Roman"/>
          <w:b/>
          <w:sz w:val="20"/>
        </w:rPr>
        <w:t xml:space="preserve">Unrestricted Subsidiaries </w:t>
      </w:r>
    </w:p>
    <w:p>
      <w:pPr>
        <w:pStyle w:val="TextBody"/>
        <w:spacing w:before="360" w:after="0"/>
        <w:jc w:val="center"/>
        <w:rPr>
          <w:rFonts w:ascii="Times New Roman" w:hAnsi="Times New Roman"/>
          <w:i/>
          <w:sz w:val="20"/>
        </w:rPr>
      </w:pPr>
      <w:r>
        <w:rPr>
          <w:rFonts w:ascii="Times New Roman" w:hAnsi="Times New Roman"/>
          <w:i/>
          <w:sz w:val="20"/>
        </w:rPr>
        <w:t xml:space="preserve">[List each Unrestricted Subsidiary, as appropriate]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 - 5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Compliance Certificate </w:t>
      </w:r>
      <w:r>
        <w:br w:type="page"/>
      </w:r>
    </w:p>
    <w:p>
      <w:pPr>
        <w:pStyle w:val="HorizontalLine"/>
        <w:pBdr>
          <w:bottom w:val="double" w:sz="6" w:space="0" w:color="808080"/>
        </w:pBdr>
        <w:rPr/>
      </w:pPr>
      <w:r>
        <w:rPr/>
      </w:r>
    </w:p>
    <w:p>
      <w:pPr>
        <w:pStyle w:val="TextBody"/>
        <w:spacing w:before="0" w:after="0"/>
        <w:jc w:val="right"/>
        <w:rPr>
          <w:rFonts w:ascii="Times New Roman" w:hAnsi="Times New Roman"/>
          <w:b/>
          <w:i/>
          <w:sz w:val="20"/>
        </w:rPr>
      </w:pPr>
      <w:r>
        <w:rPr>
          <w:rFonts w:ascii="Times New Roman" w:hAnsi="Times New Roman"/>
          <w:b/>
          <w:i/>
          <w:sz w:val="20"/>
        </w:rPr>
        <w:t xml:space="preserve">EXHIBIT D-1 </w:t>
      </w:r>
    </w:p>
    <w:p>
      <w:pPr>
        <w:pStyle w:val="TextBody"/>
        <w:spacing w:before="180" w:after="0"/>
        <w:jc w:val="center"/>
        <w:rPr>
          <w:rFonts w:ascii="Times New Roman" w:hAnsi="Times New Roman"/>
          <w:b/>
          <w:sz w:val="20"/>
        </w:rPr>
      </w:pPr>
      <w:r>
        <w:rPr>
          <w:rFonts w:ascii="Times New Roman" w:hAnsi="Times New Roman"/>
          <w:b/>
          <w:sz w:val="20"/>
        </w:rPr>
        <w:t xml:space="preserve">ASSIGNMENT AND ASSUMPTION </w:t>
      </w:r>
    </w:p>
    <w:p>
      <w:pPr>
        <w:pStyle w:val="TextBody"/>
        <w:pBdr/>
        <w:spacing w:before="180" w:after="0"/>
        <w:rPr/>
      </w:pPr>
      <w:r>
        <w:rPr>
          <w:rFonts w:ascii="Times New Roman" w:hAnsi="Times New Roman"/>
          <w:sz w:val="20"/>
        </w:rPr>
        <w:t>This Assignment and Assumption (this </w:t>
      </w:r>
      <w:r>
        <w:rPr>
          <w:rFonts w:ascii="Times New Roman" w:hAnsi="Times New Roman"/>
          <w:sz w:val="20"/>
          <w:u w:val="single"/>
        </w:rPr>
        <w:t>Assignment and Assumption</w:t>
      </w:r>
      <w:r>
        <w:rPr>
          <w:rFonts w:ascii="Times New Roman" w:hAnsi="Times New Roman"/>
          <w:sz w:val="20"/>
        </w:rPr>
        <w:t>) is dated as of the Effective Date set forth below and is entered into by and between [the][each]</w:t>
      </w:r>
      <w:r>
        <w:rPr>
          <w:rFonts w:ascii="Times New Roman" w:hAnsi="Times New Roman"/>
          <w:sz w:val="14"/>
        </w:rPr>
        <w:t>1</w:t>
      </w:r>
      <w:r>
        <w:rPr/>
        <w:t xml:space="preserve"> </w:t>
      </w:r>
      <w:r>
        <w:rPr>
          <w:rFonts w:ascii="Times New Roman" w:hAnsi="Times New Roman"/>
          <w:sz w:val="20"/>
        </w:rPr>
        <w:t>Assignor identified in item 1 below ([the][each, an] </w:t>
      </w:r>
      <w:r>
        <w:rPr>
          <w:rFonts w:ascii="Times New Roman" w:hAnsi="Times New Roman"/>
          <w:sz w:val="20"/>
          <w:u w:val="single"/>
        </w:rPr>
        <w:t>Assignor</w:t>
      </w:r>
      <w:r>
        <w:rPr>
          <w:rFonts w:ascii="Times New Roman" w:hAnsi="Times New Roman"/>
          <w:sz w:val="20"/>
        </w:rPr>
        <w:t>) and [the][each]</w:t>
      </w:r>
      <w:r>
        <w:rPr>
          <w:rFonts w:ascii="Times New Roman" w:hAnsi="Times New Roman"/>
          <w:sz w:val="14"/>
        </w:rPr>
        <w:t>2</w:t>
      </w:r>
      <w:r>
        <w:rPr/>
        <w:t xml:space="preserve"> </w:t>
      </w:r>
      <w:r>
        <w:rPr>
          <w:rFonts w:ascii="Times New Roman" w:hAnsi="Times New Roman"/>
          <w:sz w:val="20"/>
        </w:rPr>
        <w:t>Assignee identified in item 2 below ([the][each, an] </w:t>
      </w:r>
      <w:r>
        <w:rPr>
          <w:rFonts w:ascii="Times New Roman" w:hAnsi="Times New Roman"/>
          <w:sz w:val="20"/>
          <w:u w:val="single"/>
        </w:rPr>
        <w:t>Assignee</w:t>
      </w:r>
      <w:r>
        <w:rPr>
          <w:rFonts w:ascii="Times New Roman" w:hAnsi="Times New Roman"/>
          <w:sz w:val="20"/>
        </w:rPr>
        <w:t>). [It is understood and agreed that the rights and obligations of [the Assignors][the Assignees]</w:t>
      </w:r>
      <w:r>
        <w:rPr>
          <w:rFonts w:ascii="Times New Roman" w:hAnsi="Times New Roman"/>
          <w:sz w:val="14"/>
        </w:rPr>
        <w:t>3</w:t>
      </w:r>
      <w:r>
        <w:rPr/>
        <w:t xml:space="preserve"> </w:t>
      </w:r>
      <w:r>
        <w:rPr>
          <w:rFonts w:ascii="Times New Roman" w:hAnsi="Times New Roman"/>
          <w:sz w:val="20"/>
        </w:rPr>
        <w:t>hereunder are several and not joint.]</w:t>
      </w:r>
      <w:r>
        <w:rPr>
          <w:rFonts w:ascii="Times New Roman" w:hAnsi="Times New Roman"/>
          <w:sz w:val="14"/>
        </w:rPr>
        <w:t>4</w:t>
      </w:r>
      <w:r>
        <w:rPr/>
        <w:t xml:space="preserve"> </w:t>
      </w:r>
      <w:r>
        <w:rPr>
          <w:rFonts w:ascii="Times New Roman" w:hAnsi="Times New Roman"/>
          <w:sz w:val="20"/>
        </w:rPr>
        <w:t>Capitalized terms used but not defined herein shall have the meanings given to them in the Credit Agreement identified below (the </w:t>
      </w:r>
      <w:r>
        <w:rPr>
          <w:rFonts w:ascii="Times New Roman" w:hAnsi="Times New Roman"/>
          <w:sz w:val="20"/>
          <w:u w:val="single"/>
        </w:rPr>
        <w:t>Credit Agreement</w:t>
      </w:r>
      <w:r>
        <w:rPr>
          <w:rFonts w:ascii="Times New Roman" w:hAnsi="Times New Roman"/>
          <w:sz w:val="20"/>
        </w:rPr>
        <w:t xml:space="preserve">), receipt of a copy of which is hereby acknowledged by the Assignee. The Standard Terms and Conditions set forth in Annex 1 attached hereto are hereby agreed to and incorporated herein by reference and made a part of this Assignment and Assumption as if set forth herein in full. </w:t>
      </w:r>
    </w:p>
    <w:p>
      <w:pPr>
        <w:pStyle w:val="TextBody"/>
        <w:pBdr/>
        <w:spacing w:before="180" w:after="0"/>
        <w:rPr/>
      </w:pPr>
      <w:r>
        <w:rPr>
          <w:rFonts w:ascii="Times New Roman" w:hAnsi="Times New Roman"/>
          <w:sz w:val="20"/>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(including, without limitation, the Letters of Credit and the Swing Line Loans included in such facilities</w:t>
      </w:r>
      <w:r>
        <w:rPr>
          <w:rFonts w:ascii="Times New Roman" w:hAnsi="Times New Roman"/>
          <w:sz w:val="14"/>
        </w:rPr>
        <w:t>5</w:t>
      </w:r>
      <w:r>
        <w:rPr>
          <w:rFonts w:ascii="Times New Roman" w:hAnsi="Times New Roman"/>
          <w:sz w:val="20"/>
        </w:rPr>
        <w:t xml:space="preserve">)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bracketed language here and elsewhere in this form relating to the Assignor(s), if the assignment is from a single Assignor, choose the first bracketed language. If the assignment is from multiple Assignors, choose the second bracketed language.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bracketed language here and elsewhere in this form relating to the Assignee(s), if the assignment is to a single Assignee, choose the first bracketed language. If the assignment is to multiple Assignees, choose the second bracketed language.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Select as appropriate.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4 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 bracketed language if there are either multiple Assignors or multiple Assignees.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5 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 all applicable subfacilities.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D-1 - 1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Assignment and Assumption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assigned by [the][any] Assignor to [the][any] Assignee pursuant to clauses (i) and (ii) above being referred to herein collectively as [the][an] </w:t>
      </w:r>
      <w:r>
        <w:rPr>
          <w:rFonts w:ascii="Times New Roman" w:hAnsi="Times New Roman"/>
          <w:sz w:val="20"/>
          <w:u w:val="single"/>
        </w:rPr>
        <w:t>Assigned Interest</w:t>
      </w:r>
      <w:r>
        <w:rPr>
          <w:rFonts w:ascii="Times New Roman" w:hAnsi="Times New Roman"/>
          <w:sz w:val="20"/>
        </w:rPr>
        <w:t xml:space="preserve">). Each such sale and assignment is without recourse to [the][any] Assignor and, except as expressly provided in this Assignment and Assumption, without representation or warranty by [the][any] Assignor.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170"/>
        <w:gridCol w:w="156"/>
        <w:gridCol w:w="1211"/>
        <w:gridCol w:w="156"/>
        <w:gridCol w:w="23"/>
        <w:gridCol w:w="156"/>
        <w:gridCol w:w="2210"/>
      </w:tblGrid>
      <w:tr>
        <w:trPr/>
        <w:tc>
          <w:tcPr>
            <w:tcW w:w="17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70" w:type="dxa"/>
            <w:tcBorders/>
            <w:shd w:fill="auto" w:val="clear"/>
            <w:vAlign w:val="center"/>
          </w:tcPr>
          <w:p>
            <w:pPr>
              <w:pStyle w:val="TableContents"/>
              <w:spacing w:before="0" w:after="283"/>
              <w:rPr>
                <w:sz w:val="4"/>
                <w:szCs w:val="4"/>
              </w:rPr>
            </w:pPr>
            <w:r>
              <w:rPr>
                <w:sz w:val="4"/>
                <w:szCs w:val="4"/>
              </w:rPr>
            </w:r>
          </w:p>
        </w:tc>
        <w:tc>
          <w:tcPr>
            <w:tcW w:w="1367" w:type="dxa"/>
            <w:gridSpan w:val="2"/>
            <w:tcBorders/>
            <w:shd w:fill="auto" w:val="clear"/>
            <w:vAlign w:val="center"/>
          </w:tcPr>
          <w:p>
            <w:pPr>
              <w:pStyle w:val="TableContents"/>
              <w:spacing w:before="0" w:after="283"/>
              <w:rPr>
                <w:sz w:val="4"/>
                <w:szCs w:val="4"/>
              </w:rPr>
            </w:pPr>
            <w:r>
              <w:rPr>
                <w:sz w:val="4"/>
                <w:szCs w:val="4"/>
              </w:rPr>
            </w:r>
          </w:p>
        </w:tc>
        <w:tc>
          <w:tcPr>
            <w:tcW w:w="179" w:type="dxa"/>
            <w:gridSpan w:val="2"/>
            <w:tcBorders/>
            <w:shd w:fill="auto" w:val="clear"/>
            <w:vAlign w:val="center"/>
          </w:tcPr>
          <w:p>
            <w:pPr>
              <w:pStyle w:val="TableContents"/>
              <w:spacing w:before="0" w:after="283"/>
              <w:rPr>
                <w:sz w:val="4"/>
                <w:szCs w:val="4"/>
              </w:rPr>
            </w:pPr>
            <w:r>
              <w:rPr>
                <w:sz w:val="4"/>
                <w:szCs w:val="4"/>
              </w:rPr>
            </w:r>
          </w:p>
        </w:tc>
        <w:tc>
          <w:tcPr>
            <w:tcW w:w="2366"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156" w:type="dxa"/>
            <w:tcBorders/>
            <w:shd w:fill="auto" w:val="clear"/>
            <w:vAlign w:val="bottom"/>
          </w:tcPr>
          <w:p>
            <w:pPr>
              <w:pStyle w:val="TableContents"/>
              <w:spacing w:before="0" w:after="283"/>
              <w:rPr/>
            </w:pPr>
            <w:r>
              <w:rPr/>
              <w:t>  </w:t>
            </w:r>
          </w:p>
        </w:tc>
        <w:tc>
          <w:tcPr>
            <w:tcW w:w="1211" w:type="dxa"/>
            <w:tcBorders/>
            <w:shd w:fill="auto" w:val="clear"/>
          </w:tcPr>
          <w:p>
            <w:pPr>
              <w:pStyle w:val="TableContents"/>
              <w:spacing w:before="0" w:after="283"/>
              <w:rPr>
                <w:rFonts w:ascii="Times New Roman" w:hAnsi="Times New Roman"/>
                <w:sz w:val="20"/>
              </w:rPr>
            </w:pPr>
            <w:r>
              <w:rPr>
                <w:rFonts w:ascii="Times New Roman" w:hAnsi="Times New Roman"/>
                <w:sz w:val="20"/>
              </w:rPr>
              <w:t>Assignor[s]:</w:t>
            </w:r>
          </w:p>
        </w:tc>
        <w:tc>
          <w:tcPr>
            <w:tcW w:w="15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56" w:type="dxa"/>
            <w:tcBorders>
              <w:bottom w:val="single" w:sz="2" w:space="0" w:color="000000"/>
            </w:tcBorders>
            <w:shd w:fill="auto" w:val="clear"/>
            <w:tcMar>
              <w:bottom w:w="28" w:type="dxa"/>
            </w:tcMar>
            <w:vAlign w:val="bottom"/>
          </w:tcPr>
          <w:p>
            <w:pPr>
              <w:pStyle w:val="TableContents"/>
              <w:spacing w:before="0" w:after="283"/>
              <w:rPr/>
            </w:pPr>
            <w:r>
              <w:rPr/>
              <w:t>  </w:t>
            </w:r>
          </w:p>
        </w:tc>
        <w:tc>
          <w:tcPr>
            <w:tcW w:w="2210" w:type="dxa"/>
            <w:tcBorders>
              <w:bottom w:val="single" w:sz="2" w:space="0" w:color="000000"/>
            </w:tcBorders>
            <w:shd w:fill="auto" w:val="clear"/>
            <w:tcMar>
              <w:bottom w:w="28" w:type="dxa"/>
            </w:tcMar>
          </w:tcPr>
          <w:p>
            <w:pPr>
              <w:pStyle w:val="TableContents"/>
              <w:spacing w:before="0" w:after="283"/>
              <w:rPr/>
            </w:pPr>
            <w:r>
              <w:rPr/>
              <w:t> </w:t>
            </w:r>
          </w:p>
        </w:tc>
      </w:tr>
      <w:tr>
        <w:trPr>
          <w:trHeight w:val="120" w:hRule="atLeast"/>
        </w:trPr>
        <w:tc>
          <w:tcPr>
            <w:tcW w:w="170" w:type="dxa"/>
            <w:tcBorders/>
            <w:shd w:fill="auto" w:val="clear"/>
            <w:vAlign w:val="center"/>
          </w:tcPr>
          <w:p>
            <w:pPr>
              <w:pStyle w:val="TableContents"/>
              <w:spacing w:before="0" w:after="283"/>
              <w:rPr>
                <w:sz w:val="4"/>
                <w:szCs w:val="4"/>
              </w:rPr>
            </w:pPr>
            <w:r>
              <w:rPr>
                <w:sz w:val="4"/>
                <w:szCs w:val="4"/>
              </w:rPr>
            </w:r>
          </w:p>
        </w:tc>
        <w:tc>
          <w:tcPr>
            <w:tcW w:w="1367" w:type="dxa"/>
            <w:gridSpan w:val="2"/>
            <w:tcBorders/>
            <w:shd w:fill="auto" w:val="clear"/>
            <w:vAlign w:val="center"/>
          </w:tcPr>
          <w:p>
            <w:pPr>
              <w:pStyle w:val="TableContents"/>
              <w:spacing w:before="0" w:after="283"/>
              <w:rPr>
                <w:sz w:val="4"/>
                <w:szCs w:val="4"/>
              </w:rPr>
            </w:pPr>
            <w:r>
              <w:rPr>
                <w:sz w:val="4"/>
                <w:szCs w:val="4"/>
              </w:rPr>
            </w:r>
          </w:p>
        </w:tc>
        <w:tc>
          <w:tcPr>
            <w:tcW w:w="179" w:type="dxa"/>
            <w:gridSpan w:val="2"/>
            <w:tcBorders/>
            <w:shd w:fill="auto" w:val="clear"/>
            <w:vAlign w:val="center"/>
          </w:tcPr>
          <w:p>
            <w:pPr>
              <w:pStyle w:val="TableContents"/>
              <w:spacing w:before="0" w:after="283"/>
              <w:rPr>
                <w:sz w:val="4"/>
                <w:szCs w:val="4"/>
              </w:rPr>
            </w:pPr>
            <w:r>
              <w:rPr>
                <w:sz w:val="4"/>
                <w:szCs w:val="4"/>
              </w:rPr>
            </w:r>
          </w:p>
        </w:tc>
        <w:tc>
          <w:tcPr>
            <w:tcW w:w="2366"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1211" w:type="dxa"/>
            <w:tcBorders/>
            <w:shd w:fill="auto" w:val="clea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56" w:type="dxa"/>
            <w:tcBorders>
              <w:bottom w:val="single" w:sz="2" w:space="0" w:color="000000"/>
            </w:tcBorders>
            <w:shd w:fill="auto" w:val="clear"/>
            <w:tcMar>
              <w:bottom w:w="28" w:type="dxa"/>
            </w:tcMar>
            <w:vAlign w:val="bottom"/>
          </w:tcPr>
          <w:p>
            <w:pPr>
              <w:pStyle w:val="TableContents"/>
              <w:spacing w:before="0" w:after="283"/>
              <w:rPr/>
            </w:pPr>
            <w:r>
              <w:rPr/>
              <w:t>  </w:t>
            </w:r>
          </w:p>
        </w:tc>
        <w:tc>
          <w:tcPr>
            <w:tcW w:w="2210" w:type="dxa"/>
            <w:tcBorders>
              <w:bottom w:val="single" w:sz="2" w:space="0" w:color="000000"/>
            </w:tcBorders>
            <w:shd w:fill="auto" w:val="clear"/>
            <w:tcMar>
              <w:bottom w:w="28" w:type="dxa"/>
            </w:tcMar>
          </w:tcPr>
          <w:p>
            <w:pPr>
              <w:pStyle w:val="TableContents"/>
              <w:spacing w:before="0" w:after="283"/>
              <w:rPr/>
            </w:pPr>
            <w:r>
              <w:rPr/>
              <w:t> </w:t>
            </w:r>
          </w:p>
        </w:tc>
      </w:tr>
      <w:tr>
        <w:trPr>
          <w:trHeight w:val="120" w:hRule="atLeast"/>
        </w:trPr>
        <w:tc>
          <w:tcPr>
            <w:tcW w:w="170" w:type="dxa"/>
            <w:tcBorders/>
            <w:shd w:fill="auto" w:val="clear"/>
            <w:vAlign w:val="center"/>
          </w:tcPr>
          <w:p>
            <w:pPr>
              <w:pStyle w:val="TableContents"/>
              <w:spacing w:before="0" w:after="283"/>
              <w:rPr>
                <w:sz w:val="4"/>
                <w:szCs w:val="4"/>
              </w:rPr>
            </w:pPr>
            <w:r>
              <w:rPr>
                <w:sz w:val="4"/>
                <w:szCs w:val="4"/>
              </w:rPr>
            </w:r>
          </w:p>
        </w:tc>
        <w:tc>
          <w:tcPr>
            <w:tcW w:w="1367" w:type="dxa"/>
            <w:gridSpan w:val="2"/>
            <w:tcBorders/>
            <w:shd w:fill="auto" w:val="clear"/>
            <w:vAlign w:val="center"/>
          </w:tcPr>
          <w:p>
            <w:pPr>
              <w:pStyle w:val="TableContents"/>
              <w:spacing w:before="0" w:after="283"/>
              <w:rPr>
                <w:sz w:val="4"/>
                <w:szCs w:val="4"/>
              </w:rPr>
            </w:pPr>
            <w:r>
              <w:rPr>
                <w:sz w:val="4"/>
                <w:szCs w:val="4"/>
              </w:rPr>
            </w:r>
          </w:p>
        </w:tc>
        <w:tc>
          <w:tcPr>
            <w:tcW w:w="179" w:type="dxa"/>
            <w:gridSpan w:val="2"/>
            <w:tcBorders/>
            <w:shd w:fill="auto" w:val="clear"/>
            <w:vAlign w:val="center"/>
          </w:tcPr>
          <w:p>
            <w:pPr>
              <w:pStyle w:val="TableContents"/>
              <w:spacing w:before="0" w:after="283"/>
              <w:rPr>
                <w:sz w:val="4"/>
                <w:szCs w:val="4"/>
              </w:rPr>
            </w:pPr>
            <w:r>
              <w:rPr>
                <w:sz w:val="4"/>
                <w:szCs w:val="4"/>
              </w:rPr>
            </w:r>
          </w:p>
        </w:tc>
        <w:tc>
          <w:tcPr>
            <w:tcW w:w="2366"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156" w:type="dxa"/>
            <w:tcBorders/>
            <w:shd w:fill="auto" w:val="clear"/>
            <w:vAlign w:val="bottom"/>
          </w:tcPr>
          <w:p>
            <w:pPr>
              <w:pStyle w:val="TableContents"/>
              <w:spacing w:before="0" w:after="283"/>
              <w:rPr/>
            </w:pPr>
            <w:r>
              <w:rPr/>
              <w:t>  </w:t>
            </w:r>
          </w:p>
        </w:tc>
        <w:tc>
          <w:tcPr>
            <w:tcW w:w="1211" w:type="dxa"/>
            <w:tcBorders/>
            <w:shd w:fill="auto" w:val="clear"/>
          </w:tcPr>
          <w:p>
            <w:pPr>
              <w:pStyle w:val="TableContents"/>
              <w:spacing w:before="0" w:after="283"/>
              <w:rPr>
                <w:rFonts w:ascii="Times New Roman" w:hAnsi="Times New Roman"/>
                <w:sz w:val="20"/>
              </w:rPr>
            </w:pPr>
            <w:r>
              <w:rPr>
                <w:rFonts w:ascii="Times New Roman" w:hAnsi="Times New Roman"/>
                <w:sz w:val="20"/>
              </w:rPr>
              <w:t>Assignee[s]:</w:t>
            </w:r>
          </w:p>
        </w:tc>
        <w:tc>
          <w:tcPr>
            <w:tcW w:w="15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56" w:type="dxa"/>
            <w:tcBorders>
              <w:bottom w:val="single" w:sz="2" w:space="0" w:color="000000"/>
            </w:tcBorders>
            <w:shd w:fill="auto" w:val="clear"/>
            <w:tcMar>
              <w:bottom w:w="28" w:type="dxa"/>
            </w:tcMar>
            <w:vAlign w:val="bottom"/>
          </w:tcPr>
          <w:p>
            <w:pPr>
              <w:pStyle w:val="TableContents"/>
              <w:spacing w:before="0" w:after="283"/>
              <w:rPr/>
            </w:pPr>
            <w:r>
              <w:rPr/>
              <w:t>  </w:t>
            </w:r>
          </w:p>
        </w:tc>
        <w:tc>
          <w:tcPr>
            <w:tcW w:w="2210" w:type="dxa"/>
            <w:tcBorders>
              <w:bottom w:val="single" w:sz="2" w:space="0" w:color="000000"/>
            </w:tcBorders>
            <w:shd w:fill="auto" w:val="clear"/>
            <w:tcMar>
              <w:bottom w:w="28" w:type="dxa"/>
            </w:tcMar>
          </w:tcPr>
          <w:p>
            <w:pPr>
              <w:pStyle w:val="TableContents"/>
              <w:spacing w:before="0" w:after="283"/>
              <w:rPr/>
            </w:pPr>
            <w:r>
              <w:rPr/>
              <w:t> </w:t>
            </w:r>
          </w:p>
        </w:tc>
      </w:tr>
      <w:tr>
        <w:trPr>
          <w:trHeight w:val="120" w:hRule="atLeast"/>
        </w:trPr>
        <w:tc>
          <w:tcPr>
            <w:tcW w:w="170" w:type="dxa"/>
            <w:tcBorders/>
            <w:shd w:fill="auto" w:val="clear"/>
            <w:vAlign w:val="center"/>
          </w:tcPr>
          <w:p>
            <w:pPr>
              <w:pStyle w:val="TableContents"/>
              <w:spacing w:before="0" w:after="283"/>
              <w:rPr>
                <w:sz w:val="4"/>
                <w:szCs w:val="4"/>
              </w:rPr>
            </w:pPr>
            <w:r>
              <w:rPr>
                <w:sz w:val="4"/>
                <w:szCs w:val="4"/>
              </w:rPr>
            </w:r>
          </w:p>
        </w:tc>
        <w:tc>
          <w:tcPr>
            <w:tcW w:w="1367" w:type="dxa"/>
            <w:gridSpan w:val="2"/>
            <w:tcBorders/>
            <w:shd w:fill="auto" w:val="clear"/>
            <w:vAlign w:val="center"/>
          </w:tcPr>
          <w:p>
            <w:pPr>
              <w:pStyle w:val="TableContents"/>
              <w:spacing w:before="0" w:after="283"/>
              <w:rPr>
                <w:sz w:val="4"/>
                <w:szCs w:val="4"/>
              </w:rPr>
            </w:pPr>
            <w:r>
              <w:rPr>
                <w:sz w:val="4"/>
                <w:szCs w:val="4"/>
              </w:rPr>
            </w:r>
          </w:p>
        </w:tc>
        <w:tc>
          <w:tcPr>
            <w:tcW w:w="179" w:type="dxa"/>
            <w:gridSpan w:val="2"/>
            <w:tcBorders/>
            <w:shd w:fill="auto" w:val="clear"/>
            <w:vAlign w:val="center"/>
          </w:tcPr>
          <w:p>
            <w:pPr>
              <w:pStyle w:val="TableContents"/>
              <w:spacing w:before="0" w:after="283"/>
              <w:rPr>
                <w:sz w:val="4"/>
                <w:szCs w:val="4"/>
              </w:rPr>
            </w:pPr>
            <w:r>
              <w:rPr>
                <w:sz w:val="4"/>
                <w:szCs w:val="4"/>
              </w:rPr>
            </w:r>
          </w:p>
        </w:tc>
        <w:tc>
          <w:tcPr>
            <w:tcW w:w="2366" w:type="dxa"/>
            <w:gridSpan w:val="2"/>
            <w:tcBorders/>
            <w:shd w:fill="auto" w:val="clear"/>
            <w:vAlign w:val="center"/>
          </w:tcPr>
          <w:p>
            <w:pPr>
              <w:pStyle w:val="TableContents"/>
              <w:spacing w:before="0" w:after="283"/>
              <w:rPr>
                <w:sz w:val="4"/>
                <w:szCs w:val="4"/>
              </w:rPr>
            </w:pPr>
            <w:r>
              <w:rPr>
                <w:sz w:val="4"/>
                <w:szCs w:val="4"/>
              </w:rPr>
            </w:r>
          </w:p>
        </w:tc>
      </w:tr>
      <w:tr>
        <w:trPr/>
        <w:tc>
          <w:tcPr>
            <w:tcW w:w="170" w:type="dxa"/>
            <w:tcBorders/>
            <w:shd w:fill="auto" w:val="clea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1211" w:type="dxa"/>
            <w:tcBorders/>
            <w:shd w:fill="auto" w:val="clea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56" w:type="dxa"/>
            <w:tcBorders>
              <w:bottom w:val="single" w:sz="2" w:space="0" w:color="000000"/>
            </w:tcBorders>
            <w:shd w:fill="auto" w:val="clear"/>
            <w:tcMar>
              <w:bottom w:w="28" w:type="dxa"/>
            </w:tcMar>
            <w:vAlign w:val="bottom"/>
          </w:tcPr>
          <w:p>
            <w:pPr>
              <w:pStyle w:val="TableContents"/>
              <w:spacing w:before="0" w:after="283"/>
              <w:rPr/>
            </w:pPr>
            <w:r>
              <w:rPr/>
              <w:t>  </w:t>
            </w:r>
          </w:p>
        </w:tc>
        <w:tc>
          <w:tcPr>
            <w:tcW w:w="2210" w:type="dxa"/>
            <w:tcBorders>
              <w:bottom w:val="single" w:sz="2" w:space="0" w:color="000000"/>
            </w:tcBorders>
            <w:shd w:fill="auto" w:val="clear"/>
            <w:tcMar>
              <w:bottom w:w="28" w:type="dxa"/>
            </w:tcMar>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[for each Assignee, indicate [Affiliate][Approved Fund] of [</w:t>
      </w:r>
      <w:r>
        <w:rPr>
          <w:rFonts w:ascii="Times New Roman" w:hAnsi="Times New Roman"/>
          <w:i/>
          <w:sz w:val="20"/>
        </w:rPr>
        <w:t>identify Lender</w:t>
      </w:r>
      <w:r>
        <w:rPr>
          <w:rFonts w:ascii="Times New Roman" w:hAnsi="Times New Roman"/>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Borrower(s)</w:t>
            </w:r>
            <w:r>
              <w:rPr>
                <w:rFonts w:ascii="Times New Roman" w:hAnsi="Times New Roman"/>
                <w:sz w:val="20"/>
              </w:rPr>
              <w:t xml:space="preserve">: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Administrative Agent</w:t>
            </w:r>
            <w:r>
              <w:rPr>
                <w:rFonts w:ascii="Times New Roman" w:hAnsi="Times New Roman"/>
                <w:sz w:val="20"/>
              </w:rPr>
              <w:t xml:space="preserve">: DNB Bank ASA, as the administrative agent under the Credit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Credit Agreement</w:t>
            </w:r>
            <w:r>
              <w:rPr>
                <w:rFonts w:ascii="Times New Roman" w:hAnsi="Times New Roman"/>
                <w:sz w:val="20"/>
              </w:rPr>
              <w:t xml:space="preserve">: 364-Day Credit Agreement, dated as of December 9, 2011, among Plains All American Pipeline, L.P., a Delaware limited partnership, DNB Bank ASA, as Administrative Agent, and the Lenders from time to time party thereto, as amended and in effect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Assigned Interest[s]</w:t>
            </w:r>
            <w:r>
              <w:rPr>
                <w:rFonts w:ascii="Times New Roman" w:hAnsi="Times New Roman"/>
                <w:sz w:val="20"/>
              </w:rPr>
              <w:t xml:space="preserve">: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384"/>
        <w:gridCol w:w="390"/>
        <w:gridCol w:w="1111"/>
        <w:gridCol w:w="390"/>
        <w:gridCol w:w="636"/>
        <w:gridCol w:w="424"/>
        <w:gridCol w:w="1287"/>
        <w:gridCol w:w="60"/>
        <w:gridCol w:w="120"/>
        <w:gridCol w:w="424"/>
        <w:gridCol w:w="1286"/>
        <w:gridCol w:w="60"/>
        <w:gridCol w:w="120"/>
        <w:gridCol w:w="424"/>
        <w:gridCol w:w="60"/>
        <w:gridCol w:w="978"/>
        <w:gridCol w:w="230"/>
        <w:gridCol w:w="333"/>
        <w:gridCol w:w="488"/>
      </w:tblGrid>
      <w:tr>
        <w:trPr/>
        <w:tc>
          <w:tcPr>
            <w:tcW w:w="138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bottom"/>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r>
      <w:tr>
        <w:trPr/>
        <w:tc>
          <w:tcPr>
            <w:tcW w:w="1384"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Assignor[s]6</w:t>
            </w:r>
          </w:p>
        </w:tc>
        <w:tc>
          <w:tcPr>
            <w:tcW w:w="390" w:type="dxa"/>
            <w:tcBorders/>
            <w:shd w:fill="auto" w:val="clear"/>
            <w:vAlign w:val="bottom"/>
          </w:tcPr>
          <w:p>
            <w:pPr>
              <w:pStyle w:val="TableContents"/>
              <w:spacing w:before="0" w:after="283"/>
              <w:rPr/>
            </w:pPr>
            <w:r>
              <w:rPr/>
              <w:t>  </w:t>
            </w:r>
          </w:p>
        </w:tc>
        <w:tc>
          <w:tcPr>
            <w:tcW w:w="1111"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sz w:val="14"/>
              </w:rPr>
            </w:pPr>
            <w:r>
              <w:rPr>
                <w:rFonts w:ascii="Times New Roman" w:hAnsi="Times New Roman"/>
                <w:sz w:val="14"/>
              </w:rPr>
              <w:t>Assignee[s]7</w:t>
            </w:r>
          </w:p>
        </w:tc>
        <w:tc>
          <w:tcPr>
            <w:tcW w:w="390" w:type="dxa"/>
            <w:tcBorders/>
            <w:shd w:fill="auto" w:val="clear"/>
            <w:vAlign w:val="bottom"/>
          </w:tcPr>
          <w:p>
            <w:pPr>
              <w:pStyle w:val="TableContents"/>
              <w:spacing w:before="0" w:after="283"/>
              <w:rPr/>
            </w:pPr>
            <w:r>
              <w:rPr/>
              <w:t>  </w:t>
            </w:r>
          </w:p>
        </w:tc>
        <w:tc>
          <w:tcPr>
            <w:tcW w:w="636"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Facility</w:t>
            </w:r>
            <w:r>
              <w:rPr/>
              <w:br/>
            </w:r>
            <w:r>
              <w:rPr>
                <w:rFonts w:ascii="Times New Roman" w:hAnsi="Times New Roman"/>
                <w:sz w:val="14"/>
              </w:rPr>
              <w:t>Assigned8</w:t>
            </w:r>
          </w:p>
        </w:tc>
        <w:tc>
          <w:tcPr>
            <w:tcW w:w="424" w:type="dxa"/>
            <w:tcBorders/>
            <w:shd w:fill="auto" w:val="clear"/>
            <w:vAlign w:val="bottom"/>
          </w:tcPr>
          <w:p>
            <w:pPr>
              <w:pStyle w:val="TableContents"/>
              <w:spacing w:before="0" w:after="283"/>
              <w:rPr/>
            </w:pPr>
            <w:r>
              <w:rPr/>
              <w:t>  </w:t>
            </w:r>
          </w:p>
        </w:tc>
        <w:tc>
          <w:tcPr>
            <w:tcW w:w="134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Aggregate</w:t>
            </w:r>
            <w:r>
              <w:rPr/>
              <w:br/>
            </w:r>
            <w:r>
              <w:rPr>
                <w:rFonts w:ascii="Times New Roman" w:hAnsi="Times New Roman"/>
                <w:sz w:val="14"/>
              </w:rPr>
              <w:t>Amount of</w:t>
            </w:r>
            <w:r>
              <w:rPr/>
              <w:br/>
            </w:r>
            <w:r>
              <w:rPr>
                <w:rFonts w:ascii="Times New Roman" w:hAnsi="Times New Roman"/>
                <w:sz w:val="14"/>
              </w:rPr>
              <w:t>Commitment</w:t>
            </w:r>
            <w:r>
              <w:rPr/>
              <w:br/>
            </w:r>
            <w:r>
              <w:rPr>
                <w:rFonts w:ascii="Times New Roman" w:hAnsi="Times New Roman"/>
                <w:sz w:val="14"/>
              </w:rPr>
              <w:t>for all Lenders9</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346"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Amount of</w:t>
            </w:r>
            <w:r>
              <w:rPr/>
              <w:br/>
            </w:r>
            <w:r>
              <w:rPr>
                <w:rFonts w:ascii="Times New Roman" w:hAnsi="Times New Roman"/>
                <w:sz w:val="14"/>
              </w:rPr>
              <w:t>Commitment</w:t>
            </w:r>
            <w:r>
              <w:rPr/>
              <w:br/>
            </w:r>
            <w:r>
              <w:rPr>
                <w:rFonts w:ascii="Times New Roman" w:hAnsi="Times New Roman"/>
                <w:sz w:val="14"/>
              </w:rPr>
              <w:t>Assigned</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038"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Percentage</w:t>
            </w:r>
            <w:r>
              <w:rPr/>
              <w:br/>
            </w:r>
            <w:r>
              <w:rPr>
                <w:rFonts w:ascii="Times New Roman" w:hAnsi="Times New Roman"/>
                <w:sz w:val="14"/>
              </w:rPr>
              <w:t>Assigned of</w:t>
            </w:r>
            <w:r>
              <w:rPr/>
              <w:br/>
            </w:r>
            <w:r>
              <w:rPr>
                <w:rFonts w:ascii="Times New Roman" w:hAnsi="Times New Roman"/>
                <w:sz w:val="14"/>
              </w:rPr>
              <w:t>Commitment10</w:t>
            </w:r>
          </w:p>
        </w:tc>
        <w:tc>
          <w:tcPr>
            <w:tcW w:w="23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488"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sz w:val="14"/>
              </w:rPr>
              <w:t>CUSIP</w:t>
            </w:r>
            <w:r>
              <w:rPr/>
              <w:br/>
            </w:r>
            <w:r>
              <w:rPr>
                <w:rFonts w:ascii="Times New Roman" w:hAnsi="Times New Roman"/>
                <w:sz w:val="14"/>
              </w:rPr>
              <w:t>Number</w:t>
            </w:r>
          </w:p>
        </w:tc>
      </w:tr>
      <w:tr>
        <w:trPr/>
        <w:tc>
          <w:tcPr>
            <w:tcW w:w="1384" w:type="dxa"/>
            <w:tcBorders/>
            <w:shd w:fill="auto" w:val="clea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sz w:val="20"/>
                <w:u w:val="single"/>
              </w:rPr>
              <w:t>                         </w:t>
            </w:r>
          </w:p>
        </w:tc>
        <w:tc>
          <w:tcPr>
            <w:tcW w:w="60"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sz w:val="20"/>
                <w:u w:val="single"/>
              </w:rPr>
              <w:t>                         </w:t>
            </w:r>
          </w:p>
        </w:tc>
        <w:tc>
          <w:tcPr>
            <w:tcW w:w="60"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8"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3"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sz w:val="4"/>
                <w:szCs w:val="4"/>
              </w:rPr>
            </w:pPr>
            <w:r>
              <w:rPr>
                <w:sz w:val="4"/>
                <w:szCs w:val="4"/>
              </w:rPr>
            </w:r>
          </w:p>
        </w:tc>
      </w:tr>
      <w:tr>
        <w:trPr/>
        <w:tc>
          <w:tcPr>
            <w:tcW w:w="1384"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pBdr>
                <w:top w:val="single" w:sz="2" w:space="1" w:color="000000"/>
              </w:pBdr>
              <w:spacing w:before="0" w:after="283"/>
              <w:rPr/>
            </w:pPr>
            <w:r>
              <w:rPr/>
              <w:t> </w:t>
            </w:r>
          </w:p>
        </w:tc>
        <w:tc>
          <w:tcPr>
            <w:tcW w:w="424"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978"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sz w:val="4"/>
                <w:szCs w:val="4"/>
              </w:rPr>
            </w:pPr>
            <w:r>
              <w:rPr>
                <w:sz w:val="4"/>
                <w:szCs w:val="4"/>
              </w:rPr>
            </w:r>
          </w:p>
        </w:tc>
      </w:tr>
      <w:tr>
        <w:trPr/>
        <w:tc>
          <w:tcPr>
            <w:tcW w:w="1384" w:type="dxa"/>
            <w:tcBorders/>
            <w:shd w:fill="auto" w:val="clea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sz w:val="20"/>
                <w:u w:val="single"/>
              </w:rPr>
              <w:t>                         </w:t>
            </w:r>
          </w:p>
        </w:tc>
        <w:tc>
          <w:tcPr>
            <w:tcW w:w="60"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sz w:val="20"/>
                <w:u w:val="single"/>
              </w:rPr>
              <w:t>                         </w:t>
            </w:r>
          </w:p>
        </w:tc>
        <w:tc>
          <w:tcPr>
            <w:tcW w:w="60"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8"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3"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sz w:val="4"/>
                <w:szCs w:val="4"/>
              </w:rPr>
            </w:pPr>
            <w:r>
              <w:rPr>
                <w:sz w:val="4"/>
                <w:szCs w:val="4"/>
              </w:rPr>
            </w:r>
          </w:p>
        </w:tc>
      </w:tr>
      <w:tr>
        <w:trPr/>
        <w:tc>
          <w:tcPr>
            <w:tcW w:w="1384"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pBdr>
                <w:top w:val="single" w:sz="2" w:space="1" w:color="000000"/>
              </w:pBdr>
              <w:spacing w:before="0" w:after="283"/>
              <w:rPr/>
            </w:pPr>
            <w:r>
              <w:rPr/>
              <w:t> </w:t>
            </w:r>
          </w:p>
        </w:tc>
        <w:tc>
          <w:tcPr>
            <w:tcW w:w="424"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978"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sz w:val="4"/>
                <w:szCs w:val="4"/>
              </w:rPr>
            </w:pPr>
            <w:r>
              <w:rPr>
                <w:sz w:val="4"/>
                <w:szCs w:val="4"/>
              </w:rPr>
            </w:r>
          </w:p>
        </w:tc>
      </w:tr>
      <w:tr>
        <w:trPr/>
        <w:tc>
          <w:tcPr>
            <w:tcW w:w="1384" w:type="dxa"/>
            <w:tcBorders/>
            <w:shd w:fill="auto" w:val="clear"/>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sz w:val="20"/>
                <w:u w:val="single"/>
              </w:rPr>
              <w:t>                         </w:t>
            </w:r>
          </w:p>
        </w:tc>
        <w:tc>
          <w:tcPr>
            <w:tcW w:w="60"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sz w:val="20"/>
                <w:u w:val="single"/>
              </w:rPr>
              <w:t>                         </w:t>
            </w:r>
          </w:p>
        </w:tc>
        <w:tc>
          <w:tcPr>
            <w:tcW w:w="60"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8"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3"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sz w:val="4"/>
                <w:szCs w:val="4"/>
              </w:rPr>
            </w:pPr>
            <w:r>
              <w:rPr>
                <w:sz w:val="4"/>
                <w:szCs w:val="4"/>
              </w:rPr>
            </w:r>
          </w:p>
        </w:tc>
      </w:tr>
      <w:tr>
        <w:trPr/>
        <w:tc>
          <w:tcPr>
            <w:tcW w:w="1384"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1111"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pBdr>
                <w:top w:val="single" w:sz="2" w:space="1" w:color="000000"/>
              </w:pBdr>
              <w:spacing w:before="0" w:after="283"/>
              <w:rPr/>
            </w:pPr>
            <w:r>
              <w:rPr/>
              <w:t> </w:t>
            </w:r>
          </w:p>
        </w:tc>
        <w:tc>
          <w:tcPr>
            <w:tcW w:w="424" w:type="dxa"/>
            <w:tcBorders/>
            <w:shd w:fill="auto" w:val="clear"/>
            <w:vAlign w:val="bottom"/>
          </w:tcPr>
          <w:p>
            <w:pPr>
              <w:pStyle w:val="TableContents"/>
              <w:spacing w:before="0" w:after="283"/>
              <w:rPr/>
            </w:pPr>
            <w:r>
              <w:rPr/>
              <w:t>  </w:t>
            </w:r>
          </w:p>
        </w:tc>
        <w:tc>
          <w:tcPr>
            <w:tcW w:w="12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128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978" w:type="dxa"/>
            <w:tcBorders/>
            <w:shd w:fill="auto" w:val="clear"/>
            <w:vAlign w:val="bottom"/>
          </w:tcPr>
          <w:p>
            <w:pPr>
              <w:pStyle w:val="TableContents"/>
              <w:pBdr>
                <w:top w:val="single" w:sz="2" w:space="1" w:color="000000"/>
              </w:pBdr>
              <w:spacing w:before="0" w:after="283"/>
              <w:rPr/>
            </w:pPr>
            <w:r>
              <w:rPr/>
              <w:t> </w:t>
            </w:r>
          </w:p>
        </w:tc>
        <w:tc>
          <w:tcPr>
            <w:tcW w:w="230" w:type="dxa"/>
            <w:tcBorders/>
            <w:shd w:fill="auto" w:val="clear"/>
            <w:vAlign w:val="center"/>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sz w:val="4"/>
                <w:szCs w:val="4"/>
              </w:rPr>
            </w:pPr>
            <w:r>
              <w:rPr>
                <w:sz w:val="4"/>
                <w:szCs w:val="4"/>
              </w:rPr>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6 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List each Assignor, as appropriate.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7 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List each Assignee, as appropriate.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8 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Fill in the appropriate terminology for the types of facilities under the Credit Agreement that are being assigned under this Assignment (e.g. Revolving Credit Commitment, etc.).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9 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in this column and in the column immediately to the right to be adjusted by the counterparties to take into account any payments or prepayments made between the Trade Date and the Effective Date.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10 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Set forth, to at least 9 decimals, as a percentage of the Commitment/Loans of all Lenders thereunder.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D-1 - 2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Assignment and Assumption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798" w:type="dxa"/>
            <w:tcBorders/>
            <w:shd w:fill="auto" w:val="clear"/>
          </w:tcPr>
          <w:p>
            <w:pPr>
              <w:pStyle w:val="TableContents"/>
              <w:spacing w:before="0" w:after="283"/>
              <w:jc w:val="left"/>
              <w:rPr/>
            </w:pPr>
            <w:r>
              <w:rPr>
                <w:rFonts w:ascii="Times New Roman" w:hAnsi="Times New Roman"/>
                <w:sz w:val="20"/>
                <w:u w:val="single"/>
              </w:rPr>
              <w:t>Trade Date</w:t>
            </w:r>
            <w:r>
              <w:rPr>
                <w:rFonts w:ascii="Times New Roman" w:hAnsi="Times New Roman"/>
                <w:sz w:val="20"/>
              </w:rPr>
              <w:t>:             ]</w:t>
            </w:r>
            <w:r>
              <w:rPr>
                <w:rFonts w:ascii="Times New Roman" w:hAnsi="Times New Roman"/>
                <w:sz w:val="14"/>
              </w:rPr>
              <w:t>11</w:t>
            </w:r>
            <w:r>
              <w:rPr/>
              <w:t xml:space="preserve"> </w:t>
            </w:r>
          </w:p>
        </w:tc>
      </w:tr>
    </w:tbl>
    <w:p>
      <w:pPr>
        <w:pStyle w:val="TextBody"/>
        <w:spacing w:before="180" w:after="0"/>
        <w:rPr>
          <w:rFonts w:ascii="Times New Roman" w:hAnsi="Times New Roman"/>
          <w:sz w:val="20"/>
        </w:rPr>
      </w:pPr>
      <w:r>
        <w:rPr>
          <w:rFonts w:ascii="Times New Roman" w:hAnsi="Times New Roman"/>
          <w:sz w:val="20"/>
        </w:rPr>
        <w:t xml:space="preserve">Effective Date:             , 20            [TO BE INSERTED BY ADMINISTRATIVE AGENT AND WHICH SHALL BE THE EFFECTIVE DATE OF RECORDATION OF TRANSFER IN THE REGISTER THEREFOR.] </w:t>
      </w:r>
    </w:p>
    <w:p>
      <w:pPr>
        <w:pStyle w:val="TextBody"/>
        <w:spacing w:before="180" w:after="0"/>
        <w:rPr>
          <w:rFonts w:ascii="Times New Roman" w:hAnsi="Times New Roman"/>
          <w:sz w:val="20"/>
        </w:rPr>
      </w:pPr>
      <w:r>
        <w:rPr>
          <w:rFonts w:ascii="Times New Roman" w:hAnsi="Times New Roman"/>
          <w:sz w:val="20"/>
        </w:rPr>
        <w:t xml:space="preserve">The terms set forth in this Assignment and Assumption are hereby agreed to: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53"/>
        <w:gridCol w:w="104"/>
        <w:gridCol w:w="3625"/>
      </w:tblGrid>
      <w:tr>
        <w:trPr/>
        <w:tc>
          <w:tcPr>
            <w:tcW w:w="353"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362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u w:val="single"/>
              </w:rPr>
            </w:pPr>
            <w:r>
              <w:rPr>
                <w:rFonts w:ascii="Times New Roman" w:hAnsi="Times New Roman"/>
                <w:sz w:val="20"/>
                <w:u w:val="single"/>
              </w:rPr>
              <w:t>ASSIGNOR</w:t>
            </w:r>
          </w:p>
          <w:p>
            <w:pPr>
              <w:pStyle w:val="TableContents"/>
              <w:spacing w:before="0" w:after="15"/>
              <w:rPr>
                <w:rFonts w:ascii="Times New Roman" w:hAnsi="Times New Roman"/>
                <w:sz w:val="20"/>
              </w:rPr>
            </w:pPr>
            <w:r>
              <w:rPr>
                <w:rFonts w:ascii="Times New Roman" w:hAnsi="Times New Roman"/>
                <w:sz w:val="20"/>
              </w:rPr>
              <w:t>[NAME OF ASSIGNOR]</w:t>
            </w:r>
          </w:p>
        </w:tc>
      </w:tr>
      <w:tr>
        <w:trPr>
          <w:trHeight w:val="240" w:hRule="atLeast"/>
        </w:trPr>
        <w:tc>
          <w:tcPr>
            <w:tcW w:w="353" w:type="dxa"/>
            <w:tcBorders/>
            <w:shd w:fill="auto" w:val="clear"/>
            <w:vAlign w:val="center"/>
          </w:tcPr>
          <w:p>
            <w:pPr>
              <w:pStyle w:val="TableContents"/>
              <w:spacing w:before="0" w:after="283"/>
              <w:rPr>
                <w:sz w:val="4"/>
                <w:szCs w:val="4"/>
              </w:rPr>
            </w:pPr>
            <w:r>
              <w:rPr>
                <w:sz w:val="4"/>
                <w:szCs w:val="4"/>
              </w:rPr>
            </w:r>
          </w:p>
        </w:tc>
        <w:tc>
          <w:tcPr>
            <w:tcW w:w="3729" w:type="dxa"/>
            <w:gridSpan w:val="2"/>
            <w:tcBorders/>
            <w:shd w:fill="auto" w:val="clear"/>
            <w:vAlign w:val="center"/>
          </w:tcPr>
          <w:p>
            <w:pPr>
              <w:pStyle w:val="TableContents"/>
              <w:spacing w:before="0" w:after="283"/>
              <w:rPr>
                <w:sz w:val="4"/>
                <w:szCs w:val="4"/>
              </w:rPr>
            </w:pPr>
            <w:r>
              <w:rPr>
                <w:sz w:val="4"/>
                <w:szCs w:val="4"/>
              </w:rPr>
            </w:r>
          </w:p>
        </w:tc>
      </w:tr>
      <w:tr>
        <w:trPr/>
        <w:tc>
          <w:tcPr>
            <w:tcW w:w="35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4" w:type="dxa"/>
            <w:tcBorders>
              <w:bottom w:val="single" w:sz="2" w:space="0" w:color="000000"/>
            </w:tcBorders>
            <w:shd w:fill="auto" w:val="clear"/>
            <w:tcMar>
              <w:bottom w:w="28" w:type="dxa"/>
            </w:tcMar>
            <w:vAlign w:val="bottom"/>
          </w:tcPr>
          <w:p>
            <w:pPr>
              <w:pStyle w:val="TableContents"/>
              <w:spacing w:before="0" w:after="283"/>
              <w:rPr/>
            </w:pPr>
            <w:r>
              <w:rPr/>
              <w:t> </w:t>
            </w:r>
          </w:p>
        </w:tc>
        <w:tc>
          <w:tcPr>
            <w:tcW w:w="3625" w:type="dxa"/>
            <w:tcBorders>
              <w:bottom w:val="single" w:sz="2" w:space="0" w:color="000000"/>
            </w:tcBorders>
            <w:shd w:fill="auto" w:val="clear"/>
            <w:tcMar>
              <w:bottom w:w="28" w:type="dxa"/>
            </w:tcMar>
          </w:tcPr>
          <w:p>
            <w:pPr>
              <w:pStyle w:val="TableContents"/>
              <w:spacing w:before="0" w:after="283"/>
              <w:rPr/>
            </w:pPr>
            <w:r>
              <w:rPr/>
              <w:t> </w:t>
            </w:r>
          </w:p>
        </w:tc>
      </w:tr>
      <w:tr>
        <w:trPr/>
        <w:tc>
          <w:tcPr>
            <w:tcW w:w="353" w:type="dxa"/>
            <w:tcBorders/>
            <w:shd w:fill="auto" w:val="clea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36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42"/>
        <w:gridCol w:w="101"/>
        <w:gridCol w:w="3639"/>
      </w:tblGrid>
      <w:tr>
        <w:trPr/>
        <w:tc>
          <w:tcPr>
            <w:tcW w:w="34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63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u w:val="single"/>
              </w:rPr>
            </w:pPr>
            <w:r>
              <w:rPr>
                <w:rFonts w:ascii="Times New Roman" w:hAnsi="Times New Roman"/>
                <w:sz w:val="20"/>
                <w:u w:val="single"/>
              </w:rPr>
              <w:t>ASSIGNEE</w:t>
            </w:r>
          </w:p>
          <w:p>
            <w:pPr>
              <w:pStyle w:val="TableContents"/>
              <w:spacing w:before="0" w:after="15"/>
              <w:rPr>
                <w:rFonts w:ascii="Times New Roman" w:hAnsi="Times New Roman"/>
                <w:sz w:val="20"/>
              </w:rPr>
            </w:pPr>
            <w:r>
              <w:rPr>
                <w:rFonts w:ascii="Times New Roman" w:hAnsi="Times New Roman"/>
                <w:sz w:val="20"/>
              </w:rPr>
              <w:t>[NAME OF ASSIGNEE]</w:t>
            </w:r>
          </w:p>
        </w:tc>
      </w:tr>
      <w:tr>
        <w:trPr>
          <w:trHeight w:val="240" w:hRule="atLeast"/>
        </w:trPr>
        <w:tc>
          <w:tcPr>
            <w:tcW w:w="342" w:type="dxa"/>
            <w:tcBorders/>
            <w:shd w:fill="auto" w:val="clear"/>
            <w:vAlign w:val="center"/>
          </w:tcPr>
          <w:p>
            <w:pPr>
              <w:pStyle w:val="TableContents"/>
              <w:spacing w:before="0" w:after="283"/>
              <w:rPr>
                <w:sz w:val="4"/>
                <w:szCs w:val="4"/>
              </w:rPr>
            </w:pPr>
            <w:r>
              <w:rPr>
                <w:sz w:val="4"/>
                <w:szCs w:val="4"/>
              </w:rPr>
            </w:r>
          </w:p>
        </w:tc>
        <w:tc>
          <w:tcPr>
            <w:tcW w:w="3740" w:type="dxa"/>
            <w:gridSpan w:val="2"/>
            <w:tcBorders/>
            <w:shd w:fill="auto" w:val="clear"/>
            <w:vAlign w:val="center"/>
          </w:tcPr>
          <w:p>
            <w:pPr>
              <w:pStyle w:val="TableContents"/>
              <w:spacing w:before="0" w:after="283"/>
              <w:rPr>
                <w:sz w:val="4"/>
                <w:szCs w:val="4"/>
              </w:rPr>
            </w:pPr>
            <w:r>
              <w:rPr>
                <w:sz w:val="4"/>
                <w:szCs w:val="4"/>
              </w:rPr>
            </w:r>
          </w:p>
        </w:tc>
      </w:tr>
      <w:tr>
        <w:trPr/>
        <w:tc>
          <w:tcPr>
            <w:tcW w:w="34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3639" w:type="dxa"/>
            <w:tcBorders>
              <w:bottom w:val="single" w:sz="2" w:space="0" w:color="000000"/>
            </w:tcBorders>
            <w:shd w:fill="auto" w:val="clear"/>
            <w:tcMar>
              <w:bottom w:w="28" w:type="dxa"/>
            </w:tcMar>
          </w:tcPr>
          <w:p>
            <w:pPr>
              <w:pStyle w:val="TableContents"/>
              <w:spacing w:before="0" w:after="283"/>
              <w:rPr/>
            </w:pPr>
            <w:r>
              <w:rPr/>
              <w:t> </w:t>
            </w:r>
          </w:p>
        </w:tc>
      </w:tr>
      <w:tr>
        <w:trPr/>
        <w:tc>
          <w:tcPr>
            <w:tcW w:w="342" w:type="dxa"/>
            <w:tcBorders/>
            <w:shd w:fill="auto" w:val="clea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6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604"/>
        <w:gridCol w:w="121"/>
        <w:gridCol w:w="3357"/>
      </w:tblGrid>
      <w:tr>
        <w:trPr/>
        <w:tc>
          <w:tcPr>
            <w:tcW w:w="60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35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pPr>
            <w:r>
              <w:rPr>
                <w:rFonts w:ascii="Times New Roman" w:hAnsi="Times New Roman"/>
                <w:sz w:val="20"/>
              </w:rPr>
              <w:t>[Consented to and]</w:t>
            </w:r>
            <w:r>
              <w:rPr>
                <w:rFonts w:ascii="Times New Roman" w:hAnsi="Times New Roman"/>
                <w:sz w:val="14"/>
              </w:rPr>
              <w:t>12</w:t>
            </w:r>
            <w:r>
              <w:rPr/>
              <w:t xml:space="preserve"> </w:t>
            </w:r>
            <w:r>
              <w:rPr>
                <w:rFonts w:ascii="Times New Roman" w:hAnsi="Times New Roman"/>
                <w:sz w:val="20"/>
              </w:rPr>
              <w:t>Accepted: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DNB BANK ASA, as</w:t>
            </w:r>
          </w:p>
          <w:p>
            <w:pPr>
              <w:pStyle w:val="TableContents"/>
              <w:spacing w:before="0" w:after="15"/>
              <w:rPr/>
            </w:pPr>
            <w:r>
              <w:rPr/>
              <w:t>    </w:t>
            </w:r>
            <w:r>
              <w:rPr>
                <w:rFonts w:ascii="Times New Roman" w:hAnsi="Times New Roman"/>
                <w:sz w:val="20"/>
              </w:rPr>
              <w:t>Administrative Agent</w:t>
            </w:r>
          </w:p>
        </w:tc>
      </w:tr>
      <w:tr>
        <w:trPr>
          <w:trHeight w:val="240" w:hRule="atLeast"/>
        </w:trPr>
        <w:tc>
          <w:tcPr>
            <w:tcW w:w="604" w:type="dxa"/>
            <w:tcBorders/>
            <w:shd w:fill="auto" w:val="clear"/>
            <w:vAlign w:val="center"/>
          </w:tcPr>
          <w:p>
            <w:pPr>
              <w:pStyle w:val="TableContents"/>
              <w:spacing w:before="0" w:after="283"/>
              <w:rPr>
                <w:sz w:val="4"/>
                <w:szCs w:val="4"/>
              </w:rPr>
            </w:pPr>
            <w:r>
              <w:rPr>
                <w:sz w:val="4"/>
                <w:szCs w:val="4"/>
              </w:rPr>
            </w:r>
          </w:p>
        </w:tc>
        <w:tc>
          <w:tcPr>
            <w:tcW w:w="3478" w:type="dxa"/>
            <w:gridSpan w:val="2"/>
            <w:tcBorders/>
            <w:shd w:fill="auto" w:val="clear"/>
            <w:vAlign w:val="center"/>
          </w:tcPr>
          <w:p>
            <w:pPr>
              <w:pStyle w:val="TableContents"/>
              <w:spacing w:before="0" w:after="283"/>
              <w:rPr>
                <w:sz w:val="4"/>
                <w:szCs w:val="4"/>
              </w:rPr>
            </w:pPr>
            <w:r>
              <w:rPr>
                <w:sz w:val="4"/>
                <w:szCs w:val="4"/>
              </w:rPr>
            </w:r>
          </w:p>
        </w:tc>
      </w:tr>
      <w:tr>
        <w:trPr/>
        <w:tc>
          <w:tcPr>
            <w:tcW w:w="60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1" w:type="dxa"/>
            <w:tcBorders>
              <w:bottom w:val="single" w:sz="2" w:space="0" w:color="000000"/>
            </w:tcBorders>
            <w:shd w:fill="auto" w:val="clear"/>
            <w:tcMar>
              <w:bottom w:w="28" w:type="dxa"/>
            </w:tcMar>
            <w:vAlign w:val="bottom"/>
          </w:tcPr>
          <w:p>
            <w:pPr>
              <w:pStyle w:val="TableContents"/>
              <w:spacing w:before="0" w:after="283"/>
              <w:rPr/>
            </w:pPr>
            <w:r>
              <w:rPr/>
              <w:t> </w:t>
            </w:r>
          </w:p>
        </w:tc>
        <w:tc>
          <w:tcPr>
            <w:tcW w:w="3357" w:type="dxa"/>
            <w:tcBorders>
              <w:bottom w:val="single" w:sz="2" w:space="0" w:color="000000"/>
            </w:tcBorders>
            <w:shd w:fill="auto" w:val="clear"/>
            <w:tcMar>
              <w:bottom w:w="28" w:type="dxa"/>
            </w:tcMar>
          </w:tcPr>
          <w:p>
            <w:pPr>
              <w:pStyle w:val="TableContents"/>
              <w:spacing w:before="0" w:after="283"/>
              <w:rPr/>
            </w:pPr>
            <w:r>
              <w:rPr/>
              <w:t> </w:t>
            </w:r>
          </w:p>
        </w:tc>
      </w:tr>
      <w:tr>
        <w:trPr/>
        <w:tc>
          <w:tcPr>
            <w:tcW w:w="604"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3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34"/>
        <w:gridCol w:w="78"/>
        <w:gridCol w:w="3570"/>
      </w:tblGrid>
      <w:tr>
        <w:trPr/>
        <w:tc>
          <w:tcPr>
            <w:tcW w:w="434"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c>
          <w:tcPr>
            <w:tcW w:w="357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rFonts w:ascii="Times New Roman" w:hAnsi="Times New Roman"/>
                <w:sz w:val="20"/>
              </w:rPr>
              <w:t>[Consented to:]</w:t>
            </w:r>
            <w:r>
              <w:rPr>
                <w:rFonts w:ascii="Times New Roman" w:hAnsi="Times New Roman"/>
                <w:sz w:val="14"/>
              </w:rPr>
              <w:t>13</w:t>
            </w:r>
          </w:p>
        </w:tc>
      </w:tr>
      <w:tr>
        <w:trPr>
          <w:trHeight w:val="240" w:hRule="atLeast"/>
        </w:trPr>
        <w:tc>
          <w:tcPr>
            <w:tcW w:w="434" w:type="dxa"/>
            <w:tcBorders/>
            <w:shd w:fill="auto" w:val="clear"/>
            <w:vAlign w:val="center"/>
          </w:tcPr>
          <w:p>
            <w:pPr>
              <w:pStyle w:val="TableContents"/>
              <w:spacing w:before="0" w:after="283"/>
              <w:rPr>
                <w:sz w:val="4"/>
                <w:szCs w:val="4"/>
              </w:rPr>
            </w:pPr>
            <w:r>
              <w:rPr>
                <w:sz w:val="4"/>
                <w:szCs w:val="4"/>
              </w:rPr>
            </w:r>
          </w:p>
        </w:tc>
        <w:tc>
          <w:tcPr>
            <w:tcW w:w="3648" w:type="dxa"/>
            <w:gridSpan w:val="2"/>
            <w:tcBorders/>
            <w:shd w:fill="auto" w:val="clear"/>
            <w:vAlign w:val="center"/>
          </w:tcPr>
          <w:p>
            <w:pPr>
              <w:pStyle w:val="TableContents"/>
              <w:spacing w:before="0" w:after="283"/>
              <w:rPr>
                <w:sz w:val="4"/>
                <w:szCs w:val="4"/>
              </w:rPr>
            </w:pPr>
            <w:r>
              <w:rPr>
                <w:sz w:val="4"/>
                <w:szCs w:val="4"/>
              </w:rPr>
            </w:r>
          </w:p>
        </w:tc>
      </w:tr>
      <w:tr>
        <w:trPr/>
        <w:tc>
          <w:tcPr>
            <w:tcW w:w="43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78" w:type="dxa"/>
            <w:tcBorders>
              <w:bottom w:val="single" w:sz="2" w:space="0" w:color="000000"/>
            </w:tcBorders>
            <w:shd w:fill="auto" w:val="clear"/>
            <w:tcMar>
              <w:bottom w:w="28" w:type="dxa"/>
            </w:tcMar>
            <w:vAlign w:val="bottom"/>
          </w:tcPr>
          <w:p>
            <w:pPr>
              <w:pStyle w:val="TableContents"/>
              <w:spacing w:before="0" w:after="283"/>
              <w:rPr/>
            </w:pPr>
            <w:r>
              <w:rPr/>
              <w:t> </w:t>
            </w:r>
          </w:p>
        </w:tc>
        <w:tc>
          <w:tcPr>
            <w:tcW w:w="3570" w:type="dxa"/>
            <w:tcBorders>
              <w:bottom w:val="single" w:sz="2" w:space="0" w:color="000000"/>
            </w:tcBorders>
            <w:shd w:fill="auto" w:val="clear"/>
            <w:tcMar>
              <w:bottom w:w="28" w:type="dxa"/>
            </w:tcMar>
          </w:tcPr>
          <w:p>
            <w:pPr>
              <w:pStyle w:val="TableContents"/>
              <w:spacing w:before="0" w:after="283"/>
              <w:rPr/>
            </w:pPr>
            <w:r>
              <w:rPr/>
              <w:t> </w:t>
            </w:r>
          </w:p>
        </w:tc>
      </w:tr>
      <w:tr>
        <w:trPr/>
        <w:tc>
          <w:tcPr>
            <w:tcW w:w="434" w:type="dxa"/>
            <w:tcBorders/>
            <w:shd w:fill="auto" w:val="clea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pPr>
            <w:r>
              <w:rPr/>
              <w:t> </w:t>
            </w:r>
          </w:p>
        </w:tc>
        <w:tc>
          <w:tcPr>
            <w:tcW w:w="35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11 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completed if the Assignor and the Assignee intend that the minimum assignment amount is to be determined as of the Trade Date.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12 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added only if the consent of the Administrative Agent is required by the terms of the Credit Agreement.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13 </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added only if the consent of the Borrower is required by the terms of the Credit Agreement.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D-1 - 3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Assignment and Assumption </w:t>
      </w:r>
      <w:r>
        <w:br w:type="page"/>
      </w:r>
    </w:p>
    <w:p>
      <w:pPr>
        <w:pStyle w:val="HorizontalLine"/>
        <w:pBdr>
          <w:bottom w:val="double" w:sz="6" w:space="0" w:color="808080"/>
        </w:pBdr>
        <w:rPr/>
      </w:pPr>
      <w:r>
        <w:rPr/>
      </w:r>
    </w:p>
    <w:p>
      <w:pPr>
        <w:pStyle w:val="TextBody"/>
        <w:spacing w:before="0" w:after="0"/>
        <w:jc w:val="right"/>
        <w:rPr>
          <w:rFonts w:ascii="Times New Roman" w:hAnsi="Times New Roman"/>
          <w:b/>
          <w:i/>
          <w:sz w:val="20"/>
        </w:rPr>
      </w:pPr>
      <w:r>
        <w:rPr>
          <w:rFonts w:ascii="Times New Roman" w:hAnsi="Times New Roman"/>
          <w:b/>
          <w:i/>
          <w:sz w:val="20"/>
        </w:rPr>
        <w:t xml:space="preserve">ANNEX 1 TO ASSIGNMENT AND ASSUMPTION </w:t>
      </w:r>
    </w:p>
    <w:p>
      <w:pPr>
        <w:pStyle w:val="TextBody"/>
        <w:spacing w:before="180" w:after="0"/>
        <w:jc w:val="center"/>
        <w:rPr>
          <w:rFonts w:ascii="Times New Roman" w:hAnsi="Times New Roman"/>
          <w:sz w:val="20"/>
        </w:rPr>
      </w:pPr>
      <w:r>
        <w:rPr>
          <w:rFonts w:ascii="Times New Roman" w:hAnsi="Times New Roman"/>
          <w:sz w:val="20"/>
        </w:rPr>
        <w:t xml:space="preserve">STANDARD TERMS AND CONDITIONS FOR </w:t>
      </w:r>
    </w:p>
    <w:p>
      <w:pPr>
        <w:pStyle w:val="TextBody"/>
        <w:spacing w:before="180" w:after="0"/>
        <w:jc w:val="center"/>
        <w:rPr>
          <w:rFonts w:ascii="Times New Roman" w:hAnsi="Times New Roman"/>
          <w:sz w:val="20"/>
        </w:rPr>
      </w:pPr>
      <w:r>
        <w:rPr>
          <w:rFonts w:ascii="Times New Roman" w:hAnsi="Times New Roman"/>
          <w:sz w:val="20"/>
        </w:rPr>
        <w:t xml:space="preserve">ASSIGNMENT AND ASSUMPTION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Assignor</w:t>
      </w:r>
      <w:r>
        <w:rPr>
          <w:rFonts w:ascii="Times New Roman" w:hAnsi="Times New Roman"/>
          <w:sz w:val="20"/>
        </w:rPr>
        <w:t xml:space="preserve">. [The][Each] Assignor (a) represents and warrants that (i) it is the legal and beneficial owner of [the][[the relevant] Assigned Interest, (ii) [the][such]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Assignee</w:t>
      </w:r>
      <w:r>
        <w:rPr>
          <w:rFonts w:ascii="Times New Roman" w:hAnsi="Times New Roman"/>
          <w:sz w:val="20"/>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Times New Roman" w:hAnsi="Times New Roman"/>
          <w:sz w:val="20"/>
          <w:u w:val="single"/>
        </w:rPr>
        <w:t>Section 10.06(b)(iii)</w:t>
      </w:r>
      <w:r>
        <w:rPr>
          <w:rFonts w:ascii="Times New Roman" w:hAnsi="Times New Roman"/>
          <w:sz w:val="20"/>
        </w:rPr>
        <w:t xml:space="preserve"> and </w:t>
      </w:r>
      <w:r>
        <w:rPr>
          <w:rFonts w:ascii="Times New Roman" w:hAnsi="Times New Roman"/>
          <w:sz w:val="20"/>
          <w:u w:val="single"/>
        </w:rPr>
        <w:t>(v)</w:t>
      </w:r>
      <w:r>
        <w:rPr>
          <w:rFonts w:ascii="Times New Roman" w:hAnsi="Times New Roman"/>
          <w:sz w:val="20"/>
        </w:rPr>
        <w:t xml:space="preserve"> of the Credit Agreement (subject to such consents, if any, as may be required under </w:t>
      </w:r>
      <w:r>
        <w:rPr>
          <w:rFonts w:ascii="Times New Roman" w:hAnsi="Times New Roman"/>
          <w:sz w:val="20"/>
          <w:u w:val="single"/>
        </w:rPr>
        <w:t>Section 10.06(b)(iii)</w:t>
      </w:r>
      <w:r>
        <w:rPr>
          <w:rFonts w:ascii="Times New Roman" w:hAnsi="Times New Roman"/>
          <w:sz w:val="20"/>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hAnsi="Times New Roman"/>
          <w:sz w:val="20"/>
          <w:u w:val="single"/>
        </w:rPr>
        <w:t>Section 6.01</w:t>
      </w:r>
      <w:r>
        <w:rPr>
          <w:rFonts w:ascii="Times New Roman" w:hAnsi="Times New Roman"/>
          <w:sz w:val="20"/>
        </w:rPr>
        <w:t xml:space="preserve">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D-1 - 4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Assignment and Assumption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Payments</w:t>
      </w:r>
      <w:r>
        <w:rPr>
          <w:rFonts w:ascii="Times New Roman" w:hAnsi="Times New Roman"/>
          <w:sz w:val="20"/>
        </w:rPr>
        <w:t xml:space="preserve">.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General Provisions</w:t>
      </w:r>
      <w:r>
        <w:rPr>
          <w:rFonts w:ascii="Times New Roman" w:hAnsi="Times New Roman"/>
          <w:sz w:val="20"/>
        </w:rPr>
        <w:t xml:space="preserve">.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 without regard to principles of conflicts of Laws.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D-1 - 5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Form of Assignment and Assumption </w:t>
      </w:r>
      <w:r>
        <w:br w:type="page"/>
      </w:r>
    </w:p>
    <w:p>
      <w:pPr>
        <w:pStyle w:val="HorizontalLine"/>
        <w:pBdr>
          <w:bottom w:val="double" w:sz="6" w:space="0" w:color="808080"/>
        </w:pBdr>
        <w:rPr/>
      </w:pPr>
      <w:r>
        <w:rPr/>
      </w:r>
    </w:p>
    <w:p>
      <w:pPr>
        <w:pStyle w:val="TextBody"/>
        <w:spacing w:before="0" w:after="0"/>
        <w:jc w:val="right"/>
        <w:rPr>
          <w:rFonts w:ascii="Times New Roman" w:hAnsi="Times New Roman"/>
          <w:b/>
          <w:i/>
          <w:sz w:val="20"/>
        </w:rPr>
      </w:pPr>
      <w:r>
        <w:rPr>
          <w:rFonts w:ascii="Times New Roman" w:hAnsi="Times New Roman"/>
          <w:b/>
          <w:i/>
          <w:sz w:val="20"/>
        </w:rPr>
        <w:t xml:space="preserve">EXHIBIT D-2 </w:t>
      </w:r>
    </w:p>
    <w:p>
      <w:pPr>
        <w:pStyle w:val="TextBody"/>
        <w:spacing w:before="180" w:after="0"/>
        <w:jc w:val="center"/>
        <w:rPr>
          <w:rFonts w:ascii="Times New Roman" w:hAnsi="Times New Roman"/>
          <w:b/>
          <w:sz w:val="20"/>
        </w:rPr>
      </w:pPr>
      <w:r>
        <w:rPr>
          <w:rFonts w:ascii="Times New Roman" w:hAnsi="Times New Roman"/>
          <w:b/>
          <w:sz w:val="20"/>
        </w:rPr>
        <w:t xml:space="preserve">FORM OF ADMINISTRATIVE QUESTIONNAIRE </w:t>
      </w:r>
    </w:p>
    <w:p>
      <w:pPr>
        <w:pStyle w:val="TextBody"/>
        <w:spacing w:before="180" w:after="0"/>
        <w:jc w:val="center"/>
        <w:rPr>
          <w:rFonts w:ascii="Times New Roman" w:hAnsi="Times New Roman"/>
          <w:i/>
          <w:sz w:val="20"/>
        </w:rPr>
      </w:pPr>
      <w:r>
        <w:rPr>
          <w:rFonts w:ascii="Times New Roman" w:hAnsi="Times New Roman"/>
          <w:i/>
          <w:sz w:val="20"/>
        </w:rPr>
        <w:t xml:space="preserve">[See attached]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121</Pages>
  <Words>50531</Words>
  <CharactersWithSpaces>312977</CharactersWithSpaces>
  <Paragraphs>2670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364-Day Credit Agreement dated December 9, 2011</dc:title>
</cp:coreProperties>
</file>