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51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5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900" w:type="dxa"/>
            <w:vAlign w:val="bottom"/>
          </w:tcPr>
          <w:p>
            <w:pPr>
              <w:ind w:left="6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920" w:type="dxa"/>
            <w:vAlign w:val="bottom"/>
            <w:gridSpan w:val="2"/>
          </w:tcPr>
          <w:p>
            <w:pPr>
              <w:spacing w:after="0" w:line="20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7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3660" w:type="dxa"/>
            <w:vAlign w:val="bottom"/>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PAA </w:t>
              </w:r>
              <w:r>
                <w:rPr>
                  <w:rFonts w:ascii="Arial" w:cs="Arial" w:eastAsia="Arial" w:hAnsi="Arial"/>
                  <w:sz w:val="3"/>
                  <w:szCs w:val="3"/>
                  <w:color w:val="000000"/>
                </w:rPr>
                <w:t>]</w:t>
              </w:r>
            </w:hyperlink>
          </w:p>
        </w:tc>
        <w:tc>
          <w:tcPr>
            <w:tcW w:w="260" w:type="dxa"/>
            <w:vAlign w:val="bottom"/>
          </w:tcPr>
          <w:p>
            <w:pPr>
              <w:spacing w:after="0"/>
              <w:rPr>
                <w:sz w:val="2"/>
                <w:szCs w:val="2"/>
                <w:color w:val="auto"/>
              </w:rPr>
            </w:pPr>
          </w:p>
        </w:tc>
        <w:tc>
          <w:tcPr>
            <w:tcW w:w="500" w:type="dxa"/>
            <w:vAlign w:val="bottom"/>
          </w:tcPr>
          <w:p>
            <w:pPr>
              <w:ind w:left="260"/>
              <w:spacing w:after="0" w:line="27" w:lineRule="exact"/>
              <w:rPr>
                <w:sz w:val="20"/>
                <w:szCs w:val="20"/>
                <w:color w:val="auto"/>
              </w:rPr>
            </w:pPr>
            <w:r>
              <w:rPr>
                <w:rFonts w:ascii="Arial" w:cs="Arial" w:eastAsia="Arial" w:hAnsi="Arial"/>
                <w:sz w:val="3"/>
                <w:szCs w:val="3"/>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2"/>
                <w:szCs w:val="2"/>
                <w:color w:val="auto"/>
              </w:rPr>
            </w:pPr>
          </w:p>
        </w:tc>
        <w:tc>
          <w:tcPr>
            <w:tcW w:w="124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7"/>
        </w:trPr>
        <w:tc>
          <w:tcPr>
            <w:tcW w:w="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24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4"/>
                <w:szCs w:val="4"/>
                <w:color w:val="auto"/>
              </w:rPr>
            </w:pPr>
          </w:p>
        </w:tc>
        <w:tc>
          <w:tcPr>
            <w:tcW w:w="124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gridSpan w:val="2"/>
            <w:vMerge w:val="restart"/>
          </w:tcPr>
          <w:p>
            <w:pPr>
              <w:ind w:left="800"/>
              <w:spacing w:after="0"/>
              <w:rPr>
                <w:sz w:val="20"/>
                <w:szCs w:val="20"/>
                <w:color w:val="auto"/>
              </w:rPr>
            </w:pPr>
            <w:r>
              <w:rPr>
                <w:rFonts w:ascii="Arial" w:cs="Arial" w:eastAsia="Arial" w:hAnsi="Arial"/>
                <w:sz w:val="17"/>
                <w:szCs w:val="17"/>
                <w:color w:val="0000FF"/>
                <w:w w:val="92"/>
              </w:rPr>
              <w:t>See remaks</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740" w:type="dxa"/>
            <w:vAlign w:val="bottom"/>
            <w:gridSpan w:val="2"/>
            <w:vMerge w:val="restart"/>
          </w:tcPr>
          <w:p>
            <w:pPr>
              <w:ind w:left="80"/>
              <w:spacing w:after="0"/>
              <w:rPr>
                <w:sz w:val="20"/>
                <w:szCs w:val="20"/>
                <w:color w:val="auto"/>
              </w:rPr>
            </w:pPr>
            <w:r>
              <w:rPr>
                <w:rFonts w:ascii="Arial" w:cs="Arial" w:eastAsia="Arial" w:hAnsi="Arial"/>
                <w:sz w:val="17"/>
                <w:szCs w:val="17"/>
                <w:color w:val="0000FF"/>
              </w:rPr>
              <w:t>12/31/2018</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7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80" w:type="dxa"/>
            <w:vAlign w:val="bottom"/>
            <w:tcBorders>
              <w:bottom w:val="single" w:sz="8" w:color="2C2C2C"/>
            </w:tcBorders>
          </w:tcPr>
          <w:p>
            <w:pPr>
              <w:spacing w:after="0"/>
              <w:rPr>
                <w:sz w:val="12"/>
                <w:szCs w:val="12"/>
                <w:color w:val="auto"/>
              </w:rPr>
            </w:pPr>
          </w:p>
        </w:tc>
        <w:tc>
          <w:tcPr>
            <w:tcW w:w="3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4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269" w:lineRule="exact"/>
        <w:rPr>
          <w:sz w:val="20"/>
          <w:szCs w:val="20"/>
          <w:color w:val="auto"/>
        </w:rPr>
      </w:pPr>
    </w:p>
    <w:p>
      <w:pPr>
        <w:sectPr>
          <w:pgSz w:w="11900" w:h="16838" w:orient="portrait"/>
          <w:cols w:equalWidth="0" w:num="2">
            <w:col w:w="3920" w:space="8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13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Form: Direct</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(D) or Indirect</w:t>
            </w:r>
          </w:p>
        </w:tc>
        <w:tc>
          <w:tcPr>
            <w:tcW w:w="1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12/31/2018</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1,640</w:t>
            </w:r>
          </w:p>
        </w:tc>
        <w:tc>
          <w:tcPr>
            <w:tcW w:w="60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2"/>
                <w:szCs w:val="22"/>
                <w:color w:val="auto"/>
              </w:rPr>
            </w:pPr>
          </w:p>
        </w:tc>
        <w:tc>
          <w:tcPr>
            <w:tcW w:w="46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1,640</w:t>
            </w:r>
          </w:p>
        </w:tc>
        <w:tc>
          <w:tcPr>
            <w:tcW w:w="900" w:type="dxa"/>
            <w:vAlign w:val="bottom"/>
            <w:vMerge w:val="restart"/>
          </w:tcPr>
          <w:p>
            <w:pPr>
              <w:ind w:left="780"/>
              <w:spacing w:after="0"/>
              <w:rPr>
                <w:sz w:val="20"/>
                <w:szCs w:val="20"/>
                <w:color w:val="auto"/>
              </w:rPr>
            </w:pPr>
            <w:r>
              <w:rPr>
                <w:rFonts w:ascii="Arial" w:cs="Arial" w:eastAsia="Arial" w:hAnsi="Arial"/>
                <w:sz w:val="17"/>
                <w:szCs w:val="17"/>
                <w:color w:val="0000FF"/>
              </w:rPr>
              <w:t>I</w:t>
            </w:r>
          </w:p>
        </w:tc>
        <w:tc>
          <w:tcPr>
            <w:tcW w:w="44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4"/>
            <w:vMerge w:val="restart"/>
          </w:tcPr>
          <w:p>
            <w:pPr>
              <w:spacing w:after="0" w:line="274"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2"/>
                <w:szCs w:val="22"/>
                <w:color w:val="auto"/>
              </w:rPr>
            </w:pPr>
          </w:p>
        </w:tc>
        <w:tc>
          <w:tcPr>
            <w:tcW w:w="1540" w:type="dxa"/>
            <w:vAlign w:val="bottom"/>
            <w:tcBorders>
              <w:top w:val="single" w:sz="8" w:color="2C2C2C"/>
            </w:tcBorders>
            <w:gridSpan w:val="2"/>
            <w:vMerge w:val="restart"/>
          </w:tcPr>
          <w:p>
            <w:pPr>
              <w:ind w:left="600"/>
              <w:spacing w:after="0"/>
              <w:rPr>
                <w:sz w:val="20"/>
                <w:szCs w:val="20"/>
                <w:color w:val="auto"/>
              </w:rPr>
            </w:pPr>
            <w:r>
              <w:rPr>
                <w:rFonts w:ascii="Arial" w:cs="Arial" w:eastAsia="Arial" w:hAnsi="Arial"/>
                <w:sz w:val="17"/>
                <w:szCs w:val="17"/>
                <w:color w:val="0000FF"/>
              </w:rPr>
              <w:t>12/31/2018</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1,640</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7"/>
                <w:szCs w:val="17"/>
                <w:color w:val="0000FF"/>
              </w:rPr>
              <w:t>D</w:t>
            </w: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gridSpan w:val="2"/>
            <w:vMerge w:val="restart"/>
          </w:tcPr>
          <w:p>
            <w:pPr>
              <w:jc w:val="right"/>
              <w:ind w:right="140"/>
              <w:spacing w:after="0"/>
              <w:rPr>
                <w:sz w:val="20"/>
                <w:szCs w:val="20"/>
                <w:color w:val="auto"/>
              </w:rPr>
            </w:pPr>
            <w:r>
              <w:rPr>
                <w:rFonts w:ascii="Arial" w:cs="Arial" w:eastAsia="Arial" w:hAnsi="Arial"/>
                <w:sz w:val="17"/>
                <w:szCs w:val="17"/>
                <w:color w:val="0000FF"/>
              </w:rPr>
              <w:t>0</w:t>
            </w:r>
          </w:p>
        </w:tc>
        <w:tc>
          <w:tcPr>
            <w:tcW w:w="900" w:type="dxa"/>
            <w:vAlign w:val="bottom"/>
            <w:tcBorders>
              <w:top w:val="single" w:sz="8" w:color="2C2C2C"/>
            </w:tcBorders>
            <w:vMerge w:val="restart"/>
          </w:tcPr>
          <w:p>
            <w:pPr>
              <w:ind w:left="780"/>
              <w:spacing w:after="0"/>
              <w:rPr>
                <w:sz w:val="20"/>
                <w:szCs w:val="20"/>
                <w:color w:val="auto"/>
              </w:rPr>
            </w:pPr>
            <w:r>
              <w:rPr>
                <w:rFonts w:ascii="Arial" w:cs="Arial" w:eastAsia="Arial" w:hAnsi="Arial"/>
                <w:sz w:val="17"/>
                <w:szCs w:val="17"/>
                <w:color w:val="0000FF"/>
              </w:rPr>
              <w:t>I</w:t>
            </w:r>
          </w:p>
        </w:tc>
        <w:tc>
          <w:tcPr>
            <w:tcW w:w="4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4"/>
            <w:vMerge w:val="restart"/>
          </w:tcPr>
          <w:p>
            <w:pPr>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20" w:type="dxa"/>
            <w:vAlign w:val="bottom"/>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2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3"/>
                <w:szCs w:val="13"/>
                <w:color w:val="0000FF"/>
                <w:w w:val="95"/>
              </w:rPr>
              <w:t>Shares/Class</w:t>
            </w:r>
          </w:p>
        </w:tc>
        <w:tc>
          <w:tcPr>
            <w:tcW w:w="80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vMerge w:val="restart"/>
          </w:tcPr>
          <w:p>
            <w:pPr>
              <w:ind w:left="240"/>
              <w:spacing w:after="0"/>
              <w:rPr>
                <w:sz w:val="20"/>
                <w:szCs w:val="20"/>
                <w:color w:val="auto"/>
              </w:rPr>
            </w:pPr>
            <w:r>
              <w:rPr>
                <w:rFonts w:ascii="Arial" w:cs="Arial" w:eastAsia="Arial" w:hAnsi="Arial"/>
                <w:sz w:val="13"/>
                <w:szCs w:val="13"/>
                <w:color w:val="0000FF"/>
              </w:rPr>
              <w:t>12/31/2018</w:t>
            </w:r>
          </w:p>
        </w:tc>
        <w:tc>
          <w:tcPr>
            <w:tcW w:w="112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1,640</w:t>
            </w: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6"/>
              </w:rPr>
              <w:t>(1)(2)</w:t>
            </w:r>
          </w:p>
        </w:tc>
        <w:tc>
          <w:tcPr>
            <w:tcW w:w="600" w:type="dxa"/>
            <w:vAlign w:val="bottom"/>
          </w:tcPr>
          <w:p>
            <w:pPr>
              <w:ind w:left="80"/>
              <w:spacing w:after="0" w:line="128" w:lineRule="exact"/>
              <w:rPr>
                <w:sz w:val="20"/>
                <w:szCs w:val="20"/>
                <w:color w:val="auto"/>
              </w:rPr>
            </w:pPr>
            <w:r>
              <w:rPr>
                <w:rFonts w:ascii="Arial" w:cs="Arial" w:eastAsia="Arial" w:hAnsi="Arial"/>
                <w:sz w:val="13"/>
                <w:szCs w:val="13"/>
                <w:color w:val="0000FF"/>
                <w:w w:val="94"/>
              </w:rPr>
              <w:t>Common</w:t>
            </w:r>
          </w:p>
        </w:tc>
        <w:tc>
          <w:tcPr>
            <w:tcW w:w="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7"/>
                <w:szCs w:val="17"/>
                <w:color w:val="0000FF"/>
                <w:w w:val="89"/>
              </w:rPr>
              <w:t>1,640</w:t>
            </w:r>
          </w:p>
        </w:tc>
        <w:tc>
          <w:tcPr>
            <w:tcW w:w="40" w:type="dxa"/>
            <w:vAlign w:val="bottom"/>
          </w:tcPr>
          <w:p>
            <w:pPr>
              <w:spacing w:after="0"/>
              <w:rPr>
                <w:sz w:val="11"/>
                <w:szCs w:val="11"/>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0000FF"/>
                <w:w w:val="96"/>
              </w:rPr>
              <w:t>16,308,178</w:t>
            </w:r>
            <w:r>
              <w:rPr>
                <w:rFonts w:ascii="Arial" w:cs="Arial" w:eastAsia="Arial" w:hAnsi="Arial"/>
                <w:sz w:val="22"/>
                <w:szCs w:val="22"/>
                <w:color w:val="008000"/>
                <w:w w:val="96"/>
                <w:vertAlign w:val="superscript"/>
              </w:rPr>
              <w:t>(4)</w:t>
            </w:r>
          </w:p>
        </w:tc>
        <w:tc>
          <w:tcPr>
            <w:tcW w:w="4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A Units/GP</w:t>
            </w:r>
          </w:p>
        </w:tc>
        <w:tc>
          <w:tcPr>
            <w:tcW w:w="8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Units</w:t>
            </w: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ind w:left="80"/>
              <w:spacing w:after="0" w:line="173" w:lineRule="exact"/>
              <w:rPr>
                <w:sz w:val="20"/>
                <w:szCs w:val="20"/>
                <w:color w:val="auto"/>
              </w:rPr>
            </w:pPr>
            <w:r>
              <w:rPr>
                <w:rFonts w:ascii="Arial" w:cs="Arial" w:eastAsia="Arial" w:hAnsi="Arial"/>
                <w:sz w:val="12"/>
                <w:szCs w:val="12"/>
                <w:color w:val="0000FF"/>
                <w:w w:val="97"/>
              </w:rPr>
              <w:t>footnotes</w:t>
            </w:r>
            <w:r>
              <w:rPr>
                <w:rFonts w:ascii="Arial" w:cs="Arial" w:eastAsia="Arial" w:hAnsi="Arial"/>
                <w:sz w:val="20"/>
                <w:szCs w:val="20"/>
                <w:color w:val="008000"/>
                <w:w w:val="97"/>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00" w:firstLine="6"/>
        <w:spacing w:after="0" w:line="242"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of PAA GP Holdings LLC (if applicable), to PAGP (the "Redemption Right"). The Redemption Right does not expire. On December 31, 2018, KAFU Holdings (QP), L.P. exercised the Redemption Right with respect to an aggregate 1,640 Class A Units.</w:t>
      </w:r>
    </w:p>
    <w:p>
      <w:pPr>
        <w:spacing w:after="0" w:line="32" w:lineRule="exact"/>
        <w:rPr>
          <w:rFonts w:ascii="Arial" w:cs="Arial" w:eastAsia="Arial" w:hAnsi="Arial"/>
          <w:sz w:val="13"/>
          <w:szCs w:val="13"/>
          <w:color w:val="008000"/>
        </w:rPr>
      </w:pPr>
    </w:p>
    <w:p>
      <w:pPr>
        <w:ind w:left="40" w:right="200" w:firstLine="6"/>
        <w:spacing w:after="0" w:line="26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deemed to beneficially own the Class A Units, Class B Shares and GP Units held by KAFU.</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49" w:lineRule="exact"/>
        <w:rPr>
          <w:rFonts w:ascii="Arial" w:cs="Arial" w:eastAsia="Arial" w:hAnsi="Arial"/>
          <w:sz w:val="13"/>
          <w:szCs w:val="13"/>
          <w:color w:val="008000"/>
        </w:rPr>
      </w:pPr>
    </w:p>
    <w:p>
      <w:pPr>
        <w:ind w:left="40" w:right="620" w:firstLine="6"/>
        <w:spacing w:after="0" w:line="29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324,803 Class A Units, Class B Shares and GP Units were exchanged for a like number of PAGP Class A Shares. The number of derivative securities owned reflects both the redemption transaction reported herein and the simultaneous exchange transaction.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right="220"/>
        <w:spacing w:after="0" w:line="247"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ectPr>
          <w:pgSz w:w="11900" w:h="16838" w:orient="portrait"/>
          <w:cols w:equalWidth="0" w:num="1">
            <w:col w:w="11520"/>
          </w:cols>
          <w:pgMar w:left="240" w:top="224" w:right="139" w:bottom="1440" w:gutter="0" w:footer="0" w:header="0"/>
          <w:type w:val="continuous"/>
        </w:sectPr>
      </w:pPr>
    </w:p>
    <w:p>
      <w:pPr>
        <w:spacing w:after="0" w:line="55"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David Shladovsky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5080</wp:posOffset>
            </wp:positionV>
            <wp:extent cx="1378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06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52"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36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0000FF"/>
        </w:rPr>
        <w:t>01/03/2019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7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8" w:lineRule="exact"/>
        <w:rPr>
          <w:sz w:val="20"/>
          <w:szCs w:val="20"/>
          <w:color w:val="auto"/>
        </w:rPr>
      </w:pPr>
    </w:p>
    <w:p>
      <w:pPr>
        <w:sectPr>
          <w:pgSz w:w="11900" w:h="16838" w:orient="portrait"/>
          <w:cols w:equalWidth="0" w:num="2">
            <w:col w:w="9040" w:space="12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2020-01-09T13:54:01Z</dcterms:created>
  <dcterms:modified xsi:type="dcterms:W3CDTF">2020-01-09T13:54:01Z</dcterms:modified>
</cp:coreProperties>
</file>