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01/06/2017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5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10"/>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2"/>
                <w:szCs w:val="2"/>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240" w:type="dxa"/>
            <w:vAlign w:val="bottom"/>
          </w:tcPr>
          <w:p>
            <w:pPr>
              <w:spacing w:after="0"/>
              <w:rPr>
                <w:sz w:val="11"/>
                <w:szCs w:val="11"/>
                <w:color w:val="auto"/>
              </w:rPr>
            </w:pPr>
          </w:p>
        </w:tc>
        <w:tc>
          <w:tcPr>
            <w:tcW w:w="33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3"/>
          </w:tcPr>
          <w:p>
            <w:pPr>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00" w:type="dxa"/>
            <w:vAlign w:val="bottom"/>
          </w:tcPr>
          <w:p>
            <w:pPr>
              <w:spacing w:after="0"/>
              <w:rPr>
                <w:sz w:val="20"/>
                <w:szCs w:val="20"/>
                <w:color w:val="auto"/>
              </w:rPr>
            </w:pPr>
            <w:r>
              <w:rPr>
                <w:rFonts w:ascii="Arial" w:cs="Arial" w:eastAsia="Arial" w:hAnsi="Arial"/>
                <w:sz w:val="18"/>
                <w:szCs w:val="18"/>
                <w:color w:val="0000FF"/>
              </w:rPr>
              <w:t>77002</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0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6"/>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9"/>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70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340" w:type="dxa"/>
            <w:vAlign w:val="bottom"/>
            <w:gridSpan w:val="9"/>
          </w:tcPr>
          <w:p>
            <w:pPr>
              <w:ind w:left="140"/>
              <w:spacing w:after="0" w:line="133" w:lineRule="exact"/>
              <w:rPr>
                <w:sz w:val="20"/>
                <w:szCs w:val="20"/>
                <w:color w:val="auto"/>
              </w:rPr>
            </w:pPr>
            <w:r>
              <w:rPr>
                <w:rFonts w:ascii="Arial" w:cs="Arial" w:eastAsia="Arial" w:hAnsi="Arial"/>
                <w:sz w:val="12"/>
                <w:szCs w:val="12"/>
                <w:b w:val="1"/>
                <w:bCs w:val="1"/>
                <w:color w:val="auto"/>
              </w:rPr>
              <w:t>Disposed Of (D) (Instr. 3, 4 andSecurities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8"/>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118"/>
              <w:spacing w:after="0"/>
              <w:rPr>
                <w:sz w:val="20"/>
                <w:szCs w:val="20"/>
                <w:color w:val="auto"/>
              </w:rPr>
            </w:pPr>
            <w:r>
              <w:rPr>
                <w:rFonts w:ascii="Arial" w:cs="Arial" w:eastAsia="Arial" w:hAnsi="Arial"/>
                <w:sz w:val="18"/>
                <w:szCs w:val="18"/>
                <w:color w:val="0000FF"/>
                <w:w w:val="99"/>
              </w:rPr>
              <w:t>01/06/2017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(1)(2)</w:t>
            </w:r>
          </w:p>
        </w:tc>
        <w:tc>
          <w:tcPr>
            <w:tcW w:w="1120" w:type="dxa"/>
            <w:vAlign w:val="bottom"/>
            <w:gridSpan w:val="2"/>
            <w:vMerge w:val="restart"/>
          </w:tcPr>
          <w:p>
            <w:pPr>
              <w:ind w:left="220"/>
              <w:spacing w:after="0"/>
              <w:rPr>
                <w:sz w:val="20"/>
                <w:szCs w:val="20"/>
                <w:color w:val="auto"/>
              </w:rPr>
            </w:pPr>
            <w:r>
              <w:rPr>
                <w:rFonts w:ascii="Arial" w:cs="Arial" w:eastAsia="Arial" w:hAnsi="Arial"/>
                <w:sz w:val="18"/>
                <w:szCs w:val="18"/>
                <w:color w:val="0000FF"/>
              </w:rPr>
              <w:t>137,522</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18"/>
                <w:szCs w:val="18"/>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(2)</w:t>
            </w:r>
          </w:p>
        </w:tc>
        <w:tc>
          <w:tcPr>
            <w:tcW w:w="240" w:type="dxa"/>
            <w:vAlign w:val="bottom"/>
          </w:tcPr>
          <w:p>
            <w:pPr>
              <w:spacing w:after="0"/>
              <w:rPr>
                <w:sz w:val="18"/>
                <w:szCs w:val="18"/>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242,732,000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40" w:type="dxa"/>
            <w:vAlign w:val="bottom"/>
            <w:gridSpan w:val="8"/>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8"/>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118"/>
              <w:spacing w:after="0"/>
              <w:rPr>
                <w:sz w:val="20"/>
                <w:szCs w:val="20"/>
                <w:color w:val="auto"/>
              </w:rPr>
            </w:pPr>
            <w:r>
              <w:rPr>
                <w:rFonts w:ascii="Arial" w:cs="Arial" w:eastAsia="Arial" w:hAnsi="Arial"/>
                <w:sz w:val="18"/>
                <w:szCs w:val="18"/>
                <w:color w:val="0000FF"/>
                <w:w w:val="99"/>
              </w:rPr>
              <w:t>01/09/2017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(1)(4)</w:t>
            </w:r>
          </w:p>
        </w:tc>
        <w:tc>
          <w:tcPr>
            <w:tcW w:w="1120" w:type="dxa"/>
            <w:vAlign w:val="bottom"/>
            <w:gridSpan w:val="2"/>
            <w:vMerge w:val="restart"/>
          </w:tcPr>
          <w:p>
            <w:pPr>
              <w:ind w:left="220"/>
              <w:spacing w:after="0"/>
              <w:rPr>
                <w:sz w:val="20"/>
                <w:szCs w:val="20"/>
                <w:color w:val="auto"/>
              </w:rPr>
            </w:pPr>
            <w:r>
              <w:rPr>
                <w:rFonts w:ascii="Arial" w:cs="Arial" w:eastAsia="Arial" w:hAnsi="Arial"/>
                <w:sz w:val="18"/>
                <w:szCs w:val="18"/>
                <w:color w:val="0000FF"/>
              </w:rPr>
              <w:t>181,819</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18"/>
                <w:szCs w:val="18"/>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(4)</w:t>
            </w:r>
          </w:p>
        </w:tc>
        <w:tc>
          <w:tcPr>
            <w:tcW w:w="240" w:type="dxa"/>
            <w:vAlign w:val="bottom"/>
          </w:tcPr>
          <w:p>
            <w:pPr>
              <w:spacing w:after="0"/>
              <w:rPr>
                <w:sz w:val="18"/>
                <w:szCs w:val="18"/>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242,913,819</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40" w:type="dxa"/>
            <w:vAlign w:val="bottom"/>
            <w:gridSpan w:val="8"/>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8"/>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40" w:type="dxa"/>
            <w:vAlign w:val="bottom"/>
            <w:gridSpan w:val="15"/>
          </w:tcPr>
          <w:p>
            <w:pPr>
              <w:jc w:val="center"/>
              <w:ind w:left="50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7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4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2"/>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700" w:type="dxa"/>
            <w:vAlign w:val="bottom"/>
          </w:tcPr>
          <w:p>
            <w:pPr>
              <w:ind w:left="38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2"/>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700" w:type="dxa"/>
            <w:vAlign w:val="bottom"/>
          </w:tcPr>
          <w:p>
            <w:pPr>
              <w:ind w:left="38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Plains All American GP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3176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3176905"/>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w w:val="95"/>
              </w:rPr>
              <w:t>333 CLAY STREET,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7">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73"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Pursuant to that certain Omnibus Agreement (the "Omnibus Agreement") dated November 15, 2016, by and among PAA GP Holdings LLC ("PAGP GP"), Plains GP Holdings, L.P. ("PAGP"), Plains All American GP LLC ("GP LLC"), Plains AAP, L.P. ("AAP"), PAA GP LLC and Plains All American Pipeline, L.P. ("PAA"), PAGP is obligated to use the net proceeds from any public or private offering and sale of PAGP's Class A shares to purchase from AAP a number of AAP Class A units equal to the number of Class A shares sold in such offering at a price equal to the net proceeds from such offering. The Omnibus Agreement also provides that immediately following such purchase and sale, AAP is obligated to use the net proceeds it receives from such sale of AAP Class A units to PAGP to purchase from PAA an equivalent number of common units representing limited partner interests of PAA ("Common Units").</w:t>
      </w:r>
    </w:p>
    <w:p>
      <w:pPr>
        <w:spacing w:after="0" w:line="11" w:lineRule="exact"/>
        <w:rPr>
          <w:rFonts w:ascii="Arial" w:cs="Arial" w:eastAsia="Arial" w:hAnsi="Arial"/>
          <w:sz w:val="12"/>
          <w:szCs w:val="12"/>
          <w:color w:val="008000"/>
        </w:rPr>
      </w:pPr>
    </w:p>
    <w:p>
      <w:pPr>
        <w:ind w:left="20" w:right="4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January 6, 2017, PAGP sold an aggregate 137,522 Class A shares under its continuous equity offering program and used the net proceeds therefrom ($4,640,195.40) to purchase an equivalent number of AAP Class A units. AAP used such net proceeds to purchase an equivalent number of Common Units from PAA.</w:t>
      </w:r>
    </w:p>
    <w:p>
      <w:pPr>
        <w:spacing w:after="0" w:line="30" w:lineRule="exact"/>
        <w:rPr>
          <w:rFonts w:ascii="Arial" w:cs="Arial" w:eastAsia="Arial" w:hAnsi="Arial"/>
          <w:sz w:val="14"/>
          <w:szCs w:val="14"/>
          <w:color w:val="008000"/>
        </w:rPr>
      </w:pPr>
    </w:p>
    <w:p>
      <w:pPr>
        <w:ind w:left="20" w:right="120" w:firstLine="9"/>
        <w:spacing w:after="0" w:line="305"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right="4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January 9, 2017, PAGP sold an aggregate 181,819 Class A shares under its continuous equity offering program and used the net proceeds therefrom ($6,019,893.09) to purchase an equivalent number of AAP Class A units. AAP used such net proceeds to purchase an equivalent number of Common Units from PAA.</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01/10/2017</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48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6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7"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2020-01-15T23:28:20Z</dcterms:created>
  <dcterms:modified xsi:type="dcterms:W3CDTF">2020-01-15T23:28:20Z</dcterms:modified>
</cp:coreProperties>
</file>