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-243840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2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233"/>
              <w:spacing w:after="0" w:line="196"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20"/>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8"/>
        </w:trPr>
        <w:tc>
          <w:tcPr>
            <w:tcW w:w="6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8"/>
        </w:trPr>
        <w:tc>
          <w:tcPr>
            <w:tcW w:w="6580" w:type="dxa"/>
            <w:vAlign w:val="bottom"/>
            <w:vMerge w:val="restart"/>
          </w:tcPr>
          <w:p>
            <w:pPr>
              <w:jc w:val="center"/>
              <w:ind w:right="2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5522595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4169410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-1747520</wp:posOffset>
            </wp:positionH>
            <wp:positionV relativeFrom="paragraph">
              <wp:posOffset>20320</wp:posOffset>
            </wp:positionV>
            <wp:extent cx="7412355"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412355" cy="436753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80"/>
            <w:col w:w="8920"/>
          </w:cols>
          <w:pgMar w:left="160" w:top="145" w:right="7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Herbold Chris</w:t>
        </w:r>
      </w:hyperlink>
    </w:p>
    <w:p>
      <w:pPr>
        <w:spacing w:after="0" w:line="32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80"/>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0000FF"/>
                <w:w w:val="98"/>
              </w:rPr>
              <w:t>333 CLAY STREET, SUITE 1600</w:t>
            </w:r>
          </w:p>
        </w:tc>
        <w:tc>
          <w:tcPr>
            <w:tcW w:w="1340" w:type="dxa"/>
            <w:vAlign w:val="bottom"/>
          </w:tcPr>
          <w:p>
            <w:pPr>
              <w:spacing w:after="0"/>
              <w:rPr>
                <w:sz w:val="24"/>
                <w:szCs w:val="24"/>
                <w:color w:val="auto"/>
              </w:rPr>
            </w:pPr>
          </w:p>
        </w:tc>
      </w:tr>
      <w:tr>
        <w:trPr>
          <w:trHeight w:val="210"/>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r>
      <w:tr>
        <w:trPr>
          <w:trHeight w:val="2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440" w:type="dxa"/>
            <w:vAlign w:val="bottom"/>
          </w:tcPr>
          <w:p>
            <w:pPr>
              <w:ind w:left="240"/>
              <w:spacing w:after="0"/>
              <w:rPr>
                <w:sz w:val="20"/>
                <w:szCs w:val="20"/>
                <w:color w:val="auto"/>
              </w:rPr>
            </w:pPr>
            <w:r>
              <w:rPr>
                <w:rFonts w:ascii="Arial" w:cs="Arial" w:eastAsia="Arial" w:hAnsi="Arial"/>
                <w:sz w:val="17"/>
                <w:szCs w:val="17"/>
                <w:color w:val="0000FF"/>
              </w:rPr>
              <w:t>TX</w:t>
            </w:r>
          </w:p>
        </w:tc>
        <w:tc>
          <w:tcPr>
            <w:tcW w:w="134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980" w:type="dxa"/>
            <w:vAlign w:val="bottom"/>
            <w:gridSpan w:val="2"/>
          </w:tcPr>
          <w:p>
            <w:pPr>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PLAINS ALL AMERICAN PIPELINE LP </w:t>
              </w:r>
            </w:hyperlink>
            <w:r>
              <w:rPr>
                <w:rFonts w:ascii="Arial" w:cs="Arial" w:eastAsia="Arial" w:hAnsi="Arial"/>
                <w:sz w:val="21"/>
                <w:szCs w:val="21"/>
                <w:color w:val="000000"/>
              </w:rPr>
              <w:t>[</w:t>
            </w:r>
          </w:p>
        </w:tc>
        <w:tc>
          <w:tcPr>
            <w:tcW w:w="19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vMerge w:val="restart"/>
          </w:tcPr>
          <w:p>
            <w:pPr>
              <w:spacing w:after="0"/>
              <w:rPr>
                <w:sz w:val="11"/>
                <w:szCs w:val="11"/>
                <w:color w:val="auto"/>
              </w:rPr>
            </w:pPr>
          </w:p>
        </w:tc>
        <w:tc>
          <w:tcPr>
            <w:tcW w:w="370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1"/>
                <w:szCs w:val="21"/>
                <w:color w:val="000000"/>
              </w:rPr>
              <w:t>]</w:t>
            </w:r>
          </w:p>
        </w:tc>
        <w:tc>
          <w:tcPr>
            <w:tcW w:w="2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540" w:type="dxa"/>
            <w:vAlign w:val="bottom"/>
          </w:tcPr>
          <w:p>
            <w:pPr>
              <w:ind w:left="34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4"/>
        </w:trPr>
        <w:tc>
          <w:tcPr>
            <w:tcW w:w="60" w:type="dxa"/>
            <w:vAlign w:val="bottom"/>
            <w:vMerge w:val="continue"/>
          </w:tcPr>
          <w:p>
            <w:pPr>
              <w:spacing w:after="0"/>
              <w:rPr>
                <w:sz w:val="12"/>
                <w:szCs w:val="12"/>
                <w:color w:val="auto"/>
              </w:rPr>
            </w:pPr>
          </w:p>
        </w:tc>
        <w:tc>
          <w:tcPr>
            <w:tcW w:w="37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3"/>
        </w:trPr>
        <w:tc>
          <w:tcPr>
            <w:tcW w:w="6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60" w:type="dxa"/>
            <w:vAlign w:val="bottom"/>
            <w:tcBorders>
              <w:bottom w:val="single" w:sz="8" w:color="2C2C2C"/>
            </w:tcBorders>
          </w:tcPr>
          <w:p>
            <w:pPr>
              <w:spacing w:after="0"/>
              <w:rPr>
                <w:sz w:val="7"/>
                <w:szCs w:val="7"/>
                <w:color w:val="auto"/>
              </w:rPr>
            </w:pPr>
          </w:p>
        </w:tc>
        <w:tc>
          <w:tcPr>
            <w:tcW w:w="3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4040" w:type="dxa"/>
            <w:vAlign w:val="bottom"/>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404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96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Sr. VP and Chief Acctg Officer</w:t>
            </w:r>
          </w:p>
        </w:tc>
        <w:tc>
          <w:tcPr>
            <w:tcW w:w="0" w:type="dxa"/>
            <w:vAlign w:val="bottom"/>
          </w:tcPr>
          <w:p>
            <w:pPr>
              <w:spacing w:after="0"/>
              <w:rPr>
                <w:sz w:val="1"/>
                <w:szCs w:val="1"/>
                <w:color w:val="auto"/>
              </w:rPr>
            </w:pPr>
          </w:p>
        </w:tc>
      </w:tr>
      <w:tr>
        <w:trPr>
          <w:trHeight w:val="114"/>
        </w:trPr>
        <w:tc>
          <w:tcPr>
            <w:tcW w:w="37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11/21/2019</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7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37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6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404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6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100"/>
        <w:spacing w:after="0"/>
        <w:rPr>
          <w:sz w:val="20"/>
          <w:szCs w:val="20"/>
          <w:color w:val="auto"/>
        </w:rPr>
      </w:pPr>
      <w:r>
        <w:rPr>
          <w:rFonts w:ascii="Arial" w:cs="Arial" w:eastAsia="Arial" w:hAnsi="Arial"/>
          <w:sz w:val="13"/>
          <w:szCs w:val="13"/>
          <w:color w:val="auto"/>
        </w:rPr>
        <w:t>Line)</w:t>
      </w:r>
    </w:p>
    <w:p>
      <w:pPr>
        <w:ind w:left="4320"/>
        <w:spacing w:after="0" w:line="235" w:lineRule="auto"/>
        <w:tabs>
          <w:tab w:leader="none" w:pos="46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60"/>
        <w:spacing w:after="0"/>
        <w:rPr>
          <w:sz w:val="20"/>
          <w:szCs w:val="20"/>
          <w:color w:val="auto"/>
        </w:rPr>
      </w:pPr>
      <w:r>
        <w:rPr>
          <w:rFonts w:ascii="Arial" w:cs="Arial" w:eastAsia="Arial" w:hAnsi="Arial"/>
          <w:sz w:val="13"/>
          <w:szCs w:val="13"/>
          <w:color w:val="auto"/>
        </w:rPr>
        <w:t>Form filed by More than One Reporting</w:t>
      </w:r>
    </w:p>
    <w:p>
      <w:pPr>
        <w:ind w:left="466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60" w:space="100"/>
            <w:col w:w="7600"/>
          </w:cols>
          <w:pgMar w:left="160" w:top="145" w:right="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660" w:type="dxa"/>
            <w:vAlign w:val="bottom"/>
          </w:tcPr>
          <w:p>
            <w:pPr>
              <w:spacing w:after="0"/>
              <w:rPr>
                <w:sz w:val="11"/>
                <w:szCs w:val="11"/>
                <w:color w:val="auto"/>
              </w:rPr>
            </w:pPr>
          </w:p>
        </w:tc>
        <w:tc>
          <w:tcPr>
            <w:tcW w:w="192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66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6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6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40" w:type="dxa"/>
            <w:vAlign w:val="bottom"/>
            <w:vMerge w:val="restart"/>
          </w:tcPr>
          <w:p>
            <w:pPr>
              <w:jc w:val="right"/>
              <w:ind w:right="198"/>
              <w:spacing w:after="0"/>
              <w:rPr>
                <w:sz w:val="20"/>
                <w:szCs w:val="20"/>
                <w:color w:val="auto"/>
              </w:rPr>
            </w:pPr>
            <w:r>
              <w:rPr>
                <w:rFonts w:ascii="Arial" w:cs="Arial" w:eastAsia="Arial" w:hAnsi="Arial"/>
                <w:sz w:val="13"/>
                <w:szCs w:val="13"/>
                <w:color w:val="0000FF"/>
              </w:rPr>
              <w:t>11/21/2019</w:t>
            </w:r>
          </w:p>
        </w:tc>
        <w:tc>
          <w:tcPr>
            <w:tcW w:w="112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rPr>
              <w:t>100,000</w:t>
            </w:r>
          </w:p>
        </w:tc>
        <w:tc>
          <w:tcPr>
            <w:tcW w:w="220" w:type="dxa"/>
            <w:vAlign w:val="bottom"/>
          </w:tcPr>
          <w:p>
            <w:pPr>
              <w:spacing w:after="0"/>
              <w:rPr>
                <w:sz w:val="16"/>
                <w:szCs w:val="16"/>
                <w:color w:val="auto"/>
              </w:rPr>
            </w:pPr>
          </w:p>
        </w:tc>
        <w:tc>
          <w:tcPr>
            <w:tcW w:w="820" w:type="dxa"/>
            <w:vAlign w:val="bottom"/>
            <w:vMerge w:val="restart"/>
          </w:tcPr>
          <w:p>
            <w:pPr>
              <w:ind w:left="300"/>
              <w:spacing w:after="0"/>
              <w:rPr>
                <w:sz w:val="20"/>
                <w:szCs w:val="20"/>
                <w:color w:val="auto"/>
              </w:rPr>
            </w:pPr>
            <w:r>
              <w:rPr>
                <w:rFonts w:ascii="Arial" w:cs="Arial" w:eastAsia="Arial" w:hAnsi="Arial"/>
                <w:sz w:val="11"/>
                <w:szCs w:val="11"/>
                <w:color w:val="008000"/>
              </w:rPr>
              <w:t>(3)(4)</w:t>
            </w:r>
          </w:p>
        </w:tc>
        <w:tc>
          <w:tcPr>
            <w:tcW w:w="740" w:type="dxa"/>
            <w:vAlign w:val="bottom"/>
            <w:vMerge w:val="restart"/>
          </w:tcPr>
          <w:p>
            <w:pPr>
              <w:jc w:val="right"/>
              <w:ind w:right="181"/>
              <w:spacing w:after="0"/>
              <w:rPr>
                <w:sz w:val="20"/>
                <w:szCs w:val="20"/>
                <w:color w:val="auto"/>
              </w:rPr>
            </w:pPr>
            <w:r>
              <w:rPr>
                <w:rFonts w:ascii="Arial" w:cs="Arial" w:eastAsia="Arial" w:hAnsi="Arial"/>
                <w:sz w:val="11"/>
                <w:szCs w:val="11"/>
                <w:color w:val="008000"/>
              </w:rPr>
              <w:t>(3)(4)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100,000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restart"/>
          </w:tcPr>
          <w:p>
            <w:pPr>
              <w:ind w:left="260"/>
              <w:spacing w:after="0"/>
              <w:rPr>
                <w:sz w:val="20"/>
                <w:szCs w:val="20"/>
                <w:color w:val="auto"/>
              </w:rPr>
            </w:pPr>
            <w:r>
              <w:rPr>
                <w:rFonts w:ascii="Arial" w:cs="Arial" w:eastAsia="Arial" w:hAnsi="Arial"/>
                <w:sz w:val="13"/>
                <w:szCs w:val="13"/>
                <w:color w:val="0000FF"/>
              </w:rPr>
              <w:t>100,000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tcPr>
          <w:p>
            <w:pPr>
              <w:ind w:left="180"/>
              <w:spacing w:after="0" w:line="67" w:lineRule="exact"/>
              <w:rPr>
                <w:sz w:val="20"/>
                <w:szCs w:val="20"/>
                <w:color w:val="auto"/>
              </w:rPr>
            </w:pPr>
            <w:r>
              <w:rPr>
                <w:rFonts w:ascii="Arial" w:cs="Arial" w:eastAsia="Arial" w:hAnsi="Arial"/>
                <w:sz w:val="7"/>
                <w:szCs w:val="7"/>
                <w:color w:val="0000FF"/>
              </w:rPr>
              <w:t>Units</w:t>
            </w:r>
          </w:p>
        </w:tc>
        <w:tc>
          <w:tcPr>
            <w:tcW w:w="6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Special one-time long-term retention grant of Phantom Units granted under Long-Term Incentive Plan (includes distribution equivalent rights payable in cash).</w:t>
      </w:r>
    </w:p>
    <w:p>
      <w:pPr>
        <w:spacing w:after="0" w:line="51"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 Common Unit is deliverable, upon vesting, for each Phantom Unit that vests.</w:t>
      </w:r>
    </w:p>
    <w:p>
      <w:pPr>
        <w:spacing w:after="0" w:line="51" w:lineRule="exact"/>
        <w:rPr>
          <w:rFonts w:ascii="Arial" w:cs="Arial" w:eastAsia="Arial" w:hAnsi="Arial"/>
          <w:sz w:val="13"/>
          <w:szCs w:val="13"/>
          <w:color w:val="008000"/>
        </w:rPr>
      </w:pPr>
    </w:p>
    <w:p>
      <w:pPr>
        <w:jc w:val="both"/>
        <w:ind w:left="40" w:right="300" w:firstLine="7"/>
        <w:spacing w:after="0" w:line="25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Units will vest (i) 50% on the August 2026 distribution date, (ii) 25% on the later of the August 2026 distribution date and the first distribution date following PAA's achievement of distributable cash flow ("DCF") per common unit and common unit equivalent of at least $2.80 on a trailing four quarter basis, and (iii) 25% on the later of the August 2026 distribution date and the first distribution date following PAA's achievement of DCF per common unit and common unit equivalent of at least $3.15 on a trailing four quarter basis.</w:t>
      </w:r>
    </w:p>
    <w:p>
      <w:pPr>
        <w:spacing w:after="0" w:line="21" w:lineRule="exact"/>
        <w:rPr>
          <w:rFonts w:ascii="Arial" w:cs="Arial" w:eastAsia="Arial" w:hAnsi="Arial"/>
          <w:sz w:val="13"/>
          <w:szCs w:val="13"/>
          <w:color w:val="008000"/>
        </w:rPr>
      </w:pPr>
    </w:p>
    <w:p>
      <w:pPr>
        <w:ind w:left="40" w:right="140" w:firstLine="7"/>
        <w:spacing w:after="0" w:line="275"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associated DERs will vest (i) 20% each on the August 2020, August 2021 and August 2022 distribution dates (60% total), (ii) 20% on the first distribution date following PAA's achievement of DCF per common unit and common unit equivalent of at least $2.70 on a trailing four quarter basis, and (iii) 20% on the first distribution date following PAA's achievement of DCF per common unit and common unit equivalent of at least $2.90 on a trailing four quarter basis. The applicable trailing four quarter period for determining whether the requisite DCF per common unit and common unit equivalent has been achieved for vesting of phantom units and DERs may not begin until on or after January 1, 2020. Any phantom units that have not vested by the August 2028 distribution date will be forfeited.</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7" w:lineRule="exact"/>
        <w:rPr>
          <w:sz w:val="24"/>
          <w:szCs w:val="24"/>
          <w:color w:val="auto"/>
        </w:rPr>
      </w:pPr>
    </w:p>
    <w:tbl>
      <w:tblPr>
        <w:tblLayout w:type="fixed"/>
        <w:tblInd w:w="696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3"/>
              </w:rPr>
              <w:t>/s/ Chris Herbold</w:t>
            </w:r>
          </w:p>
        </w:tc>
        <w:tc>
          <w:tcPr>
            <w:tcW w:w="92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11/25/2019</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880" w:firstLine="7"/>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60"/>
      </w:cols>
      <w:pgMar w:left="160" w:top="145" w:right="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file:///cgi-bin/browse-edgar?action=getcompany&amp;CIK=0001497929" TargetMode="External"/><Relationship Id="rId13" Type="http://schemas.openxmlformats.org/officeDocument/2006/relationships/hyperlink" Target="file:///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2019-11-26T13:35:09Z</dcterms:created>
  <dcterms:modified xsi:type="dcterms:W3CDTF">2019-11-26T13:35:09Z</dcterms:modified>
</cp:coreProperties>
</file>