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333-214778</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143,936,001 Common Units</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Representing Limited Partner Interests</w:t>
      </w:r>
    </w:p>
    <w:p>
      <w:pPr>
        <w:spacing w:after="0" w:line="244" w:lineRule="exact"/>
        <w:rPr>
          <w:sz w:val="24"/>
          <w:szCs w:val="24"/>
          <w:color w:val="auto"/>
        </w:rPr>
      </w:pPr>
    </w:p>
    <w:p>
      <w:pPr>
        <w:ind w:right="260" w:firstLine="348"/>
        <w:spacing w:after="0" w:line="259" w:lineRule="auto"/>
        <w:rPr>
          <w:sz w:val="20"/>
          <w:szCs w:val="20"/>
          <w:color w:val="auto"/>
        </w:rPr>
      </w:pPr>
      <w:r>
        <w:rPr>
          <w:rFonts w:ascii="Arial" w:cs="Arial" w:eastAsia="Arial" w:hAnsi="Arial"/>
          <w:sz w:val="18"/>
          <w:szCs w:val="18"/>
          <w:color w:val="auto"/>
        </w:rPr>
        <w:t>This prospectus relates to up to 143,936,001 common units representing limited partner interests of Plains All American Pipeline, L.P. that the selling unitholders named in this prospectus may from time to time, in one or more offerings, offer and sell. For a detailed discussion of the selling unitholders, please read "Selling Unitholders."</w:t>
      </w:r>
    </w:p>
    <w:p>
      <w:pPr>
        <w:spacing w:after="0" w:line="194" w:lineRule="exact"/>
        <w:rPr>
          <w:sz w:val="24"/>
          <w:szCs w:val="24"/>
          <w:color w:val="auto"/>
        </w:rPr>
      </w:pPr>
    </w:p>
    <w:p>
      <w:pPr>
        <w:ind w:right="40" w:firstLine="348"/>
        <w:spacing w:after="0" w:line="255" w:lineRule="auto"/>
        <w:rPr>
          <w:sz w:val="20"/>
          <w:szCs w:val="20"/>
          <w:color w:val="auto"/>
        </w:rPr>
      </w:pPr>
      <w:r>
        <w:rPr>
          <w:rFonts w:ascii="Arial" w:cs="Arial" w:eastAsia="Arial" w:hAnsi="Arial"/>
          <w:sz w:val="18"/>
          <w:szCs w:val="18"/>
          <w:color w:val="auto"/>
        </w:rPr>
        <w:t>The selling unitholders may offer and sell these common units to or through one or more underwriters, dealers or agents, or directly to investors, in amounts, at prices and on terms to be determined by market conditions and other factors at the time of the offering. This prospectus describes only the general terms of these common units and the general manner of offering these common units by the selling unitholders. We may file one or more prospectus supplements that may describe the specific manner in which the selling unitholders will offer the common units and also may add, update or change information contained in this prospectus.</w:t>
      </w:r>
    </w:p>
    <w:p>
      <w:pPr>
        <w:spacing w:after="0" w:line="197" w:lineRule="exact"/>
        <w:rPr>
          <w:sz w:val="24"/>
          <w:szCs w:val="24"/>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common units. You should also read the documents we have referred you to in the "Where You Can Find More Information" section of this prospectus for information about us, including our financial statements.</w:t>
      </w:r>
    </w:p>
    <w:p>
      <w:pPr>
        <w:spacing w:after="0" w:line="19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Our common units are listed on the New York Stock Exchange ("NYSE") under the symbol "PAA."</w:t>
      </w:r>
    </w:p>
    <w:p>
      <w:pPr>
        <w:spacing w:after="0" w:line="206" w:lineRule="exact"/>
        <w:rPr>
          <w:sz w:val="24"/>
          <w:szCs w:val="24"/>
          <w:color w:val="auto"/>
        </w:rPr>
      </w:pPr>
    </w:p>
    <w:p>
      <w:pPr>
        <w:ind w:right="20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common units involves a high degree of risk. You should carefully consider the risks relating to investing in our common units and each of the other risk factors described under "Risk Factors" on page 8 of this prospectus before you make an investment in our common units.</w:t>
      </w:r>
    </w:p>
    <w:p>
      <w:pPr>
        <w:spacing w:after="0" w:line="136" w:lineRule="exact"/>
        <w:rPr>
          <w:sz w:val="24"/>
          <w:szCs w:val="24"/>
          <w:color w:val="auto"/>
        </w:rPr>
      </w:pPr>
    </w:p>
    <w:p>
      <w:pPr>
        <w:ind w:right="32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common units or determined if this prospectus is truthful or complete. Any representation to the contrary is a criminal offense.</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is December 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468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40" w:type="dxa"/>
            <w:vAlign w:val="bottom"/>
            <w:gridSpan w:val="3"/>
          </w:tcPr>
          <w:p>
            <w:pPr>
              <w:jc w:val="right"/>
              <w:ind w:right="3392"/>
              <w:spacing w:after="0"/>
              <w:rPr>
                <w:sz w:val="20"/>
                <w:szCs w:val="20"/>
                <w:color w:val="auto"/>
              </w:rPr>
            </w:pPr>
            <w:r>
              <w:rPr>
                <w:rFonts w:ascii="Arial" w:cs="Arial" w:eastAsia="Arial" w:hAnsi="Arial"/>
                <w:sz w:val="18"/>
                <w:szCs w:val="18"/>
                <w:b w:val="1"/>
                <w:bCs w:val="1"/>
                <w:color w:val="auto"/>
                <w:w w:val="99"/>
              </w:rPr>
              <w:t>TABLE OF CONTENTS</w:t>
            </w:r>
          </w:p>
        </w:tc>
      </w:tr>
      <w:tr>
        <w:trPr>
          <w:trHeight w:val="394"/>
        </w:trPr>
        <w:tc>
          <w:tcPr>
            <w:tcW w:w="1140" w:type="dxa"/>
            <w:vAlign w:val="bottom"/>
          </w:tcPr>
          <w:p>
            <w:pPr>
              <w:spacing w:after="0"/>
              <w:rPr>
                <w:sz w:val="24"/>
                <w:szCs w:val="24"/>
                <w:color w:val="auto"/>
              </w:rPr>
            </w:pPr>
          </w:p>
        </w:tc>
        <w:tc>
          <w:tcPr>
            <w:tcW w:w="35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About This Prospectus</w:t>
              </w:r>
            </w:hyperlink>
          </w:p>
        </w:tc>
        <w:tc>
          <w:tcPr>
            <w:tcW w:w="54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196"/>
        </w:trPr>
        <w:tc>
          <w:tcPr>
            <w:tcW w:w="114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740" w:type="dxa"/>
            <w:vAlign w:val="bottom"/>
            <w:gridSpan w:val="4"/>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196"/>
        </w:trPr>
        <w:tc>
          <w:tcPr>
            <w:tcW w:w="1140" w:type="dxa"/>
            <w:vAlign w:val="bottom"/>
          </w:tcPr>
          <w:p>
            <w:pPr>
              <w:spacing w:after="0"/>
              <w:rPr>
                <w:sz w:val="17"/>
                <w:szCs w:val="17"/>
                <w:color w:val="auto"/>
              </w:rPr>
            </w:pPr>
          </w:p>
        </w:tc>
        <w:tc>
          <w:tcPr>
            <w:tcW w:w="294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About Plains All American Pipeline, L.P.</w:t>
              </w:r>
            </w:hyperlink>
          </w:p>
        </w:tc>
        <w:tc>
          <w:tcPr>
            <w:tcW w:w="600" w:type="dxa"/>
            <w:vAlign w:val="bottom"/>
            <w:gridSpan w:val="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196"/>
        </w:trPr>
        <w:tc>
          <w:tcPr>
            <w:tcW w:w="114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2640" w:type="dxa"/>
            <w:vAlign w:val="bottom"/>
            <w:gridSpan w:val="13"/>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Use of Proceeds</w:t>
              </w:r>
            </w:hyperlink>
          </w:p>
        </w:tc>
        <w:tc>
          <w:tcPr>
            <w:tcW w:w="2380" w:type="dxa"/>
            <w:vAlign w:val="bottom"/>
            <w:gridSpan w:val="11"/>
          </w:tcPr>
          <w:p>
            <w:pPr>
              <w:spacing w:after="0"/>
              <w:rPr>
                <w:sz w:val="17"/>
                <w:szCs w:val="17"/>
                <w:color w:val="auto"/>
              </w:rPr>
            </w:pPr>
          </w:p>
        </w:tc>
        <w:tc>
          <w:tcPr>
            <w:tcW w:w="534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9</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Our Common Units</w:t>
              </w:r>
            </w:hyperlink>
          </w:p>
        </w:tc>
        <w:tc>
          <w:tcPr>
            <w:tcW w:w="1080" w:type="dxa"/>
            <w:vAlign w:val="bottom"/>
            <w:gridSpan w:val="5"/>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10</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Cash Distribution Policy</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13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Our Partnership Agreement</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20">
              <w:r>
                <w:rPr>
                  <w:rFonts w:ascii="Arial" w:cs="Arial" w:eastAsia="Arial" w:hAnsi="Arial"/>
                  <w:sz w:val="18"/>
                  <w:szCs w:val="18"/>
                  <w:color w:val="0000EE"/>
                  <w:w w:val="87"/>
                </w:rPr>
                <w:t>Material U.S. Federal Income Tax Consequences</w:t>
              </w:r>
            </w:hyperlink>
          </w:p>
        </w:tc>
        <w:tc>
          <w:tcPr>
            <w:tcW w:w="8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19</w:t>
              </w:r>
            </w:hyperlink>
          </w:p>
        </w:tc>
      </w:tr>
      <w:tr>
        <w:trPr>
          <w:trHeight w:val="196"/>
        </w:trPr>
        <w:tc>
          <w:tcPr>
            <w:tcW w:w="1140" w:type="dxa"/>
            <w:vAlign w:val="bottom"/>
          </w:tcPr>
          <w:p>
            <w:pPr>
              <w:spacing w:after="0"/>
              <w:rPr>
                <w:sz w:val="17"/>
                <w:szCs w:val="17"/>
                <w:color w:val="auto"/>
              </w:rPr>
            </w:pPr>
          </w:p>
        </w:tc>
        <w:tc>
          <w:tcPr>
            <w:tcW w:w="13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Selling Unitholders</w:t>
              </w:r>
            </w:hyperlink>
          </w:p>
        </w:tc>
        <w:tc>
          <w:tcPr>
            <w:tcW w:w="2160" w:type="dxa"/>
            <w:vAlign w:val="bottom"/>
            <w:gridSpan w:val="10"/>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34</w:t>
              </w:r>
            </w:hyperlink>
          </w:p>
        </w:tc>
      </w:tr>
      <w:tr>
        <w:trPr>
          <w:trHeight w:val="196"/>
        </w:trPr>
        <w:tc>
          <w:tcPr>
            <w:tcW w:w="1140" w:type="dxa"/>
            <w:vAlign w:val="bottom"/>
          </w:tcPr>
          <w:p>
            <w:pPr>
              <w:spacing w:after="0"/>
              <w:rPr>
                <w:sz w:val="17"/>
                <w:szCs w:val="17"/>
                <w:color w:val="auto"/>
              </w:rPr>
            </w:pPr>
          </w:p>
        </w:tc>
        <w:tc>
          <w:tcPr>
            <w:tcW w:w="354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Plan of Distribution</w:t>
              </w:r>
            </w:hyperlink>
          </w:p>
        </w:tc>
        <w:tc>
          <w:tcPr>
            <w:tcW w:w="5440" w:type="dxa"/>
            <w:vAlign w:val="bottom"/>
            <w:gridSpan w:val="3"/>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37</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Legal Matters</w:t>
              </w:r>
            </w:hyperlink>
          </w:p>
        </w:tc>
        <w:tc>
          <w:tcPr>
            <w:tcW w:w="2140" w:type="dxa"/>
            <w:vAlign w:val="bottom"/>
            <w:gridSpan w:val="9"/>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Experts</w:t>
              </w:r>
            </w:hyperlink>
          </w:p>
        </w:tc>
        <w:tc>
          <w:tcPr>
            <w:tcW w:w="2560" w:type="dxa"/>
            <w:vAlign w:val="bottom"/>
            <w:gridSpan w:val="12"/>
          </w:tcPr>
          <w:p>
            <w:pPr>
              <w:spacing w:after="0"/>
              <w:rPr>
                <w:sz w:val="17"/>
                <w:szCs w:val="17"/>
                <w:color w:val="auto"/>
              </w:rPr>
            </w:pPr>
          </w:p>
        </w:tc>
        <w:tc>
          <w:tcPr>
            <w:tcW w:w="526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In making your investment decision, you should rely only on the information contained or incorporated by reference in this prospectus. We have not authorized anyone to provide you with any other information. If anyone provides you with different or inconsistent information, you should not rely on it.</w:t>
      </w:r>
    </w:p>
    <w:p>
      <w:pPr>
        <w:spacing w:after="0" w:line="186" w:lineRule="exact"/>
        <w:rPr>
          <w:sz w:val="20"/>
          <w:szCs w:val="20"/>
          <w:color w:val="auto"/>
        </w:rPr>
      </w:pPr>
    </w:p>
    <w:p>
      <w:pPr>
        <w:ind w:right="140" w:firstLine="351"/>
        <w:spacing w:after="0" w:line="258" w:lineRule="auto"/>
        <w:rPr>
          <w:sz w:val="20"/>
          <w:szCs w:val="20"/>
          <w:color w:val="auto"/>
        </w:rPr>
      </w:pPr>
      <w:r>
        <w:rPr>
          <w:rFonts w:ascii="Arial" w:cs="Arial" w:eastAsia="Arial" w:hAnsi="Arial"/>
          <w:sz w:val="18"/>
          <w:szCs w:val="18"/>
          <w:b w:val="1"/>
          <w:bCs w:val="1"/>
          <w:color w:val="auto"/>
        </w:rPr>
        <w:t>You should not assume that the information contained in this prospectus is accurate as of any date other than the date on the front cover of this prospectus. You should not assume that the information contained in the documents incorporated by reference in this prospectus is accurate as of any date other than the respective dates of those documents. Our business, financial condition, results of operations and prospects may have changed since those dates.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This prospectus is part of a registration statement on Form S-3 that we filed with the SEC utilizing a "shelf" registration process. Under this shelf registration process, the selling unitholders may over time, in one or more offerings, offer and sell up to 143,936,001 of our common units.</w:t>
      </w:r>
    </w:p>
    <w:p>
      <w:pPr>
        <w:spacing w:after="0" w:line="186" w:lineRule="exact"/>
        <w:rPr>
          <w:sz w:val="20"/>
          <w:szCs w:val="20"/>
          <w:color w:val="auto"/>
        </w:rPr>
      </w:pPr>
    </w:p>
    <w:p>
      <w:pPr>
        <w:ind w:right="320" w:firstLine="348"/>
        <w:spacing w:after="0" w:line="259" w:lineRule="auto"/>
        <w:rPr>
          <w:sz w:val="20"/>
          <w:szCs w:val="20"/>
          <w:color w:val="auto"/>
        </w:rPr>
      </w:pPr>
      <w:r>
        <w:rPr>
          <w:rFonts w:ascii="Arial" w:cs="Arial" w:eastAsia="Arial" w:hAnsi="Arial"/>
          <w:sz w:val="18"/>
          <w:szCs w:val="18"/>
          <w:color w:val="auto"/>
        </w:rPr>
        <w:t>We may file one or more prospectus supplements that may describe the specific manner in which the selling unitholders will offer the common units and may also add, update or change information in this prospectus. If there is any inconsistency between the information in this prospectus and any prospectus supplement, you should rely on the information in such prospectus supplement.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including all such documents we may file with the SEC after the date of the initial registration statement and prior to the effectiveness of the registration statement, until all offerings under this registration statement are completed:</w:t>
      </w:r>
    </w:p>
    <w:p>
      <w:pPr>
        <w:spacing w:after="0" w:line="211" w:lineRule="exact"/>
        <w:rPr>
          <w:sz w:val="20"/>
          <w:szCs w:val="20"/>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2015, filed on February 25,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2016, filed on May 10,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June 30, 2016, filed on August 8,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September 30, 2016, filed on November 8, 2016;</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Current Reports on Form 8-K, filed on January 19, 2016, February 2, 2016, May 18, 2016, July 14, 2016, August 9, 2016, August 17, 2016, August 31, 2016, November 18, 2016 and November 21, 2016; and</w:t>
      </w:r>
    </w:p>
    <w:p>
      <w:pPr>
        <w:spacing w:after="0" w:line="199"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our common units contained in our Form 8-A/A dated November 16, 2016 and any subsequent amendment thereto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ir.paalp.com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line="306"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declines in the volume of crude oil, refined product and NGL shipped, processed, purchased, stored, fractionated and/or gathered at or through the use of our assets,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4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a natural disaster, catastrophe, terrorist attack or other event, including attacks on our electronic and computer systems;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139"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Other factors described herein or incorporated by reference, or factors that are unknown or unpredictable, could also have a material adverse effect on future results. Please read "Risk Factors" beginning on page 8 of this prospectus and in Item 1A. "Risk Factors" in our Annual Report on Form 10-K for the year ended December 31, 2015 (File No. 001-14569), which is incorporated into this prospectus by reference. Except as required by applicable securities laws, we do not intend to update these forward-looking statements and information.</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We are a Delaware limited partnership formed in 1998. Our operations are conducted directly and indirectly through our primary operating subsidiaries. We own and operate midstream energy infrastructure and provide logistics services for crude oil, natural gas liquids ("NGL"), natural gas and refined products.</w:t>
      </w:r>
    </w:p>
    <w:p>
      <w:pPr>
        <w:spacing w:after="0" w:line="139"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From time to time, we may also sell assets that we regard as non-core or that we believe might be a better fit with the business or assets of a third-party buyer.</w:t>
      </w:r>
    </w:p>
    <w:p>
      <w:pPr>
        <w:spacing w:after="0" w:line="186"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Although we expect the acquisitions and investments we make to be accretive in the long term, we can provide no assurance that our expectations will ultimately be realized.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November 15, 2016, the transactions contemplated by the Simplification Agreement dated July 11, 2016 (the "Simplification Agreement"), by and among us, PAGP, PAGP GP, AAP, GP LLC and PAA GP (collectively, the "Plains Entities"), closed. The transactions included the following:</w:t>
      </w:r>
    </w:p>
    <w:p>
      <w:pPr>
        <w:spacing w:after="0" w:line="15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conversion of PAA GP's 2% general partner interest in us into a non-economic general partner interest (the "GP Conversion");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by us (the "IDR Redemption") of all of the incentive distribution rights in PAA held by AAP (the "IDRs");</w:t>
      </w:r>
    </w:p>
    <w:p>
      <w:pPr>
        <w:spacing w:after="0" w:line="238"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consideration for the GP Conversion and IDR Redemption, (i) the assumption by us of all outstanding indebtedness and obligations under AAP's Second Amended and Restated Credit Agreement (approximately $642 million) and (ii) issuance by us to AAP of 244,707,926 common units;</w:t>
      </w:r>
    </w:p>
    <w:p>
      <w:pPr>
        <w:spacing w:after="0" w:line="207" w:lineRule="exact"/>
        <w:rPr>
          <w:rFonts w:ascii="Arial" w:cs="Arial" w:eastAsia="Arial" w:hAnsi="Arial"/>
          <w:sz w:val="18"/>
          <w:szCs w:val="18"/>
          <w:color w:val="auto"/>
        </w:rPr>
      </w:pPr>
    </w:p>
    <w:p>
      <w:pPr>
        <w:ind w:left="1080" w:right="36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implementation of a unified governance structure for the Plains Entities that eliminated the board of directors of GP LLC and resulted in a single board, the board of directors of PAGP GP, being responsible for the management of PAGP, AAP and PAA;</w:t>
      </w:r>
    </w:p>
    <w:p>
      <w:pPr>
        <w:spacing w:after="0" w:line="166" w:lineRule="exact"/>
        <w:rPr>
          <w:rFonts w:ascii="Arial" w:cs="Arial" w:eastAsia="Arial" w:hAnsi="Arial"/>
          <w:sz w:val="16"/>
          <w:szCs w:val="16"/>
          <w:color w:val="auto"/>
        </w:rPr>
      </w:pPr>
    </w:p>
    <w:p>
      <w:pPr>
        <w:ind w:left="1080" w:right="20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division of the board of directors of PAGP GP into three classes and the acceleration of the date on which our preferred and common unitholders (other than AAP), together with PAGP's Class A and Class B shareholders, will begin to participate in the election of directors on an annual basis, with the first such election expected to occur in 2018;</w:t>
      </w:r>
    </w:p>
    <w:p>
      <w:pPr>
        <w:spacing w:after="0" w:line="207" w:lineRule="exact"/>
        <w:rPr>
          <w:rFonts w:ascii="Arial" w:cs="Arial" w:eastAsia="Arial" w:hAnsi="Arial"/>
          <w:sz w:val="18"/>
          <w:szCs w:val="18"/>
          <w:color w:val="auto"/>
        </w:rPr>
      </w:pPr>
    </w:p>
    <w:p>
      <w:pPr>
        <w:jc w:val="both"/>
        <w:ind w:left="1080" w:right="100" w:hanging="532"/>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creation of a right, subject to certain limitations for the holders (excluding PAGP and GP LLC) of the Class A units of AAP ("AAP Units") to cause AAP to redeem such AAP Units in exchange for an equal number of our common units held by AAP, and the granting of resale registration rights with respect to such common units;</w:t>
      </w:r>
    </w:p>
    <w:p>
      <w:pPr>
        <w:spacing w:after="0" w:line="207" w:lineRule="exact"/>
        <w:rPr>
          <w:rFonts w:ascii="Arial" w:cs="Arial" w:eastAsia="Arial" w:hAnsi="Arial"/>
          <w:sz w:val="18"/>
          <w:szCs w:val="18"/>
          <w:color w:val="auto"/>
        </w:rPr>
      </w:pPr>
    </w:p>
    <w:p>
      <w:pPr>
        <w:ind w:left="1080" w:right="2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effectuation of certain reverse stock splits to adjust the outstanding equity of PAGP, PAGP GP and AAP so that the number of outstanding PAGP Class A shares (the "Class A shares") equals the number of outstanding AAP Class A Units held by PAGP and the number of our outstanding common units held by AAP that are attributable to PAGP; accordingly, each split-adjusted Class A share represents indirect ownership of one PAA Common Unit;</w:t>
      </w:r>
    </w:p>
    <w:p>
      <w:pPr>
        <w:spacing w:after="0" w:line="224" w:lineRule="exact"/>
        <w:rPr>
          <w:rFonts w:ascii="Arial" w:cs="Arial" w:eastAsia="Arial" w:hAnsi="Arial"/>
          <w:sz w:val="18"/>
          <w:szCs w:val="18"/>
          <w:color w:val="auto"/>
        </w:rPr>
      </w:pPr>
    </w:p>
    <w:p>
      <w:pPr>
        <w:ind w:left="1080" w:right="60" w:hanging="532"/>
        <w:spacing w:after="0" w:line="323" w:lineRule="auto"/>
        <w:tabs>
          <w:tab w:leader="none" w:pos="108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entry into an omnibus agreement (the "Omnibus Agreement") designed to promote economic alignment between PAGP's Class A shareholders and our common unitholders through, among other measures, maintenance of a one-to-one relationship between the number of outstanding Class A shares and the number of our common units that PAGP indirectly owns through AAP. The Omnibus Agreement also requires PAA to bear the costs and expenses of the Plains Entities, other than income tax expenses of PAGP and its subsidiaries (excluding us and our subsidiaries);</w:t>
      </w:r>
    </w:p>
    <w:p>
      <w:pPr>
        <w:spacing w:after="0" w:line="165" w:lineRule="exact"/>
        <w:rPr>
          <w:rFonts w:ascii="Arial" w:cs="Arial" w:eastAsia="Arial" w:hAnsi="Arial"/>
          <w:sz w:val="15"/>
          <w:szCs w:val="15"/>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amendment and restatement of the governing documents of the Plains Entities, to give effect to the foregoing;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several other miscellaneous matters.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For additional information about us please refer to the documents set forth under "Where You Can Find More Information" in this prospectus, including our Annual Report on Form 10-K for the fiscal year ended December 31, 2015 and our Quarterly Report on Form 10-Q for the quarter ended September 30, 2016, each of which is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314" w:lineRule="auto"/>
        <w:rPr>
          <w:sz w:val="20"/>
          <w:szCs w:val="20"/>
          <w:color w:val="auto"/>
        </w:rPr>
      </w:pPr>
      <w:r>
        <w:rPr>
          <w:rFonts w:ascii="Arial" w:cs="Arial" w:eastAsia="Arial" w:hAnsi="Arial"/>
          <w:sz w:val="15"/>
          <w:szCs w:val="15"/>
          <w:color w:val="auto"/>
        </w:rPr>
        <w:t>An investment in our common units involves a high degree of risk. Before you invest in our common units, you should carefully consider the risk factors included in Item 1A. "Risk Factors" in our Annual Report on Form 10-K for the year ended December 31, 2015 (File No. 001-14569), which is incorporated into this prospectus by reference, together with all of the other information included in this prospectus, any prospectus supplement and the documents we incorporate by reference, in evaluating an investment in our common units. If any of these risks were to occur, our business, financial condition or results of operations could be materially adversely affected. In such case, the trading price of our common units could decline and you could lose all or part of your investment. When we offer and sell any securities pursuant to a prospectus supplement, we may include additional risk factors relevant to such securities in the prospectus supplement.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common units by the selling unitholders in any offering. We will cause the selling unitholders to pay certain expenses, pro rata, including underwriting discounts and commissions, associated with the sale of common units by the selling unitholder.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and our general partner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holder of common units is entitled to one vote for each common unit on all matters submitted to a vote of the unitholders.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Beginning in 2018, PAGP will hold an annual meeting of shareholders for the election of "eligible PAGP GP directors," which will include all directors of PAGP GP's board with expiring terms other than (i) any director subject to designation, (ii) PAGP GP's chief executive officer and (iii) any director subject to appointment by the holders of PAA's Series A Preferred Units. In connection with the closing of the transactions contemplated by the Simplification Agreement, PAGP created a new class of non-economic limited partner interests, designated as Class C shares, and issued 477,648,826 Class C shares to us. The number of Class C shares issued to us equals the sum of the number of (i) our outstanding common units, excluding common units held by AAP, and (ii) common units that would be issued to holders of Series A Preferred Units assuming conversion, in each case, as of November 15, 2016. The Class C shares are non-economic shares that will provide us, as the sole holder, the right to vote in elections of eligible PAGP GP directors together with the holders of PAGP's Class A and Class B shares. Voting at any such shareholder meetings will be non-cumulative.</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PAGP GP's board of directors is divided into three classes of directors such that each class is comprised of one designated director and two independent directors. As provided in PAGP GP's limited liability company agreement, the CEO of PAGP GP is an automatic member (and Chairman) of PAGP GP's board of directors and therefore will not be included in a class. In addition, any director subject to appointment by the holders of PAA's Series A Convertible Preferred Units (as described below under "—Cash Distribution Policy—Series A Convertible Preferred Units") will not be included in a class. Each class of directors will serve a three-year term.</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Beginning in 2018, we will hold an annual meeting of our limited partners in advance of PAGP's annual meeting of its limited partners. The purpose of our annual meeting will be to allow our limited partners (other than AAP) to cast a "pass-through vote," instructing us how to vote the Class C shares that we own in such election of eligible PAGP directors. We will vote (or refrain from voting) our Class C shares for the election of eligible PAGP GP directors in the same proportion as the votes received from or withheld by our limited partners. At our annual meeting, common units held by AAP will not be voted and will not be counted for purposes of determining whether a quorum exists.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Except as described below under "—Limited Liability," the common units will be fully paid, and unitholders will not be required to make additional capital contributions to us.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Each purchaser of common units must execute a transfer application whereby the purchaser requests admission as a substituted limited partner and makes representations and agrees to provisions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86"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Subject to certain limitations, each holder of AAP's Class A units (other than PAGP and GP LLC) has the right (a "Redemption Right") to cause AAP to redeem any or all of such holder's AAP Units in exchange for the distribution of an equivalent number of our common units held by AAP. In connection with any such redemption, the redeeming holder will transfer Class A units to AAP and a corresponding number of Class B shares and PAGP's company units (if any), in each case, to PAGP. The Class A units transferred to AAP will be cancelled, the Class B shares transferred to PAGP will be cancelled and the company units transferred to PAGP will remain outstanding and increase PAGP's ownership percentage in PAGP GP.</w:t>
      </w:r>
    </w:p>
    <w:p>
      <w:pPr>
        <w:spacing w:after="0" w:line="170" w:lineRule="exact"/>
        <w:rPr>
          <w:sz w:val="20"/>
          <w:szCs w:val="20"/>
          <w:color w:val="auto"/>
        </w:rPr>
      </w:pPr>
    </w:p>
    <w:p>
      <w:pPr>
        <w:ind w:right="10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Redemption Rights as a holder of AAP's Class A units. Holders of AAP management units who convert such units into AAP Class A units and Class B shares will not receive general partner units and thus will not need to include any general partner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distribution was in violation of the Delaware Act is liable to the limited partnership for the amount of the distribution for three years from the date of the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1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8"/>
          <w:szCs w:val="18"/>
          <w:color w:val="auto"/>
        </w:rPr>
        <w:t>We will distribute to our unitholders, on a quarterly basis, all of our available cash in the manner described below.</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Definition of Available Cash. </w:t>
      </w:r>
      <w:r>
        <w:rPr>
          <w:rFonts w:ascii="Arial" w:cs="Arial" w:eastAsia="Arial" w:hAnsi="Arial"/>
          <w:sz w:val="18"/>
          <w:szCs w:val="18"/>
          <w:color w:val="auto"/>
        </w:rPr>
        <w:t>Available cash generally means, for any quarter ending prior to liquidation, all cash on hand at the end of that quarter less the</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cash reserves that are necessary or appropriate in the reasonable discretion of the general partner to:</w:t>
      </w:r>
    </w:p>
    <w:p>
      <w:pPr>
        <w:spacing w:after="0" w:line="19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funds for distributions to unitholders and the general partner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unitholders will be characterized as either operating surplus or capital surplus. We distribute available cash from</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can issue additional common units or other equity securities for consideration and under terms and conditions approved by our general partner in its sole discretion and without the approval of our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We may fund acquisitions through the issuance of additional common units or other equity securities.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Holders of any additional common units that we issue will be entitled to share equally with our then-existing unitholders in distributions of available cash. In addition, the issuance of additional interests may dilute the value of the interests of the then-existing unitholders. If we issue additional partnership interests, our general partner will be required to make an additional capital contribution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right="80" w:firstLine="351"/>
        <w:spacing w:after="0" w:line="302" w:lineRule="auto"/>
        <w:rPr>
          <w:sz w:val="20"/>
          <w:szCs w:val="20"/>
          <w:color w:val="auto"/>
        </w:rPr>
      </w:pPr>
      <w:r>
        <w:rPr>
          <w:rFonts w:ascii="Arial" w:cs="Arial" w:eastAsia="Arial" w:hAnsi="Arial"/>
          <w:sz w:val="15"/>
          <w:szCs w:val="15"/>
          <w:color w:val="auto"/>
        </w:rPr>
        <w:t>On January 28, 2016, we completed a private placement of 61,030,127 Series A Convertible Preferred Units representing limited partner interests in us (the "preferred units") for a cash purchase price of $26.25 per unit (the "Issue Price"). The preferred units rank senior to all classes or series of equity securities in us with respect to distribution rights and rights upon liquidation. The holders of the preferred units will receive quarterly distributions, subject to customary anti-dilution adjustments, equal to an annual rate of 8% of the Issue Price ($2.10 per unit annualized). With respect to any quarter ending on or prior to December 31, 2017 (the "Initial Distribution Period"), we may elect to pay distributions on the preferred units in additional preferred units, in cash or a combination of both. With respect to any quarter ending after the Initial Distribution Period, we must pay distributions on preferred units in cash. For a period of 30 days following</w:t>
      </w:r>
    </w:p>
    <w:p>
      <w:pPr>
        <w:spacing w:after="0" w:line="1" w:lineRule="exact"/>
        <w:rPr>
          <w:sz w:val="20"/>
          <w:szCs w:val="20"/>
          <w:color w:val="auto"/>
        </w:rPr>
      </w:pPr>
    </w:p>
    <w:p>
      <w:pPr>
        <w:ind w:right="40" w:firstLine="8"/>
        <w:spacing w:after="0" w:line="252" w:lineRule="auto"/>
        <w:tabs>
          <w:tab w:leader="none" w:pos="23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fifth anniversary of the issue date of the preferred units and (b) each subsequent anniversary of the issue date, the holders of preferred units, acting by majority vote, may make a one-time election to reset the preferred unit distribution rate to equal the then applicable rate of ten-year U.S. Treasury Securities plus 5.85% (the "Distribution Rate Reset"). If the holders of preferred units have exercised the Distribution Rate Reset, then, at any time following 30 days after the sixth anniversary of the issue date of the preferred units, we may redeem all or any portion of the outstanding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120" w:firstLine="348"/>
        <w:spacing w:after="0" w:line="286" w:lineRule="auto"/>
        <w:rPr>
          <w:sz w:val="20"/>
          <w:szCs w:val="20"/>
          <w:color w:val="auto"/>
        </w:rPr>
      </w:pPr>
      <w:r>
        <w:rPr>
          <w:rFonts w:ascii="Arial" w:cs="Arial" w:eastAsia="Arial" w:hAnsi="Arial"/>
          <w:sz w:val="16"/>
          <w:szCs w:val="16"/>
          <w:color w:val="auto"/>
        </w:rPr>
        <w:t>The holders of preferred units may convert their preferred units, generally on a one-for-one basis and subject to customary anti-dilution adjustments, at any time after the second anniversary of the issuance date (or prior to a liquidation), in whole or in part, so long as any partial conversion is not for less than</w:t>
      </w:r>
    </w:p>
    <w:p>
      <w:pPr>
        <w:ind w:right="60"/>
        <w:spacing w:after="0" w:line="288" w:lineRule="auto"/>
        <w:rPr>
          <w:sz w:val="20"/>
          <w:szCs w:val="20"/>
          <w:color w:val="auto"/>
        </w:rPr>
      </w:pPr>
      <w:r>
        <w:rPr>
          <w:rFonts w:ascii="Arial" w:cs="Arial" w:eastAsia="Arial" w:hAnsi="Arial"/>
          <w:sz w:val="16"/>
          <w:szCs w:val="16"/>
          <w:color w:val="auto"/>
        </w:rPr>
        <w:t>$100 million (calculated based on the closing price of our common units on the trading day immediately prior to the notice of conversion) or such lesser amount, if such conversion relates to all of a holder's remaining preferred units. We may convert the preferred units at any time (but not more often than once per quarter) after the third anniversary of the issuance date,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preferred units. The preferred units will vote on an as-converted basis with our common units and will have certain other class voting rights with respect to any amendment to our partnership agreement that would adversely affect any rights, preferences or privileges of the preferred units.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After making distributions to holders of outstanding preferred units, we will make quarterly distributions to our common unitholders prior to our liquidation in an amount equal to 100% of our available cash for that quarter. We expect to make distributions of all available cash within 45 days after the end of each quarter to holders of record on the applicable record date.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ind w:right="38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ind w:left="360"/>
        <w:spacing w:after="0"/>
        <w:tabs>
          <w:tab w:leader="none" w:pos="4380" w:val="left"/>
        </w:tabs>
        <w:rPr>
          <w:sz w:val="20"/>
          <w:szCs w:val="20"/>
          <w:color w:val="auto"/>
        </w:rPr>
      </w:pPr>
      <w:r>
        <w:rPr>
          <w:rFonts w:ascii="Arial" w:cs="Arial" w:eastAsia="Arial" w:hAnsi="Arial"/>
          <w:sz w:val="18"/>
          <w:szCs w:val="18"/>
          <w:i w:val="1"/>
          <w:iCs w:val="1"/>
          <w:color w:val="auto"/>
        </w:rPr>
        <w:t>How Distributions from Capital Surplus Will Be Made.</w:t>
      </w:r>
      <w:r>
        <w:rPr>
          <w:sz w:val="20"/>
          <w:szCs w:val="20"/>
          <w:color w:val="auto"/>
        </w:rPr>
        <w:tab/>
      </w:r>
      <w:r>
        <w:rPr>
          <w:rFonts w:ascii="Arial" w:cs="Arial" w:eastAsia="Arial" w:hAnsi="Arial"/>
          <w:sz w:val="16"/>
          <w:szCs w:val="16"/>
          <w:color w:val="auto"/>
        </w:rPr>
        <w:t>We will make distributions of available cash from capital surplus in the following manner:</w:t>
      </w:r>
    </w:p>
    <w:p>
      <w:pPr>
        <w:spacing w:after="0" w:line="239" w:lineRule="exact"/>
        <w:rPr>
          <w:sz w:val="20"/>
          <w:szCs w:val="20"/>
          <w:color w:val="auto"/>
        </w:rPr>
      </w:pPr>
    </w:p>
    <w:p>
      <w:pPr>
        <w:ind w:left="10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First, 100% to all unitholders, pro rata, until we distribute available cash from capital surplus in an aggregate amount per common unit equal to the initial public offering price;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Thereafter, we will make all distributions of available cash from capital surplus as if they were from operating surplus.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If we dissolve and liquidate, we will sell our assets or otherwise dispose of our assets and we will adjust the partners' capital account balances to show any resulting gain or loss. We will apply the proceeds of liquidation (i) first to the payment of our creditors in the order of priority provided in our partnership agreement and by law (ii) second to the holders of outstanding preferred units in accordance with the adjusted capital account balances, and, (iii) thereafter, distribute to the unitholders and the general partner in accordance with their adjusted capital account balances.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rights of holders of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common units will not have preemptive rights to acquire additional common units or other partnership interests in 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common units are held or controlled by one person and its affiliates other than our general partner and its affiliates.</w:t>
      </w:r>
    </w:p>
    <w:p>
      <w:pPr>
        <w:spacing w:after="0" w:line="197"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excluding the common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units, excluding the common units held by the withdrawing general partner and its affiliates, agree to continue our business and to appoint a successor general partner.</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including those held by our general partner and its affiliates.</w:t>
      </w:r>
    </w:p>
    <w:p>
      <w:pPr>
        <w:spacing w:after="0" w:line="197"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While our partnership agreement limits the ability of our general partner to withdraw, it allows the general partner interest and incentive distribution rights to be transferred to an affiliate or to a third party in conjunction with a merger or sale of all or substantially all of the assets of our general partner.</w:t>
      </w:r>
    </w:p>
    <w:p>
      <w:pPr>
        <w:spacing w:after="0" w:line="139"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 partner that the liquidator deems necessary or desirable in its good faith judgment,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 and</w:t>
      </w:r>
    </w:p>
    <w:p>
      <w:pPr>
        <w:spacing w:after="0" w:line="252" w:lineRule="exact"/>
        <w:rPr>
          <w:rFonts w:ascii="Arial" w:cs="Arial" w:eastAsia="Arial" w:hAnsi="Arial"/>
          <w:sz w:val="18"/>
          <w:szCs w:val="18"/>
          <w:color w:val="auto"/>
        </w:rPr>
      </w:pPr>
    </w:p>
    <w:p>
      <w:pPr>
        <w:ind w:left="5620" w:right="2140" w:hanging="5072"/>
        <w:spacing w:after="0" w:line="519" w:lineRule="auto"/>
        <w:tabs>
          <w:tab w:leader="none" w:pos="10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next, to all holders of preferred units in accordance with the positive balance in their respective capital accounts;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213" w:lineRule="exact"/>
        <w:rPr>
          <w:sz w:val="20"/>
          <w:szCs w:val="20"/>
          <w:color w:val="auto"/>
        </w:rPr>
      </w:pPr>
    </w:p>
    <w:p>
      <w:pPr>
        <w:ind w:left="1080" w:right="32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of preferred units, such affiliates that originally purchased the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 partner shall not be personally liable for, or have any obligation to contribute or loan funds or assets to us to enable us to effectuate any indemnification.</w:t>
      </w:r>
    </w:p>
    <w:p>
      <w:pPr>
        <w:spacing w:after="0" w:line="170"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26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U.S. Internal Revenue Code of 1986, as amended (the "Code"), existing and proposed U.S.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Unless the context otherwise requires, references in this section to "we" or "us" are references to the partnership and its subsidiaries.</w:t>
      </w:r>
    </w:p>
    <w:p>
      <w:pPr>
        <w:spacing w:after="0" w:line="170" w:lineRule="exact"/>
        <w:rPr>
          <w:sz w:val="20"/>
          <w:szCs w:val="20"/>
          <w:color w:val="auto"/>
        </w:rPr>
      </w:pPr>
    </w:p>
    <w:p>
      <w:pPr>
        <w:ind w:right="100" w:firstLine="351"/>
        <w:spacing w:after="0" w:line="287" w:lineRule="auto"/>
        <w:rPr>
          <w:sz w:val="20"/>
          <w:szCs w:val="20"/>
          <w:color w:val="auto"/>
        </w:rPr>
      </w:pPr>
      <w:r>
        <w:rPr>
          <w:rFonts w:ascii="Arial" w:cs="Arial" w:eastAsia="Arial" w:hAnsi="Arial"/>
          <w:sz w:val="16"/>
          <w:szCs w:val="16"/>
          <w:color w:val="auto"/>
        </w:rPr>
        <w:t xml:space="preserve">Legal conclusions contained in this section, unless otherwise noted, are the opinion of Vinson &amp; Elkins L.L.P. and are based on the accuracy of representations made by us to them for this purpose. However, this section does not address all federal income tax matters that affect us or our unitholders and does not describe the application of the alternative minimum tax that may be applicable to certain unitholders. Furthermore, this section focuses on unitholders who are individual citizens or residents of the United States (for federal income tax purposes), who have the U.S. dollar as their functional currency, who use the calendar year as their taxable year, and who hold units as capital assets (generally, property that is held for investment). This section has limited applicability to corporations, partnerships (including entities treated as partnerships for U.S. federal income tax purposes), estates, trusts, non-resident aliens or other unitholders subject to specialized tax treatment, such as tax-exempt institutions, non-U.S. persons, individual retirement accounts ("IRAs"), employee benefit plans, real estate investment trusts or mutual funds. </w:t>
      </w:r>
      <w:r>
        <w:rPr>
          <w:rFonts w:ascii="Arial" w:cs="Arial" w:eastAsia="Arial" w:hAnsi="Arial"/>
          <w:sz w:val="16"/>
          <w:szCs w:val="16"/>
          <w:b w:val="1"/>
          <w:bCs w:val="1"/>
          <w:i w:val="1"/>
          <w:iCs w:val="1"/>
          <w:color w:val="auto"/>
        </w:rPr>
        <w:t>Accordingly, we encourage each unitholder to consult the unitholder's own tax advisor in analyzing the U.S. federal,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 local and non-U.S. tax consequences particular to that unitholder resulting from ownership or disposition of units and potential changes in applicable tax laws</w:t>
      </w:r>
      <w:r>
        <w:rPr>
          <w:rFonts w:ascii="Arial" w:cs="Arial" w:eastAsia="Arial" w:hAnsi="Arial"/>
          <w:sz w:val="16"/>
          <w:szCs w:val="16"/>
          <w:color w:val="auto"/>
        </w:rPr>
        <w:t>.</w:t>
      </w:r>
    </w:p>
    <w:p>
      <w:pPr>
        <w:spacing w:after="0" w:line="17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relying on opinions and advice of Vinson &amp; Elkins L.L.P. with respect to the matters described herein. An opinion of counsel represents only that counsel's best legal judgment and does not bind the Internal Revenue Service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4"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For the reasons described below, Vinson &amp; Elkins L.L.P. has not rendered an opinion with respect to the following federal income tax issues: (1) the treatment of a unitholder whose units are the subject of a securities loan (e.g., a loan to a short seller to cover a short sale of units) (please read "—Tax Consequences of Unit Ownership—Treatment of Securities Loans"); (2) whether our monthly convention for allocating taxable income and losses is permitted by existing Treasury Regulations (please read "—Disposition of Units—Allocations Between Transferors and Transferees"); and (3) whether our method for taking into account Section 743 adjustments is sustainable in certain cases (please read "—Tax Consequences of Unit Ownership—Section 754 Election" and "— Uniformity of Units").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expect to be treated as a partnership for U.S. federal income tax purposes and, therefore, generally will not be liable for entity-level federal income taxes. Instead, as described below, each of our unitholders will take into account its respective share of our items of income, gain, loss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deduction in computing its federal income tax liability as if the unitholder had earned such income directly, even if we make no cash distributions to the unitholder. Distributions we make to a unitholder generally will not give rise to income or gain taxable to such unitholder, unless the amount of cash distributed exceeds the unitholder's adjusted tax basis in its units.</w:t>
      </w:r>
    </w:p>
    <w:p>
      <w:pPr>
        <w:spacing w:after="0" w:line="194"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Section 7704 of the Code generally provides that publicly traded partnerships will be treated as corporations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income and gains derived from processing, transportation, storage, terminalling, and marketing of any natural resource, including crude oil, natural gas, and products thereof, (ii) interest (other than from a financial business), (iii) dividends, (iv) gains from the sale of real property and (v) gains from the sale or other disposition of capital assets held for the production of qualifying income. We estimate that less than 5 percent of our current gross income is not qualifying income; however, this estimate could change from time to time.</w:t>
      </w:r>
    </w:p>
    <w:p>
      <w:pPr>
        <w:spacing w:after="0" w:line="201" w:lineRule="exact"/>
        <w:rPr>
          <w:sz w:val="20"/>
          <w:szCs w:val="20"/>
          <w:color w:val="auto"/>
        </w:rPr>
      </w:pPr>
    </w:p>
    <w:p>
      <w:pPr>
        <w:jc w:val="both"/>
        <w:ind w:right="460" w:firstLine="351"/>
        <w:spacing w:after="0" w:line="256" w:lineRule="auto"/>
        <w:rPr>
          <w:sz w:val="20"/>
          <w:szCs w:val="20"/>
          <w:color w:val="auto"/>
        </w:rPr>
      </w:pPr>
      <w:r>
        <w:rPr>
          <w:rFonts w:ascii="Arial" w:cs="Arial" w:eastAsia="Arial" w:hAnsi="Arial"/>
          <w:sz w:val="18"/>
          <w:szCs w:val="18"/>
          <w:color w:val="auto"/>
        </w:rPr>
        <w:t>Based upon factual representations made by us and our general partner regarding the composition of our income and the other representations set forth below, Vinson &amp; Elkins L.L.P. is of the opinion that we will be treated as a partnership for federal income tax purposes. In rendering its opinion, Vinson &amp; Elkins L.L.P. has relied on factual representations made by us and our general partner. The representations made by us and our general partner upon which Vinson &amp; Elkins L.L.P. has relied include, without limitation:</w:t>
      </w:r>
    </w:p>
    <w:p>
      <w:pPr>
        <w:spacing w:after="0" w:line="197" w:lineRule="exact"/>
        <w:rPr>
          <w:sz w:val="20"/>
          <w:szCs w:val="20"/>
          <w:color w:val="auto"/>
        </w:rPr>
      </w:pPr>
    </w:p>
    <w:p>
      <w:pPr>
        <w:ind w:left="1220" w:hanging="321"/>
        <w:spacing w:after="0"/>
        <w:tabs>
          <w:tab w:leader="none" w:pos="12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Neither we nor any of our partnership or limited liability company subsidiaries has elected to be treated as a corporation for federal income tax</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218"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220" w:firstLine="359"/>
        <w:spacing w:after="0" w:line="259" w:lineRule="auto"/>
        <w:tabs>
          <w:tab w:leader="none" w:pos="1218"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liabilities, to a newly formed corporation, on the first day of the year in which we fail to meet the Qualifying Income Exception, in exchange for stock in that corporation and then as distributing that stock to our unitholders in liquidation. This deemed contribution and liquidation should not result in the recognition of taxable income by our unitholders or us so long as our liabilities do not exceed the tax basis of our assets. Thereafter, we would be treated as an association taxable as a corporation for federal income tax purposes.</w:t>
      </w:r>
    </w:p>
    <w:p>
      <w:pPr>
        <w:spacing w:after="0" w:line="174"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present U.S. federal income tax treatment of publicly traded partnerships, including us, or an investment in our common units may be modified by administrative, legislative or judicial interpretation at any time. For example, from time to time, members of the U.S. Congress and the President propose and consider substantive changes to the existing federal income tax laws that affect publicly traded partnerships, including the elimination of the Qualifying Income Exception upon which we rely for our treatment as a partnership for federal income tax purposes.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the IRS has issued proposed regulations regarding qualifying income under Section 7704(d)(1)(E) of the Code (the "Proposed Regulations"). We do not believe the Proposed Regulations affect our ability to qualify as a publicly traded partnership. However, there are no assurances that final regulations will not include changes that interpret Section 7704(d)(1)(E) in a manner that is contrary to the Proposed Regulations, which could modify the amount of our gross income that we are able to treat as qualifying income for the purposes of the Qualifying Income Exception. We are unable to predict whether any such changes will ultimately be enacted. However, it is possible that a change in law could affect us and may be applied retroactively. Any such changes could negatively impact the value of an investment in our common units.</w:t>
      </w:r>
    </w:p>
    <w:p>
      <w:pPr>
        <w:spacing w:after="0" w:line="17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If for any reason we are taxable as a corporation in any taxable year, our items of income, gain, loss and deduction would be taken into account by us in determining the amount of our liability for federal income tax, rather than being passed through to our unitholders. Our taxation as a corporation would materially reduce the cash available for distribution to unitholders and thus would likely substantially reduce the value of our units. Any distribution made to a unitholder at a time we are treated as a corporation would be (i) a taxable dividend to the extent of our current or accumulated earnings and profits, then (ii) a nontaxable return of capital to the extent of the unitholder's tax basis in its units, and thereafter (iii) taxable capital gain.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Unitholders who are admitted as limited partners of the partnership, as well as unitholders whose units are held in street name or by a nominee and who have the right to direct the nominee in the exercise of all substantive rights attendant to the ownership of units, will be treated as partners of the partnership for federal income tax purposes. Also:</w:t>
      </w:r>
    </w:p>
    <w:p>
      <w:pPr>
        <w:spacing w:after="0" w:line="20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assignees who have executed and delivered transfer applications, and are awaiting admission as limited partners, and</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unitholders whose common units are held in street name or by a nominee and who have the right to direct the nominee in the exercise of all substantive rights attendant to the ownership of their common units</w:t>
      </w:r>
    </w:p>
    <w:p>
      <w:pPr>
        <w:spacing w:after="0" w:line="18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will be treated as partners of the partnership for federal income tax purposes. As there is no direct or indirect controlling authority addressing assignees of common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common units who does not execute and deliver a transfer application may not receive some federal income tax information or reports furnished to record holders of common units unless the common units are held in a nominee or street name account and the nominee or broker has executed and delivered a transfer application for those common units.</w:t>
      </w:r>
    </w:p>
    <w:p>
      <w:pPr>
        <w:spacing w:after="0" w:line="198"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 Unitholders who are not treated as partners in us as described above are urged to consult their own tax advisors with respect to the tax consequences applicable to them under the circumstances.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Subject to the discussion below under "—Entity-Level Collections of Unitholder Taxes" with respect to payments we may be required to make on behalf of our unitholders, and aside from any taxes paid by a corporate subsidiary, we will not pay any federal income tax. However, a portion of our operations and subsidiaries may also be subject to state and local taxes. Each unitholder will be required to report on its federal income tax return each year its share of our income, gains, losses and deductions for our taxable year or years ending with or within its taxable year without regard to whether we make cash distributions to such unitholder. Consequently, we may allocate income to a unitholder even if that unitholder has not received a cash distribution.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right="180" w:firstLine="341"/>
        <w:spacing w:after="0" w:line="255" w:lineRule="auto"/>
        <w:rPr>
          <w:sz w:val="20"/>
          <w:szCs w:val="20"/>
          <w:color w:val="auto"/>
        </w:rPr>
      </w:pPr>
      <w:r>
        <w:rPr>
          <w:rFonts w:ascii="Arial" w:cs="Arial" w:eastAsia="Arial" w:hAnsi="Arial"/>
          <w:sz w:val="18"/>
          <w:szCs w:val="18"/>
          <w:color w:val="auto"/>
        </w:rPr>
        <w:t>A unitholder's tax basis in its units initially will be the amount paid for those units increased by the unitholder's initial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and any decreases in the unitholder's share of our liabilities. The IRS has ruled that a partner who acquires interests in a partnership in separate transactions must combine those interests and maintain a single adjusted tax basis for all of those interests.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Distributions made by us to a unitholder generally will not be taxable to the unitholder, unless such distributions exceed the unitholder's tax basis in its units, in which case the unitholder generally will recognize gain taxable in the manner described below under "—Disposition of Units."</w:t>
      </w:r>
    </w:p>
    <w:p>
      <w:pPr>
        <w:spacing w:after="0" w:line="139"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Any reduction in a unitholder's share of our liabilities will be treated as a distribution by us of cash to that unitholder. A decrease in a unitholder's percentage interest in us because of our issuance of additional units may decrease the unitholder's share of our nonrecourse liabilities. For purposes of the foregoing, a unitholder's share of our nonrecourse liabilities (liabilities for which no partner bears the economic risk of loss) generally will be based upon that unitholder's share of the unrealized appreciation (or depreciation) in our assets, to the extent thereof, with any excess liabilities allocated based on the unitholder's share of our profits. Please read "Disposition of Units."</w:t>
      </w:r>
    </w:p>
    <w:p>
      <w:pPr>
        <w:spacing w:after="0" w:line="197"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reduction in a unitholder's share of our liabilities as described above) may cause a unitholder to recognize ordinary income if the distribution reduces the unitholder's share of our "unrealized receivables," including depreciation and depletion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an allocable portion of the non-pro rata distribution. This latter deemed exchange generally will result in the unitholder's realization of ordinary income in an amount equal to the excess of (1) the non-pro rata portion of that distribution over (2) the unitholder's tax basis (generally zero) in the Section 751 Assets deemed to be relinquished in the exchange.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may not be entitled to deduct the full amount of loss we allocate to it because its share of our losses will be limited to the lesser of (i) the unitholder's tax basis in its units, and (ii) in the case of a unitholder that is an individual, estate, trust or certain types of closely-held corporations, the amount for which the unitholder is considered to be "at risk" with respect to our activities. In general, a unitholder will be at risk to the extent of its tax basis in its units, reduced by (1) any portion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of that basis attributable to the unitholder's share of our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basis or at risk limitations will carry forward and will be allowable as a deduction in a later year to the extent that the unitholder's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In addition to the basis and at risk limitations, a passive activity loss limitation generally limits the deductibility of losses incurred by individuals, estates, trusts, some closely-held corporations and personal service corporations from "passive activities" (generally, trade or business activities in which the taxpayer does not materially participate). The passive loss limitations are applied separately with respect to each publicly traded partnership.</w:t>
      </w:r>
    </w:p>
    <w:p>
      <w:pPr>
        <w:spacing w:after="0" w:line="16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Consequently, any passive losses we generate will be available to offset only passive income generated by us. Passive losses that exceed a unitholder's share of passive income we generate may be deducted in full when the unitholder disposes of all of its units in a fully taxable transaction with an unrelated party. The passive activity loss rules are generally applied after other applicable limitations on deductions, including the at risk and basis limitations.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deductibility of a non-corporate taxpayer's "investment interest expense" generally is limited to the amount of that taxpayer's "net investment income."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Investment interest expense includes:</w:t>
      </w:r>
    </w:p>
    <w:p>
      <w:pPr>
        <w:spacing w:after="0" w:line="23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generally does not include qualified dividend income (if applicable) or gains attributable to the disposition of property held for investment. A unitholder's share of a publicly 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If we are required or elect under applicable law to pay any federal, state, local or non-U.S. tax on behalf of any current or former unitholder, we are authorized to pay those taxes and treat the payment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 distribution of cash to the relevant unitholder. If the payment is made on behalf of a unitholder whose identity cannot be determined, we are authorized to treat the payment as a distribution to all current unitholders. We are authorized to amend our partnership agreement in the manner necessary to maintain uniformity of intrinsic tax characteristics of units and to adjust later distributions, so that after giving effect to these distributions, the priority and characterization of distributions otherwise applicable under our partnership agreement is maintained as nearly as is practicable.</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Payments by us as described above could give rise to an overpayment of tax on behalf of a unitholder, in which event the unitholder may be entitled to claim a refund of the overpayment amount. Unitholders are urged to consult their tax advisors to determine the consequences to them of any tax payment we make on their behalf.</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items of income, gain, loss and deduction will be allocated among our unitholders in accordance with their percentage interests in us.</w:t>
      </w:r>
    </w:p>
    <w:p>
      <w:pPr>
        <w:spacing w:after="0" w:line="225"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Specified items of our income, gain, loss and deduction will be allocated under Section 704(c) of the Code (or the principles of Section 704(c) of the Code) to account for any difference between the tax basis and fair market value of our assets at the time such assets are contributed to us and at the time of any subsequent offering of our units (a "Book-Tax Disparity"). As a result, the U.S. federal income tax burden associated with any Book-Tax Disparity immediately prior to an offering generally will be borne by our partners holding interests in us prior to such offering. In addition, items of recapture income will be specially allocated to the extent possible to the unitholder who was allocated the deduction giving rise to that recapture income in order to minimize the recognition of ordinary income by other unitholders.</w:t>
      </w:r>
    </w:p>
    <w:p>
      <w:pPr>
        <w:spacing w:after="0" w:line="198"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An allocation of items of our income, gain, loss or deduction, other than an allocation required by the Code to eliminate a Book-Tax Disparity, will generally be given effect for U.S. federal income tax purposes in determining a partner's share of an item of income, gain, loss or deduction only if the allocation has "substantial economic effect." In any other case, a partner's share of an item will be determined on the basis of the partner's interest in us, which will be determined by taking into account all the facts and circumstances, including (i) his relative contributions to us, (ii) the interests of all the partners in profits and losses, (iii) the interest of all the partners in cash flow and (iv) the rights of all the partners to distributions of capital upon liquidation. Vinson &amp; Elkins L.L.P. is of the opinion that, with the exception of the issues described in "—Section 754 Election" and "—Disposition of Units—Allocations Between Transferors and Transferees," allocations under our partnership agreement will be given effect for U.S. federal income tax purposes in determining a partner's share of an item of income, gain, loss, or deduction.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jc w:val="both"/>
        <w:ind w:right="120" w:firstLine="341"/>
        <w:spacing w:after="0" w:line="298" w:lineRule="auto"/>
        <w:rPr>
          <w:sz w:val="20"/>
          <w:szCs w:val="20"/>
          <w:color w:val="auto"/>
        </w:rPr>
      </w:pPr>
      <w:r>
        <w:rPr>
          <w:rFonts w:ascii="Arial" w:cs="Arial" w:eastAsia="Arial" w:hAnsi="Arial"/>
          <w:sz w:val="16"/>
          <w:szCs w:val="16"/>
          <w:color w:val="auto"/>
        </w:rPr>
        <w:t>A unitholder whose units are loaned (for example, to a "short seller" to cover a short sale of units) may be treated as having disposed of those units. If so, such unitholder would no longer be treated for tax purposes as a partner with respect to those units during the period of the loan and may recognize gain or loss from the disposition. As a result, during this period (i) any of our income, gain, loss or deduction allocated to those units would not be reportable by the lending unitholder, and (ii) any cash distributions received by the unitholder as to those units may be treated as ordinary income.</w:t>
      </w:r>
    </w:p>
    <w:p>
      <w:pPr>
        <w:spacing w:after="0" w:line="167"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Due to a lack of controlling authority, Vinson &amp; Elkins L.L.P. has not rendered an opinion regarding the tax treatment of a unitholder that enters into a securities loan with respect to its units. Unitholders desiring to assure their status as partners and avoid the risk of income recognition from a loan of their units are urged to modify any applicable brokerage account agreements to prohibit their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brokers from borrowing and lending their units. The IRS has announced that it is studying issues relating to the tax treatment of short sales of partnership interests. Please read "—Disposition of Units—Recognition of Gain or Loss."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39.6% and 20%, respectively. These rates are subject to change by new legislation at any time.</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addition, a 3.8% net investment income tax applies to certain net investment income earned by individuals, estates and trusts. For these purposes, net investment income generally includes a common unitholder's allocable share of our income and gain realized by a common unitholder from a sale of units. In the case of an individual, the tax will be imposed on the lesser of (i) the common unitholder's net investment income from all investments and (ii) the amount by which the common unitholder's modified adjusted gross income exceeds $250,000 (if the unitholder is married and filing jointly or a surviving spouse), $125,000 (if married filing separately) or $200,000 (if the unitholder is unmarried or in any other case). In the case of an estate or trust, the tax will be imposed on the lesser of (i) undistributed net investment income and (ii) the excess adjusted gross income over the dollar amount at which the highest income tax bracket applicable to an estate or trust begins.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jc w:val="both"/>
        <w:ind w:right="140" w:firstLine="348"/>
        <w:spacing w:after="0" w:line="298" w:lineRule="auto"/>
        <w:rPr>
          <w:sz w:val="20"/>
          <w:szCs w:val="20"/>
          <w:color w:val="auto"/>
        </w:rPr>
      </w:pPr>
      <w:r>
        <w:rPr>
          <w:rFonts w:ascii="Arial" w:cs="Arial" w:eastAsia="Arial" w:hAnsi="Arial"/>
          <w:sz w:val="16"/>
          <w:szCs w:val="16"/>
          <w:color w:val="auto"/>
        </w:rPr>
        <w:t>We have made the election permitted by Section 754 of the Code ("Section 754 Election") that permits us to adjust the tax bases in our assets as to specific purchasers of our units under Section 743(b) of the Code ("Section 743(b) Adjustment"). The Section 743(b) Adjustment separately applies to each purchaser of units based upon the values and bases of our assets at the time of the relevant purchase, and the adjustment will reflect the purchase price paid. The Section 743(b) Adjustment does not apply to a person who purchases units directly from us.</w:t>
      </w:r>
    </w:p>
    <w:p>
      <w:pPr>
        <w:spacing w:after="0" w:line="167"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Under our partnership agreement, we are authorized to take a position to preserve the uniformity of units even if that position is not consistent with applicable Treasury Regulations. A literal application of Treasury Regulations governing a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we take to preserve the uniformity of units due to lack of controlling authority. Because a unitholder's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340" w:firstLine="348"/>
        <w:spacing w:after="0" w:line="298" w:lineRule="auto"/>
        <w:rPr>
          <w:sz w:val="20"/>
          <w:szCs w:val="20"/>
          <w:color w:val="auto"/>
        </w:rPr>
      </w:pPr>
      <w:r>
        <w:rPr>
          <w:rFonts w:ascii="Arial" w:cs="Arial" w:eastAsia="Arial" w:hAnsi="Arial"/>
          <w:sz w:val="16"/>
          <w:szCs w:val="16"/>
          <w:color w:val="auto"/>
        </w:rPr>
        <w:t>The calculations involved in the Section 754 Election are complex and will be made on the basis of assumptions as to the value of our assets and other matters. The IRS could seek to reallocate some or all of any Section 743(b) Adjustment we allocated to our assets subject to depreciation, goodwill or nondepreciable assets. Goodwill, as an intangible asset, is generally nonamortizable; however, if amortizable, it is amortizable over a longer period of time or under a less accelerated method than our tangible assets. We cannot assure any unitholder that the determinations we make will not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Section 754 Election not been revoked.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We use the year ending December 31 as our taxable year and the accrual method of accounting for federal income tax purposes. Each unitholder will be required to include in income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one year of our income, gain, loss and deduction. Please read "—Disposition of Units—Allocations Between Transferors and Transferees."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tax basis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 Disposition of Units—Recognition of Gain or Loss."</w:t>
      </w:r>
    </w:p>
    <w:p>
      <w:pPr>
        <w:spacing w:after="0" w:line="174"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costs we incur in offering and selling our units (called "syndication expenses") must be capitalized and cannot be deducted currently, ratably or upon our termination. While there are uncertainties regarding the classification of costs as organization expenses, which may be amortized by us, and as syndication expenses, which may not be amortized by us, the underwriting discounts and commissions we incur will be treated as syndication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Our Properties</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federal income tax consequences of the ownership and disposition of units will depend in part on our estimates of the relative fair market values and the initial tax basis of our assets. Although we may from time to time consult with professional appraisers regarding valuation matters, we will make many of the relative fair market value and tax basis estimates and determinations ourselves. These estimates and determinations of tax basis are subject to challenge and will not be binding on the IRS or the courts. If the estimates of fair market value or basis are later found to be incorrect, the character and amount of items of income, gain, loss or deduction previously reported by unitholders could change, and unitholders could be required to adjust their tax liability for prior years and incur interest and penalties with respect to those adjustments.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 unitholder will be required to recognize gain or loss on a sale of units equal to the difference between the unitholder's amount realized and tax basis in the units sold. A unitholder's amount realized generally will equal the sum of the cash or the fair market value of other property it receives plus its share of our liabilities with respect to such units. Because the amount realized includes a unitholder's share of our liabilities, the gain recognized on the sale of units could result in a tax liability in excess of any cash received from the sale.</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or depletion recapture. Ordinary income attributable to Section 751 Assets may exceed net taxable gain realized on the sale of a unit and may be recognized even if there is a net taxable loss realized on the sale of a unit. Thus, a unitholder may recognize both ordinary income and capital gain or loss upon a sale of units. Net capital loss may offset capital gains and, in the case of individuals, up to $3,000 of ordinary income per year.</w:t>
      </w:r>
    </w:p>
    <w:p>
      <w:pPr>
        <w:spacing w:after="0" w:line="17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For purposes of calculating gain or loss on the sale of units, the unitholder's adjusted tax basis will be adjusted by its allocable share of our income or loss in respect of its units for the year of the sale. Furthermore, as described above, the IRS has ruled that a partner who acquires interests in a partnership in separate transactions must combine those interests and maintain a single adjusted tax basis for all of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above, a unitholder will be unable to select high or low basis units to sell as would be the case with corporate stock, but, according to the Treasury Regulations, it may designate specific units sold for purposes of determining the holding period of units transferred. A unitholder electing to use the actual holding period of units transferred must consistently use that identification method for all subsequent sales or exchanges of our units. A unitholder considering the purchase of additional units or a sale of units purchased in separate transactions is urged to consult its tax advisor as to the possible consequences of this ruling and application of the Treasury Regulations.</w:t>
      </w:r>
    </w:p>
    <w:p>
      <w:pPr>
        <w:spacing w:after="0" w:line="174"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5620" w:right="3140" w:hanging="5072"/>
        <w:spacing w:after="0" w:line="519" w:lineRule="auto"/>
        <w:tabs>
          <w:tab w:leader="none" w:pos="10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regulations that treat a taxpayer that enters into transactions or positions that have substantially the same effect as the preceding transactions as having constructively sold the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However,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the use of this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method may not be permitted under existing Treasury Regulations. Recently, however, the Department of the Treasury and the IRS issued final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Regulations pursuant to which a publicly traded partnership may use a similar monthly simplifying convention to allocate tax items among transferor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transferee unitholders. Nonetheless, the regulations do not specifically authorize the use of the proration method we have adopted. Accordingly, Vinson &amp;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Elkins L.L.P. is unable to opine on the validity of this method of allocating income and deductions between transferee and transferor unitholders. If this method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allowed under the final Treasury Regulations, or only applies to transfers of less than all of the unitholder's interest, our taxable income or losses could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reallocated among our unitholders. We are authorized to revise our method of allocation between transferee and transferor unitholders, as well as among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unitholders whose interests vary during a taxable year, to conform to a method permitted under the Treasury Regulations.</w:t>
      </w:r>
    </w:p>
    <w:p>
      <w:pPr>
        <w:spacing w:after="0" w:line="21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 unitholder who disposes of units prior to the record date set for a cash distribution for that quarter will be allocated items of our income, gain, loss and deduction attributable to the month of disposition but will not be entitled to receive a cash distribution for that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 unitholder who sells or purchases any of its units is generally required to notify us in writing of that transaction within 30 days after the transaction (or, if earlier, January 15 of the year following the transaction). Upon receiving such notifications, we are required to notify the IRS of that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Constructive Termination</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will be considered to have "constructively" terminated as a partnership for U.S. federal income tax purposes upon the sale or exchange of 50% or more of the total interests in our capital and profits within a twelve-month period. For such purposes, multiple sales of the same unit are counted only once. A constructive termination results in the closing of our taxable year for all unitholders. In the case of a unitholder reporting on a taxable year other than the calendar year, the closing of our taxable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year may result in more than twelve months of our taxable income or loss being includable in such unitholder's taxable income for the year of termination.</w:t>
      </w:r>
    </w:p>
    <w:p>
      <w:pPr>
        <w:spacing w:after="0" w:line="248" w:lineRule="exact"/>
        <w:rPr>
          <w:sz w:val="20"/>
          <w:szCs w:val="20"/>
          <w:color w:val="auto"/>
        </w:rPr>
      </w:pPr>
    </w:p>
    <w:p>
      <w:pPr>
        <w:ind w:right="140" w:firstLine="341"/>
        <w:spacing w:after="0" w:line="294" w:lineRule="auto"/>
        <w:rPr>
          <w:sz w:val="20"/>
          <w:szCs w:val="20"/>
          <w:color w:val="auto"/>
        </w:rPr>
      </w:pPr>
      <w:r>
        <w:rPr>
          <w:rFonts w:ascii="Arial" w:cs="Arial" w:eastAsia="Arial" w:hAnsi="Arial"/>
          <w:sz w:val="16"/>
          <w:szCs w:val="16"/>
          <w:color w:val="auto"/>
        </w:rPr>
        <w:t>A constructive termination occurring on a date other than December 31 generally would require that we file two tax returns for one fiscal year, and the cost of the preparation of these returns will be borne by all unitholders. However, pursuant to an IRS relief procedure the IRS may allow a constructively terminated partnership to provide a single Schedule K-1 for the calendar year in which a termination occurs. Following a constructive termination, we would be required to make new tax elections, including a new Section 754 Election, and the termination would result in a deferral of our deductions for depreciation. A termination could also result in penalties if we were unable to determine that the termination had occurred.</w:t>
      </w:r>
    </w:p>
    <w:p>
      <w:pPr>
        <w:spacing w:after="0" w:line="170"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Moreover, a termination may either accelerate the application of, or subject us to, any tax legislation enacted before the termination that would not otherwise have been applied to us as a continuing, as opposed to a terminating, partnership.</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In the absence of uniformity, we may be unable to completely comply with a number of U.S. federal income tax requirements. Any non-uniformity could have a negative impact on the value of the units. Please read "—Tax Consequences of Unit Ownership—Allocation of Income, Gain, Loss and Deduction—Section 754 Election."</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100" w:firstLine="341"/>
        <w:spacing w:after="0" w:line="291" w:lineRule="auto"/>
        <w:rPr>
          <w:sz w:val="20"/>
          <w:szCs w:val="20"/>
          <w:color w:val="auto"/>
        </w:rPr>
      </w:pPr>
      <w:r>
        <w:rPr>
          <w:rFonts w:ascii="Arial" w:cs="Arial" w:eastAsia="Arial" w:hAnsi="Arial"/>
          <w:sz w:val="16"/>
          <w:szCs w:val="16"/>
          <w:color w:val="auto"/>
        </w:rPr>
        <w:t>A unitholder's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above and "—Tax Consequences of Unit Ownership —Allocation of Income, Gain, Loss and Deduction—Section 754 Election" above. The IRS may challenge one or more of any positions we take to preserve the uniformity of units. If such a challenge were sustained, the uniformity of units might be affected, and, under some circumstances, the gain from the sale of units might be increased without the benefit of additional deductions.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Ownership of units by employee benefit plans and other tax-exempt organizations as well as by non-resident alien individuals, non-U.S. corporations and other non-U.S. persons (collectively, "Non-U.S. Unitholders") raises issues unique to those investors and, as described below, may have substantially adverse tax consequences to them. Prospective unitholders that are tax-exempt entities or Non-U.S. Unitholders should consult their tax advisors before investing in our units. Employee benefit plans and most other tax-exempt organizations, including IRAs and other retirement plans, are subject to federal income tax on unrelated business taxable income. Virtually all of our income will be unrelated business taxable income and will be taxable to a tax-exempt unitholder.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the conduct of a U.S. trade or business ("effectively connected income") and on certain types of U.S.-source non-effectively connected income (such as dividends), and unless exempted or further limited by an income tax treaty, will be considered to be engaged in business in the United States because of their ownership of our units. Furthermore, is it probable that they will be deemed to conduct such activities through permanent establishments in the United States within the meaning of applicable tax treaties. Consequently, they will be required to file federal tax returns to report their share of our income, gain, loss or deduction and pay federal income tax on their share of our net income or gain. Moreover, under rules applicable to publicly traded partnerships, distributions to Non-U.S. Unitholders are subject to withholding at the highest applicable effective tax rate. Each Non-U.S. Unitholder must obtain a taxpayer identification number from the IRS and submit that number to our transfer agent on a Form W-8BEN, W-8BEN-E, or applicable substitute form in order to obtain credit for these withholding taxes.</w:t>
      </w:r>
    </w:p>
    <w:p>
      <w:pPr>
        <w:spacing w:after="0" w:line="172"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In addition, because a Non-U.S. Unitholder classified as a corporation will be treated as engaged in a United States trade or business, that corporation may be subject to the U.S. branch profits tax at a rate of 30%, in addition to regular federal income tax, on its share of our income and gain as adjusted for changes in the foreign corporation's "U.S. net equity" to the extent reflected in the corporation's effectively connected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Under a ruling published by the IRS interpreting the scope of "effectively connected income," gain recognized by a non-U.S. person from the sale of its interest in a partnership that is engaged in a trade or business in the United States will be considered to be effectively connected with a U.S. trade or business. Thus, part or all of a Non-U.S. Unitholder's gain from the sale or other disposition of its units may be treated as effectively connected with a unitholder's indirect U.S. trade or business constituted by its investment in us. Moreover, under the Foreign Investment in Real Property Tax Act, a Non-U.S. Unitholder generally will be subject to federal income tax upon the sale or disposition of a unit if (i) it owned (directly or indirectly constructively applying certain attribution rules) more than 5% of our units at any time during the five-year period ending on the date of such disposition and (ii) 50% or more of the fair market value of our worldwide real property interests and our other assets used or held for use in a trade or business consisted of U.S. real property interests (which include U.S. real estate, including land, improvements, certain associated personal property, and interests in certain entities holding U.S. real estate) at any time during the shorter of the period during which such unitholder held the units or the 5-year period ending on the date of disposition. More than 50% of our assets may consist of U.S. real property interests. Therefore, Non-U.S. Unitholders may be subject to federal income tax on gain from the sale or disposition of their units.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assure our unitholders that those positions will yield a result that conforms to all of the requirements of the Code, Treasury Regulations or administrative interpretations of the IRS.</w:t>
      </w:r>
    </w:p>
    <w:p>
      <w:pPr>
        <w:spacing w:after="0" w:line="186"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IRS may audit our U.S. federal income tax information returns. Neither we nor Vinson &amp; Elkins L.L.P. can assure prospective unitholders that the IRS will not successfully challenge the positions we adopt, and such a challenge could adversely affect the value of the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Publicly traded partnerships generally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of the partners. The Code requires that one partner be designated as the "Tax Matters Partner" for these purposes, and our partnership agreement designates our general partner.</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Tax Matters Partner has made and will make elections on our behalf and on behalf of common unitholders. In addition, the Tax Matters Partner can extend the statute of limitations for assessment of tax deficiencies against unitholders for items in our returns. The Tax Matters Partner may bind a unitholder with less than a 1% profits interest in us to a settlement with the IRS unless that unitholder elects, by filing a statement with the IRS, not to give that authority to the Tax Matters Partner. The Tax Matters Partner may seek judicial review, by which all the unitholders are bound, of a final partnership administrative adjustment and, if the Tax Matters Partner fails to seek judicial review, judicial review may be sought by any unitholder having at least a 1% interest in profits or by any group of unitholders having in the aggregate at least a 5% interest in profits. However, only one action for judicial review will go forward, and each unitholder with an interest in the outcome may participate in that action.</w:t>
      </w:r>
    </w:p>
    <w:p>
      <w:pPr>
        <w:spacing w:after="0" w:line="172"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 unitholder must file a statement with the IRS identifying the treatment of any item on its federal income tax return that is not consistent with the treatment of the item on our return. Intentional or negligent disregard of this consistency requirement may subject a unitholder to substantial penalties.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Audit Rules for Tax Years Beginning After December 31, 2017</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Recently enacted legislation, for taxable years beginning after December 31, 2017, changes the audit procedures for large partnerships and in certain circumstances would permit the IRS to assess and collect taxes (including any applicable penalties and interest) resulting from partnership-level federal income tax audits directly from us in the year in which the audit is completed. If we are required to make payments of taxes, penalties and interest resulting from audit adjustments, our cash available for distribution to our unitholders might be substantially reduced. Pursuant to this new legislation, we are required to designate an eligible person to act as the "Partnership Representative" with exclusive authority to act on our behalf in connection with federal income tax audits, requests by us for administrative adjustments, and any judicial proceedings arising in connection with those matters. Actions taken by the Partnership Representative will be binding on us and all of our unitholders. We anticipate that our general partner or its designee will act as the Partnership Representative.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25" w:lineRule="exact"/>
        <w:rPr>
          <w:sz w:val="20"/>
          <w:szCs w:val="20"/>
          <w:color w:val="auto"/>
        </w:rPr>
      </w:pPr>
    </w:p>
    <w:p>
      <w:pPr>
        <w:ind w:left="5620" w:right="3480" w:hanging="4721"/>
        <w:spacing w:after="0" w:line="519" w:lineRule="auto"/>
        <w:tabs>
          <w:tab w:leader="none" w:pos="12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 non-U.S. government, an international organization or any wholly owned agency or instrumentality of either of the foregoing; or</w:t>
      </w:r>
    </w:p>
    <w:p>
      <w:pPr>
        <w:spacing w:after="0" w:line="248" w:lineRule="exact"/>
        <w:rPr>
          <w:rFonts w:ascii="Arial" w:cs="Arial" w:eastAsia="Arial" w:hAnsi="Arial"/>
          <w:sz w:val="16"/>
          <w:szCs w:val="16"/>
          <w:color w:val="auto"/>
        </w:rPr>
      </w:pPr>
    </w:p>
    <w:p>
      <w:pPr>
        <w:ind w:left="1760" w:hanging="320"/>
        <w:spacing w:after="0"/>
        <w:tabs>
          <w:tab w:leader="none" w:pos="17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tax-exempt entity;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25" w:lineRule="exact"/>
        <w:rPr>
          <w:rFonts w:ascii="Arial" w:cs="Arial" w:eastAsia="Arial" w:hAnsi="Arial"/>
          <w:sz w:val="18"/>
          <w:szCs w:val="18"/>
          <w:color w:val="auto"/>
        </w:rPr>
      </w:pPr>
    </w:p>
    <w:p>
      <w:pPr>
        <w:ind w:left="540" w:right="80" w:firstLine="359"/>
        <w:spacing w:after="0" w:line="268"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Brokers and financial institutions are required to furnish additional information, including whether they are U.S. persons and specific information on units they acquire, hold or transfer for their own account. A penalty of $250 per failure, up to a maximum of $3 million per calendar year, is imposed by the Code for failure to report that information to us. The nominee is required to supply the beneficial owner of the units with the information furnished to us.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currently conduct business or own property in a number of states in the United States. Most of these states impose a personal income tax and an income tax on corporations and other entities. Moreover, we may also own property or do business in other states in the future that impose income or similar taxes on nonresident individuals. Although an analysis of those various taxes is not presented here, each prospective unitholder should consider their potential impact on its investment in us.</w:t>
      </w:r>
    </w:p>
    <w:p>
      <w:pPr>
        <w:spacing w:after="0" w:line="174" w:lineRule="exact"/>
        <w:rPr>
          <w:sz w:val="20"/>
          <w:szCs w:val="20"/>
          <w:color w:val="auto"/>
        </w:rPr>
      </w:pPr>
    </w:p>
    <w:p>
      <w:pPr>
        <w:ind w:right="200" w:firstLine="341"/>
        <w:spacing w:after="0" w:line="289" w:lineRule="auto"/>
        <w:rPr>
          <w:sz w:val="20"/>
          <w:szCs w:val="20"/>
          <w:color w:val="auto"/>
        </w:rPr>
      </w:pPr>
      <w:r>
        <w:rPr>
          <w:rFonts w:ascii="Arial" w:cs="Arial" w:eastAsia="Arial" w:hAnsi="Arial"/>
          <w:sz w:val="16"/>
          <w:szCs w:val="16"/>
          <w:color w:val="auto"/>
        </w:rPr>
        <w:t>Although you may not be required to file a return and pay taxes in some jurisdictions because your income from that jurisdiction falls below the filing and payment requirement, you will be required to file income tax returns and to pay income taxes in many of these jurisdictions in which we do business or own property and may be subject to penalties for failure to comply with those requirements, even if you do not live in those jurisdictions. In some jurisdictions, tax losses may not produce a tax benefit in the year incurred and also may not be available to offset income in subsequent taxable years.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 Amounts withheld will be treated as if distributed to unitholders for purposes of determining the amounts distributed by us. Please read "—Tax Consequences of Unit Ownership—Entity-Level</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Collections." Based on current law and our estimate of our future operations, our general partner anticipates that any amounts required to be withheld will not be material.</w:t>
      </w:r>
    </w:p>
    <w:p>
      <w:pPr>
        <w:spacing w:after="0" w:line="180"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It is the responsibility of each unitholder to investigate the legal and tax consequences, under the laws of pertinent states and localities, of its investment in us. Vinson &amp; Elkins L.L.P. has not rendered an opinion on the state, local, or non-U.S. tax consequences of an investment in us. We strongly recommend that each prospective unitholder consult, and depend on, its own tax counsel or other advisor with regard to those matters. It is the responsibility of each unitholder to file all tax returns that may be required of it.</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UNITHOLDERS</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are registering the offering of 143,936,001 common units that were issued to AAP pursuant to the Simplification Agreement. Pursuant to the Eighth Amended and Restated Limited Partnership of AAP (the "AAP Partnership Agreement"), the beneficial owners of Class A units of AAP ("AAP Units") listed in the table below have the right, subject to certain limitations, to cause AAP to redeem any or all of their Class A units and distribute to such beneficial owner, for each Class A unit redeemed, one common unit (a "Redemption Right").</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AAP Partnership Agreement generally restricts, subject to certain exceptions, each holder of AAP Units (other than PAGP and GP LLC, which have not been granted Redemption Rights) from exercising its Redemption Rights with respect to approximately 22% of its AAP Units until November 15, 2017. Greg Armstrong and Harry Pefanis, our general partner's Chief Executive Officer and Chief Operating Officer, respectively, will be restricted from directly or indirectly (through PAA Management, L.P.) exercising their respective Redemption Rights with respect to 100% of their AAP Units during the same period. These restrictions are designed to reduce, but not eliminate, the risk that any redemptions during the first twelve months following the closing of the transactions contemplated by the Simplification Agreement, combined with public trading of our common units, will cause a technical tax termination of us.</w:t>
      </w:r>
    </w:p>
    <w:p>
      <w:pPr>
        <w:spacing w:after="0" w:line="17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unitholder offers or sells common units.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of Oxy Holding Company (Pipeline), Inc., EMG Investment, LLC ("EMG") and KAFU Holdings, L.P. ("KAFU") are entitled to appoint one member of the board of directors of PAGP GP pursuant to PAGP GP's limited liability company agreement.</w:t>
      </w:r>
    </w:p>
    <w:p>
      <w:pPr>
        <w:spacing w:after="0" w:line="186" w:lineRule="exact"/>
        <w:rPr>
          <w:sz w:val="20"/>
          <w:szCs w:val="20"/>
          <w:color w:val="auto"/>
        </w:rPr>
      </w:pPr>
    </w:p>
    <w:p>
      <w:pPr>
        <w:ind w:right="180" w:firstLine="348"/>
        <w:spacing w:after="0" w:line="310" w:lineRule="auto"/>
        <w:rPr>
          <w:sz w:val="20"/>
          <w:szCs w:val="20"/>
          <w:color w:val="auto"/>
        </w:rPr>
      </w:pPr>
      <w:r>
        <w:rPr>
          <w:rFonts w:ascii="Arial" w:cs="Arial" w:eastAsia="Arial" w:hAnsi="Arial"/>
          <w:sz w:val="15"/>
          <w:szCs w:val="15"/>
          <w:color w:val="auto"/>
        </w:rPr>
        <w:t>The following table sets forth information relating to the selling unitholders as of November 15, 2016 based on information supplied to us by the selling unitholders on or prior to that date. We have not sought to verify such information. Information concerning the selling unitholders may change over time and selling unitholders may be added; if necessary, we will supplement this prospectus accordingly. Except as set forth below, none of the selling unitholders is a broker-dealer registered under Section 15 of the Exchange Act or an affiliate of a broker-dealer registered under Section 15 of the Exchange Act. The selling unitholders may hold or acquire at any time common units in addition to those offered by this prospectus and may have acquired additional common units since the date on which the information reflected herein was provided to us. In addition, the selling unitholders may have sold, transferred or otherwise disposed of some or all of their common units since the date on which the information reflected herein was provided to us and may in the future sell, transfer or otherwise dispose of some or all of their common units in private placement transactions exempt from or not subject to the registration requirements of the Securities Act.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November 15, 2016, there were an aggregate of 657,967,899 common units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Units to be</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Units 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Owned Prior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the</w:t>
            </w:r>
          </w:p>
        </w:tc>
        <w:tc>
          <w:tcPr>
            <w:tcW w:w="16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the</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Units Offered</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Owned After</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520" w:type="dxa"/>
            <w:vAlign w:val="bottom"/>
            <w:gridSpan w:val="4"/>
          </w:tcPr>
          <w:p>
            <w:pPr>
              <w:spacing w:after="0"/>
              <w:rPr>
                <w:sz w:val="20"/>
                <w:szCs w:val="20"/>
                <w:color w:val="auto"/>
              </w:rPr>
            </w:pPr>
            <w:r>
              <w:rPr>
                <w:rFonts w:ascii="Arial" w:cs="Arial" w:eastAsia="Arial" w:hAnsi="Arial"/>
                <w:sz w:val="14"/>
                <w:szCs w:val="14"/>
                <w:b w:val="1"/>
                <w:bCs w:val="1"/>
                <w:color w:val="auto"/>
              </w:rPr>
              <w:t>Selling Unitholders</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Offering</w:t>
            </w:r>
          </w:p>
        </w:tc>
        <w:tc>
          <w:tcPr>
            <w:tcW w:w="1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Plains AAP, L.P</w:t>
            </w: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244,707,926</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3,409,371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241,298,555</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AAP Class A Unitholders</w:t>
            </w: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Oxy Holding Company (Pipeline), Inc.(1)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EMG Investment, LLC(2)</w:t>
            </w:r>
          </w:p>
        </w:tc>
        <w:tc>
          <w:tcPr>
            <w:tcW w:w="100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6.9%</w:t>
            </w:r>
          </w:p>
        </w:tc>
        <w:tc>
          <w:tcPr>
            <w:tcW w:w="960" w:type="dxa"/>
            <w:vAlign w:val="bottom"/>
          </w:tcPr>
          <w:p>
            <w:pPr>
              <w:jc w:val="right"/>
              <w:spacing w:after="0"/>
              <w:rPr>
                <w:sz w:val="20"/>
                <w:szCs w:val="20"/>
                <w:color w:val="auto"/>
              </w:rPr>
            </w:pPr>
            <w:r>
              <w:rPr>
                <w:rFonts w:ascii="Arial" w:cs="Arial" w:eastAsia="Arial" w:hAnsi="Arial"/>
                <w:sz w:val="18"/>
                <w:szCs w:val="18"/>
                <w:color w:val="auto"/>
              </w:rPr>
              <w:t>45,632,121</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1,241,167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KAFU Holdings (QP), L.P.(3)</w:t>
            </w:r>
          </w:p>
        </w:tc>
        <w:tc>
          <w:tcPr>
            <w:tcW w:w="100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3.7%</w:t>
            </w:r>
          </w:p>
        </w:tc>
        <w:tc>
          <w:tcPr>
            <w:tcW w:w="960" w:type="dxa"/>
            <w:vAlign w:val="bottom"/>
          </w:tcPr>
          <w:p>
            <w:pPr>
              <w:jc w:val="right"/>
              <w:spacing w:after="0"/>
              <w:rPr>
                <w:sz w:val="20"/>
                <w:szCs w:val="20"/>
                <w:color w:val="auto"/>
              </w:rPr>
            </w:pPr>
            <w:r>
              <w:rPr>
                <w:rFonts w:ascii="Arial" w:cs="Arial" w:eastAsia="Arial" w:hAnsi="Arial"/>
                <w:sz w:val="18"/>
                <w:szCs w:val="18"/>
                <w:color w:val="auto"/>
              </w:rPr>
              <w:t>24,334,917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KAFU Holdings II, L.P.(3)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2,551,869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MLP Investment</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tcPr>
          <w:p>
            <w:pPr>
              <w:jc w:val="right"/>
              <w:spacing w:after="0"/>
              <w:rPr>
                <w:sz w:val="20"/>
                <w:szCs w:val="20"/>
                <w:color w:val="auto"/>
              </w:rPr>
            </w:pPr>
            <w:r>
              <w:rPr>
                <w:rFonts w:ascii="Arial" w:cs="Arial" w:eastAsia="Arial" w:hAnsi="Arial"/>
                <w:sz w:val="18"/>
                <w:szCs w:val="18"/>
                <w:color w:val="auto"/>
              </w:rPr>
              <w:t>10,034,775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1,277,539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8,757,236</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Kayne Anderson Energy Development</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Company(4)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700,261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344,729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355,532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Kayne Anderson Midstream/Energy</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gridSpan w:val="3"/>
          </w:tcPr>
          <w:p>
            <w:pPr>
              <w:ind w:left="340"/>
              <w:spacing w:after="0"/>
              <w:rPr>
                <w:sz w:val="20"/>
                <w:szCs w:val="20"/>
                <w:color w:val="auto"/>
              </w:rPr>
            </w:pPr>
            <w:r>
              <w:rPr>
                <w:rFonts w:ascii="Arial" w:cs="Arial" w:eastAsia="Arial" w:hAnsi="Arial"/>
                <w:sz w:val="18"/>
                <w:szCs w:val="18"/>
                <w:color w:val="auto"/>
              </w:rPr>
              <w:t>Fund, Inc.(4)</w:t>
            </w:r>
          </w:p>
        </w:tc>
        <w:tc>
          <w:tcPr>
            <w:tcW w:w="1000" w:type="dxa"/>
            <w:vAlign w:val="bottom"/>
          </w:tcPr>
          <w:p>
            <w:pPr>
              <w:jc w:val="right"/>
              <w:spacing w:after="0"/>
              <w:rPr>
                <w:sz w:val="20"/>
                <w:szCs w:val="20"/>
                <w:color w:val="auto"/>
              </w:rPr>
            </w:pPr>
            <w:r>
              <w:rPr>
                <w:rFonts w:ascii="Arial" w:cs="Arial" w:eastAsia="Arial" w:hAnsi="Arial"/>
                <w:sz w:val="18"/>
                <w:szCs w:val="18"/>
                <w:color w:val="auto"/>
              </w:rPr>
              <w:t>689,558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689,558</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PAA Management, L.P.(5)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8,199,844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Mark E. Strome Living Trust</w:t>
            </w:r>
          </w:p>
        </w:tc>
        <w:tc>
          <w:tcPr>
            <w:tcW w:w="1000" w:type="dxa"/>
            <w:vAlign w:val="bottom"/>
          </w:tcPr>
          <w:p>
            <w:pPr>
              <w:jc w:val="right"/>
              <w:spacing w:after="0"/>
              <w:rPr>
                <w:sz w:val="20"/>
                <w:szCs w:val="20"/>
                <w:color w:val="auto"/>
              </w:rPr>
            </w:pPr>
            <w:r>
              <w:rPr>
                <w:rFonts w:ascii="Arial" w:cs="Arial" w:eastAsia="Arial" w:hAnsi="Arial"/>
                <w:sz w:val="18"/>
                <w:szCs w:val="18"/>
                <w:color w:val="auto"/>
              </w:rPr>
              <w:t>4,469,717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4,469,717</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Strome PAA, L.P.</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2,369,290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Lynx Holdings I, LLC(6)</w:t>
            </w:r>
          </w:p>
        </w:tc>
        <w:tc>
          <w:tcPr>
            <w:tcW w:w="1000" w:type="dxa"/>
            <w:vAlign w:val="bottom"/>
          </w:tcPr>
          <w:p>
            <w:pPr>
              <w:jc w:val="right"/>
              <w:spacing w:after="0"/>
              <w:rPr>
                <w:sz w:val="20"/>
                <w:szCs w:val="20"/>
                <w:color w:val="auto"/>
              </w:rPr>
            </w:pPr>
            <w:r>
              <w:rPr>
                <w:rFonts w:ascii="Arial" w:cs="Arial" w:eastAsia="Arial" w:hAnsi="Arial"/>
                <w:sz w:val="18"/>
                <w:szCs w:val="18"/>
                <w:color w:val="auto"/>
              </w:rPr>
              <w:t>3,714,140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3,183,216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530,924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Windy, L.L.C.</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6,723,860</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Greg Armstrong(7)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5,193,280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3,685,409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1,507,871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3"/>
          </w:tcPr>
          <w:p>
            <w:pPr>
              <w:ind w:left="160"/>
              <w:spacing w:after="0"/>
              <w:rPr>
                <w:sz w:val="20"/>
                <w:szCs w:val="20"/>
                <w:color w:val="auto"/>
              </w:rPr>
            </w:pPr>
            <w:r>
              <w:rPr>
                <w:rFonts w:ascii="Arial" w:cs="Arial" w:eastAsia="Arial" w:hAnsi="Arial"/>
                <w:sz w:val="18"/>
                <w:szCs w:val="18"/>
                <w:color w:val="auto"/>
              </w:rPr>
              <w:t>Harry Pefanis(8)</w:t>
            </w:r>
          </w:p>
        </w:tc>
        <w:tc>
          <w:tcPr>
            <w:tcW w:w="1000" w:type="dxa"/>
            <w:vAlign w:val="bottom"/>
          </w:tcPr>
          <w:p>
            <w:pPr>
              <w:jc w:val="right"/>
              <w:spacing w:after="0"/>
              <w:rPr>
                <w:sz w:val="20"/>
                <w:szCs w:val="20"/>
                <w:color w:val="auto"/>
              </w:rPr>
            </w:pPr>
            <w:r>
              <w:rPr>
                <w:rFonts w:ascii="Arial" w:cs="Arial" w:eastAsia="Arial" w:hAnsi="Arial"/>
                <w:sz w:val="18"/>
                <w:szCs w:val="18"/>
                <w:color w:val="auto"/>
              </w:rPr>
              <w:t>3,434,844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2,587,312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847,532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Other Current and Former Officers as a</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Group</w:t>
            </w:r>
            <w:r>
              <w:rPr>
                <w:rFonts w:ascii="Arial" w:cs="Arial" w:eastAsia="Arial" w:hAnsi="Arial"/>
                <w:sz w:val="18"/>
                <w:szCs w:val="18"/>
                <w:color w:val="auto"/>
              </w:rPr>
              <w:t>(9)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2,593,649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450,915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00" w:type="dxa"/>
            <w:vAlign w:val="bottom"/>
            <w:gridSpan w:val="3"/>
          </w:tcPr>
          <w:p>
            <w:pPr>
              <w:spacing w:after="0"/>
              <w:rPr>
                <w:sz w:val="20"/>
                <w:szCs w:val="20"/>
                <w:color w:val="auto"/>
              </w:rPr>
            </w:pPr>
            <w:r>
              <w:rPr>
                <w:rFonts w:ascii="Arial" w:cs="Arial" w:eastAsia="Arial" w:hAnsi="Arial"/>
                <w:sz w:val="18"/>
                <w:szCs w:val="18"/>
                <w:b w:val="1"/>
                <w:bCs w:val="1"/>
                <w:color w:val="auto"/>
              </w:rPr>
              <w:t>Miscellaneous Investors</w:t>
            </w:r>
            <w:r>
              <w:rPr>
                <w:rFonts w:ascii="Arial" w:cs="Arial" w:eastAsia="Arial" w:hAnsi="Arial"/>
                <w:sz w:val="18"/>
                <w:szCs w:val="18"/>
                <w:color w:val="auto"/>
              </w:rPr>
              <w:t>(10)</w:t>
            </w:r>
          </w:p>
        </w:tc>
        <w:tc>
          <w:tcPr>
            <w:tcW w:w="1000" w:type="dxa"/>
            <w:vAlign w:val="bottom"/>
          </w:tcPr>
          <w:p>
            <w:pPr>
              <w:jc w:val="right"/>
              <w:spacing w:after="0"/>
              <w:rPr>
                <w:sz w:val="20"/>
                <w:szCs w:val="20"/>
                <w:color w:val="auto"/>
              </w:rPr>
            </w:pPr>
            <w:r>
              <w:rPr>
                <w:rFonts w:ascii="Arial" w:cs="Arial" w:eastAsia="Arial" w:hAnsi="Arial"/>
                <w:sz w:val="18"/>
                <w:szCs w:val="18"/>
                <w:color w:val="auto"/>
              </w:rPr>
              <w:t>1,126,192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1,115,458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10,734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6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right="360" w:hanging="531"/>
        <w:spacing w:after="0" w:line="318" w:lineRule="auto"/>
        <w:tabs>
          <w:tab w:leader="none" w:pos="16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selling unitholder is an indirect wholly owned subsidiary of Occidental Petroleum Corporation ("Occidental"). The voting and disposition of any common units held by the selling unitholder is controlled by the board of directors of Occidental. The board of directors of Occidental, which acts by majority approval, consists of twelve members. Each of the members of Occidental's board of directors disclaims beneficial ownership of any of our common units held by the selling unitholder. In addition, Mr. Bernard (Ben) Figlock, Occidental's Vice President and Treasurer, currently serves on the board of directors of PAGP GP as Occidental's designee.</w:t>
      </w:r>
    </w:p>
    <w:p>
      <w:pPr>
        <w:spacing w:after="0" w:line="167" w:lineRule="exact"/>
        <w:rPr>
          <w:rFonts w:ascii="Arial" w:cs="Arial" w:eastAsia="Arial" w:hAnsi="Arial"/>
          <w:sz w:val="15"/>
          <w:szCs w:val="15"/>
          <w:color w:val="auto"/>
        </w:rPr>
      </w:pPr>
    </w:p>
    <w:p>
      <w:pPr>
        <w:ind w:left="1680" w:right="460" w:hanging="531"/>
        <w:spacing w:after="0" w:line="268"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John T. Raymond is the Chief Executive Officer of the manager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line="255" w:lineRule="auto"/>
        <w:tabs>
          <w:tab w:leader="none" w:pos="1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Richard A. Kayne is the controlling owner of the manager of the selling unitholder, and Robert Sinnott is the co-chair of the managing member of the manager of, and the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rPr>
          <w:sz w:val="20"/>
          <w:szCs w:val="20"/>
          <w:color w:val="auto"/>
        </w:rPr>
      </w:pPr>
      <w:r>
        <w:rPr>
          <w:rFonts w:ascii="Arial" w:cs="Arial" w:eastAsia="Arial" w:hAnsi="Arial"/>
          <w:sz w:val="16"/>
          <w:szCs w:val="16"/>
          <w:color w:val="auto"/>
        </w:rPr>
        <w:t>portfolio manager of, the selling unitholder. In addition, Mr. Sinnott serves on the board of directors of PAGP GP as KAFU's designee.</w:t>
      </w:r>
    </w:p>
    <w:p>
      <w:pPr>
        <w:spacing w:after="0" w:line="262" w:lineRule="exact"/>
        <w:rPr>
          <w:sz w:val="20"/>
          <w:szCs w:val="20"/>
          <w:color w:val="auto"/>
        </w:rPr>
      </w:pPr>
    </w:p>
    <w:p>
      <w:pPr>
        <w:ind w:left="1680" w:hanging="531"/>
        <w:spacing w:after="0" w:line="291"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Representatives of the selling unitholder have advised us that the selling unitholder is an affiliate of a U.S. registered broker-dealer; however, the selling unitholder acquired the common units in the ordinary course of business and, at the time of the acquisition, had no agreements or understandings, directly or indirectly, with any party to distribute the common units held by the selling unitholder. Kevin McCarthy is the chairman and chief executive officer of the selling unitholder, Jim Baker is president of the selling unitholder and John C. Frey is the portfolio manager of the selling unitholder. Robert Sinnott is the co-chair of the managing member of the manager the selling unitholder. In addition, Mr. Sinnott serves on the board of directors of PAGP GP as KAFU's designee.</w:t>
      </w:r>
    </w:p>
    <w:p>
      <w:pPr>
        <w:spacing w:after="0" w:line="201"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board of directors of the general partner of the selling unitholder, which acts by majority approval, controls the selling unitholder, with the exception of certain decisions (including the exercise of voting and dispositive power over the common units held by the selling unitholder), which decisions are subject to approval by a majority in interest of the members of the selling unitholder's general partner. The members of the board of directors are Greg L. Armstrong, Harry N. Pefanis and Phil D. Kramer; these individuals own or have voting rights with respect to over 50% of the member interest in selling unitholder's general partner.</w:t>
      </w:r>
    </w:p>
    <w:p>
      <w:pPr>
        <w:spacing w:after="0" w:line="183" w:lineRule="exact"/>
        <w:rPr>
          <w:rFonts w:ascii="Arial" w:cs="Arial" w:eastAsia="Arial" w:hAnsi="Arial"/>
          <w:sz w:val="16"/>
          <w:szCs w:val="16"/>
          <w:color w:val="auto"/>
        </w:rPr>
      </w:pPr>
    </w:p>
    <w:p>
      <w:pPr>
        <w:ind w:left="1680" w:right="94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John T. Raymond is the sole member of the selling unitholder. Mr. Raymond also serves on the board of directors of PAA GP Holdings LLC as EMG's designee.</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of PAGP GP and Chief Executive Officer of GP LLC.</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Pefanis is the President and Chief Operating Officer of GP LLC.</w:t>
      </w:r>
    </w:p>
    <w:p>
      <w:pPr>
        <w:spacing w:after="0" w:line="238" w:lineRule="exact"/>
        <w:rPr>
          <w:rFonts w:ascii="Arial" w:cs="Arial" w:eastAsia="Arial" w:hAnsi="Arial"/>
          <w:sz w:val="18"/>
          <w:szCs w:val="18"/>
          <w:color w:val="auto"/>
        </w:rPr>
      </w:pPr>
    </w:p>
    <w:p>
      <w:pPr>
        <w:ind w:left="1680" w:right="20" w:hanging="531"/>
        <w:spacing w:after="0" w:line="259"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seven persons not otherwise listed above that collectively own approximately 0.39% of the common units. All of the selling unitholders in this group are current or former officers and employees of GP LLC or of Plains Midstream Canada ULC, our wholly owned subsidiary.</w:t>
      </w:r>
    </w:p>
    <w:p>
      <w:pPr>
        <w:spacing w:after="0" w:line="207"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five selling unitholders not otherwise listed above that collectively own approximately 0.17% of the common units. The selling unitholders consist of long-term legacy investors, none of whom are our employees.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event a prospectus supplement is used to reflect the sale of common units hereunder, it will set forth, with respect to the selling unitholders:</w:t>
      </w:r>
    </w:p>
    <w:p>
      <w:pPr>
        <w:spacing w:after="0" w:line="275"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 of the selling unitholders;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nature of the position, office or other material relationship which the selling unitholders will have had within the prior three years with us or any of our affiliates;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number of common units owned by the selling unitholders prior to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common units to be offered for the selling unitholders' account; and</w:t>
      </w:r>
    </w:p>
    <w:p>
      <w:pPr>
        <w:spacing w:after="0" w:line="238"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and (if one percent or more) the percentage of common units to be owned by the selling unitholders after the completion of the offering.</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expenses incurred with the registration of the common units owned by the selling unitholders will be borne by 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registering the common units offered by this prospectus on behalf of the selling unitholders. As used in this prospectus, "selling unitholders" includes partners, pledgees, donees (including charitable organizations), transferees or other successors-in-interest selling common units received from any selling shareholder identified in this prospectus after the date of this prospectus.</w:t>
      </w:r>
    </w:p>
    <w:p>
      <w:pPr>
        <w:spacing w:after="0" w:line="19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unitholders, the selling unitholders intend to offer and sell the common units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common units as principal and thereafter resell the common units from time to time:</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the over-the-counter market;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offering price per common unit will be determined from time to time by the selling unitholders in connection with, and at the time of, the sale by such selling unitholders. The selling unitholders may price the common units at:</w:t>
      </w:r>
    </w:p>
    <w:p>
      <w:pPr>
        <w:spacing w:after="0" w:line="213"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right="80" w:firstLine="351"/>
        <w:spacing w:after="0" w:line="306" w:lineRule="auto"/>
        <w:rPr>
          <w:sz w:val="20"/>
          <w:szCs w:val="20"/>
          <w:color w:val="auto"/>
        </w:rPr>
      </w:pPr>
      <w:r>
        <w:rPr>
          <w:rFonts w:ascii="Arial" w:cs="Arial" w:eastAsia="Arial" w:hAnsi="Arial"/>
          <w:sz w:val="16"/>
          <w:szCs w:val="16"/>
          <w:color w:val="auto"/>
        </w:rPr>
        <w:t>In addition, the selling unitholders may from time to time sell common units in compliance with Rule 144 under the Securities Act, if available, or pursuant to other available exemptions from the registration requirements under the Securities Act, rather than pursuant to this prospectus. The selling unitholders may be required by the securities laws of certain states to offer and sell the common units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unitholders may act independently of us in making decisions with respect to the timing, manner and size of each of their sales.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selling unitholders may authorize underwriters acting as their agent to offer and sell common units upon the terms and conditions as are set forth in an applicable prospectus supplement. In connection with the sale of these common units, underwriters may be deemed to have received compensation from the selling unitholders in the form of underwriting discounts or commissions and may also receive commissions from purchasers of common units for whom they may act as agent or to whom they sell as principals, or both. Underwriters may sell common units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unitholders in the sale of common units.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341"/>
        <w:spacing w:after="0" w:line="294" w:lineRule="auto"/>
        <w:rPr>
          <w:sz w:val="20"/>
          <w:szCs w:val="20"/>
          <w:color w:val="auto"/>
        </w:rPr>
      </w:pPr>
      <w:r>
        <w:rPr>
          <w:rFonts w:ascii="Arial" w:cs="Arial" w:eastAsia="Arial" w:hAnsi="Arial"/>
          <w:sz w:val="16"/>
          <w:szCs w:val="16"/>
          <w:color w:val="auto"/>
        </w:rPr>
        <w:t>As of the date of this prospectus, the selling unitholders have not engaged any underwriter, broker, dealer or agent in connection with the offer and sale of common units pursuant to this prospectus by the selling unitholders. To the extent required, the names of the specific managing underwriter or underwriters, if any, as well as other important information, will be set forth in an applicable prospectus supplement. In that event, any underwriting compensation paid by the selling unitholders to underwriters or agents in connection with the offering of these common units,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common units for whom they may act as agents. If any broker-dealer purchases the common units as principal, it may effect resales of the common units from time to time to or through other broker-dealers, and other broker-dealers may receive compensation in the form of concessions or commissions from the purchasers of common units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common units offered hereby. We will not pay any underwriting fees, discounts and selling commissions (and similar fees or arrangements associated therewith) allocable to each selling unitholder's sale of its respective common units; these expenses will be paid by the selling unitholders.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agreed to indemnify the selling unitholders against certain liabilities to which they may become subject in connection with the sale of the common units owned by the selling unitholders and registered under this prospectus, including liabilities arising under the Securities Act. We may indemnify underwriters, brokers, dealers and agents against specific liabilities to which they may become subject in connection with the sale of the common units owned by the selling unitholders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common units may also engage in transactions with, or perform services for, us or our affiliates in the ordinary course of their businesses.</w:t>
      </w:r>
    </w:p>
    <w:p>
      <w:pPr>
        <w:spacing w:after="0" w:line="186"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common units at levels above those that might otherwise prevail in the open market. Specifically, underwriters, brokers or dealers may overallot in connection with offerings, creating a short position in the common units for their own accounts. For the purpose of covering a syndicate short position or stabilizing the price of the common units, the underwriters, brokers or dealers may place bids for the common units or effect purchases of the common units in the open market. Finally, the underwriters may impose a penalty whereby selling concessions allowed to syndicate members or other brokers or dealers for distribution of the common units in offerings may be reclaimed by the syndicate if the syndicate repurchases the previously distributed common units in transactions to cover short positions, in stabilization transactions or otherwise. These activities may stabilize, maintain or otherwise affect the market price of the common units, which may be higher than the price that might otherwise prevail in the open market, and, if commenced, may be discontinued at any time.</w:t>
      </w:r>
    </w:p>
    <w:p>
      <w:pPr>
        <w:spacing w:after="0" w:line="174"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units in respect of which this prospectus is delivered will be set forth in the accompanying prospectus supplement.</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validity of the common units will be passed upon for us by Vinson &amp; Elkins L.L.P., Houston, Texas. If certain legal matters in connection with an offering of the common units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2"/>
    </w:lvl>
    <w:lvl w:ilvl="1">
      <w:lvlJc w:val="left"/>
      <w:lvlText w:val="(%2)"/>
      <w:numFmt w:val="lowerLetter"/>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decimal"/>
      <w:start w:val="4"/>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lvl w:ilvl="1">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2020-01-22T00:27:45Z</dcterms:created>
  <dcterms:modified xsi:type="dcterms:W3CDTF">2020-01-22T00:27:45Z</dcterms:modified>
</cp:coreProperties>
</file>