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bookmarkStart w:id="0" w:name="a13-19366_2sc13da.htm"/>
      <w:bookmarkStart w:id="1" w:name="ksa1319366_2sc13da"/>
      <w:bookmarkEnd w:id="0"/>
      <w:bookmarkEnd w:id="1"/>
      <w:r>
        <w:rPr/>
        <w:t> </w:t>
      </w:r>
    </w:p>
    <w:tbl>
      <w:tblPr>
        <w:tblW w:w="5000" w:type="pct"/>
        <w:jc w:val="left"/>
        <w:tblInd w:w="0" w:type="dxa"/>
        <w:tblCellMar>
          <w:top w:w="0" w:type="dxa"/>
          <w:left w:w="0" w:type="dxa"/>
          <w:bottom w:w="0" w:type="dxa"/>
          <w:right w:w="0" w:type="dxa"/>
        </w:tblCellMar>
      </w:tblPr>
      <w:tblGrid>
        <w:gridCol w:w="2371"/>
        <w:gridCol w:w="5567"/>
        <w:gridCol w:w="2267"/>
      </w:tblGrid>
      <w:tr>
        <w:trPr/>
        <w:tc>
          <w:tcPr>
            <w:tcW w:w="2371" w:type="dxa"/>
            <w:tcBorders/>
            <w:shd w:fill="auto" w:val="clear"/>
          </w:tcPr>
          <w:p>
            <w:pPr>
              <w:pStyle w:val="TableContents"/>
              <w:spacing w:before="0" w:after="0"/>
              <w:ind w:left="0" w:right="0" w:hanging="0"/>
              <w:jc w:val="center"/>
              <w:rPr/>
            </w:pPr>
            <w:r>
              <w:rPr/>
              <w:t> </w:t>
            </w:r>
          </w:p>
        </w:tc>
        <w:tc>
          <w:tcPr>
            <w:tcW w:w="5567"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UNITED STATES</w:t>
            </w:r>
          </w:p>
        </w:tc>
        <w:tc>
          <w:tcPr>
            <w:tcW w:w="2267" w:type="dxa"/>
            <w:tcBorders/>
            <w:shd w:fill="auto" w:val="clear"/>
            <w:vAlign w:val="bottom"/>
          </w:tcPr>
          <w:p>
            <w:pPr>
              <w:pStyle w:val="TableContents"/>
              <w:spacing w:before="0" w:after="0"/>
              <w:ind w:left="0" w:right="0" w:hanging="0"/>
              <w:rPr/>
            </w:pPr>
            <w:r>
              <w:rPr/>
              <w:t> </w:t>
            </w:r>
          </w:p>
        </w:tc>
      </w:tr>
      <w:tr>
        <w:trPr/>
        <w:tc>
          <w:tcPr>
            <w:tcW w:w="2371" w:type="dxa"/>
            <w:tcBorders/>
            <w:shd w:fill="auto" w:val="clear"/>
          </w:tcPr>
          <w:p>
            <w:pPr>
              <w:pStyle w:val="TableContents"/>
              <w:spacing w:before="0" w:after="0"/>
              <w:ind w:left="0" w:right="0" w:hanging="0"/>
              <w:jc w:val="center"/>
              <w:rPr/>
            </w:pPr>
            <w:r>
              <w:rPr/>
              <w:t> </w:t>
            </w:r>
          </w:p>
        </w:tc>
        <w:tc>
          <w:tcPr>
            <w:tcW w:w="5567"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SECURITIES AND EXCHANGE COMMISSION</w:t>
            </w:r>
          </w:p>
        </w:tc>
        <w:tc>
          <w:tcPr>
            <w:tcW w:w="2267" w:type="dxa"/>
            <w:tcBorders/>
            <w:shd w:fill="auto" w:val="clear"/>
          </w:tcPr>
          <w:p>
            <w:pPr>
              <w:pStyle w:val="TableContents"/>
              <w:spacing w:before="0" w:after="0"/>
              <w:ind w:left="0" w:right="0" w:hanging="0"/>
              <w:rPr/>
            </w:pPr>
            <w:r>
              <w:rPr/>
              <w:t> </w:t>
            </w:r>
          </w:p>
        </w:tc>
      </w:tr>
      <w:tr>
        <w:trPr/>
        <w:tc>
          <w:tcPr>
            <w:tcW w:w="2371" w:type="dxa"/>
            <w:tcBorders/>
            <w:shd w:fill="auto" w:val="clear"/>
          </w:tcPr>
          <w:p>
            <w:pPr>
              <w:pStyle w:val="TableContents"/>
              <w:spacing w:before="0" w:after="0"/>
              <w:ind w:left="0" w:right="0" w:hanging="0"/>
              <w:jc w:val="center"/>
              <w:rPr/>
            </w:pPr>
            <w:r>
              <w:rPr/>
              <w:t> </w:t>
            </w:r>
          </w:p>
        </w:tc>
        <w:tc>
          <w:tcPr>
            <w:tcW w:w="5567"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Washington, D.C. 20549</w:t>
            </w:r>
          </w:p>
        </w:tc>
        <w:tc>
          <w:tcPr>
            <w:tcW w:w="2267" w:type="dxa"/>
            <w:tcBorders/>
            <w:shd w:fill="auto" w:val="clear"/>
            <w:vAlign w:val="bottom"/>
          </w:tcPr>
          <w:p>
            <w:pPr>
              <w:pStyle w:val="TableContents"/>
              <w:spacing w:before="0" w:after="0"/>
              <w:ind w:left="0" w:right="0" w:hanging="0"/>
              <w:rPr/>
            </w:pPr>
            <w:r>
              <w:rPr/>
              <w:t> </w:t>
            </w:r>
          </w:p>
        </w:tc>
      </w:tr>
      <w:tr>
        <w:trPr/>
        <w:tc>
          <w:tcPr>
            <w:tcW w:w="2371" w:type="dxa"/>
            <w:tcBorders/>
            <w:shd w:fill="auto" w:val="clear"/>
          </w:tcPr>
          <w:p>
            <w:pPr>
              <w:pStyle w:val="TableContents"/>
              <w:spacing w:before="0" w:after="0"/>
              <w:ind w:left="0" w:right="0" w:hanging="0"/>
              <w:jc w:val="center"/>
              <w:rPr/>
            </w:pPr>
            <w:r>
              <w:rPr/>
              <w:t> </w:t>
            </w:r>
          </w:p>
        </w:tc>
        <w:tc>
          <w:tcPr>
            <w:tcW w:w="5567" w:type="dxa"/>
            <w:tcBorders/>
            <w:shd w:fill="auto" w:val="clear"/>
          </w:tcPr>
          <w:p>
            <w:pPr>
              <w:pStyle w:val="TableContents"/>
              <w:spacing w:before="0" w:after="0"/>
              <w:ind w:left="0" w:right="0" w:hanging="0"/>
              <w:jc w:val="center"/>
              <w:rPr/>
            </w:pPr>
            <w:r>
              <w:rPr/>
              <w:t> </w:t>
            </w:r>
          </w:p>
        </w:tc>
        <w:tc>
          <w:tcPr>
            <w:tcW w:w="2267" w:type="dxa"/>
            <w:tcBorders/>
            <w:shd w:fill="auto" w:val="clear"/>
            <w:vAlign w:val="bottom"/>
          </w:tcPr>
          <w:p>
            <w:pPr>
              <w:pStyle w:val="TableContents"/>
              <w:spacing w:before="0" w:after="0"/>
              <w:ind w:left="0" w:right="0" w:hanging="0"/>
              <w:rPr/>
            </w:pPr>
            <w:r>
              <w:rPr/>
              <w:t> </w:t>
            </w:r>
          </w:p>
        </w:tc>
      </w:tr>
      <w:tr>
        <w:trPr>
          <w:trHeight w:val="285" w:hRule="atLeast"/>
        </w:trPr>
        <w:tc>
          <w:tcPr>
            <w:tcW w:w="2371" w:type="dxa"/>
            <w:tcBorders/>
            <w:shd w:fill="auto" w:val="clear"/>
          </w:tcPr>
          <w:p>
            <w:pPr>
              <w:pStyle w:val="TableContents"/>
              <w:spacing w:before="0" w:after="0"/>
              <w:ind w:left="0" w:right="0" w:hanging="0"/>
              <w:jc w:val="center"/>
              <w:rPr/>
            </w:pPr>
            <w:r>
              <w:rPr/>
              <w:t> </w:t>
            </w:r>
          </w:p>
        </w:tc>
        <w:tc>
          <w:tcPr>
            <w:tcW w:w="5567"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SCHEDULE 13D/A</w:t>
            </w:r>
          </w:p>
        </w:tc>
        <w:tc>
          <w:tcPr>
            <w:tcW w:w="2267"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 xml:space="preserve">Under the Securities Exchange Act of 1934 </w:t>
        <w:br/>
        <w:t>(Amendment No. 1)</w:t>
      </w:r>
    </w:p>
    <w:p>
      <w:pPr>
        <w:pStyle w:val="TextBody"/>
        <w:spacing w:before="0" w:after="0"/>
        <w:ind w:left="0" w:right="0" w:hanging="0"/>
        <w:jc w:val="center"/>
        <w:rPr/>
      </w:pPr>
      <w:r>
        <w:rPr/>
        <w:t> </w:t>
      </w:r>
    </w:p>
    <w:p>
      <w:pPr>
        <w:pStyle w:val="TextBody"/>
        <w:pBdr/>
        <w:spacing w:before="0" w:after="0"/>
        <w:ind w:left="0" w:right="0" w:hanging="0"/>
        <w:jc w:val="center"/>
        <w:rPr>
          <w:rFonts w:ascii="Times New Roman" w:hAnsi="Times New Roman"/>
          <w:b/>
          <w:sz w:val="17"/>
          <w:bdr w:val="single" w:sz="8" w:space="1" w:color="000000"/>
        </w:rPr>
      </w:pPr>
      <w:r>
        <w:rPr>
          <w:rFonts w:ascii="Times New Roman" w:hAnsi="Times New Roman"/>
          <w:b/>
          <w:sz w:val="17"/>
          <w:bdr w:val="single" w:sz="8" w:space="1" w:color="000000"/>
        </w:rPr>
        <w:t>PAA Natural Gas Storage, L.P.</w:t>
      </w:r>
    </w:p>
    <w:p>
      <w:pPr>
        <w:pStyle w:val="TextBody"/>
        <w:spacing w:before="0" w:after="0"/>
        <w:ind w:left="0" w:right="0" w:hanging="0"/>
        <w:jc w:val="center"/>
        <w:rPr>
          <w:rFonts w:ascii="Times New Roman" w:hAnsi="Times New Roman"/>
          <w:sz w:val="17"/>
        </w:rPr>
      </w:pPr>
      <w:r>
        <w:rPr>
          <w:rFonts w:ascii="Times New Roman" w:hAnsi="Times New Roman"/>
          <w:sz w:val="17"/>
        </w:rPr>
        <w:t>(Name of Issuer)</w:t>
      </w:r>
    </w:p>
    <w:p>
      <w:pPr>
        <w:pStyle w:val="TextBody"/>
        <w:spacing w:before="0" w:after="0"/>
        <w:ind w:left="0" w:right="0" w:hanging="0"/>
        <w:jc w:val="center"/>
        <w:rPr/>
      </w:pPr>
      <w:r>
        <w:rPr/>
        <w:t> </w:t>
      </w:r>
    </w:p>
    <w:p>
      <w:pPr>
        <w:pStyle w:val="TextBody"/>
        <w:pBdr/>
        <w:spacing w:before="0" w:after="0"/>
        <w:ind w:left="0" w:right="0" w:hanging="0"/>
        <w:jc w:val="center"/>
        <w:rPr>
          <w:rFonts w:ascii="Times New Roman" w:hAnsi="Times New Roman"/>
          <w:b/>
          <w:sz w:val="17"/>
          <w:bdr w:val="single" w:sz="8" w:space="1" w:color="000000"/>
        </w:rPr>
      </w:pPr>
      <w:r>
        <w:rPr>
          <w:rFonts w:ascii="Times New Roman" w:hAnsi="Times New Roman"/>
          <w:b/>
          <w:sz w:val="17"/>
          <w:bdr w:val="single" w:sz="8" w:space="1" w:color="000000"/>
        </w:rPr>
        <w:t>Common Units Representing Limited Partner Interests</w:t>
      </w:r>
    </w:p>
    <w:p>
      <w:pPr>
        <w:pStyle w:val="TextBody"/>
        <w:spacing w:before="0" w:after="0"/>
        <w:ind w:left="0" w:right="0" w:hanging="0"/>
        <w:jc w:val="center"/>
        <w:rPr>
          <w:rFonts w:ascii="Times New Roman" w:hAnsi="Times New Roman"/>
          <w:sz w:val="17"/>
        </w:rPr>
      </w:pPr>
      <w:r>
        <w:rPr>
          <w:rFonts w:ascii="Times New Roman" w:hAnsi="Times New Roman"/>
          <w:sz w:val="17"/>
        </w:rPr>
        <w:t>(Title of Class of Securities)</w:t>
      </w:r>
    </w:p>
    <w:p>
      <w:pPr>
        <w:pStyle w:val="TextBody"/>
        <w:spacing w:before="0" w:after="0"/>
        <w:ind w:left="0" w:right="0" w:hanging="0"/>
        <w:jc w:val="center"/>
        <w:rPr/>
      </w:pPr>
      <w:r>
        <w:rPr/>
        <w:t> </w:t>
      </w:r>
    </w:p>
    <w:p>
      <w:pPr>
        <w:pStyle w:val="TextBody"/>
        <w:pBdr/>
        <w:spacing w:before="0" w:after="0"/>
        <w:ind w:left="0" w:right="0" w:hanging="0"/>
        <w:jc w:val="center"/>
        <w:rPr>
          <w:rFonts w:ascii="Times New Roman" w:hAnsi="Times New Roman"/>
          <w:b/>
          <w:sz w:val="17"/>
          <w:bdr w:val="single" w:sz="8" w:space="1" w:color="000000"/>
        </w:rPr>
      </w:pPr>
      <w:r>
        <w:rPr>
          <w:rFonts w:ascii="Times New Roman" w:hAnsi="Times New Roman"/>
          <w:b/>
          <w:sz w:val="17"/>
          <w:bdr w:val="single" w:sz="8" w:space="1" w:color="000000"/>
        </w:rPr>
        <w:t>693139107</w:t>
      </w:r>
    </w:p>
    <w:p>
      <w:pPr>
        <w:pStyle w:val="TextBody"/>
        <w:spacing w:before="0" w:after="0"/>
        <w:ind w:left="0" w:right="0" w:hanging="0"/>
        <w:jc w:val="center"/>
        <w:rPr>
          <w:rFonts w:ascii="Times New Roman" w:hAnsi="Times New Roman"/>
          <w:sz w:val="17"/>
        </w:rPr>
      </w:pPr>
      <w:r>
        <w:rPr>
          <w:rFonts w:ascii="Times New Roman" w:hAnsi="Times New Roman"/>
          <w:sz w:val="17"/>
        </w:rPr>
        <w:t>(CUSIP Number)</w:t>
      </w:r>
    </w:p>
    <w:p>
      <w:pPr>
        <w:pStyle w:val="TextBody"/>
        <w:spacing w:before="0" w:after="0"/>
        <w:ind w:left="0" w:right="0" w:hanging="0"/>
        <w:jc w:val="center"/>
        <w:rPr/>
      </w:pPr>
      <w:r>
        <w:rPr/>
        <w:t> </w:t>
      </w:r>
    </w:p>
    <w:p>
      <w:pPr>
        <w:pStyle w:val="TextBody"/>
        <w:pBdr/>
        <w:spacing w:before="0" w:after="0"/>
        <w:ind w:left="0" w:right="0" w:hanging="0"/>
        <w:jc w:val="center"/>
        <w:rPr>
          <w:rFonts w:ascii="Times New Roman" w:hAnsi="Times New Roman"/>
          <w:b/>
          <w:sz w:val="17"/>
          <w:bdr w:val="single" w:sz="8" w:space="1" w:color="000000"/>
        </w:rPr>
      </w:pPr>
      <w:r>
        <w:rPr>
          <w:rFonts w:ascii="Times New Roman" w:hAnsi="Times New Roman"/>
          <w:b/>
          <w:sz w:val="17"/>
          <w:bdr w:val="single" w:sz="8" w:space="1" w:color="000000"/>
        </w:rPr>
        <w:t>Richard McGee</w:t>
      </w:r>
    </w:p>
    <w:p>
      <w:pPr>
        <w:pStyle w:val="TextBody"/>
        <w:pBdr/>
        <w:spacing w:before="0" w:after="0"/>
        <w:ind w:left="0" w:right="0" w:hanging="0"/>
        <w:jc w:val="center"/>
        <w:rPr>
          <w:rFonts w:ascii="Times New Roman" w:hAnsi="Times New Roman"/>
          <w:b/>
          <w:sz w:val="17"/>
          <w:bdr w:val="single" w:sz="8" w:space="1" w:color="000000"/>
        </w:rPr>
      </w:pPr>
      <w:r>
        <w:rPr>
          <w:rFonts w:ascii="Times New Roman" w:hAnsi="Times New Roman"/>
          <w:b/>
          <w:sz w:val="17"/>
          <w:bdr w:val="single" w:sz="8" w:space="1" w:color="000000"/>
        </w:rPr>
        <w:t>Executive Vice President, General Counsel and Secretary</w:t>
      </w:r>
    </w:p>
    <w:p>
      <w:pPr>
        <w:pStyle w:val="TextBody"/>
        <w:pBdr/>
        <w:spacing w:before="0" w:after="0"/>
        <w:ind w:left="0" w:right="0" w:hanging="0"/>
        <w:jc w:val="center"/>
        <w:rPr>
          <w:rFonts w:ascii="Times New Roman" w:hAnsi="Times New Roman"/>
          <w:b/>
          <w:sz w:val="17"/>
          <w:bdr w:val="single" w:sz="8" w:space="1" w:color="000000"/>
        </w:rPr>
      </w:pPr>
      <w:r>
        <w:rPr>
          <w:rFonts w:ascii="Times New Roman" w:hAnsi="Times New Roman"/>
          <w:b/>
          <w:sz w:val="17"/>
          <w:bdr w:val="single" w:sz="8" w:space="1" w:color="000000"/>
        </w:rPr>
        <w:t>Plains All American GP LLC</w:t>
      </w:r>
    </w:p>
    <w:p>
      <w:pPr>
        <w:pStyle w:val="TextBody"/>
        <w:pBdr/>
        <w:spacing w:before="0" w:after="0"/>
        <w:ind w:left="0" w:right="0" w:hanging="0"/>
        <w:jc w:val="center"/>
        <w:rPr>
          <w:rFonts w:ascii="Times New Roman" w:hAnsi="Times New Roman"/>
          <w:b/>
          <w:sz w:val="17"/>
          <w:bdr w:val="single" w:sz="8" w:space="1" w:color="000000"/>
        </w:rPr>
      </w:pPr>
      <w:r>
        <w:rPr>
          <w:rFonts w:ascii="Times New Roman" w:hAnsi="Times New Roman"/>
          <w:b/>
          <w:sz w:val="17"/>
          <w:bdr w:val="single" w:sz="8" w:space="1" w:color="000000"/>
        </w:rPr>
        <w:t>333 Clay Street, Suite 1600</w:t>
      </w:r>
    </w:p>
    <w:p>
      <w:pPr>
        <w:pStyle w:val="TextBody"/>
        <w:pBdr/>
        <w:spacing w:before="0" w:after="0"/>
        <w:ind w:left="0" w:right="0" w:hanging="0"/>
        <w:jc w:val="center"/>
        <w:rPr>
          <w:rFonts w:ascii="Times New Roman" w:hAnsi="Times New Roman"/>
          <w:b/>
          <w:sz w:val="17"/>
          <w:bdr w:val="single" w:sz="8" w:space="1" w:color="000000"/>
        </w:rPr>
      </w:pPr>
      <w:r>
        <w:rPr>
          <w:rFonts w:ascii="Times New Roman" w:hAnsi="Times New Roman"/>
          <w:b/>
          <w:sz w:val="17"/>
          <w:bdr w:val="single" w:sz="8" w:space="1" w:color="000000"/>
        </w:rPr>
        <w:t>Houston, Texas 77002</w:t>
      </w:r>
    </w:p>
    <w:p>
      <w:pPr>
        <w:pStyle w:val="TextBody"/>
        <w:pBdr/>
        <w:spacing w:before="0" w:after="0"/>
        <w:ind w:left="0" w:right="0" w:hanging="0"/>
        <w:jc w:val="center"/>
        <w:rPr>
          <w:rFonts w:ascii="Times New Roman" w:hAnsi="Times New Roman"/>
          <w:b/>
          <w:sz w:val="17"/>
          <w:bdr w:val="single" w:sz="8" w:space="1" w:color="000000"/>
        </w:rPr>
      </w:pPr>
      <w:r>
        <w:rPr>
          <w:rFonts w:ascii="Times New Roman" w:hAnsi="Times New Roman"/>
          <w:b/>
          <w:sz w:val="17"/>
          <w:bdr w:val="single" w:sz="8" w:space="1" w:color="000000"/>
        </w:rPr>
        <w:t>(713) 646-4100</w:t>
      </w:r>
    </w:p>
    <w:p>
      <w:pPr>
        <w:pStyle w:val="TextBody"/>
        <w:spacing w:before="0" w:after="0"/>
        <w:ind w:left="0" w:right="0" w:hanging="0"/>
        <w:jc w:val="center"/>
        <w:rPr>
          <w:rFonts w:ascii="Times New Roman" w:hAnsi="Times New Roman"/>
          <w:sz w:val="17"/>
        </w:rPr>
      </w:pPr>
      <w:r>
        <w:rPr>
          <w:rFonts w:ascii="Times New Roman" w:hAnsi="Times New Roman"/>
          <w:sz w:val="17"/>
        </w:rPr>
        <w:t>(Name, Address and Telephone Number of Person</w:t>
        <w:br/>
        <w:t>Authorized to Receive Notices and Communications)</w:t>
      </w:r>
    </w:p>
    <w:p>
      <w:pPr>
        <w:pStyle w:val="TextBody"/>
        <w:spacing w:before="0" w:after="0"/>
        <w:ind w:left="0" w:right="0" w:hanging="0"/>
        <w:jc w:val="center"/>
        <w:rPr/>
      </w:pPr>
      <w:r>
        <w:rPr/>
        <w:t> </w:t>
      </w:r>
    </w:p>
    <w:p>
      <w:pPr>
        <w:pStyle w:val="TextBody"/>
        <w:pBdr/>
        <w:spacing w:before="0" w:after="0"/>
        <w:ind w:left="0" w:right="0" w:hanging="0"/>
        <w:jc w:val="center"/>
        <w:rPr>
          <w:rFonts w:ascii="Times New Roman" w:hAnsi="Times New Roman"/>
          <w:b/>
          <w:sz w:val="17"/>
          <w:bdr w:val="single" w:sz="8" w:space="1" w:color="000000"/>
        </w:rPr>
      </w:pPr>
      <w:r>
        <w:rPr>
          <w:rFonts w:ascii="Times New Roman" w:hAnsi="Times New Roman"/>
          <w:b/>
          <w:sz w:val="17"/>
          <w:bdr w:val="single" w:sz="8" w:space="1" w:color="000000"/>
        </w:rPr>
        <w:t>August 27, 2013</w:t>
      </w:r>
    </w:p>
    <w:p>
      <w:pPr>
        <w:pStyle w:val="TextBody"/>
        <w:spacing w:before="0" w:after="0"/>
        <w:ind w:left="0" w:right="0" w:hanging="0"/>
        <w:jc w:val="center"/>
        <w:rPr>
          <w:rFonts w:ascii="Times New Roman" w:hAnsi="Times New Roman"/>
          <w:sz w:val="17"/>
        </w:rPr>
      </w:pPr>
      <w:r>
        <w:rPr>
          <w:rFonts w:ascii="Times New Roman" w:hAnsi="Times New Roman"/>
          <w:sz w:val="17"/>
        </w:rPr>
        <w:t>(Date of Event which Requires Filing of this Statement)</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rPr>
          <w:rFonts w:ascii="Times New Roman" w:hAnsi="Times New Roman"/>
        </w:rPr>
      </w:pPr>
      <w:r>
        <w:rPr>
          <w:rFonts w:ascii="Times New Roman" w:hAnsi="Times New Roman"/>
          <w:sz w:val="17"/>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Wingdings" w:hAnsi="Wingdings"/>
          <w:sz w:val="17"/>
        </w:rPr>
        <w:t>o</w:t>
      </w:r>
    </w:p>
    <w:p>
      <w:pPr>
        <w:pStyle w:val="TextBody"/>
        <w:spacing w:before="100" w:after="100"/>
        <w:ind w:left="100" w:right="100" w:hanging="0"/>
        <w:rPr>
          <w:rFonts w:ascii="Times New Roman" w:hAnsi="Times New Roman"/>
        </w:rPr>
      </w:pPr>
      <w:r>
        <w:rPr>
          <w:rFonts w:ascii="Times New Roman" w:hAnsi="Times New Roman"/>
          <w:b/>
          <w:sz w:val="17"/>
        </w:rPr>
        <w:t>Note</w:t>
      </w:r>
      <w:r>
        <w:rPr>
          <w:rFonts w:ascii="Times New Roman" w:hAnsi="Times New Roman"/>
          <w:sz w:val="17"/>
        </w:rPr>
        <w:t xml:space="preserve">: Schedules filed in paper format shall include a signed original and five copies of the schedule, including all exhibits. See §240.13d-7 for other parties to whom copies are to be sent. </w:t>
      </w:r>
    </w:p>
    <w:p>
      <w:pPr>
        <w:pStyle w:val="TextBody"/>
        <w:spacing w:before="100" w:after="100"/>
        <w:ind w:left="100" w:right="100" w:hanging="0"/>
        <w:rPr>
          <w:rFonts w:ascii="Times New Roman" w:hAnsi="Times New Roman"/>
        </w:rPr>
      </w:pPr>
      <w:r>
        <w:rPr>
          <w:rFonts w:ascii="Times New Roman" w:hAnsi="Times New Roman"/>
          <w:sz w:val="11"/>
        </w:rPr>
        <w:t>*</w:t>
      </w:r>
      <w:r>
        <w:rPr>
          <w:rFonts w:ascii="Times New Roman" w:hAnsi="Times New Roman"/>
        </w:rPr>
        <w:t> </w:t>
      </w:r>
      <w:r>
        <w:rPr>
          <w:rFonts w:ascii="Times New Roman" w:hAnsi="Times New Roman"/>
          <w:sz w:val="17"/>
        </w:rPr>
        <w:t xml:space="preserve">The remainder of this cover page shall be filled out for a reporting person's initial filing on this form with respect to the subject class of securities, and for any subsequent amendment containing information which would alter disclosures provided in a prior cover page. </w:t>
      </w:r>
    </w:p>
    <w:p>
      <w:pPr>
        <w:pStyle w:val="TextBody"/>
        <w:spacing w:before="0" w:after="0"/>
        <w:ind w:left="0" w:right="0" w:hanging="0"/>
        <w:rPr>
          <w:rFonts w:ascii="Times New Roman" w:hAnsi="Times New Roman"/>
          <w:sz w:val="17"/>
        </w:rPr>
      </w:pPr>
      <w:r>
        <w:rPr>
          <w:rFonts w:ascii="Times New Roman" w:hAnsi="Times New Roman"/>
          <w:sz w:val="17"/>
        </w:rPr>
        <w:t>The information required on the remainder of this cover page shall not be deemed to be "filed" for the purpose of Section 18 of the Securities Exchange Act of 1934 ("</w:t>
      </w:r>
      <w:r>
        <w:rPr>
          <w:rFonts w:ascii="Times New Roman" w:hAnsi="Times New Roman"/>
          <w:sz w:val="17"/>
          <w:u w:val="single"/>
        </w:rPr>
        <w:t>Act</w:t>
      </w:r>
      <w:r>
        <w:rPr>
          <w:rFonts w:ascii="Times New Roman" w:hAnsi="Times New Roman"/>
          <w:sz w:val="17"/>
        </w:rPr>
        <w:t>") or otherwise subject to the liabilities of that section of the Act but shall be subject to all other provisions of the Act (however, see the Notes).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(Continued on following pages)</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SCHEDULE 13D/A</w:t>
      </w:r>
    </w:p>
    <w:p>
      <w:pPr>
        <w:pStyle w:val="TextBody"/>
        <w:spacing w:before="0" w:after="0"/>
        <w:ind w:left="0" w:right="0" w:hanging="0"/>
        <w:jc w:val="center"/>
        <w:rPr/>
      </w:pPr>
      <w:r>
        <w:rPr/>
        <w:t> </w:t>
      </w:r>
    </w:p>
    <w:tbl>
      <w:tblPr>
        <w:tblW w:w="5000" w:type="pct"/>
        <w:jc w:val="center"/>
        <w:tblInd w:w="0" w:type="dxa"/>
        <w:tblCellMar>
          <w:top w:w="0" w:type="dxa"/>
          <w:left w:w="0" w:type="dxa"/>
          <w:bottom w:w="60" w:type="dxa"/>
          <w:right w:w="0" w:type="dxa"/>
        </w:tblCellMar>
      </w:tblPr>
      <w:tblGrid>
        <w:gridCol w:w="288"/>
        <w:gridCol w:w="481"/>
        <w:gridCol w:w="512"/>
        <w:gridCol w:w="384"/>
        <w:gridCol w:w="645"/>
        <w:gridCol w:w="7895"/>
      </w:tblGrid>
      <w:tr>
        <w:trPr/>
        <w:tc>
          <w:tcPr>
            <w:tcW w:w="10205" w:type="dxa"/>
            <w:gridSpan w:val="6"/>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 xml:space="preserve">CUSIP No. </w:t>
            </w:r>
            <w:r>
              <w:rPr>
                <w:sz w:val="17"/>
              </w:rPr>
              <w:t>693139107</w:t>
            </w:r>
          </w:p>
        </w:tc>
      </w:tr>
      <w:tr>
        <w:trPr/>
        <w:tc>
          <w:tcPr>
            <w:tcW w:w="10205" w:type="dxa"/>
            <w:gridSpan w:val="6"/>
            <w:tcBorders/>
            <w:shd w:fill="auto" w:val="clear"/>
            <w:tcMar>
              <w:bottom w:w="0" w:type="dxa"/>
            </w:tcMar>
            <w:vAlign w:val="center"/>
          </w:tcPr>
          <w:p>
            <w:pPr>
              <w:pStyle w:val="TableContents"/>
              <w:spacing w:before="80" w:after="80"/>
              <w:ind w:left="0" w:right="0" w:hanging="0"/>
              <w:rPr/>
            </w:pPr>
            <w:r>
              <w:rPr/>
              <w:t> </w:t>
            </w:r>
          </w:p>
        </w:tc>
      </w:tr>
      <w:tr>
        <w:trPr/>
        <w:tc>
          <w:tcPr>
            <w:tcW w:w="288" w:type="dxa"/>
            <w:tcBorders/>
            <w:shd w:fill="auto" w:val="clear"/>
            <w:tcMar>
              <w:bottom w:w="0" w:type="dxa"/>
            </w:tcMar>
            <w:vAlign w:val="center"/>
          </w:tcPr>
          <w:p>
            <w:pPr>
              <w:pStyle w:val="TableContents"/>
              <w:spacing w:before="80" w:after="80"/>
              <w:ind w:left="0" w:right="0" w:hanging="0"/>
              <w:rPr/>
            </w:pPr>
            <w:r>
              <w:rPr/>
              <w:t> </w:t>
            </w:r>
          </w:p>
        </w:tc>
        <w:tc>
          <w:tcPr>
            <w:tcW w:w="481"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1</w:t>
            </w:r>
          </w:p>
        </w:tc>
        <w:tc>
          <w:tcPr>
            <w:tcW w:w="9436" w:type="dxa"/>
            <w:gridSpan w:val="4"/>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Name of Reporting Person</w:t>
              <w:br/>
            </w:r>
            <w:r>
              <w:rPr>
                <w:sz w:val="17"/>
              </w:rPr>
              <w:t>Plains All American Pipeline, L.P.</w:t>
            </w:r>
          </w:p>
        </w:tc>
      </w:tr>
      <w:tr>
        <w:trPr/>
        <w:tc>
          <w:tcPr>
            <w:tcW w:w="10205" w:type="dxa"/>
            <w:gridSpan w:val="6"/>
            <w:tcBorders/>
            <w:shd w:fill="auto" w:val="clear"/>
            <w:tcMar>
              <w:bottom w:w="0" w:type="dxa"/>
            </w:tcMar>
            <w:vAlign w:val="center"/>
          </w:tcPr>
          <w:p>
            <w:pPr>
              <w:pStyle w:val="TableContents"/>
              <w:spacing w:before="80" w:after="80"/>
              <w:ind w:left="0" w:right="0" w:hanging="0"/>
              <w:rPr/>
            </w:pPr>
            <w:r>
              <w:rPr/>
              <w:t> </w:t>
            </w:r>
          </w:p>
        </w:tc>
      </w:tr>
      <w:tr>
        <w:trPr/>
        <w:tc>
          <w:tcPr>
            <w:tcW w:w="288" w:type="dxa"/>
            <w:tcBorders/>
            <w:shd w:fill="auto" w:val="clear"/>
            <w:tcMar>
              <w:bottom w:w="0" w:type="dxa"/>
            </w:tcMar>
            <w:vAlign w:val="center"/>
          </w:tcPr>
          <w:p>
            <w:pPr>
              <w:pStyle w:val="TableContents"/>
              <w:spacing w:before="80" w:after="80"/>
              <w:ind w:left="0" w:right="0" w:hanging="0"/>
              <w:rPr/>
            </w:pPr>
            <w:r>
              <w:rPr/>
              <w:t> </w:t>
            </w:r>
          </w:p>
        </w:tc>
        <w:tc>
          <w:tcPr>
            <w:tcW w:w="481"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2</w:t>
            </w:r>
          </w:p>
        </w:tc>
        <w:tc>
          <w:tcPr>
            <w:tcW w:w="9436" w:type="dxa"/>
            <w:gridSpan w:val="4"/>
            <w:tcBorders/>
            <w:shd w:fill="auto" w:val="clear"/>
            <w:tcMar>
              <w:bottom w:w="0" w:type="dxa"/>
            </w:tcMar>
            <w:vAlign w:val="center"/>
          </w:tcPr>
          <w:p>
            <w:pPr>
              <w:pStyle w:val="TableContents"/>
              <w:spacing w:before="80" w:after="80"/>
              <w:ind w:left="0" w:right="0" w:hanging="0"/>
              <w:rPr>
                <w:rFonts w:ascii="Times New Roman" w:hAnsi="Times New Roman"/>
                <w:sz w:val="17"/>
              </w:rPr>
            </w:pPr>
            <w:r>
              <w:rPr>
                <w:rFonts w:ascii="Times New Roman" w:hAnsi="Times New Roman"/>
                <w:sz w:val="17"/>
              </w:rPr>
              <w:t>Check the Appropriate Box if a Member of a Group</w:t>
            </w:r>
          </w:p>
        </w:tc>
      </w:tr>
      <w:tr>
        <w:trPr/>
        <w:tc>
          <w:tcPr>
            <w:tcW w:w="288" w:type="dxa"/>
            <w:tcBorders/>
            <w:shd w:fill="auto" w:val="clear"/>
            <w:tcMar>
              <w:bottom w:w="0" w:type="dxa"/>
            </w:tcMar>
            <w:vAlign w:val="center"/>
          </w:tcPr>
          <w:p>
            <w:pPr>
              <w:pStyle w:val="TableContents"/>
              <w:spacing w:before="80" w:after="80"/>
              <w:ind w:left="0" w:right="0" w:hanging="0"/>
              <w:rPr/>
            </w:pPr>
            <w:r>
              <w:rPr/>
              <w:t> </w:t>
            </w:r>
          </w:p>
        </w:tc>
        <w:tc>
          <w:tcPr>
            <w:tcW w:w="481" w:type="dxa"/>
            <w:tcBorders/>
            <w:shd w:fill="auto" w:val="clear"/>
            <w:tcMar>
              <w:bottom w:w="0" w:type="dxa"/>
            </w:tcMar>
          </w:tcPr>
          <w:p>
            <w:pPr>
              <w:pStyle w:val="TableContents"/>
              <w:spacing w:before="80" w:after="80"/>
              <w:ind w:left="0" w:right="0" w:hanging="0"/>
              <w:rPr/>
            </w:pPr>
            <w:r>
              <w:rPr/>
              <w:t> </w:t>
            </w:r>
          </w:p>
        </w:tc>
        <w:tc>
          <w:tcPr>
            <w:tcW w:w="1541" w:type="dxa"/>
            <w:gridSpan w:val="3"/>
            <w:tcBorders/>
            <w:shd w:fill="auto" w:val="clear"/>
            <w:tcMar>
              <w:bottom w:w="0" w:type="dxa"/>
            </w:tcMar>
            <w:vAlign w:val="center"/>
          </w:tcPr>
          <w:p>
            <w:pPr>
              <w:pStyle w:val="TableContents"/>
              <w:spacing w:before="80" w:after="80"/>
              <w:ind w:left="0" w:right="0" w:hanging="0"/>
              <w:rPr>
                <w:rFonts w:ascii="Times New Roman" w:hAnsi="Times New Roman"/>
                <w:sz w:val="17"/>
              </w:rPr>
            </w:pPr>
            <w:r>
              <w:rPr>
                <w:rFonts w:ascii="Times New Roman" w:hAnsi="Times New Roman"/>
                <w:sz w:val="17"/>
              </w:rPr>
              <w:t>(a):</w:t>
            </w:r>
          </w:p>
        </w:tc>
        <w:tc>
          <w:tcPr>
            <w:tcW w:w="7895" w:type="dxa"/>
            <w:tcBorders>
              <w:bottom w:val="single" w:sz="8" w:space="0" w:color="000000"/>
            </w:tcBorders>
            <w:shd w:fill="auto" w:val="clear"/>
            <w:vAlign w:val="center"/>
          </w:tcPr>
          <w:p>
            <w:pPr>
              <w:pStyle w:val="TableContents"/>
              <w:spacing w:before="80" w:after="80"/>
              <w:ind w:left="0" w:right="0" w:hanging="0"/>
              <w:rPr/>
            </w:pPr>
            <w:r>
              <w:rPr/>
              <w:t> </w:t>
            </w:r>
            <w:r>
              <w:rPr>
                <w:rFonts w:ascii="Wingdings" w:hAnsi="Wingdings"/>
                <w:sz w:val="17"/>
              </w:rPr>
              <w:t>o</w:t>
            </w:r>
          </w:p>
        </w:tc>
      </w:tr>
      <w:tr>
        <w:trPr/>
        <w:tc>
          <w:tcPr>
            <w:tcW w:w="288" w:type="dxa"/>
            <w:tcBorders/>
            <w:shd w:fill="auto" w:val="clear"/>
            <w:tcMar>
              <w:bottom w:w="0" w:type="dxa"/>
            </w:tcMar>
            <w:vAlign w:val="center"/>
          </w:tcPr>
          <w:p>
            <w:pPr>
              <w:pStyle w:val="TableContents"/>
              <w:spacing w:before="80" w:after="80"/>
              <w:ind w:left="0" w:right="0" w:hanging="0"/>
              <w:rPr/>
            </w:pPr>
            <w:r>
              <w:rPr/>
              <w:t> </w:t>
            </w:r>
          </w:p>
        </w:tc>
        <w:tc>
          <w:tcPr>
            <w:tcW w:w="481" w:type="dxa"/>
            <w:tcBorders/>
            <w:shd w:fill="auto" w:val="clear"/>
            <w:tcMar>
              <w:bottom w:w="0" w:type="dxa"/>
            </w:tcMar>
          </w:tcPr>
          <w:p>
            <w:pPr>
              <w:pStyle w:val="TableContents"/>
              <w:spacing w:before="80" w:after="80"/>
              <w:ind w:left="0" w:right="0" w:hanging="0"/>
              <w:rPr/>
            </w:pPr>
            <w:r>
              <w:rPr/>
              <w:t> </w:t>
            </w:r>
          </w:p>
        </w:tc>
        <w:tc>
          <w:tcPr>
            <w:tcW w:w="1541" w:type="dxa"/>
            <w:gridSpan w:val="3"/>
            <w:tcBorders/>
            <w:shd w:fill="auto" w:val="clear"/>
            <w:tcMar>
              <w:bottom w:w="0" w:type="dxa"/>
            </w:tcMar>
            <w:vAlign w:val="center"/>
          </w:tcPr>
          <w:p>
            <w:pPr>
              <w:pStyle w:val="TableContents"/>
              <w:spacing w:before="80" w:after="80"/>
              <w:ind w:left="0" w:right="0" w:hanging="0"/>
              <w:rPr>
                <w:rFonts w:ascii="Times New Roman" w:hAnsi="Times New Roman"/>
                <w:sz w:val="17"/>
              </w:rPr>
            </w:pPr>
            <w:r>
              <w:rPr>
                <w:rFonts w:ascii="Times New Roman" w:hAnsi="Times New Roman"/>
                <w:sz w:val="17"/>
              </w:rPr>
              <w:t>(b):</w:t>
            </w:r>
          </w:p>
        </w:tc>
        <w:tc>
          <w:tcPr>
            <w:tcW w:w="7895" w:type="dxa"/>
            <w:tcBorders>
              <w:bottom w:val="single" w:sz="8" w:space="0" w:color="000000"/>
            </w:tcBorders>
            <w:shd w:fill="auto" w:val="clear"/>
            <w:vAlign w:val="center"/>
          </w:tcPr>
          <w:p>
            <w:pPr>
              <w:pStyle w:val="TableContents"/>
              <w:spacing w:before="80" w:after="80"/>
              <w:ind w:left="0" w:right="0" w:hanging="0"/>
              <w:rPr/>
            </w:pPr>
            <w:r>
              <w:rPr/>
              <w:t> </w:t>
            </w:r>
            <w:r>
              <w:rPr>
                <w:rFonts w:ascii="Wingdings" w:hAnsi="Wingdings"/>
                <w:sz w:val="17"/>
              </w:rPr>
              <w:t>o</w:t>
            </w:r>
          </w:p>
        </w:tc>
      </w:tr>
      <w:tr>
        <w:trPr/>
        <w:tc>
          <w:tcPr>
            <w:tcW w:w="10205" w:type="dxa"/>
            <w:gridSpan w:val="6"/>
            <w:tcBorders/>
            <w:shd w:fill="auto" w:val="clear"/>
            <w:tcMar>
              <w:bottom w:w="0" w:type="dxa"/>
            </w:tcMar>
          </w:tcPr>
          <w:p>
            <w:pPr>
              <w:pStyle w:val="TableContents"/>
              <w:spacing w:before="80" w:after="80"/>
              <w:ind w:left="0" w:right="0" w:hanging="0"/>
              <w:rPr/>
            </w:pPr>
            <w:r>
              <w:rPr/>
              <w:t> </w:t>
            </w:r>
          </w:p>
        </w:tc>
      </w:tr>
      <w:tr>
        <w:trPr/>
        <w:tc>
          <w:tcPr>
            <w:tcW w:w="288" w:type="dxa"/>
            <w:tcBorders/>
            <w:shd w:fill="auto" w:val="clear"/>
            <w:tcMar>
              <w:bottom w:w="0" w:type="dxa"/>
            </w:tcMar>
            <w:vAlign w:val="center"/>
          </w:tcPr>
          <w:p>
            <w:pPr>
              <w:pStyle w:val="TableContents"/>
              <w:spacing w:before="80" w:after="80"/>
              <w:ind w:left="0" w:right="0" w:hanging="0"/>
              <w:rPr/>
            </w:pPr>
            <w:r>
              <w:rPr/>
              <w:t> </w:t>
            </w:r>
          </w:p>
        </w:tc>
        <w:tc>
          <w:tcPr>
            <w:tcW w:w="481"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3</w:t>
            </w:r>
          </w:p>
        </w:tc>
        <w:tc>
          <w:tcPr>
            <w:tcW w:w="9436" w:type="dxa"/>
            <w:gridSpan w:val="4"/>
            <w:tcBorders>
              <w:bottom w:val="single" w:sz="8" w:space="0" w:color="000000"/>
            </w:tcBorders>
            <w:shd w:fill="auto" w:val="clear"/>
            <w:vAlign w:val="center"/>
          </w:tcPr>
          <w:p>
            <w:pPr>
              <w:pStyle w:val="TableContents"/>
              <w:spacing w:before="80" w:after="80"/>
              <w:ind w:left="0" w:right="0" w:hanging="0"/>
              <w:rPr>
                <w:rFonts w:ascii="Times New Roman" w:hAnsi="Times New Roman"/>
                <w:sz w:val="17"/>
              </w:rPr>
            </w:pPr>
            <w:r>
              <w:rPr>
                <w:rFonts w:ascii="Times New Roman" w:hAnsi="Times New Roman"/>
                <w:sz w:val="17"/>
              </w:rPr>
              <w:t xml:space="preserve">SEC Use Only </w:t>
            </w:r>
          </w:p>
        </w:tc>
      </w:tr>
      <w:tr>
        <w:trPr/>
        <w:tc>
          <w:tcPr>
            <w:tcW w:w="10205" w:type="dxa"/>
            <w:gridSpan w:val="6"/>
            <w:tcBorders/>
            <w:shd w:fill="auto" w:val="clear"/>
            <w:tcMar>
              <w:bottom w:w="0" w:type="dxa"/>
            </w:tcMar>
          </w:tcPr>
          <w:p>
            <w:pPr>
              <w:pStyle w:val="TableContents"/>
              <w:spacing w:before="80" w:after="80"/>
              <w:ind w:left="0" w:right="0" w:hanging="0"/>
              <w:rPr/>
            </w:pPr>
            <w:r>
              <w:rPr/>
              <w:t> </w:t>
            </w:r>
          </w:p>
        </w:tc>
      </w:tr>
      <w:tr>
        <w:trPr/>
        <w:tc>
          <w:tcPr>
            <w:tcW w:w="288" w:type="dxa"/>
            <w:tcBorders/>
            <w:shd w:fill="auto" w:val="clear"/>
            <w:tcMar>
              <w:bottom w:w="0" w:type="dxa"/>
            </w:tcMar>
            <w:vAlign w:val="center"/>
          </w:tcPr>
          <w:p>
            <w:pPr>
              <w:pStyle w:val="TableContents"/>
              <w:spacing w:before="80" w:after="80"/>
              <w:ind w:left="0" w:right="0" w:hanging="0"/>
              <w:rPr/>
            </w:pPr>
            <w:r>
              <w:rPr/>
              <w:t> </w:t>
            </w:r>
          </w:p>
        </w:tc>
        <w:tc>
          <w:tcPr>
            <w:tcW w:w="481"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4</w:t>
            </w:r>
          </w:p>
        </w:tc>
        <w:tc>
          <w:tcPr>
            <w:tcW w:w="9436" w:type="dxa"/>
            <w:gridSpan w:val="4"/>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Source of Funds</w:t>
              <w:br/>
            </w:r>
            <w:r>
              <w:rPr>
                <w:sz w:val="17"/>
              </w:rPr>
              <w:t>OO (please see Item 3 below)</w:t>
            </w:r>
          </w:p>
        </w:tc>
      </w:tr>
      <w:tr>
        <w:trPr/>
        <w:tc>
          <w:tcPr>
            <w:tcW w:w="10205" w:type="dxa"/>
            <w:gridSpan w:val="6"/>
            <w:tcBorders/>
            <w:shd w:fill="auto" w:val="clear"/>
            <w:tcMar>
              <w:bottom w:w="0" w:type="dxa"/>
            </w:tcMar>
          </w:tcPr>
          <w:p>
            <w:pPr>
              <w:pStyle w:val="TableContents"/>
              <w:spacing w:before="80" w:after="80"/>
              <w:ind w:left="0" w:right="0" w:hanging="0"/>
              <w:rPr/>
            </w:pPr>
            <w:r>
              <w:rPr/>
              <w:t> </w:t>
            </w:r>
          </w:p>
        </w:tc>
      </w:tr>
      <w:tr>
        <w:trPr/>
        <w:tc>
          <w:tcPr>
            <w:tcW w:w="288" w:type="dxa"/>
            <w:tcBorders/>
            <w:shd w:fill="auto" w:val="clear"/>
            <w:tcMar>
              <w:bottom w:w="0" w:type="dxa"/>
            </w:tcMar>
            <w:vAlign w:val="center"/>
          </w:tcPr>
          <w:p>
            <w:pPr>
              <w:pStyle w:val="TableContents"/>
              <w:spacing w:before="80" w:after="80"/>
              <w:ind w:left="0" w:right="0" w:hanging="0"/>
              <w:rPr/>
            </w:pPr>
            <w:r>
              <w:rPr/>
              <w:t> </w:t>
            </w:r>
          </w:p>
        </w:tc>
        <w:tc>
          <w:tcPr>
            <w:tcW w:w="481"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5</w:t>
            </w:r>
          </w:p>
        </w:tc>
        <w:tc>
          <w:tcPr>
            <w:tcW w:w="9436" w:type="dxa"/>
            <w:gridSpan w:val="4"/>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 xml:space="preserve">Check if Disclosure of Legal Proceedings Is Required Pursuant to Items 2(d) or 2(e)  </w:t>
            </w:r>
            <w:r>
              <w:rPr/>
              <w:t>   </w:t>
            </w:r>
            <w:r>
              <w:rPr>
                <w:rFonts w:ascii="Wingdings" w:hAnsi="Wingdings"/>
                <w:sz w:val="17"/>
              </w:rPr>
              <w:t>o</w:t>
            </w:r>
          </w:p>
        </w:tc>
      </w:tr>
      <w:tr>
        <w:trPr/>
        <w:tc>
          <w:tcPr>
            <w:tcW w:w="10205" w:type="dxa"/>
            <w:gridSpan w:val="6"/>
            <w:tcBorders/>
            <w:shd w:fill="auto" w:val="clear"/>
            <w:tcMar>
              <w:bottom w:w="0" w:type="dxa"/>
            </w:tcMar>
          </w:tcPr>
          <w:p>
            <w:pPr>
              <w:pStyle w:val="TableContents"/>
              <w:spacing w:before="80" w:after="80"/>
              <w:ind w:left="0" w:right="0" w:hanging="0"/>
              <w:rPr/>
            </w:pPr>
            <w:r>
              <w:rPr/>
              <w:t> </w:t>
            </w:r>
          </w:p>
        </w:tc>
      </w:tr>
      <w:tr>
        <w:trPr/>
        <w:tc>
          <w:tcPr>
            <w:tcW w:w="288" w:type="dxa"/>
            <w:tcBorders/>
            <w:shd w:fill="auto" w:val="clear"/>
            <w:tcMar>
              <w:bottom w:w="0" w:type="dxa"/>
            </w:tcMar>
            <w:vAlign w:val="center"/>
          </w:tcPr>
          <w:p>
            <w:pPr>
              <w:pStyle w:val="TableContents"/>
              <w:spacing w:before="80" w:after="80"/>
              <w:ind w:left="0" w:right="0" w:hanging="0"/>
              <w:rPr/>
            </w:pPr>
            <w:r>
              <w:rPr/>
              <w:t> </w:t>
            </w:r>
          </w:p>
        </w:tc>
        <w:tc>
          <w:tcPr>
            <w:tcW w:w="481"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6</w:t>
            </w:r>
          </w:p>
        </w:tc>
        <w:tc>
          <w:tcPr>
            <w:tcW w:w="9436" w:type="dxa"/>
            <w:gridSpan w:val="4"/>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Citizenship or Place of Organization</w:t>
              <w:br/>
            </w:r>
            <w:r>
              <w:rPr>
                <w:sz w:val="17"/>
              </w:rPr>
              <w:t>Delaware, United States</w:t>
            </w:r>
          </w:p>
        </w:tc>
      </w:tr>
      <w:tr>
        <w:trPr/>
        <w:tc>
          <w:tcPr>
            <w:tcW w:w="10205" w:type="dxa"/>
            <w:gridSpan w:val="6"/>
            <w:tcBorders/>
            <w:shd w:fill="auto" w:val="clear"/>
            <w:tcMar>
              <w:bottom w:w="0" w:type="dxa"/>
            </w:tcMar>
            <w:vAlign w:val="center"/>
          </w:tcPr>
          <w:p>
            <w:pPr>
              <w:pStyle w:val="TableContents"/>
              <w:spacing w:before="80" w:after="80"/>
              <w:ind w:left="0" w:right="0" w:hanging="0"/>
              <w:rPr/>
            </w:pPr>
            <w:r>
              <w:rPr/>
              <w:t> </w:t>
            </w:r>
          </w:p>
        </w:tc>
      </w:tr>
      <w:tr>
        <w:trPr/>
        <w:tc>
          <w:tcPr>
            <w:tcW w:w="1281" w:type="dxa"/>
            <w:gridSpan w:val="3"/>
            <w:vMerge w:val="restart"/>
            <w:tcBorders/>
            <w:shd w:fill="auto" w:val="clear"/>
            <w:tcMar>
              <w:bottom w:w="0" w:type="dxa"/>
            </w:tcMar>
            <w:vAlign w:val="center"/>
          </w:tcPr>
          <w:p>
            <w:pPr>
              <w:pStyle w:val="TableContents"/>
              <w:spacing w:before="80" w:after="80"/>
              <w:ind w:left="0" w:right="0" w:hanging="0"/>
              <w:rPr>
                <w:rFonts w:ascii="Times New Roman" w:hAnsi="Times New Roman"/>
                <w:sz w:val="17"/>
              </w:rPr>
            </w:pPr>
            <w:r>
              <w:rPr>
                <w:rFonts w:ascii="Times New Roman" w:hAnsi="Times New Roman"/>
                <w:sz w:val="17"/>
              </w:rPr>
              <w:t>Number of</w:t>
              <w:br/>
              <w:t>Shares</w:t>
              <w:br/>
              <w:t>Beneficially</w:t>
              <w:br/>
              <w:t>Owned by</w:t>
              <w:br/>
              <w:t>Each</w:t>
              <w:br/>
              <w:t>Reporting</w:t>
              <w:br/>
              <w:t>Person With</w:t>
            </w:r>
          </w:p>
        </w:tc>
        <w:tc>
          <w:tcPr>
            <w:tcW w:w="384"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7</w:t>
            </w:r>
          </w:p>
        </w:tc>
        <w:tc>
          <w:tcPr>
            <w:tcW w:w="8540" w:type="dxa"/>
            <w:gridSpan w:val="2"/>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 xml:space="preserve">Sole Voting Power </w:t>
              <w:br/>
            </w:r>
            <w:r>
              <w:rPr>
                <w:sz w:val="17"/>
              </w:rPr>
              <w:t>53,589,877 Common Units(1)</w:t>
            </w:r>
          </w:p>
        </w:tc>
      </w:tr>
      <w:tr>
        <w:trPr/>
        <w:tc>
          <w:tcPr>
            <w:tcW w:w="1281" w:type="dxa"/>
            <w:gridSpan w:val="3"/>
            <w:vMerge w:val="continue"/>
            <w:tcBorders/>
            <w:shd w:fill="auto" w:val="clear"/>
            <w:tcMar>
              <w:bottom w:w="0" w:type="dxa"/>
            </w:tcMar>
            <w:vAlign w:val="center"/>
          </w:tcPr>
          <w:p>
            <w:pPr>
              <w:pStyle w:val="Normal"/>
              <w:rPr/>
            </w:pPr>
            <w:r>
              <w:rPr/>
            </w:r>
          </w:p>
        </w:tc>
        <w:tc>
          <w:tcPr>
            <w:tcW w:w="8924" w:type="dxa"/>
            <w:gridSpan w:val="3"/>
            <w:tcBorders/>
            <w:shd w:fill="auto" w:val="clear"/>
            <w:tcMar>
              <w:bottom w:w="0" w:type="dxa"/>
            </w:tcMar>
          </w:tcPr>
          <w:p>
            <w:pPr>
              <w:pStyle w:val="TableContents"/>
              <w:spacing w:before="80" w:after="80"/>
              <w:ind w:left="0" w:right="0" w:hanging="0"/>
              <w:rPr/>
            </w:pPr>
            <w:r>
              <w:rPr/>
              <w:t> </w:t>
            </w:r>
          </w:p>
        </w:tc>
      </w:tr>
      <w:tr>
        <w:trPr/>
        <w:tc>
          <w:tcPr>
            <w:tcW w:w="1281" w:type="dxa"/>
            <w:gridSpan w:val="3"/>
            <w:vMerge w:val="continue"/>
            <w:tcBorders/>
            <w:shd w:fill="auto" w:val="clear"/>
            <w:tcMar>
              <w:bottom w:w="0" w:type="dxa"/>
            </w:tcMar>
            <w:vAlign w:val="center"/>
          </w:tcPr>
          <w:p>
            <w:pPr>
              <w:pStyle w:val="Normal"/>
              <w:rPr/>
            </w:pPr>
            <w:r>
              <w:rPr/>
            </w:r>
          </w:p>
        </w:tc>
        <w:tc>
          <w:tcPr>
            <w:tcW w:w="384"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8</w:t>
            </w:r>
          </w:p>
        </w:tc>
        <w:tc>
          <w:tcPr>
            <w:tcW w:w="8540" w:type="dxa"/>
            <w:gridSpan w:val="2"/>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Shared Voting Power</w:t>
            </w:r>
            <w:r>
              <w:rPr/>
              <w:t xml:space="preserve"> </w:t>
            </w:r>
            <w:r>
              <w:rPr>
                <w:sz w:val="17"/>
              </w:rPr>
              <w:br/>
              <w:t>0 Common Units</w:t>
            </w:r>
          </w:p>
        </w:tc>
      </w:tr>
      <w:tr>
        <w:trPr/>
        <w:tc>
          <w:tcPr>
            <w:tcW w:w="1281" w:type="dxa"/>
            <w:gridSpan w:val="3"/>
            <w:vMerge w:val="continue"/>
            <w:tcBorders/>
            <w:shd w:fill="auto" w:val="clear"/>
            <w:tcMar>
              <w:bottom w:w="0" w:type="dxa"/>
            </w:tcMar>
            <w:vAlign w:val="center"/>
          </w:tcPr>
          <w:p>
            <w:pPr>
              <w:pStyle w:val="Normal"/>
              <w:rPr/>
            </w:pPr>
            <w:r>
              <w:rPr/>
            </w:r>
          </w:p>
        </w:tc>
        <w:tc>
          <w:tcPr>
            <w:tcW w:w="8924" w:type="dxa"/>
            <w:gridSpan w:val="3"/>
            <w:tcBorders/>
            <w:shd w:fill="auto" w:val="clear"/>
            <w:tcMar>
              <w:bottom w:w="0" w:type="dxa"/>
            </w:tcMar>
          </w:tcPr>
          <w:p>
            <w:pPr>
              <w:pStyle w:val="TableContents"/>
              <w:spacing w:before="80" w:after="80"/>
              <w:ind w:left="0" w:right="0" w:hanging="0"/>
              <w:rPr/>
            </w:pPr>
            <w:r>
              <w:rPr/>
              <w:t> </w:t>
            </w:r>
          </w:p>
        </w:tc>
      </w:tr>
      <w:tr>
        <w:trPr/>
        <w:tc>
          <w:tcPr>
            <w:tcW w:w="1281" w:type="dxa"/>
            <w:gridSpan w:val="3"/>
            <w:vMerge w:val="continue"/>
            <w:tcBorders/>
            <w:shd w:fill="auto" w:val="clear"/>
            <w:tcMar>
              <w:bottom w:w="0" w:type="dxa"/>
            </w:tcMar>
            <w:vAlign w:val="center"/>
          </w:tcPr>
          <w:p>
            <w:pPr>
              <w:pStyle w:val="Normal"/>
              <w:rPr/>
            </w:pPr>
            <w:r>
              <w:rPr/>
            </w:r>
          </w:p>
        </w:tc>
        <w:tc>
          <w:tcPr>
            <w:tcW w:w="384"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9</w:t>
            </w:r>
          </w:p>
        </w:tc>
        <w:tc>
          <w:tcPr>
            <w:tcW w:w="8540" w:type="dxa"/>
            <w:gridSpan w:val="2"/>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Sole Dispositive Power</w:t>
            </w:r>
            <w:r>
              <w:rPr/>
              <w:t xml:space="preserve"> </w:t>
            </w:r>
            <w:r>
              <w:rPr>
                <w:sz w:val="17"/>
              </w:rPr>
              <w:br/>
              <w:t>53,589,877 Common Units(1)</w:t>
            </w:r>
          </w:p>
        </w:tc>
      </w:tr>
      <w:tr>
        <w:trPr/>
        <w:tc>
          <w:tcPr>
            <w:tcW w:w="1281" w:type="dxa"/>
            <w:gridSpan w:val="3"/>
            <w:vMerge w:val="continue"/>
            <w:tcBorders/>
            <w:shd w:fill="auto" w:val="clear"/>
            <w:tcMar>
              <w:bottom w:w="0" w:type="dxa"/>
            </w:tcMar>
            <w:vAlign w:val="center"/>
          </w:tcPr>
          <w:p>
            <w:pPr>
              <w:pStyle w:val="Normal"/>
              <w:rPr/>
            </w:pPr>
            <w:r>
              <w:rPr/>
            </w:r>
          </w:p>
        </w:tc>
        <w:tc>
          <w:tcPr>
            <w:tcW w:w="8924" w:type="dxa"/>
            <w:gridSpan w:val="3"/>
            <w:tcBorders/>
            <w:shd w:fill="auto" w:val="clear"/>
            <w:tcMar>
              <w:bottom w:w="0" w:type="dxa"/>
            </w:tcMar>
          </w:tcPr>
          <w:p>
            <w:pPr>
              <w:pStyle w:val="TableContents"/>
              <w:spacing w:before="80" w:after="80"/>
              <w:ind w:left="0" w:right="0" w:hanging="0"/>
              <w:rPr/>
            </w:pPr>
            <w:r>
              <w:rPr/>
              <w:t> </w:t>
            </w:r>
          </w:p>
        </w:tc>
      </w:tr>
      <w:tr>
        <w:trPr/>
        <w:tc>
          <w:tcPr>
            <w:tcW w:w="1281" w:type="dxa"/>
            <w:gridSpan w:val="3"/>
            <w:vMerge w:val="continue"/>
            <w:tcBorders/>
            <w:shd w:fill="auto" w:val="clear"/>
            <w:tcMar>
              <w:bottom w:w="0" w:type="dxa"/>
            </w:tcMar>
            <w:vAlign w:val="center"/>
          </w:tcPr>
          <w:p>
            <w:pPr>
              <w:pStyle w:val="Normal"/>
              <w:rPr/>
            </w:pPr>
            <w:r>
              <w:rPr/>
            </w:r>
          </w:p>
        </w:tc>
        <w:tc>
          <w:tcPr>
            <w:tcW w:w="384"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10</w:t>
            </w:r>
          </w:p>
        </w:tc>
        <w:tc>
          <w:tcPr>
            <w:tcW w:w="8540" w:type="dxa"/>
            <w:gridSpan w:val="2"/>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Shared Dispositive Power</w:t>
            </w:r>
            <w:r>
              <w:rPr/>
              <w:t xml:space="preserve"> </w:t>
            </w:r>
            <w:r>
              <w:rPr>
                <w:sz w:val="17"/>
              </w:rPr>
              <w:br/>
              <w:t>0 Common Units</w:t>
            </w:r>
          </w:p>
        </w:tc>
      </w:tr>
      <w:tr>
        <w:trPr/>
        <w:tc>
          <w:tcPr>
            <w:tcW w:w="10205" w:type="dxa"/>
            <w:gridSpan w:val="6"/>
            <w:tcBorders/>
            <w:shd w:fill="auto" w:val="clear"/>
            <w:tcMar>
              <w:bottom w:w="0" w:type="dxa"/>
            </w:tcMar>
            <w:vAlign w:val="center"/>
          </w:tcPr>
          <w:p>
            <w:pPr>
              <w:pStyle w:val="TableContents"/>
              <w:spacing w:before="80" w:after="80"/>
              <w:ind w:left="0" w:right="0" w:hanging="0"/>
              <w:rPr/>
            </w:pPr>
            <w:r>
              <w:rPr/>
              <w:t> </w:t>
            </w:r>
          </w:p>
        </w:tc>
      </w:tr>
      <w:tr>
        <w:trPr/>
        <w:tc>
          <w:tcPr>
            <w:tcW w:w="288" w:type="dxa"/>
            <w:tcBorders/>
            <w:shd w:fill="auto" w:val="clear"/>
            <w:tcMar>
              <w:bottom w:w="0" w:type="dxa"/>
            </w:tcMar>
            <w:vAlign w:val="center"/>
          </w:tcPr>
          <w:p>
            <w:pPr>
              <w:pStyle w:val="TableContents"/>
              <w:spacing w:before="80" w:after="80"/>
              <w:ind w:left="0" w:right="0" w:hanging="0"/>
              <w:rPr/>
            </w:pPr>
            <w:r>
              <w:rPr/>
              <w:t> </w:t>
            </w:r>
          </w:p>
        </w:tc>
        <w:tc>
          <w:tcPr>
            <w:tcW w:w="481"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11</w:t>
            </w:r>
          </w:p>
        </w:tc>
        <w:tc>
          <w:tcPr>
            <w:tcW w:w="9436" w:type="dxa"/>
            <w:gridSpan w:val="4"/>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Aggregate Amount Beneficially Owned by Each Reporting Person</w:t>
            </w:r>
            <w:r>
              <w:rPr/>
              <w:t xml:space="preserve"> </w:t>
            </w:r>
            <w:r>
              <w:rPr>
                <w:sz w:val="17"/>
              </w:rPr>
              <w:br/>
              <w:t>53,589,877 Common Units(1)</w:t>
            </w:r>
          </w:p>
        </w:tc>
      </w:tr>
      <w:tr>
        <w:trPr/>
        <w:tc>
          <w:tcPr>
            <w:tcW w:w="10205" w:type="dxa"/>
            <w:gridSpan w:val="6"/>
            <w:tcBorders/>
            <w:shd w:fill="auto" w:val="clear"/>
            <w:tcMar>
              <w:bottom w:w="0" w:type="dxa"/>
            </w:tcMar>
          </w:tcPr>
          <w:p>
            <w:pPr>
              <w:pStyle w:val="TableContents"/>
              <w:spacing w:before="80" w:after="80"/>
              <w:ind w:left="0" w:right="0" w:hanging="0"/>
              <w:rPr/>
            </w:pPr>
            <w:r>
              <w:rPr/>
              <w:t> </w:t>
            </w:r>
          </w:p>
        </w:tc>
      </w:tr>
      <w:tr>
        <w:trPr/>
        <w:tc>
          <w:tcPr>
            <w:tcW w:w="288" w:type="dxa"/>
            <w:tcBorders/>
            <w:shd w:fill="auto" w:val="clear"/>
            <w:tcMar>
              <w:bottom w:w="0" w:type="dxa"/>
            </w:tcMar>
            <w:vAlign w:val="center"/>
          </w:tcPr>
          <w:p>
            <w:pPr>
              <w:pStyle w:val="TableContents"/>
              <w:spacing w:before="80" w:after="80"/>
              <w:ind w:left="0" w:right="0" w:hanging="0"/>
              <w:rPr/>
            </w:pPr>
            <w:r>
              <w:rPr/>
              <w:t> </w:t>
            </w:r>
          </w:p>
        </w:tc>
        <w:tc>
          <w:tcPr>
            <w:tcW w:w="481"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12</w:t>
            </w:r>
          </w:p>
        </w:tc>
        <w:tc>
          <w:tcPr>
            <w:tcW w:w="9436" w:type="dxa"/>
            <w:gridSpan w:val="4"/>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Check if the Aggregate Amount in Row (11) Excludes Certain Shares</w:t>
            </w:r>
            <w:r>
              <w:rPr/>
              <w:t xml:space="preserve">   </w:t>
            </w:r>
            <w:r>
              <w:rPr>
                <w:rFonts w:ascii="Wingdings" w:hAnsi="Wingdings"/>
                <w:sz w:val="17"/>
              </w:rPr>
              <w:t>o</w:t>
            </w:r>
          </w:p>
        </w:tc>
      </w:tr>
      <w:tr>
        <w:trPr/>
        <w:tc>
          <w:tcPr>
            <w:tcW w:w="10205" w:type="dxa"/>
            <w:gridSpan w:val="6"/>
            <w:tcBorders/>
            <w:shd w:fill="auto" w:val="clear"/>
            <w:tcMar>
              <w:bottom w:w="0" w:type="dxa"/>
            </w:tcMar>
          </w:tcPr>
          <w:p>
            <w:pPr>
              <w:pStyle w:val="TableContents"/>
              <w:spacing w:before="80" w:after="80"/>
              <w:ind w:left="0" w:right="0" w:hanging="0"/>
              <w:rPr/>
            </w:pPr>
            <w:r>
              <w:rPr/>
              <w:t> </w:t>
            </w:r>
          </w:p>
        </w:tc>
      </w:tr>
      <w:tr>
        <w:trPr/>
        <w:tc>
          <w:tcPr>
            <w:tcW w:w="288" w:type="dxa"/>
            <w:tcBorders/>
            <w:shd w:fill="auto" w:val="clear"/>
            <w:tcMar>
              <w:bottom w:w="0" w:type="dxa"/>
            </w:tcMar>
            <w:vAlign w:val="center"/>
          </w:tcPr>
          <w:p>
            <w:pPr>
              <w:pStyle w:val="TableContents"/>
              <w:spacing w:before="80" w:after="80"/>
              <w:ind w:left="0" w:right="0" w:hanging="0"/>
              <w:rPr/>
            </w:pPr>
            <w:r>
              <w:rPr/>
              <w:t> </w:t>
            </w:r>
          </w:p>
        </w:tc>
        <w:tc>
          <w:tcPr>
            <w:tcW w:w="481"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13</w:t>
            </w:r>
          </w:p>
        </w:tc>
        <w:tc>
          <w:tcPr>
            <w:tcW w:w="9436" w:type="dxa"/>
            <w:gridSpan w:val="4"/>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Percent of Class Represented by Amount in Row (11)</w:t>
            </w:r>
            <w:r>
              <w:rPr/>
              <w:t xml:space="preserve"> </w:t>
            </w:r>
            <w:r>
              <w:rPr>
                <w:sz w:val="17"/>
              </w:rPr>
              <w:br/>
              <w:t>61.9% of Common Units(2)</w:t>
            </w:r>
          </w:p>
        </w:tc>
      </w:tr>
      <w:tr>
        <w:trPr/>
        <w:tc>
          <w:tcPr>
            <w:tcW w:w="10205" w:type="dxa"/>
            <w:gridSpan w:val="6"/>
            <w:tcBorders/>
            <w:shd w:fill="auto" w:val="clear"/>
            <w:tcMar>
              <w:bottom w:w="0" w:type="dxa"/>
            </w:tcMar>
          </w:tcPr>
          <w:p>
            <w:pPr>
              <w:pStyle w:val="TableContents"/>
              <w:spacing w:before="80" w:after="80"/>
              <w:ind w:left="0" w:right="0" w:hanging="0"/>
              <w:rPr/>
            </w:pPr>
            <w:r>
              <w:rPr/>
              <w:t> </w:t>
            </w:r>
          </w:p>
        </w:tc>
      </w:tr>
      <w:tr>
        <w:trPr/>
        <w:tc>
          <w:tcPr>
            <w:tcW w:w="288" w:type="dxa"/>
            <w:tcBorders/>
            <w:shd w:fill="auto" w:val="clear"/>
            <w:tcMar>
              <w:bottom w:w="0" w:type="dxa"/>
            </w:tcMar>
            <w:vAlign w:val="center"/>
          </w:tcPr>
          <w:p>
            <w:pPr>
              <w:pStyle w:val="TableContents"/>
              <w:spacing w:before="80" w:after="80"/>
              <w:ind w:left="0" w:right="0" w:hanging="0"/>
              <w:rPr/>
            </w:pPr>
            <w:r>
              <w:rPr/>
              <w:t> </w:t>
            </w:r>
          </w:p>
        </w:tc>
        <w:tc>
          <w:tcPr>
            <w:tcW w:w="481"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14</w:t>
            </w:r>
          </w:p>
        </w:tc>
        <w:tc>
          <w:tcPr>
            <w:tcW w:w="9436" w:type="dxa"/>
            <w:gridSpan w:val="4"/>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Type of Reporting Person</w:t>
            </w:r>
            <w:r>
              <w:rPr>
                <w:sz w:val="17"/>
              </w:rPr>
              <w:br/>
              <w:t>PN</w:t>
            </w:r>
          </w:p>
        </w:tc>
      </w:tr>
      <w:tr>
        <w:trPr/>
        <w:tc>
          <w:tcPr>
            <w:tcW w:w="288" w:type="dxa"/>
            <w:tcBorders/>
            <w:shd w:fill="auto" w:val="clear"/>
            <w:tcMar>
              <w:bottom w:w="0" w:type="dxa"/>
            </w:tcMar>
            <w:vAlign w:val="center"/>
          </w:tcPr>
          <w:p>
            <w:pPr>
              <w:pStyle w:val="TableContents"/>
              <w:spacing w:before="0" w:after="283"/>
              <w:rPr>
                <w:sz w:val="4"/>
                <w:szCs w:val="4"/>
              </w:rPr>
            </w:pPr>
            <w:r>
              <w:rPr>
                <w:sz w:val="4"/>
                <w:szCs w:val="4"/>
              </w:rPr>
            </w:r>
          </w:p>
        </w:tc>
        <w:tc>
          <w:tcPr>
            <w:tcW w:w="481" w:type="dxa"/>
            <w:tcBorders/>
            <w:shd w:fill="auto" w:val="clear"/>
            <w:tcMar>
              <w:bottom w:w="0" w:type="dxa"/>
            </w:tcMar>
            <w:vAlign w:val="center"/>
          </w:tcPr>
          <w:p>
            <w:pPr>
              <w:pStyle w:val="TableContents"/>
              <w:spacing w:before="0" w:after="283"/>
              <w:rPr>
                <w:sz w:val="4"/>
                <w:szCs w:val="4"/>
              </w:rPr>
            </w:pPr>
            <w:r>
              <w:rPr>
                <w:sz w:val="4"/>
                <w:szCs w:val="4"/>
              </w:rPr>
            </w:r>
          </w:p>
        </w:tc>
        <w:tc>
          <w:tcPr>
            <w:tcW w:w="512" w:type="dxa"/>
            <w:tcBorders/>
            <w:shd w:fill="auto" w:val="clear"/>
            <w:tcMar>
              <w:bottom w:w="0" w:type="dxa"/>
            </w:tcMar>
            <w:vAlign w:val="center"/>
          </w:tcPr>
          <w:p>
            <w:pPr>
              <w:pStyle w:val="TableContents"/>
              <w:spacing w:before="0" w:after="283"/>
              <w:rPr>
                <w:sz w:val="4"/>
                <w:szCs w:val="4"/>
              </w:rPr>
            </w:pPr>
            <w:r>
              <w:rPr>
                <w:sz w:val="4"/>
                <w:szCs w:val="4"/>
              </w:rPr>
            </w:r>
          </w:p>
        </w:tc>
        <w:tc>
          <w:tcPr>
            <w:tcW w:w="384" w:type="dxa"/>
            <w:tcBorders/>
            <w:shd w:fill="auto" w:val="clear"/>
            <w:tcMar>
              <w:bottom w:w="0" w:type="dxa"/>
            </w:tcMar>
            <w:vAlign w:val="center"/>
          </w:tcPr>
          <w:p>
            <w:pPr>
              <w:pStyle w:val="TableContents"/>
              <w:spacing w:before="0" w:after="283"/>
              <w:rPr>
                <w:sz w:val="4"/>
                <w:szCs w:val="4"/>
              </w:rPr>
            </w:pPr>
            <w:r>
              <w:rPr>
                <w:sz w:val="4"/>
                <w:szCs w:val="4"/>
              </w:rPr>
            </w:r>
          </w:p>
        </w:tc>
        <w:tc>
          <w:tcPr>
            <w:tcW w:w="645" w:type="dxa"/>
            <w:tcBorders/>
            <w:shd w:fill="auto" w:val="clear"/>
            <w:tcMar>
              <w:bottom w:w="0" w:type="dxa"/>
            </w:tcMar>
            <w:vAlign w:val="center"/>
          </w:tcPr>
          <w:p>
            <w:pPr>
              <w:pStyle w:val="TableContents"/>
              <w:spacing w:before="0" w:after="283"/>
              <w:rPr>
                <w:sz w:val="4"/>
                <w:szCs w:val="4"/>
              </w:rPr>
            </w:pPr>
            <w:r>
              <w:rPr>
                <w:sz w:val="4"/>
                <w:szCs w:val="4"/>
              </w:rPr>
            </w:r>
          </w:p>
        </w:tc>
        <w:tc>
          <w:tcPr>
            <w:tcW w:w="7895" w:type="dxa"/>
            <w:tcBorders/>
            <w:shd w:fill="auto" w:val="clear"/>
            <w:tcMar>
              <w:bottom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7"/>
        </w:rPr>
        <w:t>(1)  Includes 11,934,351 Series A Subordinated Units and 13,500,000 Series B Subordinated Units, each representing limited partner interests in the Issuer. The Series A Subordinated Units may be converted into Common Units on a one-for-one basis upon termination of the subordination period under certain circumstances, as set forth in the Second Amended and Restated Agreement of Limited Partnership of PAA Natural Gas Storage, L.P., as amended (the </w:t>
      </w:r>
      <w:r>
        <w:rPr>
          <w:rFonts w:ascii="Times New Roman" w:hAnsi="Times New Roman"/>
          <w:i/>
          <w:sz w:val="17"/>
        </w:rPr>
        <w:t>Partnership Agreement</w:t>
      </w:r>
      <w:r>
        <w:rPr>
          <w:rFonts w:ascii="Times New Roman" w:hAnsi="Times New Roman"/>
          <w:sz w:val="17"/>
        </w:rPr>
        <w:t>). The Series B Subordinated Units may be converted into Series A Subordinated Units on a one-for-one basis upon the satisfaction of certain operational and financial conditions or, if the subordination period has ended at the time the various operation and financial conditions are satisfied, into Common Units on a one-for-one basis, as set forth in the Partnership Agreement; provided, however, that any Series B Subordinated Units that remain outstanding as of December 31, 2018 will be automatically cancelled.</w:t>
      </w:r>
    </w:p>
    <w:p>
      <w:pPr>
        <w:pStyle w:val="TextBody"/>
        <w:spacing w:before="0" w:after="0"/>
        <w:ind w:left="0" w:right="0" w:hanging="0"/>
        <w:rPr>
          <w:rFonts w:ascii="Times New Roman" w:hAnsi="Times New Roman"/>
          <w:sz w:val="17"/>
        </w:rPr>
      </w:pPr>
      <w:r>
        <w:rPr>
          <w:rFonts w:ascii="Times New Roman" w:hAnsi="Times New Roman"/>
          <w:sz w:val="17"/>
        </w:rPr>
        <w:t>(2)  Based on the aggregate number of Common Units, Series A Subordinated Units and Series B Subordinated Units issued and outstanding as of July 31, 2013.</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2" w:name="PB_2_013952_5335"/>
      <w:bookmarkEnd w:id="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SCHEDULE 13D/A</w:t>
      </w:r>
    </w:p>
    <w:p>
      <w:pPr>
        <w:pStyle w:val="TextBody"/>
        <w:spacing w:before="0" w:after="0"/>
        <w:ind w:left="0" w:right="0" w:hanging="0"/>
        <w:jc w:val="center"/>
        <w:rPr/>
      </w:pPr>
      <w:r>
        <w:rPr/>
        <w:t> </w:t>
      </w:r>
    </w:p>
    <w:tbl>
      <w:tblPr>
        <w:tblW w:w="5000" w:type="pct"/>
        <w:jc w:val="center"/>
        <w:tblInd w:w="0" w:type="dxa"/>
        <w:tblCellMar>
          <w:top w:w="0" w:type="dxa"/>
          <w:left w:w="0" w:type="dxa"/>
          <w:bottom w:w="60" w:type="dxa"/>
          <w:right w:w="0" w:type="dxa"/>
        </w:tblCellMar>
      </w:tblPr>
      <w:tblGrid>
        <w:gridCol w:w="288"/>
        <w:gridCol w:w="481"/>
        <w:gridCol w:w="512"/>
        <w:gridCol w:w="384"/>
        <w:gridCol w:w="645"/>
        <w:gridCol w:w="7895"/>
      </w:tblGrid>
      <w:tr>
        <w:trPr/>
        <w:tc>
          <w:tcPr>
            <w:tcW w:w="10205" w:type="dxa"/>
            <w:gridSpan w:val="6"/>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 xml:space="preserve">CUSIP No. </w:t>
            </w:r>
            <w:r>
              <w:rPr>
                <w:sz w:val="17"/>
              </w:rPr>
              <w:t>693139107</w:t>
            </w:r>
          </w:p>
        </w:tc>
      </w:tr>
      <w:tr>
        <w:trPr/>
        <w:tc>
          <w:tcPr>
            <w:tcW w:w="10205" w:type="dxa"/>
            <w:gridSpan w:val="6"/>
            <w:tcBorders/>
            <w:shd w:fill="auto" w:val="clear"/>
            <w:tcMar>
              <w:bottom w:w="0" w:type="dxa"/>
            </w:tcMar>
            <w:vAlign w:val="center"/>
          </w:tcPr>
          <w:p>
            <w:pPr>
              <w:pStyle w:val="TableContents"/>
              <w:spacing w:before="80" w:after="80"/>
              <w:ind w:left="0" w:right="0" w:hanging="0"/>
              <w:rPr/>
            </w:pPr>
            <w:r>
              <w:rPr/>
              <w:t> </w:t>
            </w:r>
          </w:p>
        </w:tc>
      </w:tr>
      <w:tr>
        <w:trPr/>
        <w:tc>
          <w:tcPr>
            <w:tcW w:w="288" w:type="dxa"/>
            <w:tcBorders/>
            <w:shd w:fill="auto" w:val="clear"/>
            <w:tcMar>
              <w:bottom w:w="0" w:type="dxa"/>
            </w:tcMar>
            <w:vAlign w:val="center"/>
          </w:tcPr>
          <w:p>
            <w:pPr>
              <w:pStyle w:val="TableContents"/>
              <w:spacing w:before="80" w:after="80"/>
              <w:ind w:left="0" w:right="0" w:hanging="0"/>
              <w:rPr/>
            </w:pPr>
            <w:r>
              <w:rPr/>
              <w:t> </w:t>
            </w:r>
          </w:p>
        </w:tc>
        <w:tc>
          <w:tcPr>
            <w:tcW w:w="481"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1</w:t>
            </w:r>
          </w:p>
        </w:tc>
        <w:tc>
          <w:tcPr>
            <w:tcW w:w="9436" w:type="dxa"/>
            <w:gridSpan w:val="4"/>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Name of Reporting Person</w:t>
              <w:br/>
            </w:r>
            <w:r>
              <w:rPr>
                <w:sz w:val="17"/>
              </w:rPr>
              <w:t>PAA GP LLC</w:t>
            </w:r>
          </w:p>
        </w:tc>
      </w:tr>
      <w:tr>
        <w:trPr/>
        <w:tc>
          <w:tcPr>
            <w:tcW w:w="10205" w:type="dxa"/>
            <w:gridSpan w:val="6"/>
            <w:tcBorders/>
            <w:shd w:fill="auto" w:val="clear"/>
            <w:tcMar>
              <w:bottom w:w="0" w:type="dxa"/>
            </w:tcMar>
            <w:vAlign w:val="center"/>
          </w:tcPr>
          <w:p>
            <w:pPr>
              <w:pStyle w:val="TableContents"/>
              <w:spacing w:before="80" w:after="80"/>
              <w:ind w:left="0" w:right="0" w:hanging="0"/>
              <w:rPr/>
            </w:pPr>
            <w:r>
              <w:rPr/>
              <w:t> </w:t>
            </w:r>
          </w:p>
        </w:tc>
      </w:tr>
      <w:tr>
        <w:trPr/>
        <w:tc>
          <w:tcPr>
            <w:tcW w:w="288" w:type="dxa"/>
            <w:tcBorders/>
            <w:shd w:fill="auto" w:val="clear"/>
            <w:tcMar>
              <w:bottom w:w="0" w:type="dxa"/>
            </w:tcMar>
            <w:vAlign w:val="center"/>
          </w:tcPr>
          <w:p>
            <w:pPr>
              <w:pStyle w:val="TableContents"/>
              <w:spacing w:before="80" w:after="80"/>
              <w:ind w:left="0" w:right="0" w:hanging="0"/>
              <w:rPr/>
            </w:pPr>
            <w:r>
              <w:rPr/>
              <w:t> </w:t>
            </w:r>
          </w:p>
        </w:tc>
        <w:tc>
          <w:tcPr>
            <w:tcW w:w="481"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2</w:t>
            </w:r>
          </w:p>
        </w:tc>
        <w:tc>
          <w:tcPr>
            <w:tcW w:w="9436" w:type="dxa"/>
            <w:gridSpan w:val="4"/>
            <w:tcBorders/>
            <w:shd w:fill="auto" w:val="clear"/>
            <w:tcMar>
              <w:bottom w:w="0" w:type="dxa"/>
            </w:tcMar>
            <w:vAlign w:val="center"/>
          </w:tcPr>
          <w:p>
            <w:pPr>
              <w:pStyle w:val="TableContents"/>
              <w:spacing w:before="80" w:after="80"/>
              <w:ind w:left="0" w:right="0" w:hanging="0"/>
              <w:rPr>
                <w:rFonts w:ascii="Times New Roman" w:hAnsi="Times New Roman"/>
                <w:sz w:val="17"/>
              </w:rPr>
            </w:pPr>
            <w:r>
              <w:rPr>
                <w:rFonts w:ascii="Times New Roman" w:hAnsi="Times New Roman"/>
                <w:sz w:val="17"/>
              </w:rPr>
              <w:t>Check the Appropriate Box if a Member of a Group</w:t>
            </w:r>
          </w:p>
        </w:tc>
      </w:tr>
      <w:tr>
        <w:trPr/>
        <w:tc>
          <w:tcPr>
            <w:tcW w:w="288" w:type="dxa"/>
            <w:tcBorders/>
            <w:shd w:fill="auto" w:val="clear"/>
            <w:tcMar>
              <w:bottom w:w="0" w:type="dxa"/>
            </w:tcMar>
            <w:vAlign w:val="center"/>
          </w:tcPr>
          <w:p>
            <w:pPr>
              <w:pStyle w:val="TableContents"/>
              <w:spacing w:before="80" w:after="80"/>
              <w:ind w:left="0" w:right="0" w:hanging="0"/>
              <w:rPr/>
            </w:pPr>
            <w:r>
              <w:rPr/>
              <w:t> </w:t>
            </w:r>
          </w:p>
        </w:tc>
        <w:tc>
          <w:tcPr>
            <w:tcW w:w="481" w:type="dxa"/>
            <w:tcBorders/>
            <w:shd w:fill="auto" w:val="clear"/>
            <w:tcMar>
              <w:bottom w:w="0" w:type="dxa"/>
            </w:tcMar>
          </w:tcPr>
          <w:p>
            <w:pPr>
              <w:pStyle w:val="TableContents"/>
              <w:spacing w:before="80" w:after="80"/>
              <w:ind w:left="0" w:right="0" w:hanging="0"/>
              <w:rPr/>
            </w:pPr>
            <w:r>
              <w:rPr/>
              <w:t> </w:t>
            </w:r>
          </w:p>
        </w:tc>
        <w:tc>
          <w:tcPr>
            <w:tcW w:w="1541" w:type="dxa"/>
            <w:gridSpan w:val="3"/>
            <w:tcBorders/>
            <w:shd w:fill="auto" w:val="clear"/>
            <w:tcMar>
              <w:bottom w:w="0" w:type="dxa"/>
            </w:tcMar>
            <w:vAlign w:val="center"/>
          </w:tcPr>
          <w:p>
            <w:pPr>
              <w:pStyle w:val="TableContents"/>
              <w:spacing w:before="80" w:after="80"/>
              <w:ind w:left="0" w:right="0" w:hanging="0"/>
              <w:rPr>
                <w:rFonts w:ascii="Times New Roman" w:hAnsi="Times New Roman"/>
                <w:sz w:val="17"/>
              </w:rPr>
            </w:pPr>
            <w:r>
              <w:rPr>
                <w:rFonts w:ascii="Times New Roman" w:hAnsi="Times New Roman"/>
                <w:sz w:val="17"/>
              </w:rPr>
              <w:t>(a):</w:t>
            </w:r>
          </w:p>
        </w:tc>
        <w:tc>
          <w:tcPr>
            <w:tcW w:w="7895" w:type="dxa"/>
            <w:tcBorders>
              <w:bottom w:val="single" w:sz="8" w:space="0" w:color="000000"/>
            </w:tcBorders>
            <w:shd w:fill="auto" w:val="clear"/>
            <w:vAlign w:val="center"/>
          </w:tcPr>
          <w:p>
            <w:pPr>
              <w:pStyle w:val="TableContents"/>
              <w:spacing w:before="80" w:after="80"/>
              <w:ind w:left="0" w:right="0" w:hanging="0"/>
              <w:rPr/>
            </w:pPr>
            <w:r>
              <w:rPr/>
              <w:t> </w:t>
            </w:r>
            <w:r>
              <w:rPr>
                <w:rFonts w:ascii="Wingdings" w:hAnsi="Wingdings"/>
                <w:sz w:val="17"/>
              </w:rPr>
              <w:t>o</w:t>
            </w:r>
          </w:p>
        </w:tc>
      </w:tr>
      <w:tr>
        <w:trPr/>
        <w:tc>
          <w:tcPr>
            <w:tcW w:w="288" w:type="dxa"/>
            <w:tcBorders/>
            <w:shd w:fill="auto" w:val="clear"/>
            <w:tcMar>
              <w:bottom w:w="0" w:type="dxa"/>
            </w:tcMar>
            <w:vAlign w:val="center"/>
          </w:tcPr>
          <w:p>
            <w:pPr>
              <w:pStyle w:val="TableContents"/>
              <w:spacing w:before="80" w:after="80"/>
              <w:ind w:left="0" w:right="0" w:hanging="0"/>
              <w:rPr/>
            </w:pPr>
            <w:r>
              <w:rPr/>
              <w:t> </w:t>
            </w:r>
          </w:p>
        </w:tc>
        <w:tc>
          <w:tcPr>
            <w:tcW w:w="481" w:type="dxa"/>
            <w:tcBorders/>
            <w:shd w:fill="auto" w:val="clear"/>
            <w:tcMar>
              <w:bottom w:w="0" w:type="dxa"/>
            </w:tcMar>
          </w:tcPr>
          <w:p>
            <w:pPr>
              <w:pStyle w:val="TableContents"/>
              <w:spacing w:before="80" w:after="80"/>
              <w:ind w:left="0" w:right="0" w:hanging="0"/>
              <w:rPr/>
            </w:pPr>
            <w:r>
              <w:rPr/>
              <w:t> </w:t>
            </w:r>
          </w:p>
        </w:tc>
        <w:tc>
          <w:tcPr>
            <w:tcW w:w="1541" w:type="dxa"/>
            <w:gridSpan w:val="3"/>
            <w:tcBorders/>
            <w:shd w:fill="auto" w:val="clear"/>
            <w:tcMar>
              <w:bottom w:w="0" w:type="dxa"/>
            </w:tcMar>
            <w:vAlign w:val="center"/>
          </w:tcPr>
          <w:p>
            <w:pPr>
              <w:pStyle w:val="TableContents"/>
              <w:spacing w:before="80" w:after="80"/>
              <w:ind w:left="0" w:right="0" w:hanging="0"/>
              <w:rPr>
                <w:rFonts w:ascii="Times New Roman" w:hAnsi="Times New Roman"/>
                <w:sz w:val="17"/>
              </w:rPr>
            </w:pPr>
            <w:r>
              <w:rPr>
                <w:rFonts w:ascii="Times New Roman" w:hAnsi="Times New Roman"/>
                <w:sz w:val="17"/>
              </w:rPr>
              <w:t>(b):</w:t>
            </w:r>
          </w:p>
        </w:tc>
        <w:tc>
          <w:tcPr>
            <w:tcW w:w="7895" w:type="dxa"/>
            <w:tcBorders>
              <w:bottom w:val="single" w:sz="8" w:space="0" w:color="000000"/>
            </w:tcBorders>
            <w:shd w:fill="auto" w:val="clear"/>
            <w:vAlign w:val="center"/>
          </w:tcPr>
          <w:p>
            <w:pPr>
              <w:pStyle w:val="TableContents"/>
              <w:spacing w:before="80" w:after="80"/>
              <w:ind w:left="0" w:right="0" w:hanging="0"/>
              <w:rPr/>
            </w:pPr>
            <w:r>
              <w:rPr/>
              <w:t> </w:t>
            </w:r>
            <w:r>
              <w:rPr>
                <w:rFonts w:ascii="Wingdings" w:hAnsi="Wingdings"/>
                <w:sz w:val="17"/>
              </w:rPr>
              <w:t>o</w:t>
            </w:r>
          </w:p>
        </w:tc>
      </w:tr>
      <w:tr>
        <w:trPr/>
        <w:tc>
          <w:tcPr>
            <w:tcW w:w="10205" w:type="dxa"/>
            <w:gridSpan w:val="6"/>
            <w:tcBorders/>
            <w:shd w:fill="auto" w:val="clear"/>
            <w:tcMar>
              <w:bottom w:w="0" w:type="dxa"/>
            </w:tcMar>
          </w:tcPr>
          <w:p>
            <w:pPr>
              <w:pStyle w:val="TableContents"/>
              <w:spacing w:before="80" w:after="80"/>
              <w:ind w:left="0" w:right="0" w:hanging="0"/>
              <w:rPr/>
            </w:pPr>
            <w:r>
              <w:rPr/>
              <w:t> </w:t>
            </w:r>
          </w:p>
        </w:tc>
      </w:tr>
      <w:tr>
        <w:trPr/>
        <w:tc>
          <w:tcPr>
            <w:tcW w:w="288" w:type="dxa"/>
            <w:tcBorders/>
            <w:shd w:fill="auto" w:val="clear"/>
            <w:tcMar>
              <w:bottom w:w="0" w:type="dxa"/>
            </w:tcMar>
            <w:vAlign w:val="center"/>
          </w:tcPr>
          <w:p>
            <w:pPr>
              <w:pStyle w:val="TableContents"/>
              <w:spacing w:before="80" w:after="80"/>
              <w:ind w:left="0" w:right="0" w:hanging="0"/>
              <w:rPr/>
            </w:pPr>
            <w:r>
              <w:rPr/>
              <w:t> </w:t>
            </w:r>
          </w:p>
        </w:tc>
        <w:tc>
          <w:tcPr>
            <w:tcW w:w="481"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3</w:t>
            </w:r>
          </w:p>
        </w:tc>
        <w:tc>
          <w:tcPr>
            <w:tcW w:w="9436" w:type="dxa"/>
            <w:gridSpan w:val="4"/>
            <w:tcBorders>
              <w:bottom w:val="single" w:sz="8" w:space="0" w:color="000000"/>
            </w:tcBorders>
            <w:shd w:fill="auto" w:val="clear"/>
            <w:vAlign w:val="center"/>
          </w:tcPr>
          <w:p>
            <w:pPr>
              <w:pStyle w:val="TableContents"/>
              <w:spacing w:before="80" w:after="80"/>
              <w:ind w:left="0" w:right="0" w:hanging="0"/>
              <w:rPr>
                <w:rFonts w:ascii="Times New Roman" w:hAnsi="Times New Roman"/>
                <w:sz w:val="17"/>
              </w:rPr>
            </w:pPr>
            <w:r>
              <w:rPr>
                <w:rFonts w:ascii="Times New Roman" w:hAnsi="Times New Roman"/>
                <w:sz w:val="17"/>
              </w:rPr>
              <w:t xml:space="preserve">SEC Use Only </w:t>
            </w:r>
          </w:p>
        </w:tc>
      </w:tr>
      <w:tr>
        <w:trPr/>
        <w:tc>
          <w:tcPr>
            <w:tcW w:w="10205" w:type="dxa"/>
            <w:gridSpan w:val="6"/>
            <w:tcBorders/>
            <w:shd w:fill="auto" w:val="clear"/>
            <w:tcMar>
              <w:bottom w:w="0" w:type="dxa"/>
            </w:tcMar>
          </w:tcPr>
          <w:p>
            <w:pPr>
              <w:pStyle w:val="TableContents"/>
              <w:spacing w:before="80" w:after="80"/>
              <w:ind w:left="0" w:right="0" w:hanging="0"/>
              <w:rPr/>
            </w:pPr>
            <w:r>
              <w:rPr/>
              <w:t> </w:t>
            </w:r>
          </w:p>
        </w:tc>
      </w:tr>
      <w:tr>
        <w:trPr/>
        <w:tc>
          <w:tcPr>
            <w:tcW w:w="288" w:type="dxa"/>
            <w:tcBorders/>
            <w:shd w:fill="auto" w:val="clear"/>
            <w:tcMar>
              <w:bottom w:w="0" w:type="dxa"/>
            </w:tcMar>
            <w:vAlign w:val="center"/>
          </w:tcPr>
          <w:p>
            <w:pPr>
              <w:pStyle w:val="TableContents"/>
              <w:spacing w:before="80" w:after="80"/>
              <w:ind w:left="0" w:right="0" w:hanging="0"/>
              <w:rPr/>
            </w:pPr>
            <w:r>
              <w:rPr/>
              <w:t> </w:t>
            </w:r>
          </w:p>
        </w:tc>
        <w:tc>
          <w:tcPr>
            <w:tcW w:w="481"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4</w:t>
            </w:r>
          </w:p>
        </w:tc>
        <w:tc>
          <w:tcPr>
            <w:tcW w:w="9436" w:type="dxa"/>
            <w:gridSpan w:val="4"/>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Source of Funds</w:t>
              <w:br/>
            </w:r>
            <w:r>
              <w:rPr>
                <w:sz w:val="17"/>
              </w:rPr>
              <w:t>OO (please see Item 3 below)</w:t>
            </w:r>
          </w:p>
        </w:tc>
      </w:tr>
      <w:tr>
        <w:trPr/>
        <w:tc>
          <w:tcPr>
            <w:tcW w:w="10205" w:type="dxa"/>
            <w:gridSpan w:val="6"/>
            <w:tcBorders/>
            <w:shd w:fill="auto" w:val="clear"/>
            <w:tcMar>
              <w:bottom w:w="0" w:type="dxa"/>
            </w:tcMar>
          </w:tcPr>
          <w:p>
            <w:pPr>
              <w:pStyle w:val="TableContents"/>
              <w:spacing w:before="80" w:after="80"/>
              <w:ind w:left="0" w:right="0" w:hanging="0"/>
              <w:rPr/>
            </w:pPr>
            <w:r>
              <w:rPr/>
              <w:t> </w:t>
            </w:r>
          </w:p>
        </w:tc>
      </w:tr>
      <w:tr>
        <w:trPr/>
        <w:tc>
          <w:tcPr>
            <w:tcW w:w="288" w:type="dxa"/>
            <w:tcBorders/>
            <w:shd w:fill="auto" w:val="clear"/>
            <w:tcMar>
              <w:bottom w:w="0" w:type="dxa"/>
            </w:tcMar>
            <w:vAlign w:val="center"/>
          </w:tcPr>
          <w:p>
            <w:pPr>
              <w:pStyle w:val="TableContents"/>
              <w:spacing w:before="80" w:after="80"/>
              <w:ind w:left="0" w:right="0" w:hanging="0"/>
              <w:rPr/>
            </w:pPr>
            <w:r>
              <w:rPr/>
              <w:t> </w:t>
            </w:r>
          </w:p>
        </w:tc>
        <w:tc>
          <w:tcPr>
            <w:tcW w:w="481"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5</w:t>
            </w:r>
          </w:p>
        </w:tc>
        <w:tc>
          <w:tcPr>
            <w:tcW w:w="9436" w:type="dxa"/>
            <w:gridSpan w:val="4"/>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 xml:space="preserve">Check if Disclosure of Legal Proceedings Is Required Pursuant to Items 2(d) or 2(e)  </w:t>
            </w:r>
            <w:r>
              <w:rPr/>
              <w:t>   </w:t>
            </w:r>
            <w:r>
              <w:rPr>
                <w:rFonts w:ascii="Wingdings" w:hAnsi="Wingdings"/>
                <w:sz w:val="17"/>
              </w:rPr>
              <w:t>o</w:t>
            </w:r>
          </w:p>
        </w:tc>
      </w:tr>
      <w:tr>
        <w:trPr/>
        <w:tc>
          <w:tcPr>
            <w:tcW w:w="10205" w:type="dxa"/>
            <w:gridSpan w:val="6"/>
            <w:tcBorders/>
            <w:shd w:fill="auto" w:val="clear"/>
            <w:tcMar>
              <w:bottom w:w="0" w:type="dxa"/>
            </w:tcMar>
          </w:tcPr>
          <w:p>
            <w:pPr>
              <w:pStyle w:val="TableContents"/>
              <w:spacing w:before="80" w:after="80"/>
              <w:ind w:left="0" w:right="0" w:hanging="0"/>
              <w:rPr/>
            </w:pPr>
            <w:r>
              <w:rPr/>
              <w:t> </w:t>
            </w:r>
          </w:p>
        </w:tc>
      </w:tr>
      <w:tr>
        <w:trPr/>
        <w:tc>
          <w:tcPr>
            <w:tcW w:w="288" w:type="dxa"/>
            <w:tcBorders/>
            <w:shd w:fill="auto" w:val="clear"/>
            <w:tcMar>
              <w:bottom w:w="0" w:type="dxa"/>
            </w:tcMar>
            <w:vAlign w:val="center"/>
          </w:tcPr>
          <w:p>
            <w:pPr>
              <w:pStyle w:val="TableContents"/>
              <w:spacing w:before="80" w:after="80"/>
              <w:ind w:left="0" w:right="0" w:hanging="0"/>
              <w:rPr/>
            </w:pPr>
            <w:r>
              <w:rPr/>
              <w:t> </w:t>
            </w:r>
          </w:p>
        </w:tc>
        <w:tc>
          <w:tcPr>
            <w:tcW w:w="481"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6</w:t>
            </w:r>
          </w:p>
        </w:tc>
        <w:tc>
          <w:tcPr>
            <w:tcW w:w="9436" w:type="dxa"/>
            <w:gridSpan w:val="4"/>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Citizenship or Place of Organization</w:t>
              <w:br/>
            </w:r>
            <w:r>
              <w:rPr>
                <w:sz w:val="17"/>
              </w:rPr>
              <w:t>Delaware, United States</w:t>
            </w:r>
          </w:p>
        </w:tc>
      </w:tr>
      <w:tr>
        <w:trPr/>
        <w:tc>
          <w:tcPr>
            <w:tcW w:w="10205" w:type="dxa"/>
            <w:gridSpan w:val="6"/>
            <w:tcBorders/>
            <w:shd w:fill="auto" w:val="clear"/>
            <w:tcMar>
              <w:bottom w:w="0" w:type="dxa"/>
            </w:tcMar>
            <w:vAlign w:val="center"/>
          </w:tcPr>
          <w:p>
            <w:pPr>
              <w:pStyle w:val="TableContents"/>
              <w:spacing w:before="80" w:after="80"/>
              <w:ind w:left="0" w:right="0" w:hanging="0"/>
              <w:rPr/>
            </w:pPr>
            <w:r>
              <w:rPr/>
              <w:t> </w:t>
            </w:r>
          </w:p>
        </w:tc>
      </w:tr>
      <w:tr>
        <w:trPr/>
        <w:tc>
          <w:tcPr>
            <w:tcW w:w="1281" w:type="dxa"/>
            <w:gridSpan w:val="3"/>
            <w:vMerge w:val="restart"/>
            <w:tcBorders/>
            <w:shd w:fill="auto" w:val="clear"/>
            <w:tcMar>
              <w:bottom w:w="0" w:type="dxa"/>
            </w:tcMar>
            <w:vAlign w:val="center"/>
          </w:tcPr>
          <w:p>
            <w:pPr>
              <w:pStyle w:val="TableContents"/>
              <w:spacing w:before="80" w:after="80"/>
              <w:ind w:left="0" w:right="0" w:hanging="0"/>
              <w:rPr>
                <w:rFonts w:ascii="Times New Roman" w:hAnsi="Times New Roman"/>
                <w:sz w:val="17"/>
              </w:rPr>
            </w:pPr>
            <w:r>
              <w:rPr>
                <w:rFonts w:ascii="Times New Roman" w:hAnsi="Times New Roman"/>
                <w:sz w:val="17"/>
              </w:rPr>
              <w:t>Number of</w:t>
              <w:br/>
              <w:t>Shares</w:t>
              <w:br/>
              <w:t>Beneficially</w:t>
              <w:br/>
              <w:t>Owned by</w:t>
              <w:br/>
              <w:t>Each</w:t>
              <w:br/>
              <w:t>Reporting</w:t>
              <w:br/>
              <w:t>Person With</w:t>
            </w:r>
          </w:p>
        </w:tc>
        <w:tc>
          <w:tcPr>
            <w:tcW w:w="384"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7</w:t>
            </w:r>
          </w:p>
        </w:tc>
        <w:tc>
          <w:tcPr>
            <w:tcW w:w="8540" w:type="dxa"/>
            <w:gridSpan w:val="2"/>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 xml:space="preserve">Sole Voting Power </w:t>
              <w:br/>
            </w:r>
            <w:r>
              <w:rPr>
                <w:sz w:val="17"/>
              </w:rPr>
              <w:t>53,589,877 Common Units(1)</w:t>
            </w:r>
          </w:p>
        </w:tc>
      </w:tr>
      <w:tr>
        <w:trPr/>
        <w:tc>
          <w:tcPr>
            <w:tcW w:w="1281" w:type="dxa"/>
            <w:gridSpan w:val="3"/>
            <w:vMerge w:val="continue"/>
            <w:tcBorders/>
            <w:shd w:fill="auto" w:val="clear"/>
            <w:tcMar>
              <w:bottom w:w="0" w:type="dxa"/>
            </w:tcMar>
            <w:vAlign w:val="center"/>
          </w:tcPr>
          <w:p>
            <w:pPr>
              <w:pStyle w:val="Normal"/>
              <w:rPr/>
            </w:pPr>
            <w:r>
              <w:rPr/>
            </w:r>
          </w:p>
        </w:tc>
        <w:tc>
          <w:tcPr>
            <w:tcW w:w="8924" w:type="dxa"/>
            <w:gridSpan w:val="3"/>
            <w:tcBorders/>
            <w:shd w:fill="auto" w:val="clear"/>
            <w:tcMar>
              <w:bottom w:w="0" w:type="dxa"/>
            </w:tcMar>
          </w:tcPr>
          <w:p>
            <w:pPr>
              <w:pStyle w:val="TableContents"/>
              <w:spacing w:before="80" w:after="80"/>
              <w:ind w:left="0" w:right="0" w:hanging="0"/>
              <w:rPr/>
            </w:pPr>
            <w:r>
              <w:rPr/>
              <w:t> </w:t>
            </w:r>
          </w:p>
        </w:tc>
      </w:tr>
      <w:tr>
        <w:trPr/>
        <w:tc>
          <w:tcPr>
            <w:tcW w:w="1281" w:type="dxa"/>
            <w:gridSpan w:val="3"/>
            <w:vMerge w:val="continue"/>
            <w:tcBorders/>
            <w:shd w:fill="auto" w:val="clear"/>
            <w:tcMar>
              <w:bottom w:w="0" w:type="dxa"/>
            </w:tcMar>
            <w:vAlign w:val="center"/>
          </w:tcPr>
          <w:p>
            <w:pPr>
              <w:pStyle w:val="Normal"/>
              <w:rPr/>
            </w:pPr>
            <w:r>
              <w:rPr/>
            </w:r>
          </w:p>
        </w:tc>
        <w:tc>
          <w:tcPr>
            <w:tcW w:w="384"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8</w:t>
            </w:r>
          </w:p>
        </w:tc>
        <w:tc>
          <w:tcPr>
            <w:tcW w:w="8540" w:type="dxa"/>
            <w:gridSpan w:val="2"/>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Shared Voting Power</w:t>
            </w:r>
            <w:r>
              <w:rPr/>
              <w:t xml:space="preserve"> </w:t>
            </w:r>
            <w:r>
              <w:rPr>
                <w:sz w:val="17"/>
              </w:rPr>
              <w:br/>
              <w:t>0 Common Units</w:t>
            </w:r>
          </w:p>
        </w:tc>
      </w:tr>
      <w:tr>
        <w:trPr/>
        <w:tc>
          <w:tcPr>
            <w:tcW w:w="1281" w:type="dxa"/>
            <w:gridSpan w:val="3"/>
            <w:vMerge w:val="continue"/>
            <w:tcBorders/>
            <w:shd w:fill="auto" w:val="clear"/>
            <w:tcMar>
              <w:bottom w:w="0" w:type="dxa"/>
            </w:tcMar>
            <w:vAlign w:val="center"/>
          </w:tcPr>
          <w:p>
            <w:pPr>
              <w:pStyle w:val="Normal"/>
              <w:rPr/>
            </w:pPr>
            <w:r>
              <w:rPr/>
            </w:r>
          </w:p>
        </w:tc>
        <w:tc>
          <w:tcPr>
            <w:tcW w:w="8924" w:type="dxa"/>
            <w:gridSpan w:val="3"/>
            <w:tcBorders/>
            <w:shd w:fill="auto" w:val="clear"/>
            <w:tcMar>
              <w:bottom w:w="0" w:type="dxa"/>
            </w:tcMar>
          </w:tcPr>
          <w:p>
            <w:pPr>
              <w:pStyle w:val="TableContents"/>
              <w:spacing w:before="80" w:after="80"/>
              <w:ind w:left="0" w:right="0" w:hanging="0"/>
              <w:rPr/>
            </w:pPr>
            <w:r>
              <w:rPr/>
              <w:t> </w:t>
            </w:r>
          </w:p>
        </w:tc>
      </w:tr>
      <w:tr>
        <w:trPr/>
        <w:tc>
          <w:tcPr>
            <w:tcW w:w="1281" w:type="dxa"/>
            <w:gridSpan w:val="3"/>
            <w:vMerge w:val="continue"/>
            <w:tcBorders/>
            <w:shd w:fill="auto" w:val="clear"/>
            <w:tcMar>
              <w:bottom w:w="0" w:type="dxa"/>
            </w:tcMar>
            <w:vAlign w:val="center"/>
          </w:tcPr>
          <w:p>
            <w:pPr>
              <w:pStyle w:val="Normal"/>
              <w:rPr/>
            </w:pPr>
            <w:r>
              <w:rPr/>
            </w:r>
          </w:p>
        </w:tc>
        <w:tc>
          <w:tcPr>
            <w:tcW w:w="384"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9</w:t>
            </w:r>
          </w:p>
        </w:tc>
        <w:tc>
          <w:tcPr>
            <w:tcW w:w="8540" w:type="dxa"/>
            <w:gridSpan w:val="2"/>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Sole Dispositive Power</w:t>
            </w:r>
            <w:r>
              <w:rPr/>
              <w:t xml:space="preserve"> </w:t>
            </w:r>
            <w:r>
              <w:rPr>
                <w:sz w:val="17"/>
              </w:rPr>
              <w:br/>
              <w:t>53,589,877 Common Units(1)</w:t>
            </w:r>
          </w:p>
        </w:tc>
      </w:tr>
      <w:tr>
        <w:trPr/>
        <w:tc>
          <w:tcPr>
            <w:tcW w:w="1281" w:type="dxa"/>
            <w:gridSpan w:val="3"/>
            <w:vMerge w:val="continue"/>
            <w:tcBorders/>
            <w:shd w:fill="auto" w:val="clear"/>
            <w:tcMar>
              <w:bottom w:w="0" w:type="dxa"/>
            </w:tcMar>
            <w:vAlign w:val="center"/>
          </w:tcPr>
          <w:p>
            <w:pPr>
              <w:pStyle w:val="Normal"/>
              <w:rPr/>
            </w:pPr>
            <w:r>
              <w:rPr/>
            </w:r>
          </w:p>
        </w:tc>
        <w:tc>
          <w:tcPr>
            <w:tcW w:w="8924" w:type="dxa"/>
            <w:gridSpan w:val="3"/>
            <w:tcBorders/>
            <w:shd w:fill="auto" w:val="clear"/>
            <w:tcMar>
              <w:bottom w:w="0" w:type="dxa"/>
            </w:tcMar>
          </w:tcPr>
          <w:p>
            <w:pPr>
              <w:pStyle w:val="TableContents"/>
              <w:spacing w:before="80" w:after="80"/>
              <w:ind w:left="0" w:right="0" w:hanging="0"/>
              <w:rPr/>
            </w:pPr>
            <w:r>
              <w:rPr/>
              <w:t> </w:t>
            </w:r>
          </w:p>
        </w:tc>
      </w:tr>
      <w:tr>
        <w:trPr/>
        <w:tc>
          <w:tcPr>
            <w:tcW w:w="1281" w:type="dxa"/>
            <w:gridSpan w:val="3"/>
            <w:vMerge w:val="continue"/>
            <w:tcBorders/>
            <w:shd w:fill="auto" w:val="clear"/>
            <w:tcMar>
              <w:bottom w:w="0" w:type="dxa"/>
            </w:tcMar>
            <w:vAlign w:val="center"/>
          </w:tcPr>
          <w:p>
            <w:pPr>
              <w:pStyle w:val="Normal"/>
              <w:rPr/>
            </w:pPr>
            <w:r>
              <w:rPr/>
            </w:r>
          </w:p>
        </w:tc>
        <w:tc>
          <w:tcPr>
            <w:tcW w:w="384"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10</w:t>
            </w:r>
          </w:p>
        </w:tc>
        <w:tc>
          <w:tcPr>
            <w:tcW w:w="8540" w:type="dxa"/>
            <w:gridSpan w:val="2"/>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Shared Dispositive Power</w:t>
            </w:r>
            <w:r>
              <w:rPr/>
              <w:t xml:space="preserve"> </w:t>
            </w:r>
            <w:r>
              <w:rPr>
                <w:sz w:val="17"/>
              </w:rPr>
              <w:br/>
              <w:t>0 Common Units</w:t>
            </w:r>
          </w:p>
        </w:tc>
      </w:tr>
      <w:tr>
        <w:trPr/>
        <w:tc>
          <w:tcPr>
            <w:tcW w:w="10205" w:type="dxa"/>
            <w:gridSpan w:val="6"/>
            <w:tcBorders/>
            <w:shd w:fill="auto" w:val="clear"/>
            <w:tcMar>
              <w:bottom w:w="0" w:type="dxa"/>
            </w:tcMar>
            <w:vAlign w:val="center"/>
          </w:tcPr>
          <w:p>
            <w:pPr>
              <w:pStyle w:val="TableContents"/>
              <w:spacing w:before="80" w:after="80"/>
              <w:ind w:left="0" w:right="0" w:hanging="0"/>
              <w:rPr/>
            </w:pPr>
            <w:r>
              <w:rPr/>
              <w:t> </w:t>
            </w:r>
          </w:p>
        </w:tc>
      </w:tr>
      <w:tr>
        <w:trPr/>
        <w:tc>
          <w:tcPr>
            <w:tcW w:w="288" w:type="dxa"/>
            <w:tcBorders/>
            <w:shd w:fill="auto" w:val="clear"/>
            <w:tcMar>
              <w:bottom w:w="0" w:type="dxa"/>
            </w:tcMar>
            <w:vAlign w:val="center"/>
          </w:tcPr>
          <w:p>
            <w:pPr>
              <w:pStyle w:val="TableContents"/>
              <w:spacing w:before="80" w:after="80"/>
              <w:ind w:left="0" w:right="0" w:hanging="0"/>
              <w:rPr/>
            </w:pPr>
            <w:r>
              <w:rPr/>
              <w:t> </w:t>
            </w:r>
          </w:p>
        </w:tc>
        <w:tc>
          <w:tcPr>
            <w:tcW w:w="481"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11</w:t>
            </w:r>
          </w:p>
        </w:tc>
        <w:tc>
          <w:tcPr>
            <w:tcW w:w="9436" w:type="dxa"/>
            <w:gridSpan w:val="4"/>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Aggregate Amount Beneficially Owned by Each Reporting Person</w:t>
            </w:r>
            <w:r>
              <w:rPr/>
              <w:t xml:space="preserve"> </w:t>
            </w:r>
            <w:r>
              <w:rPr>
                <w:sz w:val="17"/>
              </w:rPr>
              <w:br/>
              <w:t>53,589,877 Common Units(1)</w:t>
            </w:r>
          </w:p>
        </w:tc>
      </w:tr>
      <w:tr>
        <w:trPr/>
        <w:tc>
          <w:tcPr>
            <w:tcW w:w="10205" w:type="dxa"/>
            <w:gridSpan w:val="6"/>
            <w:tcBorders/>
            <w:shd w:fill="auto" w:val="clear"/>
            <w:tcMar>
              <w:bottom w:w="0" w:type="dxa"/>
            </w:tcMar>
          </w:tcPr>
          <w:p>
            <w:pPr>
              <w:pStyle w:val="TableContents"/>
              <w:spacing w:before="80" w:after="80"/>
              <w:ind w:left="0" w:right="0" w:hanging="0"/>
              <w:rPr/>
            </w:pPr>
            <w:r>
              <w:rPr/>
              <w:t> </w:t>
            </w:r>
          </w:p>
        </w:tc>
      </w:tr>
      <w:tr>
        <w:trPr/>
        <w:tc>
          <w:tcPr>
            <w:tcW w:w="288" w:type="dxa"/>
            <w:tcBorders/>
            <w:shd w:fill="auto" w:val="clear"/>
            <w:tcMar>
              <w:bottom w:w="0" w:type="dxa"/>
            </w:tcMar>
            <w:vAlign w:val="center"/>
          </w:tcPr>
          <w:p>
            <w:pPr>
              <w:pStyle w:val="TableContents"/>
              <w:spacing w:before="80" w:after="80"/>
              <w:ind w:left="0" w:right="0" w:hanging="0"/>
              <w:rPr/>
            </w:pPr>
            <w:r>
              <w:rPr/>
              <w:t> </w:t>
            </w:r>
          </w:p>
        </w:tc>
        <w:tc>
          <w:tcPr>
            <w:tcW w:w="481"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12</w:t>
            </w:r>
          </w:p>
        </w:tc>
        <w:tc>
          <w:tcPr>
            <w:tcW w:w="9436" w:type="dxa"/>
            <w:gridSpan w:val="4"/>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Check if the Aggregate Amount in Row (11) Excludes Certain Shares</w:t>
            </w:r>
            <w:r>
              <w:rPr/>
              <w:t xml:space="preserve">   </w:t>
            </w:r>
            <w:r>
              <w:rPr>
                <w:rFonts w:ascii="Wingdings" w:hAnsi="Wingdings"/>
                <w:sz w:val="17"/>
              </w:rPr>
              <w:t>o</w:t>
            </w:r>
          </w:p>
        </w:tc>
      </w:tr>
      <w:tr>
        <w:trPr/>
        <w:tc>
          <w:tcPr>
            <w:tcW w:w="10205" w:type="dxa"/>
            <w:gridSpan w:val="6"/>
            <w:tcBorders/>
            <w:shd w:fill="auto" w:val="clear"/>
            <w:tcMar>
              <w:bottom w:w="0" w:type="dxa"/>
            </w:tcMar>
          </w:tcPr>
          <w:p>
            <w:pPr>
              <w:pStyle w:val="TableContents"/>
              <w:spacing w:before="80" w:after="80"/>
              <w:ind w:left="0" w:right="0" w:hanging="0"/>
              <w:rPr/>
            </w:pPr>
            <w:r>
              <w:rPr/>
              <w:t> </w:t>
            </w:r>
          </w:p>
        </w:tc>
      </w:tr>
      <w:tr>
        <w:trPr/>
        <w:tc>
          <w:tcPr>
            <w:tcW w:w="288" w:type="dxa"/>
            <w:tcBorders/>
            <w:shd w:fill="auto" w:val="clear"/>
            <w:tcMar>
              <w:bottom w:w="0" w:type="dxa"/>
            </w:tcMar>
            <w:vAlign w:val="center"/>
          </w:tcPr>
          <w:p>
            <w:pPr>
              <w:pStyle w:val="TableContents"/>
              <w:spacing w:before="80" w:after="80"/>
              <w:ind w:left="0" w:right="0" w:hanging="0"/>
              <w:rPr/>
            </w:pPr>
            <w:r>
              <w:rPr/>
              <w:t> </w:t>
            </w:r>
          </w:p>
        </w:tc>
        <w:tc>
          <w:tcPr>
            <w:tcW w:w="481"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13</w:t>
            </w:r>
          </w:p>
        </w:tc>
        <w:tc>
          <w:tcPr>
            <w:tcW w:w="9436" w:type="dxa"/>
            <w:gridSpan w:val="4"/>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Percent of Class Represented by Amount in Row (11)</w:t>
            </w:r>
            <w:r>
              <w:rPr/>
              <w:t xml:space="preserve"> </w:t>
            </w:r>
            <w:r>
              <w:rPr>
                <w:sz w:val="17"/>
              </w:rPr>
              <w:br/>
              <w:t>61.9% of Common Units(2)</w:t>
            </w:r>
          </w:p>
        </w:tc>
      </w:tr>
      <w:tr>
        <w:trPr/>
        <w:tc>
          <w:tcPr>
            <w:tcW w:w="10205" w:type="dxa"/>
            <w:gridSpan w:val="6"/>
            <w:tcBorders/>
            <w:shd w:fill="auto" w:val="clear"/>
            <w:tcMar>
              <w:bottom w:w="0" w:type="dxa"/>
            </w:tcMar>
          </w:tcPr>
          <w:p>
            <w:pPr>
              <w:pStyle w:val="TableContents"/>
              <w:spacing w:before="80" w:after="80"/>
              <w:ind w:left="0" w:right="0" w:hanging="0"/>
              <w:rPr/>
            </w:pPr>
            <w:r>
              <w:rPr/>
              <w:t> </w:t>
            </w:r>
          </w:p>
        </w:tc>
      </w:tr>
      <w:tr>
        <w:trPr/>
        <w:tc>
          <w:tcPr>
            <w:tcW w:w="288" w:type="dxa"/>
            <w:tcBorders/>
            <w:shd w:fill="auto" w:val="clear"/>
            <w:tcMar>
              <w:bottom w:w="0" w:type="dxa"/>
            </w:tcMar>
            <w:vAlign w:val="center"/>
          </w:tcPr>
          <w:p>
            <w:pPr>
              <w:pStyle w:val="TableContents"/>
              <w:spacing w:before="80" w:after="80"/>
              <w:ind w:left="0" w:right="0" w:hanging="0"/>
              <w:rPr/>
            </w:pPr>
            <w:r>
              <w:rPr/>
              <w:t> </w:t>
            </w:r>
          </w:p>
        </w:tc>
        <w:tc>
          <w:tcPr>
            <w:tcW w:w="481"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14</w:t>
            </w:r>
          </w:p>
        </w:tc>
        <w:tc>
          <w:tcPr>
            <w:tcW w:w="9436" w:type="dxa"/>
            <w:gridSpan w:val="4"/>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Type of Reporting Person</w:t>
            </w:r>
            <w:r>
              <w:rPr>
                <w:sz w:val="17"/>
              </w:rPr>
              <w:br/>
              <w:t>OO</w:t>
            </w:r>
          </w:p>
        </w:tc>
      </w:tr>
      <w:tr>
        <w:trPr/>
        <w:tc>
          <w:tcPr>
            <w:tcW w:w="288" w:type="dxa"/>
            <w:tcBorders/>
            <w:shd w:fill="auto" w:val="clear"/>
            <w:tcMar>
              <w:bottom w:w="0" w:type="dxa"/>
            </w:tcMar>
            <w:vAlign w:val="center"/>
          </w:tcPr>
          <w:p>
            <w:pPr>
              <w:pStyle w:val="TableContents"/>
              <w:spacing w:before="0" w:after="283"/>
              <w:rPr>
                <w:sz w:val="4"/>
                <w:szCs w:val="4"/>
              </w:rPr>
            </w:pPr>
            <w:r>
              <w:rPr>
                <w:sz w:val="4"/>
                <w:szCs w:val="4"/>
              </w:rPr>
            </w:r>
          </w:p>
        </w:tc>
        <w:tc>
          <w:tcPr>
            <w:tcW w:w="481" w:type="dxa"/>
            <w:tcBorders/>
            <w:shd w:fill="auto" w:val="clear"/>
            <w:tcMar>
              <w:bottom w:w="0" w:type="dxa"/>
            </w:tcMar>
            <w:vAlign w:val="center"/>
          </w:tcPr>
          <w:p>
            <w:pPr>
              <w:pStyle w:val="TableContents"/>
              <w:spacing w:before="0" w:after="283"/>
              <w:rPr>
                <w:sz w:val="4"/>
                <w:szCs w:val="4"/>
              </w:rPr>
            </w:pPr>
            <w:r>
              <w:rPr>
                <w:sz w:val="4"/>
                <w:szCs w:val="4"/>
              </w:rPr>
            </w:r>
          </w:p>
        </w:tc>
        <w:tc>
          <w:tcPr>
            <w:tcW w:w="512" w:type="dxa"/>
            <w:tcBorders/>
            <w:shd w:fill="auto" w:val="clear"/>
            <w:tcMar>
              <w:bottom w:w="0" w:type="dxa"/>
            </w:tcMar>
            <w:vAlign w:val="center"/>
          </w:tcPr>
          <w:p>
            <w:pPr>
              <w:pStyle w:val="TableContents"/>
              <w:spacing w:before="0" w:after="283"/>
              <w:rPr>
                <w:sz w:val="4"/>
                <w:szCs w:val="4"/>
              </w:rPr>
            </w:pPr>
            <w:r>
              <w:rPr>
                <w:sz w:val="4"/>
                <w:szCs w:val="4"/>
              </w:rPr>
            </w:r>
          </w:p>
        </w:tc>
        <w:tc>
          <w:tcPr>
            <w:tcW w:w="384" w:type="dxa"/>
            <w:tcBorders/>
            <w:shd w:fill="auto" w:val="clear"/>
            <w:tcMar>
              <w:bottom w:w="0" w:type="dxa"/>
            </w:tcMar>
            <w:vAlign w:val="center"/>
          </w:tcPr>
          <w:p>
            <w:pPr>
              <w:pStyle w:val="TableContents"/>
              <w:spacing w:before="0" w:after="283"/>
              <w:rPr>
                <w:sz w:val="4"/>
                <w:szCs w:val="4"/>
              </w:rPr>
            </w:pPr>
            <w:r>
              <w:rPr>
                <w:sz w:val="4"/>
                <w:szCs w:val="4"/>
              </w:rPr>
            </w:r>
          </w:p>
        </w:tc>
        <w:tc>
          <w:tcPr>
            <w:tcW w:w="645" w:type="dxa"/>
            <w:tcBorders/>
            <w:shd w:fill="auto" w:val="clear"/>
            <w:tcMar>
              <w:bottom w:w="0" w:type="dxa"/>
            </w:tcMar>
            <w:vAlign w:val="center"/>
          </w:tcPr>
          <w:p>
            <w:pPr>
              <w:pStyle w:val="TableContents"/>
              <w:spacing w:before="0" w:after="283"/>
              <w:rPr>
                <w:sz w:val="4"/>
                <w:szCs w:val="4"/>
              </w:rPr>
            </w:pPr>
            <w:r>
              <w:rPr>
                <w:sz w:val="4"/>
                <w:szCs w:val="4"/>
              </w:rPr>
            </w:r>
          </w:p>
        </w:tc>
        <w:tc>
          <w:tcPr>
            <w:tcW w:w="7895" w:type="dxa"/>
            <w:tcBorders/>
            <w:shd w:fill="auto" w:val="clear"/>
            <w:tcMar>
              <w:bottom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7"/>
        </w:rPr>
        <w:t>(1)  Includes 11,934,351 Series A Subordinated Units and 13,500,000 Series B Subordinated Units, each representing limited partner interests in the Issuer. The Series A Subordinated Units may be converted into Common Units on a one-for-one basis upon termination of the subordination period under certain circumstances, as set forth in the Partnership Agreement. The Series B Subordinated Units may be converted into Series A Subordinated Units on a one-for-one basis upon the satisfaction of certain operational and financial conditions or, if the subordination period has ended at the time the various operation and financial conditions are satisfied, into Common Units on a one-for-one basis, as set forth in the Partnership Agreement; provided, however, that any Series B Subordinated Units that remain outstanding as of December 31, 2018 will be automatically cancelled.</w:t>
      </w:r>
    </w:p>
    <w:p>
      <w:pPr>
        <w:pStyle w:val="TextBody"/>
        <w:spacing w:before="0" w:after="0"/>
        <w:ind w:left="0" w:right="0" w:hanging="0"/>
        <w:rPr>
          <w:rFonts w:ascii="Times New Roman" w:hAnsi="Times New Roman"/>
          <w:sz w:val="17"/>
        </w:rPr>
      </w:pPr>
      <w:r>
        <w:rPr>
          <w:rFonts w:ascii="Times New Roman" w:hAnsi="Times New Roman"/>
          <w:sz w:val="17"/>
        </w:rPr>
        <w:t>(2)  Based on the aggregate number of Common Units, Series A Subordinated Units and Series B Subordinated Units issued and outstanding as of July 31, 2013.</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3" w:name="PB_3_014135_5796"/>
      <w:bookmarkEnd w:id="3"/>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SCHEDULE 13D/A</w:t>
      </w:r>
    </w:p>
    <w:p>
      <w:pPr>
        <w:pStyle w:val="TextBody"/>
        <w:spacing w:before="0" w:after="0"/>
        <w:ind w:left="0" w:right="0" w:hanging="0"/>
        <w:jc w:val="center"/>
        <w:rPr/>
      </w:pPr>
      <w:r>
        <w:rPr/>
        <w:t> </w:t>
      </w:r>
    </w:p>
    <w:tbl>
      <w:tblPr>
        <w:tblW w:w="5000" w:type="pct"/>
        <w:jc w:val="center"/>
        <w:tblInd w:w="0" w:type="dxa"/>
        <w:tblCellMar>
          <w:top w:w="0" w:type="dxa"/>
          <w:left w:w="0" w:type="dxa"/>
          <w:bottom w:w="60" w:type="dxa"/>
          <w:right w:w="0" w:type="dxa"/>
        </w:tblCellMar>
      </w:tblPr>
      <w:tblGrid>
        <w:gridCol w:w="288"/>
        <w:gridCol w:w="481"/>
        <w:gridCol w:w="512"/>
        <w:gridCol w:w="384"/>
        <w:gridCol w:w="645"/>
        <w:gridCol w:w="7895"/>
      </w:tblGrid>
      <w:tr>
        <w:trPr/>
        <w:tc>
          <w:tcPr>
            <w:tcW w:w="10205" w:type="dxa"/>
            <w:gridSpan w:val="6"/>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 xml:space="preserve">CUSIP No. </w:t>
            </w:r>
            <w:r>
              <w:rPr>
                <w:sz w:val="17"/>
              </w:rPr>
              <w:t>693139107</w:t>
            </w:r>
          </w:p>
        </w:tc>
      </w:tr>
      <w:tr>
        <w:trPr/>
        <w:tc>
          <w:tcPr>
            <w:tcW w:w="10205" w:type="dxa"/>
            <w:gridSpan w:val="6"/>
            <w:tcBorders/>
            <w:shd w:fill="auto" w:val="clear"/>
            <w:tcMar>
              <w:bottom w:w="0" w:type="dxa"/>
            </w:tcMar>
            <w:vAlign w:val="center"/>
          </w:tcPr>
          <w:p>
            <w:pPr>
              <w:pStyle w:val="TableContents"/>
              <w:spacing w:before="80" w:after="80"/>
              <w:ind w:left="0" w:right="0" w:hanging="0"/>
              <w:rPr/>
            </w:pPr>
            <w:r>
              <w:rPr/>
              <w:t> </w:t>
            </w:r>
          </w:p>
        </w:tc>
      </w:tr>
      <w:tr>
        <w:trPr/>
        <w:tc>
          <w:tcPr>
            <w:tcW w:w="288" w:type="dxa"/>
            <w:tcBorders/>
            <w:shd w:fill="auto" w:val="clear"/>
            <w:tcMar>
              <w:bottom w:w="0" w:type="dxa"/>
            </w:tcMar>
            <w:vAlign w:val="center"/>
          </w:tcPr>
          <w:p>
            <w:pPr>
              <w:pStyle w:val="TableContents"/>
              <w:spacing w:before="80" w:after="80"/>
              <w:ind w:left="0" w:right="0" w:hanging="0"/>
              <w:rPr/>
            </w:pPr>
            <w:r>
              <w:rPr/>
              <w:t> </w:t>
            </w:r>
          </w:p>
        </w:tc>
        <w:tc>
          <w:tcPr>
            <w:tcW w:w="481"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1</w:t>
            </w:r>
          </w:p>
        </w:tc>
        <w:tc>
          <w:tcPr>
            <w:tcW w:w="9436" w:type="dxa"/>
            <w:gridSpan w:val="4"/>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Name of Reporting Person</w:t>
              <w:br/>
            </w:r>
            <w:r>
              <w:rPr>
                <w:sz w:val="17"/>
              </w:rPr>
              <w:t>Plains AAP, L.P.</w:t>
            </w:r>
          </w:p>
        </w:tc>
      </w:tr>
      <w:tr>
        <w:trPr/>
        <w:tc>
          <w:tcPr>
            <w:tcW w:w="10205" w:type="dxa"/>
            <w:gridSpan w:val="6"/>
            <w:tcBorders/>
            <w:shd w:fill="auto" w:val="clear"/>
            <w:tcMar>
              <w:bottom w:w="0" w:type="dxa"/>
            </w:tcMar>
            <w:vAlign w:val="center"/>
          </w:tcPr>
          <w:p>
            <w:pPr>
              <w:pStyle w:val="TableContents"/>
              <w:spacing w:before="80" w:after="80"/>
              <w:ind w:left="0" w:right="0" w:hanging="0"/>
              <w:rPr/>
            </w:pPr>
            <w:r>
              <w:rPr/>
              <w:t> </w:t>
            </w:r>
          </w:p>
        </w:tc>
      </w:tr>
      <w:tr>
        <w:trPr/>
        <w:tc>
          <w:tcPr>
            <w:tcW w:w="288" w:type="dxa"/>
            <w:tcBorders/>
            <w:shd w:fill="auto" w:val="clear"/>
            <w:tcMar>
              <w:bottom w:w="0" w:type="dxa"/>
            </w:tcMar>
            <w:vAlign w:val="center"/>
          </w:tcPr>
          <w:p>
            <w:pPr>
              <w:pStyle w:val="TableContents"/>
              <w:spacing w:before="80" w:after="80"/>
              <w:ind w:left="0" w:right="0" w:hanging="0"/>
              <w:rPr/>
            </w:pPr>
            <w:r>
              <w:rPr/>
              <w:t> </w:t>
            </w:r>
          </w:p>
        </w:tc>
        <w:tc>
          <w:tcPr>
            <w:tcW w:w="481"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2</w:t>
            </w:r>
          </w:p>
        </w:tc>
        <w:tc>
          <w:tcPr>
            <w:tcW w:w="9436" w:type="dxa"/>
            <w:gridSpan w:val="4"/>
            <w:tcBorders/>
            <w:shd w:fill="auto" w:val="clear"/>
            <w:tcMar>
              <w:bottom w:w="0" w:type="dxa"/>
            </w:tcMar>
            <w:vAlign w:val="center"/>
          </w:tcPr>
          <w:p>
            <w:pPr>
              <w:pStyle w:val="TableContents"/>
              <w:spacing w:before="80" w:after="80"/>
              <w:ind w:left="0" w:right="0" w:hanging="0"/>
              <w:rPr>
                <w:rFonts w:ascii="Times New Roman" w:hAnsi="Times New Roman"/>
                <w:sz w:val="17"/>
              </w:rPr>
            </w:pPr>
            <w:r>
              <w:rPr>
                <w:rFonts w:ascii="Times New Roman" w:hAnsi="Times New Roman"/>
                <w:sz w:val="17"/>
              </w:rPr>
              <w:t>Check the Appropriate Box if a Member of a Group</w:t>
            </w:r>
          </w:p>
        </w:tc>
      </w:tr>
      <w:tr>
        <w:trPr/>
        <w:tc>
          <w:tcPr>
            <w:tcW w:w="288" w:type="dxa"/>
            <w:tcBorders/>
            <w:shd w:fill="auto" w:val="clear"/>
            <w:tcMar>
              <w:bottom w:w="0" w:type="dxa"/>
            </w:tcMar>
            <w:vAlign w:val="center"/>
          </w:tcPr>
          <w:p>
            <w:pPr>
              <w:pStyle w:val="TableContents"/>
              <w:spacing w:before="80" w:after="80"/>
              <w:ind w:left="0" w:right="0" w:hanging="0"/>
              <w:rPr/>
            </w:pPr>
            <w:r>
              <w:rPr/>
              <w:t> </w:t>
            </w:r>
          </w:p>
        </w:tc>
        <w:tc>
          <w:tcPr>
            <w:tcW w:w="481" w:type="dxa"/>
            <w:tcBorders/>
            <w:shd w:fill="auto" w:val="clear"/>
            <w:tcMar>
              <w:bottom w:w="0" w:type="dxa"/>
            </w:tcMar>
          </w:tcPr>
          <w:p>
            <w:pPr>
              <w:pStyle w:val="TableContents"/>
              <w:spacing w:before="80" w:after="80"/>
              <w:ind w:left="0" w:right="0" w:hanging="0"/>
              <w:rPr/>
            </w:pPr>
            <w:r>
              <w:rPr/>
              <w:t> </w:t>
            </w:r>
          </w:p>
        </w:tc>
        <w:tc>
          <w:tcPr>
            <w:tcW w:w="1541" w:type="dxa"/>
            <w:gridSpan w:val="3"/>
            <w:tcBorders/>
            <w:shd w:fill="auto" w:val="clear"/>
            <w:tcMar>
              <w:bottom w:w="0" w:type="dxa"/>
            </w:tcMar>
            <w:vAlign w:val="center"/>
          </w:tcPr>
          <w:p>
            <w:pPr>
              <w:pStyle w:val="TableContents"/>
              <w:spacing w:before="80" w:after="80"/>
              <w:ind w:left="0" w:right="0" w:hanging="0"/>
              <w:rPr>
                <w:rFonts w:ascii="Times New Roman" w:hAnsi="Times New Roman"/>
                <w:sz w:val="17"/>
              </w:rPr>
            </w:pPr>
            <w:r>
              <w:rPr>
                <w:rFonts w:ascii="Times New Roman" w:hAnsi="Times New Roman"/>
                <w:sz w:val="17"/>
              </w:rPr>
              <w:t>(a):</w:t>
            </w:r>
          </w:p>
        </w:tc>
        <w:tc>
          <w:tcPr>
            <w:tcW w:w="7895" w:type="dxa"/>
            <w:tcBorders>
              <w:bottom w:val="single" w:sz="8" w:space="0" w:color="000000"/>
            </w:tcBorders>
            <w:shd w:fill="auto" w:val="clear"/>
            <w:vAlign w:val="center"/>
          </w:tcPr>
          <w:p>
            <w:pPr>
              <w:pStyle w:val="TableContents"/>
              <w:spacing w:before="80" w:after="80"/>
              <w:ind w:left="0" w:right="0" w:hanging="0"/>
              <w:rPr/>
            </w:pPr>
            <w:r>
              <w:rPr/>
              <w:t> </w:t>
            </w:r>
            <w:r>
              <w:rPr>
                <w:rFonts w:ascii="Wingdings" w:hAnsi="Wingdings"/>
                <w:sz w:val="17"/>
              </w:rPr>
              <w:t>o</w:t>
            </w:r>
          </w:p>
        </w:tc>
      </w:tr>
      <w:tr>
        <w:trPr/>
        <w:tc>
          <w:tcPr>
            <w:tcW w:w="288" w:type="dxa"/>
            <w:tcBorders/>
            <w:shd w:fill="auto" w:val="clear"/>
            <w:tcMar>
              <w:bottom w:w="0" w:type="dxa"/>
            </w:tcMar>
            <w:vAlign w:val="center"/>
          </w:tcPr>
          <w:p>
            <w:pPr>
              <w:pStyle w:val="TableContents"/>
              <w:spacing w:before="80" w:after="80"/>
              <w:ind w:left="0" w:right="0" w:hanging="0"/>
              <w:rPr/>
            </w:pPr>
            <w:r>
              <w:rPr/>
              <w:t> </w:t>
            </w:r>
          </w:p>
        </w:tc>
        <w:tc>
          <w:tcPr>
            <w:tcW w:w="481" w:type="dxa"/>
            <w:tcBorders/>
            <w:shd w:fill="auto" w:val="clear"/>
            <w:tcMar>
              <w:bottom w:w="0" w:type="dxa"/>
            </w:tcMar>
          </w:tcPr>
          <w:p>
            <w:pPr>
              <w:pStyle w:val="TableContents"/>
              <w:spacing w:before="80" w:after="80"/>
              <w:ind w:left="0" w:right="0" w:hanging="0"/>
              <w:rPr/>
            </w:pPr>
            <w:r>
              <w:rPr/>
              <w:t> </w:t>
            </w:r>
          </w:p>
        </w:tc>
        <w:tc>
          <w:tcPr>
            <w:tcW w:w="1541" w:type="dxa"/>
            <w:gridSpan w:val="3"/>
            <w:tcBorders/>
            <w:shd w:fill="auto" w:val="clear"/>
            <w:tcMar>
              <w:bottom w:w="0" w:type="dxa"/>
            </w:tcMar>
            <w:vAlign w:val="center"/>
          </w:tcPr>
          <w:p>
            <w:pPr>
              <w:pStyle w:val="TableContents"/>
              <w:spacing w:before="80" w:after="80"/>
              <w:ind w:left="0" w:right="0" w:hanging="0"/>
              <w:rPr>
                <w:rFonts w:ascii="Times New Roman" w:hAnsi="Times New Roman"/>
                <w:sz w:val="17"/>
              </w:rPr>
            </w:pPr>
            <w:r>
              <w:rPr>
                <w:rFonts w:ascii="Times New Roman" w:hAnsi="Times New Roman"/>
                <w:sz w:val="17"/>
              </w:rPr>
              <w:t>(b):</w:t>
            </w:r>
          </w:p>
        </w:tc>
        <w:tc>
          <w:tcPr>
            <w:tcW w:w="7895" w:type="dxa"/>
            <w:tcBorders>
              <w:bottom w:val="single" w:sz="8" w:space="0" w:color="000000"/>
            </w:tcBorders>
            <w:shd w:fill="auto" w:val="clear"/>
            <w:vAlign w:val="center"/>
          </w:tcPr>
          <w:p>
            <w:pPr>
              <w:pStyle w:val="TableContents"/>
              <w:spacing w:before="80" w:after="80"/>
              <w:ind w:left="0" w:right="0" w:hanging="0"/>
              <w:rPr/>
            </w:pPr>
            <w:r>
              <w:rPr/>
              <w:t> </w:t>
            </w:r>
            <w:r>
              <w:rPr>
                <w:rFonts w:ascii="Wingdings" w:hAnsi="Wingdings"/>
                <w:sz w:val="17"/>
              </w:rPr>
              <w:t>o</w:t>
            </w:r>
          </w:p>
        </w:tc>
      </w:tr>
      <w:tr>
        <w:trPr/>
        <w:tc>
          <w:tcPr>
            <w:tcW w:w="10205" w:type="dxa"/>
            <w:gridSpan w:val="6"/>
            <w:tcBorders/>
            <w:shd w:fill="auto" w:val="clear"/>
            <w:tcMar>
              <w:bottom w:w="0" w:type="dxa"/>
            </w:tcMar>
          </w:tcPr>
          <w:p>
            <w:pPr>
              <w:pStyle w:val="TableContents"/>
              <w:spacing w:before="80" w:after="80"/>
              <w:ind w:left="0" w:right="0" w:hanging="0"/>
              <w:rPr/>
            </w:pPr>
            <w:r>
              <w:rPr/>
              <w:t> </w:t>
            </w:r>
          </w:p>
        </w:tc>
      </w:tr>
      <w:tr>
        <w:trPr/>
        <w:tc>
          <w:tcPr>
            <w:tcW w:w="288" w:type="dxa"/>
            <w:tcBorders/>
            <w:shd w:fill="auto" w:val="clear"/>
            <w:tcMar>
              <w:bottom w:w="0" w:type="dxa"/>
            </w:tcMar>
            <w:vAlign w:val="center"/>
          </w:tcPr>
          <w:p>
            <w:pPr>
              <w:pStyle w:val="TableContents"/>
              <w:spacing w:before="80" w:after="80"/>
              <w:ind w:left="0" w:right="0" w:hanging="0"/>
              <w:rPr/>
            </w:pPr>
            <w:r>
              <w:rPr/>
              <w:t> </w:t>
            </w:r>
          </w:p>
        </w:tc>
        <w:tc>
          <w:tcPr>
            <w:tcW w:w="481"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3</w:t>
            </w:r>
          </w:p>
        </w:tc>
        <w:tc>
          <w:tcPr>
            <w:tcW w:w="9436" w:type="dxa"/>
            <w:gridSpan w:val="4"/>
            <w:tcBorders>
              <w:bottom w:val="single" w:sz="8" w:space="0" w:color="000000"/>
            </w:tcBorders>
            <w:shd w:fill="auto" w:val="clear"/>
            <w:vAlign w:val="center"/>
          </w:tcPr>
          <w:p>
            <w:pPr>
              <w:pStyle w:val="TableContents"/>
              <w:spacing w:before="80" w:after="80"/>
              <w:ind w:left="0" w:right="0" w:hanging="0"/>
              <w:rPr>
                <w:rFonts w:ascii="Times New Roman" w:hAnsi="Times New Roman"/>
                <w:sz w:val="17"/>
              </w:rPr>
            </w:pPr>
            <w:r>
              <w:rPr>
                <w:rFonts w:ascii="Times New Roman" w:hAnsi="Times New Roman"/>
                <w:sz w:val="17"/>
              </w:rPr>
              <w:t xml:space="preserve">SEC Use Only </w:t>
            </w:r>
          </w:p>
        </w:tc>
      </w:tr>
      <w:tr>
        <w:trPr/>
        <w:tc>
          <w:tcPr>
            <w:tcW w:w="10205" w:type="dxa"/>
            <w:gridSpan w:val="6"/>
            <w:tcBorders/>
            <w:shd w:fill="auto" w:val="clear"/>
            <w:tcMar>
              <w:bottom w:w="0" w:type="dxa"/>
            </w:tcMar>
          </w:tcPr>
          <w:p>
            <w:pPr>
              <w:pStyle w:val="TableContents"/>
              <w:spacing w:before="80" w:after="80"/>
              <w:ind w:left="0" w:right="0" w:hanging="0"/>
              <w:rPr/>
            </w:pPr>
            <w:r>
              <w:rPr/>
              <w:t> </w:t>
            </w:r>
          </w:p>
        </w:tc>
      </w:tr>
      <w:tr>
        <w:trPr/>
        <w:tc>
          <w:tcPr>
            <w:tcW w:w="288" w:type="dxa"/>
            <w:tcBorders/>
            <w:shd w:fill="auto" w:val="clear"/>
            <w:tcMar>
              <w:bottom w:w="0" w:type="dxa"/>
            </w:tcMar>
            <w:vAlign w:val="center"/>
          </w:tcPr>
          <w:p>
            <w:pPr>
              <w:pStyle w:val="TableContents"/>
              <w:spacing w:before="80" w:after="80"/>
              <w:ind w:left="0" w:right="0" w:hanging="0"/>
              <w:rPr/>
            </w:pPr>
            <w:r>
              <w:rPr/>
              <w:t> </w:t>
            </w:r>
          </w:p>
        </w:tc>
        <w:tc>
          <w:tcPr>
            <w:tcW w:w="481"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4</w:t>
            </w:r>
          </w:p>
        </w:tc>
        <w:tc>
          <w:tcPr>
            <w:tcW w:w="9436" w:type="dxa"/>
            <w:gridSpan w:val="4"/>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Source of Funds</w:t>
              <w:br/>
            </w:r>
            <w:r>
              <w:rPr>
                <w:sz w:val="17"/>
              </w:rPr>
              <w:t>OO (please see Item 3 below)</w:t>
            </w:r>
          </w:p>
        </w:tc>
      </w:tr>
      <w:tr>
        <w:trPr/>
        <w:tc>
          <w:tcPr>
            <w:tcW w:w="10205" w:type="dxa"/>
            <w:gridSpan w:val="6"/>
            <w:tcBorders/>
            <w:shd w:fill="auto" w:val="clear"/>
            <w:tcMar>
              <w:bottom w:w="0" w:type="dxa"/>
            </w:tcMar>
          </w:tcPr>
          <w:p>
            <w:pPr>
              <w:pStyle w:val="TableContents"/>
              <w:spacing w:before="80" w:after="80"/>
              <w:ind w:left="0" w:right="0" w:hanging="0"/>
              <w:rPr/>
            </w:pPr>
            <w:r>
              <w:rPr/>
              <w:t> </w:t>
            </w:r>
          </w:p>
        </w:tc>
      </w:tr>
      <w:tr>
        <w:trPr/>
        <w:tc>
          <w:tcPr>
            <w:tcW w:w="288" w:type="dxa"/>
            <w:tcBorders/>
            <w:shd w:fill="auto" w:val="clear"/>
            <w:tcMar>
              <w:bottom w:w="0" w:type="dxa"/>
            </w:tcMar>
            <w:vAlign w:val="center"/>
          </w:tcPr>
          <w:p>
            <w:pPr>
              <w:pStyle w:val="TableContents"/>
              <w:spacing w:before="80" w:after="80"/>
              <w:ind w:left="0" w:right="0" w:hanging="0"/>
              <w:rPr/>
            </w:pPr>
            <w:r>
              <w:rPr/>
              <w:t> </w:t>
            </w:r>
          </w:p>
        </w:tc>
        <w:tc>
          <w:tcPr>
            <w:tcW w:w="481"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5</w:t>
            </w:r>
          </w:p>
        </w:tc>
        <w:tc>
          <w:tcPr>
            <w:tcW w:w="9436" w:type="dxa"/>
            <w:gridSpan w:val="4"/>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 xml:space="preserve">Check if Disclosure of Legal Proceedings Is Required Pursuant to Items 2(d) or 2(e)  </w:t>
            </w:r>
            <w:r>
              <w:rPr/>
              <w:t>   </w:t>
            </w:r>
            <w:r>
              <w:rPr>
                <w:rFonts w:ascii="Wingdings" w:hAnsi="Wingdings"/>
                <w:sz w:val="17"/>
              </w:rPr>
              <w:t>o</w:t>
            </w:r>
          </w:p>
        </w:tc>
      </w:tr>
      <w:tr>
        <w:trPr/>
        <w:tc>
          <w:tcPr>
            <w:tcW w:w="10205" w:type="dxa"/>
            <w:gridSpan w:val="6"/>
            <w:tcBorders/>
            <w:shd w:fill="auto" w:val="clear"/>
            <w:tcMar>
              <w:bottom w:w="0" w:type="dxa"/>
            </w:tcMar>
          </w:tcPr>
          <w:p>
            <w:pPr>
              <w:pStyle w:val="TableContents"/>
              <w:spacing w:before="80" w:after="80"/>
              <w:ind w:left="0" w:right="0" w:hanging="0"/>
              <w:rPr/>
            </w:pPr>
            <w:r>
              <w:rPr/>
              <w:t> </w:t>
            </w:r>
          </w:p>
        </w:tc>
      </w:tr>
      <w:tr>
        <w:trPr/>
        <w:tc>
          <w:tcPr>
            <w:tcW w:w="288" w:type="dxa"/>
            <w:tcBorders/>
            <w:shd w:fill="auto" w:val="clear"/>
            <w:tcMar>
              <w:bottom w:w="0" w:type="dxa"/>
            </w:tcMar>
            <w:vAlign w:val="center"/>
          </w:tcPr>
          <w:p>
            <w:pPr>
              <w:pStyle w:val="TableContents"/>
              <w:spacing w:before="80" w:after="80"/>
              <w:ind w:left="0" w:right="0" w:hanging="0"/>
              <w:rPr/>
            </w:pPr>
            <w:r>
              <w:rPr/>
              <w:t> </w:t>
            </w:r>
          </w:p>
        </w:tc>
        <w:tc>
          <w:tcPr>
            <w:tcW w:w="481"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6</w:t>
            </w:r>
          </w:p>
        </w:tc>
        <w:tc>
          <w:tcPr>
            <w:tcW w:w="9436" w:type="dxa"/>
            <w:gridSpan w:val="4"/>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Citizenship or Place of Organization</w:t>
              <w:br/>
            </w:r>
            <w:r>
              <w:rPr>
                <w:sz w:val="17"/>
              </w:rPr>
              <w:t>Delaware, United States</w:t>
            </w:r>
          </w:p>
        </w:tc>
      </w:tr>
      <w:tr>
        <w:trPr/>
        <w:tc>
          <w:tcPr>
            <w:tcW w:w="10205" w:type="dxa"/>
            <w:gridSpan w:val="6"/>
            <w:tcBorders/>
            <w:shd w:fill="auto" w:val="clear"/>
            <w:tcMar>
              <w:bottom w:w="0" w:type="dxa"/>
            </w:tcMar>
            <w:vAlign w:val="center"/>
          </w:tcPr>
          <w:p>
            <w:pPr>
              <w:pStyle w:val="TableContents"/>
              <w:spacing w:before="80" w:after="80"/>
              <w:ind w:left="0" w:right="0" w:hanging="0"/>
              <w:rPr/>
            </w:pPr>
            <w:r>
              <w:rPr/>
              <w:t> </w:t>
            </w:r>
          </w:p>
        </w:tc>
      </w:tr>
      <w:tr>
        <w:trPr/>
        <w:tc>
          <w:tcPr>
            <w:tcW w:w="1281" w:type="dxa"/>
            <w:gridSpan w:val="3"/>
            <w:vMerge w:val="restart"/>
            <w:tcBorders/>
            <w:shd w:fill="auto" w:val="clear"/>
            <w:tcMar>
              <w:bottom w:w="0" w:type="dxa"/>
            </w:tcMar>
            <w:vAlign w:val="center"/>
          </w:tcPr>
          <w:p>
            <w:pPr>
              <w:pStyle w:val="TableContents"/>
              <w:spacing w:before="80" w:after="80"/>
              <w:ind w:left="0" w:right="0" w:hanging="0"/>
              <w:rPr>
                <w:rFonts w:ascii="Times New Roman" w:hAnsi="Times New Roman"/>
                <w:sz w:val="17"/>
              </w:rPr>
            </w:pPr>
            <w:r>
              <w:rPr>
                <w:rFonts w:ascii="Times New Roman" w:hAnsi="Times New Roman"/>
                <w:sz w:val="17"/>
              </w:rPr>
              <w:t>Number of</w:t>
              <w:br/>
              <w:t>Shares</w:t>
              <w:br/>
              <w:t>Beneficially</w:t>
              <w:br/>
              <w:t>Owned by</w:t>
              <w:br/>
              <w:t>Each</w:t>
              <w:br/>
              <w:t>Reporting</w:t>
              <w:br/>
              <w:t>Person With</w:t>
            </w:r>
          </w:p>
        </w:tc>
        <w:tc>
          <w:tcPr>
            <w:tcW w:w="384"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7</w:t>
            </w:r>
          </w:p>
        </w:tc>
        <w:tc>
          <w:tcPr>
            <w:tcW w:w="8540" w:type="dxa"/>
            <w:gridSpan w:val="2"/>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 xml:space="preserve">Sole Voting Power </w:t>
              <w:br/>
            </w:r>
            <w:r>
              <w:rPr>
                <w:sz w:val="17"/>
              </w:rPr>
              <w:t>53,589,877 Common Units(1)</w:t>
            </w:r>
          </w:p>
        </w:tc>
      </w:tr>
      <w:tr>
        <w:trPr/>
        <w:tc>
          <w:tcPr>
            <w:tcW w:w="1281" w:type="dxa"/>
            <w:gridSpan w:val="3"/>
            <w:vMerge w:val="continue"/>
            <w:tcBorders/>
            <w:shd w:fill="auto" w:val="clear"/>
            <w:tcMar>
              <w:bottom w:w="0" w:type="dxa"/>
            </w:tcMar>
            <w:vAlign w:val="center"/>
          </w:tcPr>
          <w:p>
            <w:pPr>
              <w:pStyle w:val="Normal"/>
              <w:rPr/>
            </w:pPr>
            <w:r>
              <w:rPr/>
            </w:r>
          </w:p>
        </w:tc>
        <w:tc>
          <w:tcPr>
            <w:tcW w:w="8924" w:type="dxa"/>
            <w:gridSpan w:val="3"/>
            <w:tcBorders/>
            <w:shd w:fill="auto" w:val="clear"/>
            <w:tcMar>
              <w:bottom w:w="0" w:type="dxa"/>
            </w:tcMar>
          </w:tcPr>
          <w:p>
            <w:pPr>
              <w:pStyle w:val="TableContents"/>
              <w:spacing w:before="80" w:after="80"/>
              <w:ind w:left="0" w:right="0" w:hanging="0"/>
              <w:rPr/>
            </w:pPr>
            <w:r>
              <w:rPr/>
              <w:t> </w:t>
            </w:r>
          </w:p>
        </w:tc>
      </w:tr>
      <w:tr>
        <w:trPr/>
        <w:tc>
          <w:tcPr>
            <w:tcW w:w="1281" w:type="dxa"/>
            <w:gridSpan w:val="3"/>
            <w:vMerge w:val="continue"/>
            <w:tcBorders/>
            <w:shd w:fill="auto" w:val="clear"/>
            <w:tcMar>
              <w:bottom w:w="0" w:type="dxa"/>
            </w:tcMar>
            <w:vAlign w:val="center"/>
          </w:tcPr>
          <w:p>
            <w:pPr>
              <w:pStyle w:val="Normal"/>
              <w:rPr/>
            </w:pPr>
            <w:r>
              <w:rPr/>
            </w:r>
          </w:p>
        </w:tc>
        <w:tc>
          <w:tcPr>
            <w:tcW w:w="384"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8</w:t>
            </w:r>
          </w:p>
        </w:tc>
        <w:tc>
          <w:tcPr>
            <w:tcW w:w="8540" w:type="dxa"/>
            <w:gridSpan w:val="2"/>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Shared Voting Power</w:t>
            </w:r>
            <w:r>
              <w:rPr/>
              <w:t xml:space="preserve"> </w:t>
            </w:r>
            <w:r>
              <w:rPr>
                <w:sz w:val="17"/>
              </w:rPr>
              <w:br/>
              <w:t>0 Common Units</w:t>
            </w:r>
          </w:p>
        </w:tc>
      </w:tr>
      <w:tr>
        <w:trPr/>
        <w:tc>
          <w:tcPr>
            <w:tcW w:w="1281" w:type="dxa"/>
            <w:gridSpan w:val="3"/>
            <w:vMerge w:val="continue"/>
            <w:tcBorders/>
            <w:shd w:fill="auto" w:val="clear"/>
            <w:tcMar>
              <w:bottom w:w="0" w:type="dxa"/>
            </w:tcMar>
            <w:vAlign w:val="center"/>
          </w:tcPr>
          <w:p>
            <w:pPr>
              <w:pStyle w:val="Normal"/>
              <w:rPr/>
            </w:pPr>
            <w:r>
              <w:rPr/>
            </w:r>
          </w:p>
        </w:tc>
        <w:tc>
          <w:tcPr>
            <w:tcW w:w="8924" w:type="dxa"/>
            <w:gridSpan w:val="3"/>
            <w:tcBorders/>
            <w:shd w:fill="auto" w:val="clear"/>
            <w:tcMar>
              <w:bottom w:w="0" w:type="dxa"/>
            </w:tcMar>
          </w:tcPr>
          <w:p>
            <w:pPr>
              <w:pStyle w:val="TableContents"/>
              <w:spacing w:before="80" w:after="80"/>
              <w:ind w:left="0" w:right="0" w:hanging="0"/>
              <w:rPr/>
            </w:pPr>
            <w:r>
              <w:rPr/>
              <w:t> </w:t>
            </w:r>
          </w:p>
        </w:tc>
      </w:tr>
      <w:tr>
        <w:trPr/>
        <w:tc>
          <w:tcPr>
            <w:tcW w:w="1281" w:type="dxa"/>
            <w:gridSpan w:val="3"/>
            <w:vMerge w:val="continue"/>
            <w:tcBorders/>
            <w:shd w:fill="auto" w:val="clear"/>
            <w:tcMar>
              <w:bottom w:w="0" w:type="dxa"/>
            </w:tcMar>
            <w:vAlign w:val="center"/>
          </w:tcPr>
          <w:p>
            <w:pPr>
              <w:pStyle w:val="Normal"/>
              <w:rPr/>
            </w:pPr>
            <w:r>
              <w:rPr/>
            </w:r>
          </w:p>
        </w:tc>
        <w:tc>
          <w:tcPr>
            <w:tcW w:w="384"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9</w:t>
            </w:r>
          </w:p>
        </w:tc>
        <w:tc>
          <w:tcPr>
            <w:tcW w:w="8540" w:type="dxa"/>
            <w:gridSpan w:val="2"/>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Sole Dispositive Power</w:t>
            </w:r>
            <w:r>
              <w:rPr/>
              <w:t xml:space="preserve"> </w:t>
            </w:r>
            <w:r>
              <w:rPr>
                <w:sz w:val="17"/>
              </w:rPr>
              <w:br/>
              <w:t>53,589,877 Common Units(1)</w:t>
            </w:r>
          </w:p>
        </w:tc>
      </w:tr>
      <w:tr>
        <w:trPr/>
        <w:tc>
          <w:tcPr>
            <w:tcW w:w="1281" w:type="dxa"/>
            <w:gridSpan w:val="3"/>
            <w:vMerge w:val="continue"/>
            <w:tcBorders/>
            <w:shd w:fill="auto" w:val="clear"/>
            <w:tcMar>
              <w:bottom w:w="0" w:type="dxa"/>
            </w:tcMar>
            <w:vAlign w:val="center"/>
          </w:tcPr>
          <w:p>
            <w:pPr>
              <w:pStyle w:val="Normal"/>
              <w:rPr/>
            </w:pPr>
            <w:r>
              <w:rPr/>
            </w:r>
          </w:p>
        </w:tc>
        <w:tc>
          <w:tcPr>
            <w:tcW w:w="8924" w:type="dxa"/>
            <w:gridSpan w:val="3"/>
            <w:tcBorders/>
            <w:shd w:fill="auto" w:val="clear"/>
            <w:tcMar>
              <w:bottom w:w="0" w:type="dxa"/>
            </w:tcMar>
          </w:tcPr>
          <w:p>
            <w:pPr>
              <w:pStyle w:val="TableContents"/>
              <w:spacing w:before="80" w:after="80"/>
              <w:ind w:left="0" w:right="0" w:hanging="0"/>
              <w:rPr/>
            </w:pPr>
            <w:r>
              <w:rPr/>
              <w:t> </w:t>
            </w:r>
          </w:p>
        </w:tc>
      </w:tr>
      <w:tr>
        <w:trPr/>
        <w:tc>
          <w:tcPr>
            <w:tcW w:w="1281" w:type="dxa"/>
            <w:gridSpan w:val="3"/>
            <w:vMerge w:val="continue"/>
            <w:tcBorders/>
            <w:shd w:fill="auto" w:val="clear"/>
            <w:tcMar>
              <w:bottom w:w="0" w:type="dxa"/>
            </w:tcMar>
            <w:vAlign w:val="center"/>
          </w:tcPr>
          <w:p>
            <w:pPr>
              <w:pStyle w:val="Normal"/>
              <w:rPr/>
            </w:pPr>
            <w:r>
              <w:rPr/>
            </w:r>
          </w:p>
        </w:tc>
        <w:tc>
          <w:tcPr>
            <w:tcW w:w="384"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10</w:t>
            </w:r>
          </w:p>
        </w:tc>
        <w:tc>
          <w:tcPr>
            <w:tcW w:w="8540" w:type="dxa"/>
            <w:gridSpan w:val="2"/>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Shared Dispositive Power</w:t>
            </w:r>
            <w:r>
              <w:rPr/>
              <w:t xml:space="preserve"> </w:t>
            </w:r>
            <w:r>
              <w:rPr>
                <w:sz w:val="17"/>
              </w:rPr>
              <w:br/>
              <w:t>0 Common Units</w:t>
            </w:r>
          </w:p>
        </w:tc>
      </w:tr>
      <w:tr>
        <w:trPr/>
        <w:tc>
          <w:tcPr>
            <w:tcW w:w="10205" w:type="dxa"/>
            <w:gridSpan w:val="6"/>
            <w:tcBorders/>
            <w:shd w:fill="auto" w:val="clear"/>
            <w:tcMar>
              <w:bottom w:w="0" w:type="dxa"/>
            </w:tcMar>
            <w:vAlign w:val="center"/>
          </w:tcPr>
          <w:p>
            <w:pPr>
              <w:pStyle w:val="TableContents"/>
              <w:spacing w:before="80" w:after="80"/>
              <w:ind w:left="0" w:right="0" w:hanging="0"/>
              <w:rPr/>
            </w:pPr>
            <w:r>
              <w:rPr/>
              <w:t> </w:t>
            </w:r>
          </w:p>
        </w:tc>
      </w:tr>
      <w:tr>
        <w:trPr/>
        <w:tc>
          <w:tcPr>
            <w:tcW w:w="288" w:type="dxa"/>
            <w:tcBorders/>
            <w:shd w:fill="auto" w:val="clear"/>
            <w:tcMar>
              <w:bottom w:w="0" w:type="dxa"/>
            </w:tcMar>
            <w:vAlign w:val="center"/>
          </w:tcPr>
          <w:p>
            <w:pPr>
              <w:pStyle w:val="TableContents"/>
              <w:spacing w:before="80" w:after="80"/>
              <w:ind w:left="0" w:right="0" w:hanging="0"/>
              <w:rPr/>
            </w:pPr>
            <w:r>
              <w:rPr/>
              <w:t> </w:t>
            </w:r>
          </w:p>
        </w:tc>
        <w:tc>
          <w:tcPr>
            <w:tcW w:w="481"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11</w:t>
            </w:r>
          </w:p>
        </w:tc>
        <w:tc>
          <w:tcPr>
            <w:tcW w:w="9436" w:type="dxa"/>
            <w:gridSpan w:val="4"/>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Aggregate Amount Beneficially Owned by Each Reporting Person</w:t>
            </w:r>
            <w:r>
              <w:rPr/>
              <w:t xml:space="preserve"> </w:t>
            </w:r>
            <w:r>
              <w:rPr>
                <w:sz w:val="17"/>
              </w:rPr>
              <w:br/>
              <w:t>53,589,877 Common Units(1)</w:t>
            </w:r>
          </w:p>
        </w:tc>
      </w:tr>
      <w:tr>
        <w:trPr/>
        <w:tc>
          <w:tcPr>
            <w:tcW w:w="10205" w:type="dxa"/>
            <w:gridSpan w:val="6"/>
            <w:tcBorders/>
            <w:shd w:fill="auto" w:val="clear"/>
            <w:tcMar>
              <w:bottom w:w="0" w:type="dxa"/>
            </w:tcMar>
          </w:tcPr>
          <w:p>
            <w:pPr>
              <w:pStyle w:val="TableContents"/>
              <w:spacing w:before="80" w:after="80"/>
              <w:ind w:left="0" w:right="0" w:hanging="0"/>
              <w:rPr/>
            </w:pPr>
            <w:r>
              <w:rPr/>
              <w:t> </w:t>
            </w:r>
          </w:p>
        </w:tc>
      </w:tr>
      <w:tr>
        <w:trPr/>
        <w:tc>
          <w:tcPr>
            <w:tcW w:w="288" w:type="dxa"/>
            <w:tcBorders/>
            <w:shd w:fill="auto" w:val="clear"/>
            <w:tcMar>
              <w:bottom w:w="0" w:type="dxa"/>
            </w:tcMar>
            <w:vAlign w:val="center"/>
          </w:tcPr>
          <w:p>
            <w:pPr>
              <w:pStyle w:val="TableContents"/>
              <w:spacing w:before="80" w:after="80"/>
              <w:ind w:left="0" w:right="0" w:hanging="0"/>
              <w:rPr/>
            </w:pPr>
            <w:r>
              <w:rPr/>
              <w:t> </w:t>
            </w:r>
          </w:p>
        </w:tc>
        <w:tc>
          <w:tcPr>
            <w:tcW w:w="481"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12</w:t>
            </w:r>
          </w:p>
        </w:tc>
        <w:tc>
          <w:tcPr>
            <w:tcW w:w="9436" w:type="dxa"/>
            <w:gridSpan w:val="4"/>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Check if the Aggregate Amount in Row (11) Excludes Certain Shares</w:t>
            </w:r>
            <w:r>
              <w:rPr/>
              <w:t xml:space="preserve">   </w:t>
            </w:r>
            <w:r>
              <w:rPr>
                <w:rFonts w:ascii="Wingdings" w:hAnsi="Wingdings"/>
                <w:sz w:val="17"/>
              </w:rPr>
              <w:t>o</w:t>
            </w:r>
          </w:p>
        </w:tc>
      </w:tr>
      <w:tr>
        <w:trPr/>
        <w:tc>
          <w:tcPr>
            <w:tcW w:w="10205" w:type="dxa"/>
            <w:gridSpan w:val="6"/>
            <w:tcBorders/>
            <w:shd w:fill="auto" w:val="clear"/>
            <w:tcMar>
              <w:bottom w:w="0" w:type="dxa"/>
            </w:tcMar>
          </w:tcPr>
          <w:p>
            <w:pPr>
              <w:pStyle w:val="TableContents"/>
              <w:spacing w:before="80" w:after="80"/>
              <w:ind w:left="0" w:right="0" w:hanging="0"/>
              <w:rPr/>
            </w:pPr>
            <w:r>
              <w:rPr/>
              <w:t> </w:t>
            </w:r>
          </w:p>
        </w:tc>
      </w:tr>
      <w:tr>
        <w:trPr/>
        <w:tc>
          <w:tcPr>
            <w:tcW w:w="288" w:type="dxa"/>
            <w:tcBorders/>
            <w:shd w:fill="auto" w:val="clear"/>
            <w:tcMar>
              <w:bottom w:w="0" w:type="dxa"/>
            </w:tcMar>
            <w:vAlign w:val="center"/>
          </w:tcPr>
          <w:p>
            <w:pPr>
              <w:pStyle w:val="TableContents"/>
              <w:spacing w:before="80" w:after="80"/>
              <w:ind w:left="0" w:right="0" w:hanging="0"/>
              <w:rPr/>
            </w:pPr>
            <w:r>
              <w:rPr/>
              <w:t> </w:t>
            </w:r>
          </w:p>
        </w:tc>
        <w:tc>
          <w:tcPr>
            <w:tcW w:w="481"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13</w:t>
            </w:r>
          </w:p>
        </w:tc>
        <w:tc>
          <w:tcPr>
            <w:tcW w:w="9436" w:type="dxa"/>
            <w:gridSpan w:val="4"/>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Percent of Class Represented by Amount in Row (11)</w:t>
            </w:r>
            <w:r>
              <w:rPr/>
              <w:t xml:space="preserve"> </w:t>
            </w:r>
            <w:r>
              <w:rPr>
                <w:sz w:val="17"/>
              </w:rPr>
              <w:br/>
              <w:t>61.9% of Common Units(2)</w:t>
            </w:r>
          </w:p>
        </w:tc>
      </w:tr>
      <w:tr>
        <w:trPr/>
        <w:tc>
          <w:tcPr>
            <w:tcW w:w="10205" w:type="dxa"/>
            <w:gridSpan w:val="6"/>
            <w:tcBorders/>
            <w:shd w:fill="auto" w:val="clear"/>
            <w:tcMar>
              <w:bottom w:w="0" w:type="dxa"/>
            </w:tcMar>
          </w:tcPr>
          <w:p>
            <w:pPr>
              <w:pStyle w:val="TableContents"/>
              <w:spacing w:before="80" w:after="80"/>
              <w:ind w:left="0" w:right="0" w:hanging="0"/>
              <w:rPr/>
            </w:pPr>
            <w:r>
              <w:rPr/>
              <w:t> </w:t>
            </w:r>
          </w:p>
        </w:tc>
      </w:tr>
      <w:tr>
        <w:trPr/>
        <w:tc>
          <w:tcPr>
            <w:tcW w:w="288" w:type="dxa"/>
            <w:tcBorders/>
            <w:shd w:fill="auto" w:val="clear"/>
            <w:tcMar>
              <w:bottom w:w="0" w:type="dxa"/>
            </w:tcMar>
            <w:vAlign w:val="center"/>
          </w:tcPr>
          <w:p>
            <w:pPr>
              <w:pStyle w:val="TableContents"/>
              <w:spacing w:before="80" w:after="80"/>
              <w:ind w:left="0" w:right="0" w:hanging="0"/>
              <w:rPr/>
            </w:pPr>
            <w:r>
              <w:rPr/>
              <w:t> </w:t>
            </w:r>
          </w:p>
        </w:tc>
        <w:tc>
          <w:tcPr>
            <w:tcW w:w="481"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14</w:t>
            </w:r>
          </w:p>
        </w:tc>
        <w:tc>
          <w:tcPr>
            <w:tcW w:w="9436" w:type="dxa"/>
            <w:gridSpan w:val="4"/>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Type of Reporting Person</w:t>
            </w:r>
            <w:r>
              <w:rPr>
                <w:sz w:val="17"/>
              </w:rPr>
              <w:br/>
              <w:t>PN</w:t>
            </w:r>
          </w:p>
        </w:tc>
      </w:tr>
      <w:tr>
        <w:trPr/>
        <w:tc>
          <w:tcPr>
            <w:tcW w:w="288" w:type="dxa"/>
            <w:tcBorders/>
            <w:shd w:fill="auto" w:val="clear"/>
            <w:tcMar>
              <w:bottom w:w="0" w:type="dxa"/>
            </w:tcMar>
            <w:vAlign w:val="center"/>
          </w:tcPr>
          <w:p>
            <w:pPr>
              <w:pStyle w:val="TableContents"/>
              <w:spacing w:before="0" w:after="283"/>
              <w:rPr>
                <w:sz w:val="4"/>
                <w:szCs w:val="4"/>
              </w:rPr>
            </w:pPr>
            <w:r>
              <w:rPr>
                <w:sz w:val="4"/>
                <w:szCs w:val="4"/>
              </w:rPr>
            </w:r>
          </w:p>
        </w:tc>
        <w:tc>
          <w:tcPr>
            <w:tcW w:w="481" w:type="dxa"/>
            <w:tcBorders/>
            <w:shd w:fill="auto" w:val="clear"/>
            <w:tcMar>
              <w:bottom w:w="0" w:type="dxa"/>
            </w:tcMar>
            <w:vAlign w:val="center"/>
          </w:tcPr>
          <w:p>
            <w:pPr>
              <w:pStyle w:val="TableContents"/>
              <w:spacing w:before="0" w:after="283"/>
              <w:rPr>
                <w:sz w:val="4"/>
                <w:szCs w:val="4"/>
              </w:rPr>
            </w:pPr>
            <w:r>
              <w:rPr>
                <w:sz w:val="4"/>
                <w:szCs w:val="4"/>
              </w:rPr>
            </w:r>
          </w:p>
        </w:tc>
        <w:tc>
          <w:tcPr>
            <w:tcW w:w="512" w:type="dxa"/>
            <w:tcBorders/>
            <w:shd w:fill="auto" w:val="clear"/>
            <w:tcMar>
              <w:bottom w:w="0" w:type="dxa"/>
            </w:tcMar>
            <w:vAlign w:val="center"/>
          </w:tcPr>
          <w:p>
            <w:pPr>
              <w:pStyle w:val="TableContents"/>
              <w:spacing w:before="0" w:after="283"/>
              <w:rPr>
                <w:sz w:val="4"/>
                <w:szCs w:val="4"/>
              </w:rPr>
            </w:pPr>
            <w:r>
              <w:rPr>
                <w:sz w:val="4"/>
                <w:szCs w:val="4"/>
              </w:rPr>
            </w:r>
          </w:p>
        </w:tc>
        <w:tc>
          <w:tcPr>
            <w:tcW w:w="384" w:type="dxa"/>
            <w:tcBorders/>
            <w:shd w:fill="auto" w:val="clear"/>
            <w:tcMar>
              <w:bottom w:w="0" w:type="dxa"/>
            </w:tcMar>
            <w:vAlign w:val="center"/>
          </w:tcPr>
          <w:p>
            <w:pPr>
              <w:pStyle w:val="TableContents"/>
              <w:spacing w:before="0" w:after="283"/>
              <w:rPr>
                <w:sz w:val="4"/>
                <w:szCs w:val="4"/>
              </w:rPr>
            </w:pPr>
            <w:r>
              <w:rPr>
                <w:sz w:val="4"/>
                <w:szCs w:val="4"/>
              </w:rPr>
            </w:r>
          </w:p>
        </w:tc>
        <w:tc>
          <w:tcPr>
            <w:tcW w:w="645" w:type="dxa"/>
            <w:tcBorders/>
            <w:shd w:fill="auto" w:val="clear"/>
            <w:tcMar>
              <w:bottom w:w="0" w:type="dxa"/>
            </w:tcMar>
            <w:vAlign w:val="center"/>
          </w:tcPr>
          <w:p>
            <w:pPr>
              <w:pStyle w:val="TableContents"/>
              <w:spacing w:before="0" w:after="283"/>
              <w:rPr>
                <w:sz w:val="4"/>
                <w:szCs w:val="4"/>
              </w:rPr>
            </w:pPr>
            <w:r>
              <w:rPr>
                <w:sz w:val="4"/>
                <w:szCs w:val="4"/>
              </w:rPr>
            </w:r>
          </w:p>
        </w:tc>
        <w:tc>
          <w:tcPr>
            <w:tcW w:w="7895" w:type="dxa"/>
            <w:tcBorders/>
            <w:shd w:fill="auto" w:val="clear"/>
            <w:tcMar>
              <w:bottom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7"/>
        </w:rPr>
        <w:t>(1)  Includes 11,934,351 Series A Subordinated Units and 13,500,000 Series B Subordinated Units, each representing limited partner interests in the Issuer. The Series A Subordinated Units may be converted into Common Units on a one-for-one basis upon termination of the subordination period under certain circumstances, as set forth in the Partnership Agreement. The Series B Subordinated Units may be converted into Series A Subordinated Units on a one-for-one basis upon the satisfaction of certain operational and financial conditions or, if the subordination period has ended at the time the various operation and financial conditions are satisfied, into Common Units on a one-for-one basis, as set forth in the Partnership Agreement; provided, however, that any Series B Subordinated Units that remain outstanding as of December 31, 2018 will be automatically cancelled.</w:t>
      </w:r>
    </w:p>
    <w:p>
      <w:pPr>
        <w:pStyle w:val="TextBody"/>
        <w:spacing w:before="0" w:after="0"/>
        <w:ind w:left="0" w:right="0" w:hanging="0"/>
        <w:rPr>
          <w:rFonts w:ascii="Times New Roman" w:hAnsi="Times New Roman"/>
          <w:sz w:val="17"/>
        </w:rPr>
      </w:pPr>
      <w:r>
        <w:rPr>
          <w:rFonts w:ascii="Times New Roman" w:hAnsi="Times New Roman"/>
          <w:sz w:val="17"/>
        </w:rPr>
        <w:t>(2)  Based on the aggregate number of Common Units, Series A Subordinated Units and Series B Subordinated Units issued and outstanding as of July 31, 2013.</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4" w:name="PB_4_014258_2897"/>
      <w:bookmarkEnd w:id="4"/>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SCHEDULE 13D/A</w:t>
      </w:r>
    </w:p>
    <w:p>
      <w:pPr>
        <w:pStyle w:val="TextBody"/>
        <w:spacing w:before="0" w:after="0"/>
        <w:ind w:left="0" w:right="0" w:hanging="0"/>
        <w:jc w:val="center"/>
        <w:rPr/>
      </w:pPr>
      <w:r>
        <w:rPr/>
        <w:t> </w:t>
      </w:r>
    </w:p>
    <w:tbl>
      <w:tblPr>
        <w:tblW w:w="5000" w:type="pct"/>
        <w:jc w:val="center"/>
        <w:tblInd w:w="0" w:type="dxa"/>
        <w:tblCellMar>
          <w:top w:w="0" w:type="dxa"/>
          <w:left w:w="0" w:type="dxa"/>
          <w:bottom w:w="60" w:type="dxa"/>
          <w:right w:w="0" w:type="dxa"/>
        </w:tblCellMar>
      </w:tblPr>
      <w:tblGrid>
        <w:gridCol w:w="288"/>
        <w:gridCol w:w="481"/>
        <w:gridCol w:w="512"/>
        <w:gridCol w:w="384"/>
        <w:gridCol w:w="645"/>
        <w:gridCol w:w="7895"/>
      </w:tblGrid>
      <w:tr>
        <w:trPr/>
        <w:tc>
          <w:tcPr>
            <w:tcW w:w="10205" w:type="dxa"/>
            <w:gridSpan w:val="6"/>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 xml:space="preserve">CUSIP No. </w:t>
            </w:r>
            <w:r>
              <w:rPr>
                <w:sz w:val="17"/>
              </w:rPr>
              <w:t>693139107</w:t>
            </w:r>
          </w:p>
        </w:tc>
      </w:tr>
      <w:tr>
        <w:trPr/>
        <w:tc>
          <w:tcPr>
            <w:tcW w:w="10205" w:type="dxa"/>
            <w:gridSpan w:val="6"/>
            <w:tcBorders/>
            <w:shd w:fill="auto" w:val="clear"/>
            <w:tcMar>
              <w:bottom w:w="0" w:type="dxa"/>
            </w:tcMar>
            <w:vAlign w:val="center"/>
          </w:tcPr>
          <w:p>
            <w:pPr>
              <w:pStyle w:val="TableContents"/>
              <w:spacing w:before="80" w:after="80"/>
              <w:ind w:left="0" w:right="0" w:hanging="0"/>
              <w:rPr/>
            </w:pPr>
            <w:r>
              <w:rPr/>
              <w:t> </w:t>
            </w:r>
          </w:p>
        </w:tc>
      </w:tr>
      <w:tr>
        <w:trPr/>
        <w:tc>
          <w:tcPr>
            <w:tcW w:w="288" w:type="dxa"/>
            <w:tcBorders/>
            <w:shd w:fill="auto" w:val="clear"/>
            <w:tcMar>
              <w:bottom w:w="0" w:type="dxa"/>
            </w:tcMar>
            <w:vAlign w:val="center"/>
          </w:tcPr>
          <w:p>
            <w:pPr>
              <w:pStyle w:val="TableContents"/>
              <w:spacing w:before="80" w:after="80"/>
              <w:ind w:left="0" w:right="0" w:hanging="0"/>
              <w:rPr/>
            </w:pPr>
            <w:r>
              <w:rPr/>
              <w:t> </w:t>
            </w:r>
          </w:p>
        </w:tc>
        <w:tc>
          <w:tcPr>
            <w:tcW w:w="481"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1</w:t>
            </w:r>
          </w:p>
        </w:tc>
        <w:tc>
          <w:tcPr>
            <w:tcW w:w="9436" w:type="dxa"/>
            <w:gridSpan w:val="4"/>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Name of Reporting Person</w:t>
              <w:br/>
            </w:r>
            <w:r>
              <w:rPr>
                <w:sz w:val="17"/>
              </w:rPr>
              <w:t>Plains All American GP LLC</w:t>
            </w:r>
          </w:p>
        </w:tc>
      </w:tr>
      <w:tr>
        <w:trPr/>
        <w:tc>
          <w:tcPr>
            <w:tcW w:w="10205" w:type="dxa"/>
            <w:gridSpan w:val="6"/>
            <w:tcBorders/>
            <w:shd w:fill="auto" w:val="clear"/>
            <w:tcMar>
              <w:bottom w:w="0" w:type="dxa"/>
            </w:tcMar>
            <w:vAlign w:val="center"/>
          </w:tcPr>
          <w:p>
            <w:pPr>
              <w:pStyle w:val="TableContents"/>
              <w:spacing w:before="80" w:after="80"/>
              <w:ind w:left="0" w:right="0" w:hanging="0"/>
              <w:rPr/>
            </w:pPr>
            <w:r>
              <w:rPr/>
              <w:t> </w:t>
            </w:r>
          </w:p>
        </w:tc>
      </w:tr>
      <w:tr>
        <w:trPr/>
        <w:tc>
          <w:tcPr>
            <w:tcW w:w="288" w:type="dxa"/>
            <w:tcBorders/>
            <w:shd w:fill="auto" w:val="clear"/>
            <w:tcMar>
              <w:bottom w:w="0" w:type="dxa"/>
            </w:tcMar>
            <w:vAlign w:val="center"/>
          </w:tcPr>
          <w:p>
            <w:pPr>
              <w:pStyle w:val="TableContents"/>
              <w:spacing w:before="80" w:after="80"/>
              <w:ind w:left="0" w:right="0" w:hanging="0"/>
              <w:rPr/>
            </w:pPr>
            <w:r>
              <w:rPr/>
              <w:t> </w:t>
            </w:r>
          </w:p>
        </w:tc>
        <w:tc>
          <w:tcPr>
            <w:tcW w:w="481"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2</w:t>
            </w:r>
          </w:p>
        </w:tc>
        <w:tc>
          <w:tcPr>
            <w:tcW w:w="9436" w:type="dxa"/>
            <w:gridSpan w:val="4"/>
            <w:tcBorders/>
            <w:shd w:fill="auto" w:val="clear"/>
            <w:tcMar>
              <w:bottom w:w="0" w:type="dxa"/>
            </w:tcMar>
            <w:vAlign w:val="center"/>
          </w:tcPr>
          <w:p>
            <w:pPr>
              <w:pStyle w:val="TableContents"/>
              <w:spacing w:before="80" w:after="80"/>
              <w:ind w:left="0" w:right="0" w:hanging="0"/>
              <w:rPr>
                <w:rFonts w:ascii="Times New Roman" w:hAnsi="Times New Roman"/>
                <w:sz w:val="17"/>
              </w:rPr>
            </w:pPr>
            <w:r>
              <w:rPr>
                <w:rFonts w:ascii="Times New Roman" w:hAnsi="Times New Roman"/>
                <w:sz w:val="17"/>
              </w:rPr>
              <w:t>Check the Appropriate Box if a Member of a Group</w:t>
            </w:r>
          </w:p>
        </w:tc>
      </w:tr>
      <w:tr>
        <w:trPr/>
        <w:tc>
          <w:tcPr>
            <w:tcW w:w="288" w:type="dxa"/>
            <w:tcBorders/>
            <w:shd w:fill="auto" w:val="clear"/>
            <w:tcMar>
              <w:bottom w:w="0" w:type="dxa"/>
            </w:tcMar>
            <w:vAlign w:val="center"/>
          </w:tcPr>
          <w:p>
            <w:pPr>
              <w:pStyle w:val="TableContents"/>
              <w:spacing w:before="80" w:after="80"/>
              <w:ind w:left="0" w:right="0" w:hanging="0"/>
              <w:rPr/>
            </w:pPr>
            <w:r>
              <w:rPr/>
              <w:t> </w:t>
            </w:r>
          </w:p>
        </w:tc>
        <w:tc>
          <w:tcPr>
            <w:tcW w:w="481" w:type="dxa"/>
            <w:tcBorders/>
            <w:shd w:fill="auto" w:val="clear"/>
            <w:tcMar>
              <w:bottom w:w="0" w:type="dxa"/>
            </w:tcMar>
          </w:tcPr>
          <w:p>
            <w:pPr>
              <w:pStyle w:val="TableContents"/>
              <w:spacing w:before="80" w:after="80"/>
              <w:ind w:left="0" w:right="0" w:hanging="0"/>
              <w:rPr/>
            </w:pPr>
            <w:r>
              <w:rPr/>
              <w:t> </w:t>
            </w:r>
          </w:p>
        </w:tc>
        <w:tc>
          <w:tcPr>
            <w:tcW w:w="1541" w:type="dxa"/>
            <w:gridSpan w:val="3"/>
            <w:tcBorders/>
            <w:shd w:fill="auto" w:val="clear"/>
            <w:tcMar>
              <w:bottom w:w="0" w:type="dxa"/>
            </w:tcMar>
            <w:vAlign w:val="center"/>
          </w:tcPr>
          <w:p>
            <w:pPr>
              <w:pStyle w:val="TableContents"/>
              <w:spacing w:before="80" w:after="80"/>
              <w:ind w:left="0" w:right="0" w:hanging="0"/>
              <w:rPr>
                <w:rFonts w:ascii="Times New Roman" w:hAnsi="Times New Roman"/>
                <w:sz w:val="17"/>
              </w:rPr>
            </w:pPr>
            <w:r>
              <w:rPr>
                <w:rFonts w:ascii="Times New Roman" w:hAnsi="Times New Roman"/>
                <w:sz w:val="17"/>
              </w:rPr>
              <w:t>(a):</w:t>
            </w:r>
          </w:p>
        </w:tc>
        <w:tc>
          <w:tcPr>
            <w:tcW w:w="7895" w:type="dxa"/>
            <w:tcBorders>
              <w:bottom w:val="single" w:sz="8" w:space="0" w:color="000000"/>
            </w:tcBorders>
            <w:shd w:fill="auto" w:val="clear"/>
            <w:vAlign w:val="center"/>
          </w:tcPr>
          <w:p>
            <w:pPr>
              <w:pStyle w:val="TableContents"/>
              <w:spacing w:before="80" w:after="80"/>
              <w:ind w:left="0" w:right="0" w:hanging="0"/>
              <w:rPr/>
            </w:pPr>
            <w:r>
              <w:rPr/>
              <w:t> </w:t>
            </w:r>
            <w:r>
              <w:rPr>
                <w:rFonts w:ascii="Wingdings" w:hAnsi="Wingdings"/>
                <w:sz w:val="17"/>
              </w:rPr>
              <w:t>o</w:t>
            </w:r>
          </w:p>
        </w:tc>
      </w:tr>
      <w:tr>
        <w:trPr/>
        <w:tc>
          <w:tcPr>
            <w:tcW w:w="288" w:type="dxa"/>
            <w:tcBorders/>
            <w:shd w:fill="auto" w:val="clear"/>
            <w:tcMar>
              <w:bottom w:w="0" w:type="dxa"/>
            </w:tcMar>
            <w:vAlign w:val="center"/>
          </w:tcPr>
          <w:p>
            <w:pPr>
              <w:pStyle w:val="TableContents"/>
              <w:spacing w:before="80" w:after="80"/>
              <w:ind w:left="0" w:right="0" w:hanging="0"/>
              <w:rPr/>
            </w:pPr>
            <w:r>
              <w:rPr/>
              <w:t> </w:t>
            </w:r>
          </w:p>
        </w:tc>
        <w:tc>
          <w:tcPr>
            <w:tcW w:w="481" w:type="dxa"/>
            <w:tcBorders/>
            <w:shd w:fill="auto" w:val="clear"/>
            <w:tcMar>
              <w:bottom w:w="0" w:type="dxa"/>
            </w:tcMar>
          </w:tcPr>
          <w:p>
            <w:pPr>
              <w:pStyle w:val="TableContents"/>
              <w:spacing w:before="80" w:after="80"/>
              <w:ind w:left="0" w:right="0" w:hanging="0"/>
              <w:rPr/>
            </w:pPr>
            <w:r>
              <w:rPr/>
              <w:t> </w:t>
            </w:r>
          </w:p>
        </w:tc>
        <w:tc>
          <w:tcPr>
            <w:tcW w:w="1541" w:type="dxa"/>
            <w:gridSpan w:val="3"/>
            <w:tcBorders/>
            <w:shd w:fill="auto" w:val="clear"/>
            <w:tcMar>
              <w:bottom w:w="0" w:type="dxa"/>
            </w:tcMar>
            <w:vAlign w:val="center"/>
          </w:tcPr>
          <w:p>
            <w:pPr>
              <w:pStyle w:val="TableContents"/>
              <w:spacing w:before="80" w:after="80"/>
              <w:ind w:left="0" w:right="0" w:hanging="0"/>
              <w:rPr>
                <w:rFonts w:ascii="Times New Roman" w:hAnsi="Times New Roman"/>
                <w:sz w:val="17"/>
              </w:rPr>
            </w:pPr>
            <w:r>
              <w:rPr>
                <w:rFonts w:ascii="Times New Roman" w:hAnsi="Times New Roman"/>
                <w:sz w:val="17"/>
              </w:rPr>
              <w:t>(b):</w:t>
            </w:r>
          </w:p>
        </w:tc>
        <w:tc>
          <w:tcPr>
            <w:tcW w:w="7895" w:type="dxa"/>
            <w:tcBorders>
              <w:bottom w:val="single" w:sz="8" w:space="0" w:color="000000"/>
            </w:tcBorders>
            <w:shd w:fill="auto" w:val="clear"/>
            <w:vAlign w:val="center"/>
          </w:tcPr>
          <w:p>
            <w:pPr>
              <w:pStyle w:val="TableContents"/>
              <w:spacing w:before="80" w:after="80"/>
              <w:ind w:left="0" w:right="0" w:hanging="0"/>
              <w:rPr/>
            </w:pPr>
            <w:r>
              <w:rPr/>
              <w:t> </w:t>
            </w:r>
            <w:r>
              <w:rPr>
                <w:rFonts w:ascii="Wingdings" w:hAnsi="Wingdings"/>
                <w:sz w:val="17"/>
              </w:rPr>
              <w:t>o</w:t>
            </w:r>
          </w:p>
        </w:tc>
      </w:tr>
      <w:tr>
        <w:trPr/>
        <w:tc>
          <w:tcPr>
            <w:tcW w:w="10205" w:type="dxa"/>
            <w:gridSpan w:val="6"/>
            <w:tcBorders/>
            <w:shd w:fill="auto" w:val="clear"/>
            <w:tcMar>
              <w:bottom w:w="0" w:type="dxa"/>
            </w:tcMar>
          </w:tcPr>
          <w:p>
            <w:pPr>
              <w:pStyle w:val="TableContents"/>
              <w:spacing w:before="80" w:after="80"/>
              <w:ind w:left="0" w:right="0" w:hanging="0"/>
              <w:rPr/>
            </w:pPr>
            <w:r>
              <w:rPr/>
              <w:t> </w:t>
            </w:r>
          </w:p>
        </w:tc>
      </w:tr>
      <w:tr>
        <w:trPr/>
        <w:tc>
          <w:tcPr>
            <w:tcW w:w="288" w:type="dxa"/>
            <w:tcBorders/>
            <w:shd w:fill="auto" w:val="clear"/>
            <w:tcMar>
              <w:bottom w:w="0" w:type="dxa"/>
            </w:tcMar>
            <w:vAlign w:val="center"/>
          </w:tcPr>
          <w:p>
            <w:pPr>
              <w:pStyle w:val="TableContents"/>
              <w:spacing w:before="80" w:after="80"/>
              <w:ind w:left="0" w:right="0" w:hanging="0"/>
              <w:rPr/>
            </w:pPr>
            <w:r>
              <w:rPr/>
              <w:t> </w:t>
            </w:r>
          </w:p>
        </w:tc>
        <w:tc>
          <w:tcPr>
            <w:tcW w:w="481"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3</w:t>
            </w:r>
          </w:p>
        </w:tc>
        <w:tc>
          <w:tcPr>
            <w:tcW w:w="9436" w:type="dxa"/>
            <w:gridSpan w:val="4"/>
            <w:tcBorders>
              <w:bottom w:val="single" w:sz="8" w:space="0" w:color="000000"/>
            </w:tcBorders>
            <w:shd w:fill="auto" w:val="clear"/>
            <w:vAlign w:val="center"/>
          </w:tcPr>
          <w:p>
            <w:pPr>
              <w:pStyle w:val="TableContents"/>
              <w:spacing w:before="80" w:after="80"/>
              <w:ind w:left="0" w:right="0" w:hanging="0"/>
              <w:rPr>
                <w:rFonts w:ascii="Times New Roman" w:hAnsi="Times New Roman"/>
                <w:sz w:val="17"/>
              </w:rPr>
            </w:pPr>
            <w:r>
              <w:rPr>
                <w:rFonts w:ascii="Times New Roman" w:hAnsi="Times New Roman"/>
                <w:sz w:val="17"/>
              </w:rPr>
              <w:t xml:space="preserve">SEC Use Only </w:t>
            </w:r>
          </w:p>
        </w:tc>
      </w:tr>
      <w:tr>
        <w:trPr/>
        <w:tc>
          <w:tcPr>
            <w:tcW w:w="10205" w:type="dxa"/>
            <w:gridSpan w:val="6"/>
            <w:tcBorders/>
            <w:shd w:fill="auto" w:val="clear"/>
            <w:tcMar>
              <w:bottom w:w="0" w:type="dxa"/>
            </w:tcMar>
          </w:tcPr>
          <w:p>
            <w:pPr>
              <w:pStyle w:val="TableContents"/>
              <w:spacing w:before="80" w:after="80"/>
              <w:ind w:left="0" w:right="0" w:hanging="0"/>
              <w:rPr/>
            </w:pPr>
            <w:r>
              <w:rPr/>
              <w:t> </w:t>
            </w:r>
          </w:p>
        </w:tc>
      </w:tr>
      <w:tr>
        <w:trPr/>
        <w:tc>
          <w:tcPr>
            <w:tcW w:w="288" w:type="dxa"/>
            <w:tcBorders/>
            <w:shd w:fill="auto" w:val="clear"/>
            <w:tcMar>
              <w:bottom w:w="0" w:type="dxa"/>
            </w:tcMar>
            <w:vAlign w:val="center"/>
          </w:tcPr>
          <w:p>
            <w:pPr>
              <w:pStyle w:val="TableContents"/>
              <w:spacing w:before="80" w:after="80"/>
              <w:ind w:left="0" w:right="0" w:hanging="0"/>
              <w:rPr/>
            </w:pPr>
            <w:r>
              <w:rPr/>
              <w:t> </w:t>
            </w:r>
          </w:p>
        </w:tc>
        <w:tc>
          <w:tcPr>
            <w:tcW w:w="481"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4</w:t>
            </w:r>
          </w:p>
        </w:tc>
        <w:tc>
          <w:tcPr>
            <w:tcW w:w="9436" w:type="dxa"/>
            <w:gridSpan w:val="4"/>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Source of Funds</w:t>
              <w:br/>
            </w:r>
            <w:r>
              <w:rPr>
                <w:sz w:val="17"/>
              </w:rPr>
              <w:t>OO (please see Item 3 below)</w:t>
            </w:r>
          </w:p>
        </w:tc>
      </w:tr>
      <w:tr>
        <w:trPr/>
        <w:tc>
          <w:tcPr>
            <w:tcW w:w="10205" w:type="dxa"/>
            <w:gridSpan w:val="6"/>
            <w:tcBorders/>
            <w:shd w:fill="auto" w:val="clear"/>
            <w:tcMar>
              <w:bottom w:w="0" w:type="dxa"/>
            </w:tcMar>
          </w:tcPr>
          <w:p>
            <w:pPr>
              <w:pStyle w:val="TableContents"/>
              <w:spacing w:before="80" w:after="80"/>
              <w:ind w:left="0" w:right="0" w:hanging="0"/>
              <w:rPr/>
            </w:pPr>
            <w:r>
              <w:rPr/>
              <w:t> </w:t>
            </w:r>
          </w:p>
        </w:tc>
      </w:tr>
      <w:tr>
        <w:trPr/>
        <w:tc>
          <w:tcPr>
            <w:tcW w:w="288" w:type="dxa"/>
            <w:tcBorders/>
            <w:shd w:fill="auto" w:val="clear"/>
            <w:tcMar>
              <w:bottom w:w="0" w:type="dxa"/>
            </w:tcMar>
            <w:vAlign w:val="center"/>
          </w:tcPr>
          <w:p>
            <w:pPr>
              <w:pStyle w:val="TableContents"/>
              <w:spacing w:before="80" w:after="80"/>
              <w:ind w:left="0" w:right="0" w:hanging="0"/>
              <w:rPr/>
            </w:pPr>
            <w:r>
              <w:rPr/>
              <w:t> </w:t>
            </w:r>
          </w:p>
        </w:tc>
        <w:tc>
          <w:tcPr>
            <w:tcW w:w="481"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5</w:t>
            </w:r>
          </w:p>
        </w:tc>
        <w:tc>
          <w:tcPr>
            <w:tcW w:w="9436" w:type="dxa"/>
            <w:gridSpan w:val="4"/>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 xml:space="preserve">Check if Disclosure of Legal Proceedings Is Required Pursuant to Items 2(d) or 2(e)  </w:t>
            </w:r>
            <w:r>
              <w:rPr/>
              <w:t>   </w:t>
            </w:r>
            <w:r>
              <w:rPr>
                <w:rFonts w:ascii="Wingdings" w:hAnsi="Wingdings"/>
                <w:sz w:val="17"/>
              </w:rPr>
              <w:t>o</w:t>
            </w:r>
          </w:p>
        </w:tc>
      </w:tr>
      <w:tr>
        <w:trPr/>
        <w:tc>
          <w:tcPr>
            <w:tcW w:w="10205" w:type="dxa"/>
            <w:gridSpan w:val="6"/>
            <w:tcBorders/>
            <w:shd w:fill="auto" w:val="clear"/>
            <w:tcMar>
              <w:bottom w:w="0" w:type="dxa"/>
            </w:tcMar>
          </w:tcPr>
          <w:p>
            <w:pPr>
              <w:pStyle w:val="TableContents"/>
              <w:spacing w:before="80" w:after="80"/>
              <w:ind w:left="0" w:right="0" w:hanging="0"/>
              <w:rPr/>
            </w:pPr>
            <w:r>
              <w:rPr/>
              <w:t> </w:t>
            </w:r>
          </w:p>
        </w:tc>
      </w:tr>
      <w:tr>
        <w:trPr/>
        <w:tc>
          <w:tcPr>
            <w:tcW w:w="288" w:type="dxa"/>
            <w:tcBorders/>
            <w:shd w:fill="auto" w:val="clear"/>
            <w:tcMar>
              <w:bottom w:w="0" w:type="dxa"/>
            </w:tcMar>
            <w:vAlign w:val="center"/>
          </w:tcPr>
          <w:p>
            <w:pPr>
              <w:pStyle w:val="TableContents"/>
              <w:spacing w:before="80" w:after="80"/>
              <w:ind w:left="0" w:right="0" w:hanging="0"/>
              <w:rPr/>
            </w:pPr>
            <w:r>
              <w:rPr/>
              <w:t> </w:t>
            </w:r>
          </w:p>
        </w:tc>
        <w:tc>
          <w:tcPr>
            <w:tcW w:w="481"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6</w:t>
            </w:r>
          </w:p>
        </w:tc>
        <w:tc>
          <w:tcPr>
            <w:tcW w:w="9436" w:type="dxa"/>
            <w:gridSpan w:val="4"/>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Citizenship or Place of Organization</w:t>
              <w:br/>
            </w:r>
            <w:r>
              <w:rPr>
                <w:sz w:val="17"/>
              </w:rPr>
              <w:t>Delaware, United States</w:t>
            </w:r>
          </w:p>
        </w:tc>
      </w:tr>
      <w:tr>
        <w:trPr/>
        <w:tc>
          <w:tcPr>
            <w:tcW w:w="10205" w:type="dxa"/>
            <w:gridSpan w:val="6"/>
            <w:tcBorders/>
            <w:shd w:fill="auto" w:val="clear"/>
            <w:tcMar>
              <w:bottom w:w="0" w:type="dxa"/>
            </w:tcMar>
            <w:vAlign w:val="center"/>
          </w:tcPr>
          <w:p>
            <w:pPr>
              <w:pStyle w:val="TableContents"/>
              <w:spacing w:before="80" w:after="80"/>
              <w:ind w:left="0" w:right="0" w:hanging="0"/>
              <w:rPr/>
            </w:pPr>
            <w:r>
              <w:rPr/>
              <w:t> </w:t>
            </w:r>
          </w:p>
        </w:tc>
      </w:tr>
      <w:tr>
        <w:trPr/>
        <w:tc>
          <w:tcPr>
            <w:tcW w:w="1281" w:type="dxa"/>
            <w:gridSpan w:val="3"/>
            <w:vMerge w:val="restart"/>
            <w:tcBorders/>
            <w:shd w:fill="auto" w:val="clear"/>
            <w:tcMar>
              <w:bottom w:w="0" w:type="dxa"/>
            </w:tcMar>
            <w:vAlign w:val="center"/>
          </w:tcPr>
          <w:p>
            <w:pPr>
              <w:pStyle w:val="TableContents"/>
              <w:spacing w:before="80" w:after="80"/>
              <w:ind w:left="0" w:right="0" w:hanging="0"/>
              <w:rPr>
                <w:rFonts w:ascii="Times New Roman" w:hAnsi="Times New Roman"/>
                <w:sz w:val="17"/>
              </w:rPr>
            </w:pPr>
            <w:r>
              <w:rPr>
                <w:rFonts w:ascii="Times New Roman" w:hAnsi="Times New Roman"/>
                <w:sz w:val="17"/>
              </w:rPr>
              <w:t>Number of</w:t>
              <w:br/>
              <w:t>Shares</w:t>
              <w:br/>
              <w:t>Beneficially</w:t>
              <w:br/>
              <w:t>Owned by</w:t>
              <w:br/>
              <w:t>Each</w:t>
              <w:br/>
              <w:t>Reporting</w:t>
              <w:br/>
              <w:t>Person With</w:t>
            </w:r>
          </w:p>
        </w:tc>
        <w:tc>
          <w:tcPr>
            <w:tcW w:w="384"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7</w:t>
            </w:r>
          </w:p>
        </w:tc>
        <w:tc>
          <w:tcPr>
            <w:tcW w:w="8540" w:type="dxa"/>
            <w:gridSpan w:val="2"/>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 xml:space="preserve">Sole Voting Power </w:t>
              <w:br/>
            </w:r>
            <w:r>
              <w:rPr>
                <w:sz w:val="17"/>
              </w:rPr>
              <w:t>53,589,877 Common Units(1)</w:t>
            </w:r>
          </w:p>
        </w:tc>
      </w:tr>
      <w:tr>
        <w:trPr/>
        <w:tc>
          <w:tcPr>
            <w:tcW w:w="1281" w:type="dxa"/>
            <w:gridSpan w:val="3"/>
            <w:vMerge w:val="continue"/>
            <w:tcBorders/>
            <w:shd w:fill="auto" w:val="clear"/>
            <w:tcMar>
              <w:bottom w:w="0" w:type="dxa"/>
            </w:tcMar>
            <w:vAlign w:val="center"/>
          </w:tcPr>
          <w:p>
            <w:pPr>
              <w:pStyle w:val="Normal"/>
              <w:rPr/>
            </w:pPr>
            <w:r>
              <w:rPr/>
            </w:r>
          </w:p>
        </w:tc>
        <w:tc>
          <w:tcPr>
            <w:tcW w:w="8924" w:type="dxa"/>
            <w:gridSpan w:val="3"/>
            <w:tcBorders/>
            <w:shd w:fill="auto" w:val="clear"/>
            <w:tcMar>
              <w:bottom w:w="0" w:type="dxa"/>
            </w:tcMar>
          </w:tcPr>
          <w:p>
            <w:pPr>
              <w:pStyle w:val="TableContents"/>
              <w:spacing w:before="80" w:after="80"/>
              <w:ind w:left="0" w:right="0" w:hanging="0"/>
              <w:rPr/>
            </w:pPr>
            <w:r>
              <w:rPr/>
              <w:t> </w:t>
            </w:r>
          </w:p>
        </w:tc>
      </w:tr>
      <w:tr>
        <w:trPr/>
        <w:tc>
          <w:tcPr>
            <w:tcW w:w="1281" w:type="dxa"/>
            <w:gridSpan w:val="3"/>
            <w:vMerge w:val="continue"/>
            <w:tcBorders/>
            <w:shd w:fill="auto" w:val="clear"/>
            <w:tcMar>
              <w:bottom w:w="0" w:type="dxa"/>
            </w:tcMar>
            <w:vAlign w:val="center"/>
          </w:tcPr>
          <w:p>
            <w:pPr>
              <w:pStyle w:val="Normal"/>
              <w:rPr/>
            </w:pPr>
            <w:r>
              <w:rPr/>
            </w:r>
          </w:p>
        </w:tc>
        <w:tc>
          <w:tcPr>
            <w:tcW w:w="384"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8</w:t>
            </w:r>
          </w:p>
        </w:tc>
        <w:tc>
          <w:tcPr>
            <w:tcW w:w="8540" w:type="dxa"/>
            <w:gridSpan w:val="2"/>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Shared Voting Power</w:t>
            </w:r>
            <w:r>
              <w:rPr/>
              <w:t xml:space="preserve"> </w:t>
            </w:r>
            <w:r>
              <w:rPr>
                <w:sz w:val="17"/>
              </w:rPr>
              <w:br/>
              <w:t>0 Common Units</w:t>
            </w:r>
          </w:p>
        </w:tc>
      </w:tr>
      <w:tr>
        <w:trPr/>
        <w:tc>
          <w:tcPr>
            <w:tcW w:w="1281" w:type="dxa"/>
            <w:gridSpan w:val="3"/>
            <w:vMerge w:val="continue"/>
            <w:tcBorders/>
            <w:shd w:fill="auto" w:val="clear"/>
            <w:tcMar>
              <w:bottom w:w="0" w:type="dxa"/>
            </w:tcMar>
            <w:vAlign w:val="center"/>
          </w:tcPr>
          <w:p>
            <w:pPr>
              <w:pStyle w:val="Normal"/>
              <w:rPr/>
            </w:pPr>
            <w:r>
              <w:rPr/>
            </w:r>
          </w:p>
        </w:tc>
        <w:tc>
          <w:tcPr>
            <w:tcW w:w="8924" w:type="dxa"/>
            <w:gridSpan w:val="3"/>
            <w:tcBorders/>
            <w:shd w:fill="auto" w:val="clear"/>
            <w:tcMar>
              <w:bottom w:w="0" w:type="dxa"/>
            </w:tcMar>
          </w:tcPr>
          <w:p>
            <w:pPr>
              <w:pStyle w:val="TableContents"/>
              <w:spacing w:before="80" w:after="80"/>
              <w:ind w:left="0" w:right="0" w:hanging="0"/>
              <w:rPr/>
            </w:pPr>
            <w:r>
              <w:rPr/>
              <w:t> </w:t>
            </w:r>
          </w:p>
        </w:tc>
      </w:tr>
      <w:tr>
        <w:trPr/>
        <w:tc>
          <w:tcPr>
            <w:tcW w:w="1281" w:type="dxa"/>
            <w:gridSpan w:val="3"/>
            <w:vMerge w:val="continue"/>
            <w:tcBorders/>
            <w:shd w:fill="auto" w:val="clear"/>
            <w:tcMar>
              <w:bottom w:w="0" w:type="dxa"/>
            </w:tcMar>
            <w:vAlign w:val="center"/>
          </w:tcPr>
          <w:p>
            <w:pPr>
              <w:pStyle w:val="Normal"/>
              <w:rPr/>
            </w:pPr>
            <w:r>
              <w:rPr/>
            </w:r>
          </w:p>
        </w:tc>
        <w:tc>
          <w:tcPr>
            <w:tcW w:w="384"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9</w:t>
            </w:r>
          </w:p>
        </w:tc>
        <w:tc>
          <w:tcPr>
            <w:tcW w:w="8540" w:type="dxa"/>
            <w:gridSpan w:val="2"/>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Sole Dispositive Power</w:t>
            </w:r>
            <w:r>
              <w:rPr/>
              <w:t xml:space="preserve"> </w:t>
            </w:r>
            <w:r>
              <w:rPr>
                <w:sz w:val="17"/>
              </w:rPr>
              <w:br/>
              <w:t>53,589,877 Common Units(1)</w:t>
            </w:r>
          </w:p>
        </w:tc>
      </w:tr>
      <w:tr>
        <w:trPr/>
        <w:tc>
          <w:tcPr>
            <w:tcW w:w="1281" w:type="dxa"/>
            <w:gridSpan w:val="3"/>
            <w:vMerge w:val="continue"/>
            <w:tcBorders/>
            <w:shd w:fill="auto" w:val="clear"/>
            <w:tcMar>
              <w:bottom w:w="0" w:type="dxa"/>
            </w:tcMar>
            <w:vAlign w:val="center"/>
          </w:tcPr>
          <w:p>
            <w:pPr>
              <w:pStyle w:val="Normal"/>
              <w:rPr/>
            </w:pPr>
            <w:r>
              <w:rPr/>
            </w:r>
          </w:p>
        </w:tc>
        <w:tc>
          <w:tcPr>
            <w:tcW w:w="8924" w:type="dxa"/>
            <w:gridSpan w:val="3"/>
            <w:tcBorders/>
            <w:shd w:fill="auto" w:val="clear"/>
            <w:tcMar>
              <w:bottom w:w="0" w:type="dxa"/>
            </w:tcMar>
          </w:tcPr>
          <w:p>
            <w:pPr>
              <w:pStyle w:val="TableContents"/>
              <w:spacing w:before="80" w:after="80"/>
              <w:ind w:left="0" w:right="0" w:hanging="0"/>
              <w:rPr/>
            </w:pPr>
            <w:r>
              <w:rPr/>
              <w:t> </w:t>
            </w:r>
          </w:p>
        </w:tc>
      </w:tr>
      <w:tr>
        <w:trPr/>
        <w:tc>
          <w:tcPr>
            <w:tcW w:w="1281" w:type="dxa"/>
            <w:gridSpan w:val="3"/>
            <w:vMerge w:val="continue"/>
            <w:tcBorders/>
            <w:shd w:fill="auto" w:val="clear"/>
            <w:tcMar>
              <w:bottom w:w="0" w:type="dxa"/>
            </w:tcMar>
            <w:vAlign w:val="center"/>
          </w:tcPr>
          <w:p>
            <w:pPr>
              <w:pStyle w:val="Normal"/>
              <w:rPr/>
            </w:pPr>
            <w:r>
              <w:rPr/>
            </w:r>
          </w:p>
        </w:tc>
        <w:tc>
          <w:tcPr>
            <w:tcW w:w="384"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10</w:t>
            </w:r>
          </w:p>
        </w:tc>
        <w:tc>
          <w:tcPr>
            <w:tcW w:w="8540" w:type="dxa"/>
            <w:gridSpan w:val="2"/>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Shared Dispositive Power</w:t>
            </w:r>
            <w:r>
              <w:rPr/>
              <w:t xml:space="preserve"> </w:t>
            </w:r>
            <w:r>
              <w:rPr>
                <w:sz w:val="17"/>
              </w:rPr>
              <w:br/>
              <w:t>0 Common Units</w:t>
            </w:r>
          </w:p>
        </w:tc>
      </w:tr>
      <w:tr>
        <w:trPr/>
        <w:tc>
          <w:tcPr>
            <w:tcW w:w="10205" w:type="dxa"/>
            <w:gridSpan w:val="6"/>
            <w:tcBorders/>
            <w:shd w:fill="auto" w:val="clear"/>
            <w:tcMar>
              <w:bottom w:w="0" w:type="dxa"/>
            </w:tcMar>
            <w:vAlign w:val="center"/>
          </w:tcPr>
          <w:p>
            <w:pPr>
              <w:pStyle w:val="TableContents"/>
              <w:spacing w:before="80" w:after="80"/>
              <w:ind w:left="0" w:right="0" w:hanging="0"/>
              <w:rPr/>
            </w:pPr>
            <w:r>
              <w:rPr/>
              <w:t> </w:t>
            </w:r>
          </w:p>
        </w:tc>
      </w:tr>
      <w:tr>
        <w:trPr/>
        <w:tc>
          <w:tcPr>
            <w:tcW w:w="288" w:type="dxa"/>
            <w:tcBorders/>
            <w:shd w:fill="auto" w:val="clear"/>
            <w:tcMar>
              <w:bottom w:w="0" w:type="dxa"/>
            </w:tcMar>
            <w:vAlign w:val="center"/>
          </w:tcPr>
          <w:p>
            <w:pPr>
              <w:pStyle w:val="TableContents"/>
              <w:spacing w:before="80" w:after="80"/>
              <w:ind w:left="0" w:right="0" w:hanging="0"/>
              <w:rPr/>
            </w:pPr>
            <w:r>
              <w:rPr/>
              <w:t> </w:t>
            </w:r>
          </w:p>
        </w:tc>
        <w:tc>
          <w:tcPr>
            <w:tcW w:w="481"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11</w:t>
            </w:r>
          </w:p>
        </w:tc>
        <w:tc>
          <w:tcPr>
            <w:tcW w:w="9436" w:type="dxa"/>
            <w:gridSpan w:val="4"/>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Aggregate Amount Beneficially Owned by Each Reporting Person</w:t>
            </w:r>
            <w:r>
              <w:rPr/>
              <w:t xml:space="preserve"> </w:t>
            </w:r>
            <w:r>
              <w:rPr>
                <w:sz w:val="17"/>
              </w:rPr>
              <w:br/>
              <w:t>53,589,877 Common Units(1)</w:t>
            </w:r>
          </w:p>
        </w:tc>
      </w:tr>
      <w:tr>
        <w:trPr/>
        <w:tc>
          <w:tcPr>
            <w:tcW w:w="10205" w:type="dxa"/>
            <w:gridSpan w:val="6"/>
            <w:tcBorders/>
            <w:shd w:fill="auto" w:val="clear"/>
            <w:tcMar>
              <w:bottom w:w="0" w:type="dxa"/>
            </w:tcMar>
          </w:tcPr>
          <w:p>
            <w:pPr>
              <w:pStyle w:val="TableContents"/>
              <w:spacing w:before="80" w:after="80"/>
              <w:ind w:left="0" w:right="0" w:hanging="0"/>
              <w:rPr/>
            </w:pPr>
            <w:r>
              <w:rPr/>
              <w:t> </w:t>
            </w:r>
          </w:p>
        </w:tc>
      </w:tr>
      <w:tr>
        <w:trPr/>
        <w:tc>
          <w:tcPr>
            <w:tcW w:w="288" w:type="dxa"/>
            <w:tcBorders/>
            <w:shd w:fill="auto" w:val="clear"/>
            <w:tcMar>
              <w:bottom w:w="0" w:type="dxa"/>
            </w:tcMar>
            <w:vAlign w:val="center"/>
          </w:tcPr>
          <w:p>
            <w:pPr>
              <w:pStyle w:val="TableContents"/>
              <w:spacing w:before="80" w:after="80"/>
              <w:ind w:left="0" w:right="0" w:hanging="0"/>
              <w:rPr/>
            </w:pPr>
            <w:r>
              <w:rPr/>
              <w:t> </w:t>
            </w:r>
          </w:p>
        </w:tc>
        <w:tc>
          <w:tcPr>
            <w:tcW w:w="481"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12</w:t>
            </w:r>
          </w:p>
        </w:tc>
        <w:tc>
          <w:tcPr>
            <w:tcW w:w="9436" w:type="dxa"/>
            <w:gridSpan w:val="4"/>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Check if the Aggregate Amount in Row (11) Excludes Certain Shares</w:t>
            </w:r>
            <w:r>
              <w:rPr/>
              <w:t xml:space="preserve">   </w:t>
            </w:r>
            <w:r>
              <w:rPr>
                <w:rFonts w:ascii="Wingdings" w:hAnsi="Wingdings"/>
                <w:sz w:val="17"/>
              </w:rPr>
              <w:t>o</w:t>
            </w:r>
          </w:p>
        </w:tc>
      </w:tr>
      <w:tr>
        <w:trPr/>
        <w:tc>
          <w:tcPr>
            <w:tcW w:w="10205" w:type="dxa"/>
            <w:gridSpan w:val="6"/>
            <w:tcBorders/>
            <w:shd w:fill="auto" w:val="clear"/>
            <w:tcMar>
              <w:bottom w:w="0" w:type="dxa"/>
            </w:tcMar>
          </w:tcPr>
          <w:p>
            <w:pPr>
              <w:pStyle w:val="TableContents"/>
              <w:spacing w:before="80" w:after="80"/>
              <w:ind w:left="0" w:right="0" w:hanging="0"/>
              <w:rPr/>
            </w:pPr>
            <w:r>
              <w:rPr/>
              <w:t> </w:t>
            </w:r>
          </w:p>
        </w:tc>
      </w:tr>
      <w:tr>
        <w:trPr/>
        <w:tc>
          <w:tcPr>
            <w:tcW w:w="288" w:type="dxa"/>
            <w:tcBorders/>
            <w:shd w:fill="auto" w:val="clear"/>
            <w:tcMar>
              <w:bottom w:w="0" w:type="dxa"/>
            </w:tcMar>
            <w:vAlign w:val="center"/>
          </w:tcPr>
          <w:p>
            <w:pPr>
              <w:pStyle w:val="TableContents"/>
              <w:spacing w:before="80" w:after="80"/>
              <w:ind w:left="0" w:right="0" w:hanging="0"/>
              <w:rPr/>
            </w:pPr>
            <w:r>
              <w:rPr/>
              <w:t> </w:t>
            </w:r>
          </w:p>
        </w:tc>
        <w:tc>
          <w:tcPr>
            <w:tcW w:w="481"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13</w:t>
            </w:r>
          </w:p>
        </w:tc>
        <w:tc>
          <w:tcPr>
            <w:tcW w:w="9436" w:type="dxa"/>
            <w:gridSpan w:val="4"/>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Percent of Class Represented by Amount in Row (11)</w:t>
            </w:r>
            <w:r>
              <w:rPr/>
              <w:t xml:space="preserve"> </w:t>
            </w:r>
            <w:r>
              <w:rPr>
                <w:sz w:val="17"/>
              </w:rPr>
              <w:br/>
              <w:t>61.9% of Common Units(2)</w:t>
            </w:r>
          </w:p>
        </w:tc>
      </w:tr>
      <w:tr>
        <w:trPr/>
        <w:tc>
          <w:tcPr>
            <w:tcW w:w="10205" w:type="dxa"/>
            <w:gridSpan w:val="6"/>
            <w:tcBorders/>
            <w:shd w:fill="auto" w:val="clear"/>
            <w:tcMar>
              <w:bottom w:w="0" w:type="dxa"/>
            </w:tcMar>
          </w:tcPr>
          <w:p>
            <w:pPr>
              <w:pStyle w:val="TableContents"/>
              <w:spacing w:before="80" w:after="80"/>
              <w:ind w:left="0" w:right="0" w:hanging="0"/>
              <w:rPr/>
            </w:pPr>
            <w:r>
              <w:rPr/>
              <w:t> </w:t>
            </w:r>
          </w:p>
        </w:tc>
      </w:tr>
      <w:tr>
        <w:trPr/>
        <w:tc>
          <w:tcPr>
            <w:tcW w:w="288" w:type="dxa"/>
            <w:tcBorders/>
            <w:shd w:fill="auto" w:val="clear"/>
            <w:tcMar>
              <w:bottom w:w="0" w:type="dxa"/>
            </w:tcMar>
            <w:vAlign w:val="center"/>
          </w:tcPr>
          <w:p>
            <w:pPr>
              <w:pStyle w:val="TableContents"/>
              <w:spacing w:before="80" w:after="80"/>
              <w:ind w:left="0" w:right="0" w:hanging="0"/>
              <w:rPr/>
            </w:pPr>
            <w:r>
              <w:rPr/>
              <w:t> </w:t>
            </w:r>
          </w:p>
        </w:tc>
        <w:tc>
          <w:tcPr>
            <w:tcW w:w="481" w:type="dxa"/>
            <w:tcBorders/>
            <w:shd w:fill="auto" w:val="clear"/>
            <w:tcMar>
              <w:bottom w:w="0" w:type="dxa"/>
            </w:tcMar>
          </w:tcPr>
          <w:p>
            <w:pPr>
              <w:pStyle w:val="TableContents"/>
              <w:spacing w:before="80" w:after="80"/>
              <w:ind w:left="0" w:right="0" w:hanging="0"/>
              <w:rPr>
                <w:rFonts w:ascii="Times New Roman" w:hAnsi="Times New Roman"/>
                <w:sz w:val="17"/>
              </w:rPr>
            </w:pPr>
            <w:r>
              <w:rPr>
                <w:rFonts w:ascii="Times New Roman" w:hAnsi="Times New Roman"/>
                <w:sz w:val="17"/>
              </w:rPr>
              <w:t>14</w:t>
            </w:r>
          </w:p>
        </w:tc>
        <w:tc>
          <w:tcPr>
            <w:tcW w:w="9436" w:type="dxa"/>
            <w:gridSpan w:val="4"/>
            <w:tcBorders>
              <w:bottom w:val="single" w:sz="8" w:space="0" w:color="000000"/>
            </w:tcBorders>
            <w:shd w:fill="auto" w:val="clear"/>
            <w:vAlign w:val="center"/>
          </w:tcPr>
          <w:p>
            <w:pPr>
              <w:pStyle w:val="TableContents"/>
              <w:spacing w:before="80" w:after="80"/>
              <w:ind w:left="0" w:right="0" w:hanging="0"/>
              <w:rPr/>
            </w:pPr>
            <w:r>
              <w:rPr>
                <w:rFonts w:ascii="Times New Roman" w:hAnsi="Times New Roman"/>
                <w:sz w:val="17"/>
              </w:rPr>
              <w:t>Type of Reporting Person</w:t>
            </w:r>
            <w:r>
              <w:rPr>
                <w:sz w:val="17"/>
              </w:rPr>
              <w:br/>
              <w:t>OO</w:t>
            </w:r>
          </w:p>
        </w:tc>
      </w:tr>
      <w:tr>
        <w:trPr/>
        <w:tc>
          <w:tcPr>
            <w:tcW w:w="288" w:type="dxa"/>
            <w:tcBorders/>
            <w:shd w:fill="auto" w:val="clear"/>
            <w:tcMar>
              <w:bottom w:w="0" w:type="dxa"/>
            </w:tcMar>
            <w:vAlign w:val="center"/>
          </w:tcPr>
          <w:p>
            <w:pPr>
              <w:pStyle w:val="TableContents"/>
              <w:spacing w:before="0" w:after="283"/>
              <w:rPr>
                <w:sz w:val="4"/>
                <w:szCs w:val="4"/>
              </w:rPr>
            </w:pPr>
            <w:r>
              <w:rPr>
                <w:sz w:val="4"/>
                <w:szCs w:val="4"/>
              </w:rPr>
            </w:r>
          </w:p>
        </w:tc>
        <w:tc>
          <w:tcPr>
            <w:tcW w:w="481" w:type="dxa"/>
            <w:tcBorders/>
            <w:shd w:fill="auto" w:val="clear"/>
            <w:tcMar>
              <w:bottom w:w="0" w:type="dxa"/>
            </w:tcMar>
            <w:vAlign w:val="center"/>
          </w:tcPr>
          <w:p>
            <w:pPr>
              <w:pStyle w:val="TableContents"/>
              <w:spacing w:before="0" w:after="283"/>
              <w:rPr>
                <w:sz w:val="4"/>
                <w:szCs w:val="4"/>
              </w:rPr>
            </w:pPr>
            <w:r>
              <w:rPr>
                <w:sz w:val="4"/>
                <w:szCs w:val="4"/>
              </w:rPr>
            </w:r>
          </w:p>
        </w:tc>
        <w:tc>
          <w:tcPr>
            <w:tcW w:w="512" w:type="dxa"/>
            <w:tcBorders/>
            <w:shd w:fill="auto" w:val="clear"/>
            <w:tcMar>
              <w:bottom w:w="0" w:type="dxa"/>
            </w:tcMar>
            <w:vAlign w:val="center"/>
          </w:tcPr>
          <w:p>
            <w:pPr>
              <w:pStyle w:val="TableContents"/>
              <w:spacing w:before="0" w:after="283"/>
              <w:rPr>
                <w:sz w:val="4"/>
                <w:szCs w:val="4"/>
              </w:rPr>
            </w:pPr>
            <w:r>
              <w:rPr>
                <w:sz w:val="4"/>
                <w:szCs w:val="4"/>
              </w:rPr>
            </w:r>
          </w:p>
        </w:tc>
        <w:tc>
          <w:tcPr>
            <w:tcW w:w="384" w:type="dxa"/>
            <w:tcBorders/>
            <w:shd w:fill="auto" w:val="clear"/>
            <w:tcMar>
              <w:bottom w:w="0" w:type="dxa"/>
            </w:tcMar>
            <w:vAlign w:val="center"/>
          </w:tcPr>
          <w:p>
            <w:pPr>
              <w:pStyle w:val="TableContents"/>
              <w:spacing w:before="0" w:after="283"/>
              <w:rPr>
                <w:sz w:val="4"/>
                <w:szCs w:val="4"/>
              </w:rPr>
            </w:pPr>
            <w:r>
              <w:rPr>
                <w:sz w:val="4"/>
                <w:szCs w:val="4"/>
              </w:rPr>
            </w:r>
          </w:p>
        </w:tc>
        <w:tc>
          <w:tcPr>
            <w:tcW w:w="645" w:type="dxa"/>
            <w:tcBorders/>
            <w:shd w:fill="auto" w:val="clear"/>
            <w:tcMar>
              <w:bottom w:w="0" w:type="dxa"/>
            </w:tcMar>
            <w:vAlign w:val="center"/>
          </w:tcPr>
          <w:p>
            <w:pPr>
              <w:pStyle w:val="TableContents"/>
              <w:spacing w:before="0" w:after="283"/>
              <w:rPr>
                <w:sz w:val="4"/>
                <w:szCs w:val="4"/>
              </w:rPr>
            </w:pPr>
            <w:r>
              <w:rPr>
                <w:sz w:val="4"/>
                <w:szCs w:val="4"/>
              </w:rPr>
            </w:r>
          </w:p>
        </w:tc>
        <w:tc>
          <w:tcPr>
            <w:tcW w:w="7895" w:type="dxa"/>
            <w:tcBorders/>
            <w:shd w:fill="auto" w:val="clear"/>
            <w:tcMar>
              <w:bottom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7"/>
        </w:rPr>
        <w:t>(1)  Includes 11,934,351 Series A Subordinated Units and 13,500,000 Series B Subordinated Units, each representing limited partner interests in the Issuer. The Series A Subordinated Units may be converted into Common Units on a one-for-one basis upon termination of the subordination period under certain circumstances, as set forth in the Partnership Agreement. The Series B Subordinated Units may be converted into Series A Subordinated Units on a one-for-one basis upon the satisfaction of certain operational and financial conditions or, if the subordination period has ended at the time the various operation and financial conditions are satisfied, into Common Units on a one-for-one basis, as set forth in the Partnership Agreement; provided, however, that any Series B Subordinated Units that remain outstanding as of December 31, 2018 will be automatically cancelled.</w:t>
      </w:r>
    </w:p>
    <w:p>
      <w:pPr>
        <w:pStyle w:val="TextBody"/>
        <w:spacing w:before="0" w:after="0"/>
        <w:ind w:left="0" w:right="0" w:hanging="0"/>
        <w:rPr>
          <w:rFonts w:ascii="Times New Roman" w:hAnsi="Times New Roman"/>
          <w:sz w:val="17"/>
        </w:rPr>
      </w:pPr>
      <w:r>
        <w:rPr>
          <w:rFonts w:ascii="Times New Roman" w:hAnsi="Times New Roman"/>
          <w:sz w:val="17"/>
        </w:rPr>
        <w:t>(2)  Based on the aggregate number of Common Units, Series A Subordinated Units and Series B Subordinated Units issued and outstanding as of July 31, 2013.</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bookmarkStart w:id="5" w:name="PB_5_014410_3020"/>
      <w:bookmarkEnd w:id="5"/>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1.   Security and Issuer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Amendment No. 1 to Schedule 13D (this </w:t>
      </w:r>
      <w:r>
        <w:rPr>
          <w:rFonts w:ascii="Times New Roman" w:hAnsi="Times New Roman"/>
          <w:i/>
          <w:sz w:val="17"/>
        </w:rPr>
        <w:t>Amendment</w:t>
      </w:r>
      <w:r>
        <w:rPr>
          <w:rFonts w:ascii="Times New Roman" w:hAnsi="Times New Roman"/>
          <w:sz w:val="17"/>
        </w:rPr>
        <w:t>) relates to the common units representing limited partner interests (the </w:t>
      </w:r>
      <w:r>
        <w:rPr>
          <w:rFonts w:ascii="Times New Roman" w:hAnsi="Times New Roman"/>
          <w:i/>
          <w:sz w:val="17"/>
        </w:rPr>
        <w:t>Common Units</w:t>
      </w:r>
      <w:r>
        <w:rPr>
          <w:rFonts w:ascii="Times New Roman" w:hAnsi="Times New Roman"/>
          <w:sz w:val="17"/>
        </w:rPr>
        <w:t>) of PAA Natural Gas Storage, L.P., a Delaware limited partnership (the </w:t>
      </w:r>
      <w:r>
        <w:rPr>
          <w:rFonts w:ascii="Times New Roman" w:hAnsi="Times New Roman"/>
          <w:i/>
          <w:sz w:val="17"/>
        </w:rPr>
        <w:t>Issuer</w:t>
      </w:r>
      <w:r>
        <w:rPr>
          <w:rFonts w:ascii="Times New Roman" w:hAnsi="Times New Roman"/>
          <w:sz w:val="17"/>
        </w:rPr>
        <w:t> or the </w:t>
      </w:r>
      <w:r>
        <w:rPr>
          <w:rFonts w:ascii="Times New Roman" w:hAnsi="Times New Roman"/>
          <w:i/>
          <w:sz w:val="17"/>
        </w:rPr>
        <w:t>Partnership</w:t>
      </w:r>
      <w:r>
        <w:rPr>
          <w:rFonts w:ascii="Times New Roman" w:hAnsi="Times New Roman"/>
          <w:sz w:val="17"/>
        </w:rPr>
        <w:t>), which has its principal executive offices at 333 Clay Street, Suite 1500, Houston, Texas 77002, and amends the Schedule 13D filed with the Securities and Exchange Commission (the </w:t>
      </w:r>
      <w:r>
        <w:rPr>
          <w:rFonts w:ascii="Times New Roman" w:hAnsi="Times New Roman"/>
          <w:i/>
          <w:sz w:val="17"/>
        </w:rPr>
        <w:t>SEC</w:t>
      </w:r>
      <w:r>
        <w:rPr>
          <w:rFonts w:ascii="Times New Roman" w:hAnsi="Times New Roman"/>
          <w:sz w:val="17"/>
        </w:rPr>
        <w:t>) on February 18, 2011 (the </w:t>
      </w:r>
      <w:r>
        <w:rPr>
          <w:rFonts w:ascii="Times New Roman" w:hAnsi="Times New Roman"/>
          <w:i/>
          <w:sz w:val="17"/>
        </w:rPr>
        <w:t>Original Schedule 13D</w:t>
      </w:r>
      <w:r>
        <w:rPr>
          <w:rFonts w:ascii="Times New Roman" w:hAnsi="Times New Roman"/>
          <w:sz w:val="17"/>
        </w:rPr>
        <w:t>) by Plains All American Pipeline, L.P., a Delaware limited partnership (</w:t>
      </w:r>
      <w:r>
        <w:rPr>
          <w:rFonts w:ascii="Times New Roman" w:hAnsi="Times New Roman"/>
          <w:i/>
          <w:sz w:val="17"/>
        </w:rPr>
        <w:t>PAA</w:t>
      </w:r>
      <w:r>
        <w:rPr>
          <w:rFonts w:ascii="Times New Roman" w:hAnsi="Times New Roman"/>
          <w:sz w:val="17"/>
        </w:rPr>
        <w:t>), PAA GP LLC, a Delaware limited liability company (</w:t>
      </w:r>
      <w:r>
        <w:rPr>
          <w:rFonts w:ascii="Times New Roman" w:hAnsi="Times New Roman"/>
          <w:i/>
          <w:sz w:val="17"/>
        </w:rPr>
        <w:t>General Partner</w:t>
      </w:r>
      <w:r>
        <w:rPr>
          <w:rFonts w:ascii="Times New Roman" w:hAnsi="Times New Roman"/>
          <w:sz w:val="17"/>
        </w:rPr>
        <w:t>), Plains AAP, L.P., a Delaware limited liability company (</w:t>
      </w:r>
      <w:r>
        <w:rPr>
          <w:rFonts w:ascii="Times New Roman" w:hAnsi="Times New Roman"/>
          <w:i/>
          <w:sz w:val="17"/>
        </w:rPr>
        <w:t>AAP</w:t>
      </w:r>
      <w:r>
        <w:rPr>
          <w:rFonts w:ascii="Times New Roman" w:hAnsi="Times New Roman"/>
          <w:sz w:val="17"/>
        </w:rPr>
        <w:t>), and Plains All American GP LLC (</w:t>
      </w:r>
      <w:r>
        <w:rPr>
          <w:rFonts w:ascii="Times New Roman" w:hAnsi="Times New Roman"/>
          <w:i/>
          <w:sz w:val="17"/>
        </w:rPr>
        <w:t>GP LLC</w:t>
      </w:r>
      <w:r>
        <w:rPr>
          <w:rFonts w:ascii="Times New Roman" w:hAnsi="Times New Roman"/>
          <w:sz w:val="17"/>
        </w:rPr>
        <w:t> and, collectively with PAA, General Partner and AAP, the </w:t>
      </w:r>
      <w:r>
        <w:rPr>
          <w:rFonts w:ascii="Times New Roman" w:hAnsi="Times New Roman"/>
          <w:i/>
          <w:sz w:val="17"/>
        </w:rPr>
        <w:t>Reporting Persons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Except as otherwise specified in this Amendment, all items left blank remain unchanged in all material respects and any items that are reported are deemed to amend and restate the corresponding items in the Original Schedule 13D.  Capitalized terms used herein but not defined herein have the respective meanings ascribed to them in the Original Schedule 13D.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2.   Identity and Background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accordance with the provisions of General Instruction C to Schedule 13D, information concerning the general partners, executive officers, board of directors and each person controlling a Reporting Person, as applicable (collectively, the </w:t>
      </w:r>
      <w:r>
        <w:rPr>
          <w:rFonts w:ascii="Times New Roman" w:hAnsi="Times New Roman"/>
          <w:i/>
          <w:sz w:val="17"/>
        </w:rPr>
        <w:t>Listed Persons</w:t>
      </w:r>
      <w:r>
        <w:rPr>
          <w:rFonts w:ascii="Times New Roman" w:hAnsi="Times New Roman"/>
          <w:sz w:val="17"/>
        </w:rPr>
        <w:t xml:space="preserve">), required by Item 2 of Schedule 13D, is provided on </w:t>
      </w:r>
      <w:r>
        <w:rPr>
          <w:rFonts w:ascii="Times New Roman" w:hAnsi="Times New Roman"/>
          <w:sz w:val="17"/>
          <w:u w:val="single"/>
        </w:rPr>
        <w:t>Schedule 1</w:t>
      </w:r>
      <w:r>
        <w:rPr>
          <w:rFonts w:ascii="Times New Roman" w:hAnsi="Times New Roman"/>
          <w:sz w:val="17"/>
        </w:rPr>
        <w:t xml:space="preserve"> hereto and is incorporated by reference herein. To the Reporting Persons knowledge, none of Listed Persons has been, during the last five years,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3.   Source and Amount of Funds or Other Consideration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Item 3 of the Original 13D is hereby amended to add the following paragraph:</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 </w:t>
      </w:r>
      <w:r>
        <w:rPr>
          <w:rFonts w:ascii="Times New Roman" w:hAnsi="Times New Roman"/>
          <w:b/>
          <w:i/>
          <w:sz w:val="17"/>
        </w:rPr>
        <w:t>Proposal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connection with the transaction proposed by the Proposal described in Item 4 of this Amendment (which Item 4 is incorporated herein by reference), the Reporting Person anticipates that the funding for such transaction will consist of newly issued Common Units of PAA as described in Item 4, and cash in lieu of fractional Common Units payable from the working capital of PAA.</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4.   Purpose of Transaction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Item 4 of the Original Schedule 13D is hereby amended to add the following paragraphs: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August 27, 2013, PAA delivered a proposal (the </w:t>
      </w:r>
      <w:r>
        <w:rPr>
          <w:rFonts w:ascii="Times New Roman" w:hAnsi="Times New Roman"/>
          <w:i/>
          <w:sz w:val="17"/>
        </w:rPr>
        <w:t>Proposal</w:t>
      </w:r>
      <w:r>
        <w:rPr>
          <w:rFonts w:ascii="Times New Roman" w:hAnsi="Times New Roman"/>
          <w:sz w:val="17"/>
        </w:rPr>
        <w:t>) to the independent directors (the </w:t>
      </w:r>
      <w:r>
        <w:rPr>
          <w:rFonts w:ascii="Times New Roman" w:hAnsi="Times New Roman"/>
          <w:i/>
          <w:sz w:val="17"/>
        </w:rPr>
        <w:t>Independent Directors</w:t>
      </w:r>
      <w:r>
        <w:rPr>
          <w:rFonts w:ascii="Times New Roman" w:hAnsi="Times New Roman"/>
          <w:sz w:val="17"/>
        </w:rPr>
        <w:t>) of PNGS GP LLC , the general partner of the Issuer, to acquire all of the outstanding Common Units of the Issuer that are held by unitholders other than PAA or its subsidiaries, for consideration of 0.435 Common Units of PAA for each outstanding Common Unit of the Issuer held by such unitholders, in a transaction to be structured as a merger of the Issuer with a wholly-owned subsidiary of PAA. The Proposal assumes the execution of definitive agreements on or before September 27, 2013 and closing prior to the end of 2013.  The Proposal also assumes a regular quarterly distribution by the Issuer in November equal to the common unit distribution paid by the Issuer in August 2013. The consummation of the transactions contemplated by the Proposal is subject to the approval of GP LLC, which is the general partner of AAP, which is the sole member of the General Partner (as the general partner of PAA), approval of a committee of independent directors of PNGS GP LLC (the </w:t>
      </w:r>
      <w:r>
        <w:rPr>
          <w:rFonts w:ascii="Times New Roman" w:hAnsi="Times New Roman"/>
          <w:i/>
          <w:sz w:val="17"/>
        </w:rPr>
        <w:t>Conflicts Committee</w:t>
      </w:r>
      <w:r>
        <w:rPr>
          <w:rFonts w:ascii="Times New Roman" w:hAnsi="Times New Roman"/>
          <w:sz w:val="17"/>
        </w:rPr>
        <w:t>), approval of the unitholders of the Issuer and negotiation and execution of a definitive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While the Proposal remains under consideration or negotiation by the Issuer and its Conflicts Committee, the Reporting Persons may respond to inquiries from the Issuer and the Conflicts Committee or its representatives. Each Reporting Person does not intend to update additional disclosures in its Schedule 13D regarding any other plans or proposals by PAA until a definitive agreement has been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bookmarkStart w:id="6" w:name="PB_6_021917_3478"/>
      <w:bookmarkEnd w:id="6"/>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reached, or unless disclosure is otherwise required under applicable securities laws. A copy of the Proposal is filed herewith as Exhibit 99.1 and is incorporated by reference into this Item 4.</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Other than as described above, none of the Reporting Persons has any plan or proposals of the type referred to in clauses (a) through (j) of Item 4 of Schedule 13D, although they reserve the right to formulate such plans or proposals in the future.</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5.   Interest in Securities of the Issuer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Sub-Items (a), (b) and (c) of Item 5 of the Original Schedule 13D are hereby amended and restated in their entirety as follows: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(1) PAA is the record and beneficial owner of 28,155,526 Common Units, as well as 11,934,351 Series A Subordinated Units and 13,500,000 Series B Subordinated Units, which represent all of the outstanding Subordinated Units of the Issuer. Based on there being 86,581,800 Common and Subordinated Units outstanding as of July 31, 2013, PAAs Common Units and Subordinated Units represent 61.9% of the outstanding Common Units and Subordinated Units at such time. The Series A Subordinated Units may be converted into Common Units on a one-for-one basis upon termination of the subordination period under certain circumstances, as set forth in the Partnership Agreement. The Series B Subordinated Units may be converted into Series A Subordinated Units on a one-for-one basis upon the satisfaction of certain operational and financial conditions or, if the subordination period for the Series A Subordinated Units has ended at the time the operation and financial conditions are satisfied, into Common Units on a one-for-one basis, as set forth in the Partnership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PAA, as the sole member of PNGS GP LLC, the general partner of the Issuer, may also, pursuant to Rule 13d-3, be deemed to beneficially own the equity interest representing a 2% general partner interest and the incentive distribution rights (representing the right to receive increasing percentages of quarterly distributions in excess of specified amounts) in the Issuer held by PNGS GP LLC.</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(2) The General Partner, AAP and GP LLC may, pursuant to Rule 13d-3, be deemed to be indirect beneficial owners of the securities held by PAA, described in (a)(1) above.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 The information set forth in Items 7 through 11 of the cover pages hereto is incorporated herein by reference. See Schedule 1 for the information applicable to the Listed Persons.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 Except as described in Item 3 above or elsewhere in this Schedule 13D, none of the Reporting Persons or, to the Reporting Persons knowledge, the Listed Persons has effected any transactions in the Common Units during the past 60 days.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6.   Contracts, Arrangements, Understandings or Relationships with Respect to Securities of the Issuer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Item 6 of the Original Schedule 13D is hereby amended to add the following paragraph:</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information set forth under Item 4 and in Exhibit 99.1 is hereby incorporated by reference in this Item 6.</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7.   Material to be Filed as Exhibits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Item 7 of the Original Schedule 13D is hereby amended to add the following exhibits: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99.1*</w:t>
      </w:r>
      <w:r>
        <w:rPr>
          <w:rFonts w:ascii="Times New Roman" w:hAnsi="Times New Roman"/>
        </w:rPr>
        <w:t xml:space="preserve">                                         </w:t>
      </w:r>
      <w:r>
        <w:rPr>
          <w:rFonts w:ascii="Times New Roman" w:hAnsi="Times New Roman"/>
          <w:sz w:val="17"/>
        </w:rPr>
        <w:t>Proposal Letter from Plains All American Pipeline, L.P. to the Independent Directors of the Board of Directors of PNGS GP LLC, dated August 27, 2013.</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99.2</w:t>
      </w:r>
      <w:r>
        <w:rPr>
          <w:rFonts w:ascii="Times New Roman" w:hAnsi="Times New Roman"/>
        </w:rPr>
        <w:t xml:space="preserve">                                                </w:t>
      </w:r>
      <w:r>
        <w:rPr>
          <w:rFonts w:ascii="Times New Roman" w:hAnsi="Times New Roman"/>
          <w:sz w:val="17"/>
        </w:rPr>
        <w:t>Joint Filing Statement among the Reporting Persons dated February 18, 2011 (incorporated herein by reference to Exhibit 99.C to the Original Schedule 13D filed on February 18, 2011).</w:t>
      </w:r>
    </w:p>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7"/>
        </w:rPr>
        <w:t>*</w:t>
      </w:r>
      <w:r>
        <w:rPr>
          <w:rFonts w:ascii="Times New Roman" w:hAnsi="Times New Roman"/>
        </w:rPr>
        <w:t xml:space="preserve">                 </w:t>
      </w:r>
      <w:r>
        <w:rPr>
          <w:rFonts w:ascii="Times New Roman" w:hAnsi="Times New Roman"/>
          <w:sz w:val="17"/>
        </w:rPr>
        <w:t>Filed herewith.</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bookmarkStart w:id="7" w:name="PB_7_021917_1493"/>
      <w:bookmarkEnd w:id="7"/>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After reasonable inquiry and to the best of my knowledge and belief, I certify that the information set forth in this statement is true, complete and correct.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Date</w:t>
      </w:r>
      <w:r>
        <w:rPr>
          <w:rFonts w:ascii="Times New Roman" w:hAnsi="Times New Roman"/>
          <w:sz w:val="17"/>
        </w:rPr>
        <w:t>:      August 27, 2013</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55"/>
        <w:gridCol w:w="720"/>
        <w:gridCol w:w="4330"/>
      </w:tblGrid>
      <w:tr>
        <w:trPr/>
        <w:tc>
          <w:tcPr>
            <w:tcW w:w="5155" w:type="dxa"/>
            <w:tcBorders/>
            <w:shd w:fill="auto" w:val="clear"/>
          </w:tcPr>
          <w:p>
            <w:pPr>
              <w:pStyle w:val="TableContents"/>
              <w:spacing w:before="0" w:after="0"/>
              <w:ind w:left="0" w:right="0" w:hanging="0"/>
              <w:rPr/>
            </w:pPr>
            <w:r>
              <w:rPr/>
              <w:t> </w:t>
            </w:r>
          </w:p>
        </w:tc>
        <w:tc>
          <w:tcPr>
            <w:tcW w:w="5050" w:type="dxa"/>
            <w:gridSpan w:val="2"/>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w:t>
            </w:r>
          </w:p>
        </w:tc>
      </w:tr>
      <w:tr>
        <w:trPr/>
        <w:tc>
          <w:tcPr>
            <w:tcW w:w="5155" w:type="dxa"/>
            <w:tcBorders/>
            <w:shd w:fill="auto" w:val="clear"/>
          </w:tcPr>
          <w:p>
            <w:pPr>
              <w:pStyle w:val="TableContents"/>
              <w:spacing w:before="0" w:after="0"/>
              <w:ind w:left="0" w:right="0" w:hanging="0"/>
              <w:rPr/>
            </w:pPr>
            <w:r>
              <w:rPr/>
              <w:t> </w:t>
            </w:r>
          </w:p>
        </w:tc>
        <w:tc>
          <w:tcPr>
            <w:tcW w:w="5050" w:type="dxa"/>
            <w:gridSpan w:val="2"/>
            <w:tcBorders/>
            <w:shd w:fill="auto" w:val="clear"/>
            <w:vAlign w:val="bottom"/>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720"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By:</w:t>
            </w:r>
          </w:p>
        </w:tc>
        <w:tc>
          <w:tcPr>
            <w:tcW w:w="4330"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PAA GP LLC, its general partner</w:t>
            </w:r>
          </w:p>
        </w:tc>
      </w:tr>
      <w:tr>
        <w:trPr/>
        <w:tc>
          <w:tcPr>
            <w:tcW w:w="5155" w:type="dxa"/>
            <w:tcBorders/>
            <w:shd w:fill="auto" w:val="clear"/>
          </w:tcPr>
          <w:p>
            <w:pPr>
              <w:pStyle w:val="TableContents"/>
              <w:spacing w:before="0" w:after="0"/>
              <w:ind w:left="0" w:right="0" w:hanging="0"/>
              <w:rPr/>
            </w:pPr>
            <w:r>
              <w:rPr/>
              <w:t> </w:t>
            </w:r>
          </w:p>
        </w:tc>
        <w:tc>
          <w:tcPr>
            <w:tcW w:w="720" w:type="dxa"/>
            <w:tcBorders/>
            <w:shd w:fill="auto" w:val="clear"/>
          </w:tcPr>
          <w:p>
            <w:pPr>
              <w:pStyle w:val="TableContents"/>
              <w:spacing w:before="0" w:after="0"/>
              <w:ind w:left="0" w:right="0" w:hanging="0"/>
              <w:rPr/>
            </w:pPr>
            <w:r>
              <w:rPr/>
              <w:t> </w:t>
            </w:r>
          </w:p>
        </w:tc>
        <w:tc>
          <w:tcPr>
            <w:tcW w:w="4330" w:type="dxa"/>
            <w:tcBorders/>
            <w:shd w:fill="auto" w:val="clear"/>
            <w:vAlign w:val="bottom"/>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720"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By:</w:t>
            </w:r>
          </w:p>
        </w:tc>
        <w:tc>
          <w:tcPr>
            <w:tcW w:w="4330"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Plains AAP, L.P., its sole member</w:t>
            </w:r>
          </w:p>
        </w:tc>
      </w:tr>
      <w:tr>
        <w:trPr/>
        <w:tc>
          <w:tcPr>
            <w:tcW w:w="5155" w:type="dxa"/>
            <w:tcBorders/>
            <w:shd w:fill="auto" w:val="clear"/>
          </w:tcPr>
          <w:p>
            <w:pPr>
              <w:pStyle w:val="TableContents"/>
              <w:spacing w:before="0" w:after="0"/>
              <w:ind w:left="0" w:right="0" w:hanging="0"/>
              <w:rPr/>
            </w:pPr>
            <w:r>
              <w:rPr/>
              <w:t> </w:t>
            </w:r>
          </w:p>
        </w:tc>
        <w:tc>
          <w:tcPr>
            <w:tcW w:w="720" w:type="dxa"/>
            <w:tcBorders/>
            <w:shd w:fill="auto" w:val="clear"/>
          </w:tcPr>
          <w:p>
            <w:pPr>
              <w:pStyle w:val="TableContents"/>
              <w:spacing w:before="0" w:after="0"/>
              <w:ind w:left="0" w:right="0" w:hanging="0"/>
              <w:rPr/>
            </w:pPr>
            <w:r>
              <w:rPr/>
              <w:t> </w:t>
            </w:r>
          </w:p>
        </w:tc>
        <w:tc>
          <w:tcPr>
            <w:tcW w:w="4330" w:type="dxa"/>
            <w:tcBorders/>
            <w:shd w:fill="auto" w:val="clear"/>
            <w:vAlign w:val="bottom"/>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720"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By:</w:t>
            </w:r>
          </w:p>
        </w:tc>
        <w:tc>
          <w:tcPr>
            <w:tcW w:w="4330"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Plains All American GP LLC, its general partner</w:t>
            </w:r>
          </w:p>
        </w:tc>
      </w:tr>
      <w:tr>
        <w:trPr/>
        <w:tc>
          <w:tcPr>
            <w:tcW w:w="5155" w:type="dxa"/>
            <w:tcBorders/>
            <w:shd w:fill="auto" w:val="clear"/>
          </w:tcPr>
          <w:p>
            <w:pPr>
              <w:pStyle w:val="TableContents"/>
              <w:spacing w:before="0" w:after="0"/>
              <w:ind w:left="0" w:right="0" w:hanging="0"/>
              <w:rPr/>
            </w:pPr>
            <w:r>
              <w:rPr/>
              <w:t> </w:t>
            </w:r>
          </w:p>
        </w:tc>
        <w:tc>
          <w:tcPr>
            <w:tcW w:w="720" w:type="dxa"/>
            <w:tcBorders/>
            <w:shd w:fill="auto" w:val="clear"/>
          </w:tcPr>
          <w:p>
            <w:pPr>
              <w:pStyle w:val="TableContents"/>
              <w:spacing w:before="0" w:after="0"/>
              <w:ind w:left="0" w:right="0" w:hanging="0"/>
              <w:rPr/>
            </w:pPr>
            <w:r>
              <w:rPr/>
              <w:t> </w:t>
            </w:r>
          </w:p>
        </w:tc>
        <w:tc>
          <w:tcPr>
            <w:tcW w:w="4330" w:type="dxa"/>
            <w:tcBorders/>
            <w:shd w:fill="auto" w:val="clear"/>
            <w:vAlign w:val="bottom"/>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720" w:type="dxa"/>
            <w:tcBorders/>
            <w:shd w:fill="auto" w:val="clear"/>
          </w:tcPr>
          <w:p>
            <w:pPr>
              <w:pStyle w:val="TableContents"/>
              <w:spacing w:before="0" w:after="0"/>
              <w:ind w:left="0" w:right="0" w:hanging="0"/>
              <w:rPr/>
            </w:pPr>
            <w:r>
              <w:rPr/>
              <w:t> </w:t>
            </w:r>
          </w:p>
        </w:tc>
        <w:tc>
          <w:tcPr>
            <w:tcW w:w="4330" w:type="dxa"/>
            <w:tcBorders/>
            <w:shd w:fill="auto" w:val="clear"/>
            <w:vAlign w:val="bottom"/>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72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330"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/s/ Richard McGee</w:t>
            </w:r>
          </w:p>
        </w:tc>
      </w:tr>
      <w:tr>
        <w:trPr/>
        <w:tc>
          <w:tcPr>
            <w:tcW w:w="5155" w:type="dxa"/>
            <w:tcBorders/>
            <w:shd w:fill="auto" w:val="clear"/>
          </w:tcPr>
          <w:p>
            <w:pPr>
              <w:pStyle w:val="TableContents"/>
              <w:spacing w:before="0" w:after="0"/>
              <w:ind w:left="0" w:right="0" w:hanging="0"/>
              <w:rPr/>
            </w:pPr>
            <w:r>
              <w:rPr/>
              <w:t> </w:t>
            </w:r>
          </w:p>
        </w:tc>
        <w:tc>
          <w:tcPr>
            <w:tcW w:w="72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3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Richard McGee</w:t>
            </w:r>
          </w:p>
        </w:tc>
      </w:tr>
      <w:tr>
        <w:trPr/>
        <w:tc>
          <w:tcPr>
            <w:tcW w:w="5155" w:type="dxa"/>
            <w:tcBorders/>
            <w:shd w:fill="auto" w:val="clear"/>
          </w:tcPr>
          <w:p>
            <w:pPr>
              <w:pStyle w:val="TableContents"/>
              <w:spacing w:before="0" w:after="0"/>
              <w:ind w:left="0" w:right="0" w:hanging="0"/>
              <w:rPr/>
            </w:pPr>
            <w:r>
              <w:rPr/>
              <w:t> </w:t>
            </w:r>
          </w:p>
        </w:tc>
        <w:tc>
          <w:tcPr>
            <w:tcW w:w="72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3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Executive Vice President, General Counsel and Secretary</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bookmarkStart w:id="8" w:name="PB_8_021917_4801"/>
      <w:bookmarkEnd w:id="8"/>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After reasonable inquiry and to the best of my knowledge and belief, I certify that the information set forth in this statement is true, complete and correct.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Date</w:t>
      </w:r>
      <w:r>
        <w:rPr>
          <w:rFonts w:ascii="Times New Roman" w:hAnsi="Times New Roman"/>
          <w:sz w:val="17"/>
        </w:rPr>
        <w:t>:      August 27, 2013</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55"/>
        <w:gridCol w:w="720"/>
        <w:gridCol w:w="4330"/>
      </w:tblGrid>
      <w:tr>
        <w:trPr/>
        <w:tc>
          <w:tcPr>
            <w:tcW w:w="5155" w:type="dxa"/>
            <w:tcBorders/>
            <w:shd w:fill="auto" w:val="clear"/>
          </w:tcPr>
          <w:p>
            <w:pPr>
              <w:pStyle w:val="TableContents"/>
              <w:spacing w:before="0" w:after="0"/>
              <w:ind w:left="0" w:right="0" w:hanging="0"/>
              <w:rPr/>
            </w:pPr>
            <w:r>
              <w:rPr/>
              <w:t> </w:t>
            </w:r>
          </w:p>
        </w:tc>
        <w:tc>
          <w:tcPr>
            <w:tcW w:w="5050" w:type="dxa"/>
            <w:gridSpan w:val="2"/>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PAA GP LLC</w:t>
            </w:r>
          </w:p>
        </w:tc>
      </w:tr>
      <w:tr>
        <w:trPr/>
        <w:tc>
          <w:tcPr>
            <w:tcW w:w="5155" w:type="dxa"/>
            <w:tcBorders/>
            <w:shd w:fill="auto" w:val="clear"/>
          </w:tcPr>
          <w:p>
            <w:pPr>
              <w:pStyle w:val="TableContents"/>
              <w:spacing w:before="0" w:after="0"/>
              <w:ind w:left="0" w:right="0" w:hanging="0"/>
              <w:rPr/>
            </w:pPr>
            <w:r>
              <w:rPr/>
              <w:t> </w:t>
            </w:r>
          </w:p>
        </w:tc>
        <w:tc>
          <w:tcPr>
            <w:tcW w:w="5050" w:type="dxa"/>
            <w:gridSpan w:val="2"/>
            <w:tcBorders/>
            <w:shd w:fill="auto" w:val="clear"/>
            <w:vAlign w:val="bottom"/>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720"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By:</w:t>
            </w:r>
          </w:p>
        </w:tc>
        <w:tc>
          <w:tcPr>
            <w:tcW w:w="4330"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Plains AAP, L.P., its sole member</w:t>
            </w:r>
          </w:p>
        </w:tc>
      </w:tr>
      <w:tr>
        <w:trPr/>
        <w:tc>
          <w:tcPr>
            <w:tcW w:w="5155" w:type="dxa"/>
            <w:tcBorders/>
            <w:shd w:fill="auto" w:val="clear"/>
          </w:tcPr>
          <w:p>
            <w:pPr>
              <w:pStyle w:val="TableContents"/>
              <w:spacing w:before="0" w:after="0"/>
              <w:ind w:left="0" w:right="0" w:hanging="0"/>
              <w:rPr/>
            </w:pPr>
            <w:r>
              <w:rPr/>
              <w:t> </w:t>
            </w:r>
          </w:p>
        </w:tc>
        <w:tc>
          <w:tcPr>
            <w:tcW w:w="720" w:type="dxa"/>
            <w:tcBorders/>
            <w:shd w:fill="auto" w:val="clear"/>
          </w:tcPr>
          <w:p>
            <w:pPr>
              <w:pStyle w:val="TableContents"/>
              <w:spacing w:before="0" w:after="0"/>
              <w:ind w:left="0" w:right="0" w:hanging="0"/>
              <w:rPr/>
            </w:pPr>
            <w:r>
              <w:rPr/>
              <w:t> </w:t>
            </w:r>
          </w:p>
        </w:tc>
        <w:tc>
          <w:tcPr>
            <w:tcW w:w="4330" w:type="dxa"/>
            <w:tcBorders/>
            <w:shd w:fill="auto" w:val="clear"/>
            <w:vAlign w:val="bottom"/>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720"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By:</w:t>
            </w:r>
          </w:p>
        </w:tc>
        <w:tc>
          <w:tcPr>
            <w:tcW w:w="4330"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Plains All American GP LLC, its general partner</w:t>
            </w:r>
          </w:p>
        </w:tc>
      </w:tr>
      <w:tr>
        <w:trPr/>
        <w:tc>
          <w:tcPr>
            <w:tcW w:w="5155" w:type="dxa"/>
            <w:tcBorders/>
            <w:shd w:fill="auto" w:val="clear"/>
          </w:tcPr>
          <w:p>
            <w:pPr>
              <w:pStyle w:val="TableContents"/>
              <w:spacing w:before="0" w:after="0"/>
              <w:ind w:left="0" w:right="0" w:hanging="0"/>
              <w:rPr/>
            </w:pPr>
            <w:r>
              <w:rPr/>
              <w:t> </w:t>
            </w:r>
          </w:p>
        </w:tc>
        <w:tc>
          <w:tcPr>
            <w:tcW w:w="720" w:type="dxa"/>
            <w:tcBorders/>
            <w:shd w:fill="auto" w:val="clear"/>
          </w:tcPr>
          <w:p>
            <w:pPr>
              <w:pStyle w:val="TableContents"/>
              <w:spacing w:before="0" w:after="0"/>
              <w:ind w:left="0" w:right="0" w:hanging="0"/>
              <w:rPr/>
            </w:pPr>
            <w:r>
              <w:rPr/>
              <w:t> </w:t>
            </w:r>
          </w:p>
        </w:tc>
        <w:tc>
          <w:tcPr>
            <w:tcW w:w="4330" w:type="dxa"/>
            <w:tcBorders/>
            <w:shd w:fill="auto" w:val="clear"/>
            <w:vAlign w:val="bottom"/>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72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330"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/s/ Richard McGee</w:t>
            </w:r>
          </w:p>
        </w:tc>
      </w:tr>
      <w:tr>
        <w:trPr/>
        <w:tc>
          <w:tcPr>
            <w:tcW w:w="5155" w:type="dxa"/>
            <w:tcBorders/>
            <w:shd w:fill="auto" w:val="clear"/>
          </w:tcPr>
          <w:p>
            <w:pPr>
              <w:pStyle w:val="TableContents"/>
              <w:spacing w:before="0" w:after="0"/>
              <w:ind w:left="0" w:right="0" w:hanging="0"/>
              <w:rPr/>
            </w:pPr>
            <w:r>
              <w:rPr/>
              <w:t> </w:t>
            </w:r>
          </w:p>
        </w:tc>
        <w:tc>
          <w:tcPr>
            <w:tcW w:w="72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3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Richard McGee</w:t>
            </w:r>
          </w:p>
        </w:tc>
      </w:tr>
      <w:tr>
        <w:trPr/>
        <w:tc>
          <w:tcPr>
            <w:tcW w:w="5155" w:type="dxa"/>
            <w:tcBorders/>
            <w:shd w:fill="auto" w:val="clear"/>
          </w:tcPr>
          <w:p>
            <w:pPr>
              <w:pStyle w:val="TableContents"/>
              <w:spacing w:before="0" w:after="0"/>
              <w:ind w:left="0" w:right="0" w:hanging="0"/>
              <w:rPr/>
            </w:pPr>
            <w:r>
              <w:rPr/>
              <w:t> </w:t>
            </w:r>
          </w:p>
        </w:tc>
        <w:tc>
          <w:tcPr>
            <w:tcW w:w="72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3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Executive Vice President, General Counsel and Secretary</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w:t>
      </w:r>
      <w:bookmarkStart w:id="9" w:name="PB_9_021918_2195"/>
      <w:bookmarkEnd w:id="9"/>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After reasonable inquiry and to the best of my knowledge and belief, I certify that the information set forth in this statement is true, complete and correct.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Date</w:t>
      </w:r>
      <w:r>
        <w:rPr>
          <w:rFonts w:ascii="Times New Roman" w:hAnsi="Times New Roman"/>
          <w:sz w:val="17"/>
        </w:rPr>
        <w:t>:      August 27, 2013</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54"/>
        <w:gridCol w:w="721"/>
        <w:gridCol w:w="4330"/>
      </w:tblGrid>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PLAINS AAP, L.P.</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vAlign w:val="bottom"/>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7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3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5154" w:type="dxa"/>
            <w:tcBorders/>
            <w:shd w:fill="auto" w:val="clear"/>
          </w:tcPr>
          <w:p>
            <w:pPr>
              <w:pStyle w:val="TableContents"/>
              <w:spacing w:before="0" w:after="0"/>
              <w:ind w:left="0" w:right="0" w:hanging="0"/>
              <w:rPr/>
            </w:pPr>
            <w:r>
              <w:rPr/>
              <w:t> </w:t>
            </w:r>
          </w:p>
        </w:tc>
        <w:tc>
          <w:tcPr>
            <w:tcW w:w="721" w:type="dxa"/>
            <w:tcBorders/>
            <w:shd w:fill="auto" w:val="clear"/>
          </w:tcPr>
          <w:p>
            <w:pPr>
              <w:pStyle w:val="TableContents"/>
              <w:spacing w:before="0" w:after="0"/>
              <w:ind w:left="0" w:right="0" w:hanging="0"/>
              <w:rPr/>
            </w:pPr>
            <w:r>
              <w:rPr/>
              <w:t> </w:t>
            </w:r>
          </w:p>
        </w:tc>
        <w:tc>
          <w:tcPr>
            <w:tcW w:w="4330" w:type="dxa"/>
            <w:tcBorders/>
            <w:shd w:fill="auto" w:val="clear"/>
            <w:vAlign w:val="bottom"/>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7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330"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/s/ Richard McGee</w:t>
            </w:r>
          </w:p>
        </w:tc>
      </w:tr>
      <w:tr>
        <w:trPr/>
        <w:tc>
          <w:tcPr>
            <w:tcW w:w="5154" w:type="dxa"/>
            <w:tcBorders/>
            <w:shd w:fill="auto" w:val="clear"/>
          </w:tcPr>
          <w:p>
            <w:pPr>
              <w:pStyle w:val="TableContents"/>
              <w:spacing w:before="0" w:after="0"/>
              <w:ind w:left="0" w:right="0" w:hanging="0"/>
              <w:rPr/>
            </w:pPr>
            <w:r>
              <w:rPr/>
              <w:t> </w:t>
            </w:r>
          </w:p>
        </w:tc>
        <w:tc>
          <w:tcPr>
            <w:tcW w:w="7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3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Richard McGee</w:t>
            </w:r>
          </w:p>
        </w:tc>
      </w:tr>
      <w:tr>
        <w:trPr/>
        <w:tc>
          <w:tcPr>
            <w:tcW w:w="5154" w:type="dxa"/>
            <w:tcBorders/>
            <w:shd w:fill="auto" w:val="clear"/>
          </w:tcPr>
          <w:p>
            <w:pPr>
              <w:pStyle w:val="TableContents"/>
              <w:spacing w:before="0" w:after="0"/>
              <w:ind w:left="0" w:right="0" w:hanging="0"/>
              <w:rPr/>
            </w:pPr>
            <w:r>
              <w:rPr/>
              <w:t> </w:t>
            </w:r>
          </w:p>
        </w:tc>
        <w:tc>
          <w:tcPr>
            <w:tcW w:w="7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3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Executive Vice President, General Counsel and Secretary</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w:t>
      </w:r>
      <w:bookmarkStart w:id="10" w:name="PB_10_021918_9938"/>
      <w:bookmarkEnd w:id="10"/>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After reasonable inquiry and to the best of my knowledge and belief, I certify that the information set forth in this statement is true, complete and correct.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Date</w:t>
      </w:r>
      <w:r>
        <w:rPr>
          <w:rFonts w:ascii="Times New Roman" w:hAnsi="Times New Roman"/>
          <w:sz w:val="17"/>
        </w:rPr>
        <w:t>:      August 27, 2013</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54"/>
        <w:gridCol w:w="721"/>
        <w:gridCol w:w="4330"/>
      </w:tblGrid>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PLAINS ALL AMERICAN GP LLC</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vAlign w:val="bottom"/>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721" w:type="dxa"/>
            <w:tcBorders/>
            <w:shd w:fill="auto" w:val="clear"/>
          </w:tcPr>
          <w:p>
            <w:pPr>
              <w:pStyle w:val="TableContents"/>
              <w:spacing w:before="0" w:after="0"/>
              <w:ind w:left="0" w:right="0" w:hanging="0"/>
              <w:rPr/>
            </w:pPr>
            <w:r>
              <w:rPr/>
              <w:t> </w:t>
            </w:r>
          </w:p>
        </w:tc>
        <w:tc>
          <w:tcPr>
            <w:tcW w:w="4330" w:type="dxa"/>
            <w:tcBorders/>
            <w:shd w:fill="auto" w:val="clear"/>
            <w:vAlign w:val="bottom"/>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7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330"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/s/ Richard McGee</w:t>
            </w:r>
          </w:p>
        </w:tc>
      </w:tr>
      <w:tr>
        <w:trPr/>
        <w:tc>
          <w:tcPr>
            <w:tcW w:w="5154" w:type="dxa"/>
            <w:tcBorders/>
            <w:shd w:fill="auto" w:val="clear"/>
          </w:tcPr>
          <w:p>
            <w:pPr>
              <w:pStyle w:val="TableContents"/>
              <w:spacing w:before="0" w:after="0"/>
              <w:ind w:left="0" w:right="0" w:hanging="0"/>
              <w:rPr/>
            </w:pPr>
            <w:r>
              <w:rPr/>
              <w:t> </w:t>
            </w:r>
          </w:p>
        </w:tc>
        <w:tc>
          <w:tcPr>
            <w:tcW w:w="7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3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Richard McGee</w:t>
            </w:r>
          </w:p>
        </w:tc>
      </w:tr>
      <w:tr>
        <w:trPr/>
        <w:tc>
          <w:tcPr>
            <w:tcW w:w="5154" w:type="dxa"/>
            <w:tcBorders/>
            <w:shd w:fill="auto" w:val="clear"/>
          </w:tcPr>
          <w:p>
            <w:pPr>
              <w:pStyle w:val="TableContents"/>
              <w:spacing w:before="0" w:after="0"/>
              <w:ind w:left="0" w:right="0" w:hanging="0"/>
              <w:rPr/>
            </w:pPr>
            <w:r>
              <w:rPr/>
              <w:t> </w:t>
            </w:r>
          </w:p>
        </w:tc>
        <w:tc>
          <w:tcPr>
            <w:tcW w:w="7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3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Executive Vice President, General Counsel and Secretary</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w:t>
      </w:r>
      <w:bookmarkStart w:id="11" w:name="PB_11_021918_1305"/>
      <w:bookmarkEnd w:id="11"/>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EXHIBIT INDEX</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Exhibit Index is amended to include the following exhibits: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99.1*</w:t>
      </w:r>
      <w:r>
        <w:rPr>
          <w:rFonts w:ascii="Times New Roman" w:hAnsi="Times New Roman"/>
        </w:rPr>
        <w:t xml:space="preserve">                                         </w:t>
      </w:r>
      <w:r>
        <w:rPr>
          <w:rFonts w:ascii="Times New Roman" w:hAnsi="Times New Roman"/>
          <w:sz w:val="17"/>
        </w:rPr>
        <w:t>Proposal Letter from Plains All American Pipeline, L.P. to the Independent Directors of the Board of Directors of PNGS GP LLC, dated August 27, 2013.</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99.2</w:t>
      </w:r>
      <w:r>
        <w:rPr>
          <w:rFonts w:ascii="Times New Roman" w:hAnsi="Times New Roman"/>
        </w:rPr>
        <w:t xml:space="preserve">                                                </w:t>
      </w:r>
      <w:r>
        <w:rPr>
          <w:rFonts w:ascii="Times New Roman" w:hAnsi="Times New Roman"/>
          <w:sz w:val="17"/>
        </w:rPr>
        <w:t>Joint Filing Statement among the Reporting Persons dated February 18, 2011 (incorporated herein by reference to Exhibit 99.C to the Original Schedule 13D filed on February 18, 2011).</w:t>
      </w:r>
    </w:p>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7"/>
        </w:rPr>
        <w:t>*</w:t>
      </w:r>
      <w:r>
        <w:rPr>
          <w:rFonts w:ascii="Times New Roman" w:hAnsi="Times New Roman"/>
        </w:rPr>
        <w:t xml:space="preserve">                 </w:t>
      </w:r>
      <w:r>
        <w:rPr>
          <w:rFonts w:ascii="Times New Roman" w:hAnsi="Times New Roman"/>
          <w:sz w:val="17"/>
        </w:rPr>
        <w:t>Filed herewith.</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w:t>
      </w:r>
      <w:bookmarkStart w:id="12" w:name="PB_12_021918_290"/>
      <w:bookmarkEnd w:id="1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u w:val="single"/>
        </w:rPr>
      </w:pPr>
      <w:r>
        <w:rPr>
          <w:rFonts w:ascii="Times New Roman" w:hAnsi="Times New Roman"/>
          <w:b/>
          <w:sz w:val="17"/>
          <w:u w:val="single"/>
        </w:rPr>
        <w:t>Schedule I</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i/>
          <w:sz w:val="17"/>
        </w:rPr>
      </w:pPr>
      <w:r>
        <w:rPr>
          <w:rFonts w:ascii="Times New Roman" w:hAnsi="Times New Roman"/>
          <w:i/>
          <w:sz w:val="17"/>
        </w:rPr>
        <w:t>Executive Officers(1)</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Greg L. Armstrong</w:t>
      </w:r>
    </w:p>
    <w:p>
      <w:pPr>
        <w:pStyle w:val="TextBody"/>
        <w:spacing w:before="0" w:after="0"/>
        <w:ind w:left="0" w:right="0" w:hanging="0"/>
        <w:rPr>
          <w:rFonts w:ascii="Times New Roman" w:hAnsi="Times New Roman"/>
        </w:rPr>
      </w:pPr>
      <w:r>
        <w:rPr>
          <w:rFonts w:ascii="Times New Roman" w:hAnsi="Times New Roman"/>
          <w:sz w:val="17"/>
          <w:u w:val="single"/>
        </w:rPr>
        <w:t>Address</w:t>
      </w:r>
      <w:r>
        <w:rPr>
          <w:rFonts w:ascii="Times New Roman" w:hAnsi="Times New Roman"/>
          <w:sz w:val="17"/>
        </w:rPr>
        <w:t>: c/o Plains All American Pipeline, L.P., 333 Clay Street, Suite 1600, Houston, Texas 77002</w:t>
      </w:r>
    </w:p>
    <w:p>
      <w:pPr>
        <w:pStyle w:val="TextBody"/>
        <w:spacing w:before="0" w:after="0"/>
        <w:ind w:left="0" w:right="0" w:hanging="0"/>
        <w:rPr>
          <w:rFonts w:ascii="Times New Roman" w:hAnsi="Times New Roman"/>
        </w:rPr>
      </w:pPr>
      <w:r>
        <w:rPr>
          <w:rFonts w:ascii="Times New Roman" w:hAnsi="Times New Roman"/>
          <w:sz w:val="17"/>
          <w:u w:val="single"/>
        </w:rPr>
        <w:t>Principal Occupation</w:t>
      </w:r>
      <w:r>
        <w:rPr>
          <w:rFonts w:ascii="Times New Roman" w:hAnsi="Times New Roman"/>
          <w:sz w:val="17"/>
        </w:rPr>
        <w:t>: Chairman of the Board, Chief Executive Officer and Director of PNGS GP LLC and of Plains All American GP LLC</w:t>
      </w:r>
    </w:p>
    <w:p>
      <w:pPr>
        <w:pStyle w:val="TextBody"/>
        <w:spacing w:before="0" w:after="0"/>
        <w:ind w:left="0" w:right="0" w:hanging="0"/>
        <w:rPr>
          <w:rFonts w:ascii="Times New Roman" w:hAnsi="Times New Roman"/>
        </w:rPr>
      </w:pPr>
      <w:r>
        <w:rPr>
          <w:rFonts w:ascii="Times New Roman" w:hAnsi="Times New Roman"/>
          <w:sz w:val="17"/>
          <w:u w:val="single"/>
        </w:rPr>
        <w:t>Citizenship</w:t>
      </w:r>
      <w:r>
        <w:rPr>
          <w:rFonts w:ascii="Times New Roman" w:hAnsi="Times New Roman"/>
          <w:sz w:val="17"/>
        </w:rPr>
        <w:t>: USA</w:t>
      </w:r>
    </w:p>
    <w:p>
      <w:pPr>
        <w:pStyle w:val="TextBody"/>
        <w:spacing w:before="0" w:after="0"/>
        <w:ind w:left="0" w:right="0" w:hanging="0"/>
        <w:rPr>
          <w:rFonts w:ascii="Times New Roman" w:hAnsi="Times New Roman"/>
        </w:rPr>
      </w:pPr>
      <w:r>
        <w:rPr>
          <w:rFonts w:ascii="Times New Roman" w:hAnsi="Times New Roman"/>
          <w:sz w:val="17"/>
          <w:u w:val="single"/>
        </w:rPr>
        <w:t>Amount Beneficially Owned</w:t>
      </w:r>
      <w:r>
        <w:rPr>
          <w:rFonts w:ascii="Times New Roman" w:hAnsi="Times New Roman"/>
          <w:sz w:val="17"/>
        </w:rPr>
        <w:t>: 162,000</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Harry N. Pefanis</w:t>
      </w:r>
    </w:p>
    <w:p>
      <w:pPr>
        <w:pStyle w:val="TextBody"/>
        <w:spacing w:before="0" w:after="0"/>
        <w:ind w:left="0" w:right="0" w:hanging="0"/>
        <w:rPr>
          <w:rFonts w:ascii="Times New Roman" w:hAnsi="Times New Roman"/>
        </w:rPr>
      </w:pPr>
      <w:r>
        <w:rPr>
          <w:rFonts w:ascii="Times New Roman" w:hAnsi="Times New Roman"/>
          <w:sz w:val="17"/>
          <w:u w:val="single"/>
        </w:rPr>
        <w:t>Address</w:t>
      </w:r>
      <w:r>
        <w:rPr>
          <w:rFonts w:ascii="Times New Roman" w:hAnsi="Times New Roman"/>
          <w:sz w:val="17"/>
        </w:rPr>
        <w:t>: c/o Plains All American Pipeline, L.P., 333 Clay Street, Suite 1600, Houston, Texas 77002</w:t>
      </w:r>
    </w:p>
    <w:p>
      <w:pPr>
        <w:pStyle w:val="TextBody"/>
        <w:spacing w:before="0" w:after="0"/>
        <w:ind w:left="0" w:right="0" w:hanging="0"/>
        <w:rPr>
          <w:rFonts w:ascii="Times New Roman" w:hAnsi="Times New Roman"/>
        </w:rPr>
      </w:pPr>
      <w:r>
        <w:rPr>
          <w:rFonts w:ascii="Times New Roman" w:hAnsi="Times New Roman"/>
          <w:sz w:val="17"/>
          <w:u w:val="single"/>
        </w:rPr>
        <w:t>Principal Occupation</w:t>
      </w:r>
      <w:r>
        <w:rPr>
          <w:rFonts w:ascii="Times New Roman" w:hAnsi="Times New Roman"/>
          <w:sz w:val="17"/>
        </w:rPr>
        <w:t>: Vice Chairman and Director of PNGS GP LLC and President and Chief Operating Officer of Plains All American GP LLC</w:t>
      </w:r>
    </w:p>
    <w:p>
      <w:pPr>
        <w:pStyle w:val="TextBody"/>
        <w:spacing w:before="0" w:after="0"/>
        <w:ind w:left="0" w:right="0" w:hanging="0"/>
        <w:rPr>
          <w:rFonts w:ascii="Times New Roman" w:hAnsi="Times New Roman"/>
        </w:rPr>
      </w:pPr>
      <w:r>
        <w:rPr>
          <w:rFonts w:ascii="Times New Roman" w:hAnsi="Times New Roman"/>
          <w:sz w:val="17"/>
          <w:u w:val="single"/>
        </w:rPr>
        <w:t>Citizenship</w:t>
      </w:r>
      <w:r>
        <w:rPr>
          <w:rFonts w:ascii="Times New Roman" w:hAnsi="Times New Roman"/>
          <w:sz w:val="17"/>
        </w:rPr>
        <w:t>: USA</w:t>
      </w:r>
    </w:p>
    <w:p>
      <w:pPr>
        <w:pStyle w:val="TextBody"/>
        <w:spacing w:before="0" w:after="0"/>
        <w:ind w:left="0" w:right="0" w:hanging="0"/>
        <w:rPr>
          <w:rFonts w:ascii="Times New Roman" w:hAnsi="Times New Roman"/>
        </w:rPr>
      </w:pPr>
      <w:r>
        <w:rPr>
          <w:rFonts w:ascii="Times New Roman" w:hAnsi="Times New Roman"/>
          <w:sz w:val="17"/>
          <w:u w:val="single"/>
        </w:rPr>
        <w:t>Amount Beneficially Owned</w:t>
      </w:r>
      <w:r>
        <w:rPr>
          <w:rFonts w:ascii="Times New Roman" w:hAnsi="Times New Roman"/>
          <w:sz w:val="17"/>
        </w:rPr>
        <w:t>: 117,000</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Mark J. Gorman</w:t>
      </w:r>
    </w:p>
    <w:p>
      <w:pPr>
        <w:pStyle w:val="TextBody"/>
        <w:spacing w:before="0" w:after="0"/>
        <w:ind w:left="0" w:right="0" w:hanging="0"/>
        <w:rPr>
          <w:rFonts w:ascii="Times New Roman" w:hAnsi="Times New Roman"/>
        </w:rPr>
      </w:pPr>
      <w:r>
        <w:rPr>
          <w:rFonts w:ascii="Times New Roman" w:hAnsi="Times New Roman"/>
          <w:sz w:val="17"/>
          <w:u w:val="single"/>
        </w:rPr>
        <w:t>Address</w:t>
      </w:r>
      <w:r>
        <w:rPr>
          <w:rFonts w:ascii="Times New Roman" w:hAnsi="Times New Roman"/>
          <w:sz w:val="17"/>
        </w:rPr>
        <w:t>: c/o Plains All American Pipeline, L.P., 333 Clay Street, Suite 1600, Houston, Texas 77002</w:t>
      </w:r>
    </w:p>
    <w:p>
      <w:pPr>
        <w:pStyle w:val="TextBody"/>
        <w:spacing w:before="0" w:after="0"/>
        <w:ind w:left="0" w:right="0" w:hanging="0"/>
        <w:rPr>
          <w:rFonts w:ascii="Times New Roman" w:hAnsi="Times New Roman"/>
        </w:rPr>
      </w:pPr>
      <w:r>
        <w:rPr>
          <w:rFonts w:ascii="Times New Roman" w:hAnsi="Times New Roman"/>
          <w:sz w:val="17"/>
          <w:u w:val="single"/>
        </w:rPr>
        <w:t>Principal Occupation</w:t>
      </w:r>
      <w:r>
        <w:rPr>
          <w:rFonts w:ascii="Times New Roman" w:hAnsi="Times New Roman"/>
          <w:sz w:val="17"/>
        </w:rPr>
        <w:t>: Executive Vice PresidentOperations and Business Development of Plains All American GP LLC</w:t>
      </w:r>
    </w:p>
    <w:p>
      <w:pPr>
        <w:pStyle w:val="TextBody"/>
        <w:spacing w:before="0" w:after="0"/>
        <w:ind w:left="0" w:right="0" w:hanging="0"/>
        <w:rPr>
          <w:rFonts w:ascii="Times New Roman" w:hAnsi="Times New Roman"/>
        </w:rPr>
      </w:pPr>
      <w:r>
        <w:rPr>
          <w:rFonts w:ascii="Times New Roman" w:hAnsi="Times New Roman"/>
          <w:sz w:val="17"/>
          <w:u w:val="single"/>
        </w:rPr>
        <w:t>Citizenship</w:t>
      </w:r>
      <w:r>
        <w:rPr>
          <w:rFonts w:ascii="Times New Roman" w:hAnsi="Times New Roman"/>
          <w:sz w:val="17"/>
        </w:rPr>
        <w:t>: USA</w:t>
      </w:r>
    </w:p>
    <w:p>
      <w:pPr>
        <w:pStyle w:val="TextBody"/>
        <w:spacing w:before="0" w:after="0"/>
        <w:ind w:left="0" w:right="0" w:hanging="0"/>
        <w:rPr>
          <w:rFonts w:ascii="Times New Roman" w:hAnsi="Times New Roman"/>
        </w:rPr>
      </w:pPr>
      <w:r>
        <w:rPr>
          <w:rFonts w:ascii="Times New Roman" w:hAnsi="Times New Roman"/>
          <w:sz w:val="17"/>
          <w:u w:val="single"/>
        </w:rPr>
        <w:t>Amount Beneficially Owned</w:t>
      </w:r>
      <w:r>
        <w:rPr>
          <w:rFonts w:ascii="Times New Roman" w:hAnsi="Times New Roman"/>
          <w:sz w:val="17"/>
        </w:rPr>
        <w:t>: 6,000</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Phillip D. Kramer</w:t>
      </w:r>
    </w:p>
    <w:p>
      <w:pPr>
        <w:pStyle w:val="TextBody"/>
        <w:spacing w:before="0" w:after="0"/>
        <w:ind w:left="0" w:right="0" w:hanging="0"/>
        <w:rPr>
          <w:rFonts w:ascii="Times New Roman" w:hAnsi="Times New Roman"/>
        </w:rPr>
      </w:pPr>
      <w:r>
        <w:rPr>
          <w:rFonts w:ascii="Times New Roman" w:hAnsi="Times New Roman"/>
          <w:sz w:val="17"/>
          <w:u w:val="single"/>
        </w:rPr>
        <w:t>Address</w:t>
      </w:r>
      <w:r>
        <w:rPr>
          <w:rFonts w:ascii="Times New Roman" w:hAnsi="Times New Roman"/>
          <w:sz w:val="17"/>
        </w:rPr>
        <w:t>: c/o Plains All American Pipeline, L.P., 333 Clay Street, Suite 1600, Houston, Texas 77002</w:t>
      </w:r>
    </w:p>
    <w:p>
      <w:pPr>
        <w:pStyle w:val="TextBody"/>
        <w:spacing w:before="0" w:after="0"/>
        <w:ind w:left="0" w:right="0" w:hanging="0"/>
        <w:rPr>
          <w:rFonts w:ascii="Times New Roman" w:hAnsi="Times New Roman"/>
        </w:rPr>
      </w:pPr>
      <w:r>
        <w:rPr>
          <w:rFonts w:ascii="Times New Roman" w:hAnsi="Times New Roman"/>
          <w:sz w:val="17"/>
          <w:u w:val="single"/>
        </w:rPr>
        <w:t>Principal Occupation</w:t>
      </w:r>
      <w:r>
        <w:rPr>
          <w:rFonts w:ascii="Times New Roman" w:hAnsi="Times New Roman"/>
          <w:sz w:val="17"/>
        </w:rPr>
        <w:t>: Executive Vice President of Plains All American GP LLC</w:t>
      </w:r>
    </w:p>
    <w:p>
      <w:pPr>
        <w:pStyle w:val="TextBody"/>
        <w:spacing w:before="0" w:after="0"/>
        <w:ind w:left="0" w:right="0" w:hanging="0"/>
        <w:rPr>
          <w:rFonts w:ascii="Times New Roman" w:hAnsi="Times New Roman"/>
        </w:rPr>
      </w:pPr>
      <w:r>
        <w:rPr>
          <w:rFonts w:ascii="Times New Roman" w:hAnsi="Times New Roman"/>
          <w:sz w:val="17"/>
          <w:u w:val="single"/>
        </w:rPr>
        <w:t>Citizenship</w:t>
      </w:r>
      <w:r>
        <w:rPr>
          <w:rFonts w:ascii="Times New Roman" w:hAnsi="Times New Roman"/>
          <w:sz w:val="17"/>
        </w:rPr>
        <w:t>: USA</w:t>
      </w:r>
    </w:p>
    <w:p>
      <w:pPr>
        <w:pStyle w:val="TextBody"/>
        <w:spacing w:before="0" w:after="0"/>
        <w:ind w:left="0" w:right="0" w:hanging="0"/>
        <w:rPr>
          <w:rFonts w:ascii="Times New Roman" w:hAnsi="Times New Roman"/>
        </w:rPr>
      </w:pPr>
      <w:r>
        <w:rPr>
          <w:rFonts w:ascii="Times New Roman" w:hAnsi="Times New Roman"/>
          <w:sz w:val="17"/>
          <w:u w:val="single"/>
        </w:rPr>
        <w:t>Amount Beneficially Owned</w:t>
      </w:r>
      <w:r>
        <w:rPr>
          <w:rFonts w:ascii="Times New Roman" w:hAnsi="Times New Roman"/>
          <w:sz w:val="17"/>
        </w:rPr>
        <w:t>: 12,000</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Richard K. McGee</w:t>
      </w:r>
    </w:p>
    <w:p>
      <w:pPr>
        <w:pStyle w:val="TextBody"/>
        <w:spacing w:before="0" w:after="0"/>
        <w:ind w:left="0" w:right="0" w:hanging="0"/>
        <w:rPr>
          <w:rFonts w:ascii="Times New Roman" w:hAnsi="Times New Roman"/>
        </w:rPr>
      </w:pPr>
      <w:r>
        <w:rPr>
          <w:rFonts w:ascii="Times New Roman" w:hAnsi="Times New Roman"/>
          <w:sz w:val="17"/>
          <w:u w:val="single"/>
        </w:rPr>
        <w:t>Address</w:t>
      </w:r>
      <w:r>
        <w:rPr>
          <w:rFonts w:ascii="Times New Roman" w:hAnsi="Times New Roman"/>
          <w:sz w:val="17"/>
        </w:rPr>
        <w:t>:  c/o Plains All American Pipeline, L.P., 333 Clay Street, Suite 1600, Houston, Texas 77002</w:t>
      </w:r>
    </w:p>
    <w:p>
      <w:pPr>
        <w:pStyle w:val="TextBody"/>
        <w:spacing w:before="0" w:after="0"/>
        <w:ind w:left="0" w:right="0" w:hanging="0"/>
        <w:rPr>
          <w:rFonts w:ascii="Times New Roman" w:hAnsi="Times New Roman"/>
        </w:rPr>
      </w:pPr>
      <w:r>
        <w:rPr>
          <w:rFonts w:ascii="Times New Roman" w:hAnsi="Times New Roman"/>
          <w:sz w:val="17"/>
          <w:u w:val="single"/>
        </w:rPr>
        <w:t>Principal Occupation</w:t>
      </w:r>
      <w:r>
        <w:rPr>
          <w:rFonts w:ascii="Times New Roman" w:hAnsi="Times New Roman"/>
          <w:sz w:val="17"/>
        </w:rPr>
        <w:t>:  Vice President, General Counsel and Secretary of PNGS GP LLC and Executive Vice President, General Counsel and Secretary of Plains All American GP LLC</w:t>
      </w:r>
    </w:p>
    <w:p>
      <w:pPr>
        <w:pStyle w:val="TextBody"/>
        <w:spacing w:before="0" w:after="0"/>
        <w:ind w:left="0" w:right="0" w:hanging="0"/>
        <w:rPr>
          <w:rFonts w:ascii="Times New Roman" w:hAnsi="Times New Roman"/>
        </w:rPr>
      </w:pPr>
      <w:r>
        <w:rPr>
          <w:rFonts w:ascii="Times New Roman" w:hAnsi="Times New Roman"/>
          <w:sz w:val="17"/>
          <w:u w:val="single"/>
        </w:rPr>
        <w:t>Citizenship</w:t>
      </w:r>
      <w:r>
        <w:rPr>
          <w:rFonts w:ascii="Times New Roman" w:hAnsi="Times New Roman"/>
          <w:sz w:val="17"/>
        </w:rPr>
        <w:t>:  USA</w:t>
      </w:r>
    </w:p>
    <w:p>
      <w:pPr>
        <w:pStyle w:val="TextBody"/>
        <w:spacing w:before="0" w:after="0"/>
        <w:ind w:left="0" w:right="0" w:hanging="0"/>
        <w:rPr>
          <w:rFonts w:ascii="Times New Roman" w:hAnsi="Times New Roman"/>
        </w:rPr>
      </w:pPr>
      <w:r>
        <w:rPr>
          <w:rFonts w:ascii="Times New Roman" w:hAnsi="Times New Roman"/>
          <w:sz w:val="17"/>
          <w:u w:val="single"/>
        </w:rPr>
        <w:t>Amount Beneficially Owned</w:t>
      </w:r>
      <w:r>
        <w:rPr>
          <w:rFonts w:ascii="Times New Roman" w:hAnsi="Times New Roman"/>
          <w:sz w:val="17"/>
        </w:rPr>
        <w:t>:  20,000</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John R. Rutherford</w:t>
      </w:r>
    </w:p>
    <w:p>
      <w:pPr>
        <w:pStyle w:val="TextBody"/>
        <w:spacing w:before="0" w:after="0"/>
        <w:ind w:left="0" w:right="0" w:hanging="0"/>
        <w:rPr>
          <w:rFonts w:ascii="Times New Roman" w:hAnsi="Times New Roman"/>
        </w:rPr>
      </w:pPr>
      <w:r>
        <w:rPr>
          <w:rFonts w:ascii="Times New Roman" w:hAnsi="Times New Roman"/>
          <w:sz w:val="17"/>
          <w:u w:val="single"/>
        </w:rPr>
        <w:t>Address</w:t>
      </w:r>
      <w:r>
        <w:rPr>
          <w:rFonts w:ascii="Times New Roman" w:hAnsi="Times New Roman"/>
          <w:sz w:val="17"/>
        </w:rPr>
        <w:t>: c/o Plains All American Pipeline, L.P., 333 Clay Street, Suite 1600, Houston, Texas 77002</w:t>
      </w:r>
    </w:p>
    <w:p>
      <w:pPr>
        <w:pStyle w:val="TextBody"/>
        <w:spacing w:before="0" w:after="0"/>
        <w:ind w:left="0" w:right="0" w:hanging="0"/>
        <w:rPr>
          <w:rFonts w:ascii="Times New Roman" w:hAnsi="Times New Roman"/>
        </w:rPr>
      </w:pPr>
      <w:r>
        <w:rPr>
          <w:rFonts w:ascii="Times New Roman" w:hAnsi="Times New Roman"/>
          <w:sz w:val="17"/>
          <w:u w:val="single"/>
        </w:rPr>
        <w:t>Principal Occupation</w:t>
      </w:r>
      <w:r>
        <w:rPr>
          <w:rFonts w:ascii="Times New Roman" w:hAnsi="Times New Roman"/>
          <w:sz w:val="17"/>
        </w:rPr>
        <w:t>: Executive Vice President of Plains All American GP LLC</w:t>
      </w:r>
    </w:p>
    <w:p>
      <w:pPr>
        <w:pStyle w:val="TextBody"/>
        <w:spacing w:before="0" w:after="0"/>
        <w:ind w:left="0" w:right="0" w:hanging="0"/>
        <w:rPr>
          <w:rFonts w:ascii="Times New Roman" w:hAnsi="Times New Roman"/>
        </w:rPr>
      </w:pPr>
      <w:r>
        <w:rPr>
          <w:rFonts w:ascii="Times New Roman" w:hAnsi="Times New Roman"/>
          <w:sz w:val="17"/>
          <w:u w:val="single"/>
        </w:rPr>
        <w:t>Citizenship</w:t>
      </w:r>
      <w:r>
        <w:rPr>
          <w:rFonts w:ascii="Times New Roman" w:hAnsi="Times New Roman"/>
          <w:sz w:val="17"/>
        </w:rPr>
        <w:t>: USA</w:t>
      </w:r>
    </w:p>
    <w:p>
      <w:pPr>
        <w:pStyle w:val="TextBody"/>
        <w:spacing w:before="0" w:after="0"/>
        <w:ind w:left="0" w:right="0" w:hanging="0"/>
        <w:rPr>
          <w:rFonts w:ascii="Times New Roman" w:hAnsi="Times New Roman"/>
        </w:rPr>
      </w:pPr>
      <w:r>
        <w:rPr>
          <w:rFonts w:ascii="Times New Roman" w:hAnsi="Times New Roman"/>
          <w:sz w:val="17"/>
          <w:u w:val="single"/>
        </w:rPr>
        <w:t>Amount Beneficially Owned</w:t>
      </w:r>
      <w:r>
        <w:rPr>
          <w:rFonts w:ascii="Times New Roman" w:hAnsi="Times New Roman"/>
          <w:sz w:val="17"/>
        </w:rPr>
        <w:t>: None</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Al Swanson</w:t>
      </w:r>
    </w:p>
    <w:p>
      <w:pPr>
        <w:pStyle w:val="TextBody"/>
        <w:spacing w:before="0" w:after="0"/>
        <w:ind w:left="0" w:right="0" w:hanging="0"/>
        <w:rPr>
          <w:rFonts w:ascii="Times New Roman" w:hAnsi="Times New Roman"/>
        </w:rPr>
      </w:pPr>
      <w:r>
        <w:rPr>
          <w:rFonts w:ascii="Times New Roman" w:hAnsi="Times New Roman"/>
          <w:sz w:val="17"/>
          <w:u w:val="single"/>
        </w:rPr>
        <w:t>Address</w:t>
      </w:r>
      <w:r>
        <w:rPr>
          <w:rFonts w:ascii="Times New Roman" w:hAnsi="Times New Roman"/>
          <w:sz w:val="17"/>
        </w:rPr>
        <w:t>: c/o Plains All American Pipeline, L.P., 333 Clay Street, Suite 1600, Houston, Texas 77002</w:t>
      </w:r>
    </w:p>
    <w:p>
      <w:pPr>
        <w:pStyle w:val="TextBody"/>
        <w:spacing w:before="0" w:after="0"/>
        <w:ind w:left="0" w:right="0" w:hanging="0"/>
        <w:rPr>
          <w:rFonts w:ascii="Times New Roman" w:hAnsi="Times New Roman"/>
        </w:rPr>
      </w:pPr>
      <w:r>
        <w:rPr>
          <w:rFonts w:ascii="Times New Roman" w:hAnsi="Times New Roman"/>
          <w:sz w:val="17"/>
          <w:u w:val="single"/>
        </w:rPr>
        <w:t>Principal Occupation</w:t>
      </w:r>
      <w:r>
        <w:rPr>
          <w:rFonts w:ascii="Times New Roman" w:hAnsi="Times New Roman"/>
          <w:sz w:val="17"/>
        </w:rPr>
        <w:t>: Executive Vice President, Chief Financial Officer and Director of PNGS GP LLC and Executive Vice President and Chief Financial Officer of Plains All American GP LLC</w:t>
      </w:r>
    </w:p>
    <w:p>
      <w:pPr>
        <w:pStyle w:val="TextBody"/>
        <w:spacing w:before="0" w:after="0"/>
        <w:ind w:left="0" w:right="0" w:hanging="0"/>
        <w:rPr>
          <w:rFonts w:ascii="Times New Roman" w:hAnsi="Times New Roman"/>
        </w:rPr>
      </w:pPr>
      <w:r>
        <w:rPr>
          <w:rFonts w:ascii="Times New Roman" w:hAnsi="Times New Roman"/>
          <w:sz w:val="17"/>
          <w:u w:val="single"/>
        </w:rPr>
        <w:t>Citizenship</w:t>
      </w:r>
      <w:r>
        <w:rPr>
          <w:rFonts w:ascii="Times New Roman" w:hAnsi="Times New Roman"/>
          <w:sz w:val="17"/>
        </w:rPr>
        <w:t>: USA</w:t>
      </w:r>
    </w:p>
    <w:p>
      <w:pPr>
        <w:pStyle w:val="TextBody"/>
        <w:spacing w:before="0" w:after="0"/>
        <w:ind w:left="0" w:right="0" w:hanging="0"/>
        <w:rPr>
          <w:rFonts w:ascii="Times New Roman" w:hAnsi="Times New Roman"/>
        </w:rPr>
      </w:pPr>
      <w:r>
        <w:rPr>
          <w:rFonts w:ascii="Times New Roman" w:hAnsi="Times New Roman"/>
          <w:sz w:val="17"/>
          <w:u w:val="single"/>
        </w:rPr>
        <w:t>Amount Beneficially Owned</w:t>
      </w:r>
      <w:r>
        <w:rPr>
          <w:rFonts w:ascii="Times New Roman" w:hAnsi="Times New Roman"/>
          <w:sz w:val="17"/>
        </w:rPr>
        <w:t>: 50,844</w:t>
      </w:r>
    </w:p>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7"/>
        </w:rPr>
        <w:t>(1)  Plains All American Pipeline, L.P. (PAA) does not directly have officers, directors or employees, rather its operations and activities are managed by Plains All American GP LLC (GP LLC), which employs PAAs management and operational personnel. GP LLC is the general partner of Plains AAP, L.P. (AAP LP), which is the sole member of PAA GP LLC, which is PAAs general partner. References to PAAs officers are references to the officers of GP LLC.</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13</w:t>
      </w:r>
      <w:bookmarkStart w:id="13" w:name="PB_13_022050_5478"/>
      <w:bookmarkEnd w:id="13"/>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W. David Duckett</w:t>
      </w:r>
    </w:p>
    <w:p>
      <w:pPr>
        <w:pStyle w:val="TextBody"/>
        <w:spacing w:before="0" w:after="0"/>
        <w:ind w:left="0" w:right="0" w:hanging="0"/>
        <w:rPr>
          <w:rFonts w:ascii="Times New Roman" w:hAnsi="Times New Roman"/>
        </w:rPr>
      </w:pPr>
      <w:r>
        <w:rPr>
          <w:rFonts w:ascii="Times New Roman" w:hAnsi="Times New Roman"/>
          <w:sz w:val="17"/>
          <w:u w:val="single"/>
        </w:rPr>
        <w:t>Address</w:t>
      </w:r>
      <w:r>
        <w:rPr>
          <w:rFonts w:ascii="Times New Roman" w:hAnsi="Times New Roman"/>
          <w:sz w:val="17"/>
        </w:rPr>
        <w:t>: c/o Plains All American Pipeline, L.P., 333 Clay Street, Suite 1600, Houston, Texas 77002</w:t>
      </w:r>
    </w:p>
    <w:p>
      <w:pPr>
        <w:pStyle w:val="TextBody"/>
        <w:spacing w:before="0" w:after="0"/>
        <w:ind w:left="0" w:right="0" w:hanging="0"/>
        <w:rPr>
          <w:rFonts w:ascii="Times New Roman" w:hAnsi="Times New Roman"/>
        </w:rPr>
      </w:pPr>
      <w:r>
        <w:rPr>
          <w:rFonts w:ascii="Times New Roman" w:hAnsi="Times New Roman"/>
          <w:sz w:val="17"/>
          <w:u w:val="single"/>
        </w:rPr>
        <w:t>Principal Occupation</w:t>
      </w:r>
      <w:r>
        <w:rPr>
          <w:rFonts w:ascii="Times New Roman" w:hAnsi="Times New Roman"/>
          <w:sz w:val="17"/>
        </w:rPr>
        <w:t>: President of Plains Midstream Canada ULC</w:t>
      </w:r>
    </w:p>
    <w:p>
      <w:pPr>
        <w:pStyle w:val="TextBody"/>
        <w:spacing w:before="0" w:after="0"/>
        <w:ind w:left="0" w:right="0" w:hanging="0"/>
        <w:rPr>
          <w:rFonts w:ascii="Times New Roman" w:hAnsi="Times New Roman"/>
        </w:rPr>
      </w:pPr>
      <w:r>
        <w:rPr>
          <w:rFonts w:ascii="Times New Roman" w:hAnsi="Times New Roman"/>
          <w:sz w:val="17"/>
          <w:u w:val="single"/>
        </w:rPr>
        <w:t>Citizenship</w:t>
      </w:r>
      <w:r>
        <w:rPr>
          <w:rFonts w:ascii="Times New Roman" w:hAnsi="Times New Roman"/>
          <w:sz w:val="17"/>
        </w:rPr>
        <w:t>: Canada</w:t>
      </w:r>
    </w:p>
    <w:p>
      <w:pPr>
        <w:pStyle w:val="TextBody"/>
        <w:spacing w:before="0" w:after="0"/>
        <w:ind w:left="0" w:right="0" w:hanging="0"/>
        <w:rPr>
          <w:rFonts w:ascii="Times New Roman" w:hAnsi="Times New Roman"/>
        </w:rPr>
      </w:pPr>
      <w:r>
        <w:rPr>
          <w:rFonts w:ascii="Times New Roman" w:hAnsi="Times New Roman"/>
          <w:sz w:val="17"/>
          <w:u w:val="single"/>
        </w:rPr>
        <w:t>Amount Beneficially Owned</w:t>
      </w:r>
      <w:r>
        <w:rPr>
          <w:rFonts w:ascii="Times New Roman" w:hAnsi="Times New Roman"/>
          <w:sz w:val="17"/>
        </w:rPr>
        <w:t>: 123,000</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John P. vonBerg</w:t>
      </w:r>
    </w:p>
    <w:p>
      <w:pPr>
        <w:pStyle w:val="TextBody"/>
        <w:spacing w:before="0" w:after="0"/>
        <w:ind w:left="0" w:right="0" w:hanging="0"/>
        <w:rPr>
          <w:rFonts w:ascii="Times New Roman" w:hAnsi="Times New Roman"/>
        </w:rPr>
      </w:pPr>
      <w:r>
        <w:rPr>
          <w:rFonts w:ascii="Times New Roman" w:hAnsi="Times New Roman"/>
          <w:sz w:val="17"/>
          <w:u w:val="single"/>
        </w:rPr>
        <w:t>Address</w:t>
      </w:r>
      <w:r>
        <w:rPr>
          <w:rFonts w:ascii="Times New Roman" w:hAnsi="Times New Roman"/>
          <w:sz w:val="17"/>
        </w:rPr>
        <w:t>: c/o Plains All American Pipeline, L.P., 333 Clay Street, Suite 1600, Houston, Texas 77002</w:t>
      </w:r>
    </w:p>
    <w:p>
      <w:pPr>
        <w:pStyle w:val="TextBody"/>
        <w:spacing w:before="0" w:after="0"/>
        <w:ind w:left="0" w:right="0" w:hanging="0"/>
        <w:rPr>
          <w:rFonts w:ascii="Times New Roman" w:hAnsi="Times New Roman"/>
        </w:rPr>
      </w:pPr>
      <w:r>
        <w:rPr>
          <w:rFonts w:ascii="Times New Roman" w:hAnsi="Times New Roman"/>
          <w:sz w:val="17"/>
          <w:u w:val="single"/>
        </w:rPr>
        <w:t>Principal Occupation</w:t>
      </w:r>
      <w:r>
        <w:rPr>
          <w:rFonts w:ascii="Times New Roman" w:hAnsi="Times New Roman"/>
          <w:sz w:val="17"/>
        </w:rPr>
        <w:t>: Senior Vice PresidentCommercial Activities of Plains All American GP LLC</w:t>
      </w:r>
    </w:p>
    <w:p>
      <w:pPr>
        <w:pStyle w:val="TextBody"/>
        <w:spacing w:before="0" w:after="0"/>
        <w:ind w:left="0" w:right="0" w:hanging="0"/>
        <w:rPr>
          <w:rFonts w:ascii="Times New Roman" w:hAnsi="Times New Roman"/>
        </w:rPr>
      </w:pPr>
      <w:r>
        <w:rPr>
          <w:rFonts w:ascii="Times New Roman" w:hAnsi="Times New Roman"/>
          <w:sz w:val="17"/>
          <w:u w:val="single"/>
        </w:rPr>
        <w:t>Citizenship</w:t>
      </w:r>
      <w:r>
        <w:rPr>
          <w:rFonts w:ascii="Times New Roman" w:hAnsi="Times New Roman"/>
          <w:sz w:val="17"/>
        </w:rPr>
        <w:t>: USA</w:t>
      </w:r>
    </w:p>
    <w:p>
      <w:pPr>
        <w:pStyle w:val="TextBody"/>
        <w:spacing w:before="0" w:after="0"/>
        <w:ind w:left="0" w:right="0" w:hanging="0"/>
        <w:rPr>
          <w:rFonts w:ascii="Times New Roman" w:hAnsi="Times New Roman"/>
        </w:rPr>
      </w:pPr>
      <w:r>
        <w:rPr>
          <w:rFonts w:ascii="Times New Roman" w:hAnsi="Times New Roman"/>
          <w:sz w:val="17"/>
          <w:u w:val="single"/>
        </w:rPr>
        <w:t>Amount Beneficially Owned</w:t>
      </w:r>
      <w:r>
        <w:rPr>
          <w:rFonts w:ascii="Times New Roman" w:hAnsi="Times New Roman"/>
          <w:sz w:val="17"/>
        </w:rPr>
        <w:t>: 15,000</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Chris Herbold</w:t>
      </w:r>
    </w:p>
    <w:p>
      <w:pPr>
        <w:pStyle w:val="TextBody"/>
        <w:spacing w:before="0" w:after="0"/>
        <w:ind w:left="0" w:right="0" w:hanging="0"/>
        <w:rPr>
          <w:rFonts w:ascii="Times New Roman" w:hAnsi="Times New Roman"/>
        </w:rPr>
      </w:pPr>
      <w:r>
        <w:rPr>
          <w:rFonts w:ascii="Times New Roman" w:hAnsi="Times New Roman"/>
          <w:sz w:val="17"/>
          <w:u w:val="single"/>
        </w:rPr>
        <w:t>Address</w:t>
      </w:r>
      <w:r>
        <w:rPr>
          <w:rFonts w:ascii="Times New Roman" w:hAnsi="Times New Roman"/>
          <w:sz w:val="17"/>
        </w:rPr>
        <w:t>: c/o Plains All American Pipeline, L.P., 333 Clay Street, Suite 1600, Houston, Texas 77002</w:t>
      </w:r>
    </w:p>
    <w:p>
      <w:pPr>
        <w:pStyle w:val="TextBody"/>
        <w:spacing w:before="0" w:after="0"/>
        <w:ind w:left="0" w:right="0" w:hanging="0"/>
        <w:rPr>
          <w:rFonts w:ascii="Times New Roman" w:hAnsi="Times New Roman"/>
        </w:rPr>
      </w:pPr>
      <w:r>
        <w:rPr>
          <w:rFonts w:ascii="Times New Roman" w:hAnsi="Times New Roman"/>
          <w:sz w:val="17"/>
          <w:u w:val="single"/>
        </w:rPr>
        <w:t>Principal Occupation</w:t>
      </w:r>
      <w:r>
        <w:rPr>
          <w:rFonts w:ascii="Times New Roman" w:hAnsi="Times New Roman"/>
          <w:sz w:val="17"/>
        </w:rPr>
        <w:t>: Vice President Accounting and Chief Accounting Officer of Plains All American GP LLC</w:t>
      </w:r>
    </w:p>
    <w:p>
      <w:pPr>
        <w:pStyle w:val="TextBody"/>
        <w:spacing w:before="0" w:after="0"/>
        <w:ind w:left="0" w:right="0" w:hanging="0"/>
        <w:rPr>
          <w:rFonts w:ascii="Times New Roman" w:hAnsi="Times New Roman"/>
        </w:rPr>
      </w:pPr>
      <w:r>
        <w:rPr>
          <w:rFonts w:ascii="Times New Roman" w:hAnsi="Times New Roman"/>
          <w:sz w:val="17"/>
          <w:u w:val="single"/>
        </w:rPr>
        <w:t>Citizenship</w:t>
      </w:r>
      <w:r>
        <w:rPr>
          <w:rFonts w:ascii="Times New Roman" w:hAnsi="Times New Roman"/>
          <w:sz w:val="17"/>
        </w:rPr>
        <w:t>: USA</w:t>
      </w:r>
    </w:p>
    <w:p>
      <w:pPr>
        <w:pStyle w:val="TextBody"/>
        <w:spacing w:before="0" w:after="0"/>
        <w:ind w:left="0" w:right="0" w:hanging="0"/>
        <w:rPr>
          <w:rFonts w:ascii="Times New Roman" w:hAnsi="Times New Roman"/>
        </w:rPr>
      </w:pPr>
      <w:r>
        <w:rPr>
          <w:rFonts w:ascii="Times New Roman" w:hAnsi="Times New Roman"/>
          <w:sz w:val="17"/>
          <w:u w:val="single"/>
        </w:rPr>
        <w:t>Amount Beneficially Owned</w:t>
      </w:r>
      <w:r>
        <w:rPr>
          <w:rFonts w:ascii="Times New Roman" w:hAnsi="Times New Roman"/>
          <w:sz w:val="17"/>
        </w:rPr>
        <w:t>: 1,500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Directors</w:t>
      </w:r>
      <w:r>
        <w:rPr>
          <w:rFonts w:ascii="Times New Roman" w:hAnsi="Times New Roman"/>
          <w:sz w:val="17"/>
        </w:rPr>
        <w:t>(1)</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Greg L. Armstrong</w:t>
      </w:r>
    </w:p>
    <w:p>
      <w:pPr>
        <w:pStyle w:val="TextBody"/>
        <w:spacing w:before="0" w:after="0"/>
        <w:ind w:left="0" w:right="0" w:hanging="0"/>
        <w:rPr>
          <w:rFonts w:ascii="Times New Roman" w:hAnsi="Times New Roman"/>
        </w:rPr>
      </w:pPr>
      <w:r>
        <w:rPr>
          <w:rFonts w:ascii="Times New Roman" w:hAnsi="Times New Roman"/>
          <w:sz w:val="17"/>
          <w:u w:val="single"/>
        </w:rPr>
        <w:t>Address</w:t>
      </w:r>
      <w:r>
        <w:rPr>
          <w:rFonts w:ascii="Times New Roman" w:hAnsi="Times New Roman"/>
          <w:sz w:val="17"/>
        </w:rPr>
        <w:t>: c/o Plains All American Pipeline, L.P., 333 Clay Street, Suite 1600, Houston, Texas 77002</w:t>
      </w:r>
    </w:p>
    <w:p>
      <w:pPr>
        <w:pStyle w:val="TextBody"/>
        <w:spacing w:before="0" w:after="0"/>
        <w:ind w:left="0" w:right="0" w:hanging="0"/>
        <w:rPr>
          <w:rFonts w:ascii="Times New Roman" w:hAnsi="Times New Roman"/>
        </w:rPr>
      </w:pPr>
      <w:r>
        <w:rPr>
          <w:rFonts w:ascii="Times New Roman" w:hAnsi="Times New Roman"/>
          <w:sz w:val="17"/>
          <w:u w:val="single"/>
        </w:rPr>
        <w:t>Principal Occupation</w:t>
      </w:r>
      <w:r>
        <w:rPr>
          <w:rFonts w:ascii="Times New Roman" w:hAnsi="Times New Roman"/>
          <w:sz w:val="17"/>
        </w:rPr>
        <w:t>: Chairman of the Board, Chief Executive Officer and Director of PNGS GP LLC and of Plains All American GP LLC</w:t>
      </w:r>
    </w:p>
    <w:p>
      <w:pPr>
        <w:pStyle w:val="TextBody"/>
        <w:spacing w:before="0" w:after="0"/>
        <w:ind w:left="0" w:right="0" w:hanging="0"/>
        <w:rPr>
          <w:rFonts w:ascii="Times New Roman" w:hAnsi="Times New Roman"/>
        </w:rPr>
      </w:pPr>
      <w:r>
        <w:rPr>
          <w:rFonts w:ascii="Times New Roman" w:hAnsi="Times New Roman"/>
          <w:sz w:val="17"/>
          <w:u w:val="single"/>
        </w:rPr>
        <w:t>Citizenship</w:t>
      </w:r>
      <w:r>
        <w:rPr>
          <w:rFonts w:ascii="Times New Roman" w:hAnsi="Times New Roman"/>
          <w:sz w:val="17"/>
        </w:rPr>
        <w:t>: USA</w:t>
      </w:r>
    </w:p>
    <w:p>
      <w:pPr>
        <w:pStyle w:val="TextBody"/>
        <w:spacing w:before="0" w:after="0"/>
        <w:ind w:left="0" w:right="0" w:hanging="0"/>
        <w:rPr>
          <w:rFonts w:ascii="Times New Roman" w:hAnsi="Times New Roman"/>
        </w:rPr>
      </w:pPr>
      <w:r>
        <w:rPr>
          <w:rFonts w:ascii="Times New Roman" w:hAnsi="Times New Roman"/>
          <w:sz w:val="17"/>
          <w:u w:val="single"/>
        </w:rPr>
        <w:t>Amount Beneficially Owned</w:t>
      </w:r>
      <w:r>
        <w:rPr>
          <w:rFonts w:ascii="Times New Roman" w:hAnsi="Times New Roman"/>
          <w:sz w:val="17"/>
        </w:rPr>
        <w:t>: 162,000</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Everardo Goyanes</w:t>
      </w:r>
    </w:p>
    <w:p>
      <w:pPr>
        <w:pStyle w:val="TextBody"/>
        <w:spacing w:before="0" w:after="0"/>
        <w:ind w:left="0" w:right="0" w:hanging="0"/>
        <w:rPr>
          <w:rFonts w:ascii="Times New Roman" w:hAnsi="Times New Roman"/>
        </w:rPr>
      </w:pPr>
      <w:r>
        <w:rPr>
          <w:rFonts w:ascii="Times New Roman" w:hAnsi="Times New Roman"/>
          <w:sz w:val="17"/>
          <w:u w:val="single"/>
        </w:rPr>
        <w:t>Address</w:t>
      </w:r>
      <w:r>
        <w:rPr>
          <w:rFonts w:ascii="Times New Roman" w:hAnsi="Times New Roman"/>
          <w:sz w:val="17"/>
        </w:rPr>
        <w:t>: c/o Plains All American Pipeline, L.P., 333 Clay Street, Suite 1600, Houston, Texas 77002</w:t>
      </w:r>
    </w:p>
    <w:p>
      <w:pPr>
        <w:pStyle w:val="TextBody"/>
        <w:spacing w:before="0" w:after="0"/>
        <w:ind w:left="0" w:right="0" w:hanging="0"/>
        <w:rPr>
          <w:rFonts w:ascii="Times New Roman" w:hAnsi="Times New Roman"/>
        </w:rPr>
      </w:pPr>
      <w:r>
        <w:rPr>
          <w:rFonts w:ascii="Times New Roman" w:hAnsi="Times New Roman"/>
          <w:sz w:val="17"/>
          <w:u w:val="single"/>
        </w:rPr>
        <w:t>Principal Occupation</w:t>
      </w:r>
      <w:r>
        <w:rPr>
          <w:rFonts w:ascii="Times New Roman" w:hAnsi="Times New Roman"/>
          <w:sz w:val="17"/>
        </w:rPr>
        <w:t>: Founder of Ex Cathedra LLC</w:t>
      </w:r>
    </w:p>
    <w:p>
      <w:pPr>
        <w:pStyle w:val="TextBody"/>
        <w:spacing w:before="0" w:after="0"/>
        <w:ind w:left="0" w:right="0" w:hanging="0"/>
        <w:rPr>
          <w:rFonts w:ascii="Times New Roman" w:hAnsi="Times New Roman"/>
        </w:rPr>
      </w:pPr>
      <w:r>
        <w:rPr>
          <w:rFonts w:ascii="Times New Roman" w:hAnsi="Times New Roman"/>
          <w:sz w:val="17"/>
          <w:u w:val="single"/>
        </w:rPr>
        <w:t>Citizenship</w:t>
      </w:r>
      <w:r>
        <w:rPr>
          <w:rFonts w:ascii="Times New Roman" w:hAnsi="Times New Roman"/>
          <w:sz w:val="17"/>
        </w:rPr>
        <w:t>: USA</w:t>
      </w:r>
    </w:p>
    <w:p>
      <w:pPr>
        <w:pStyle w:val="TextBody"/>
        <w:spacing w:before="0" w:after="0"/>
        <w:ind w:left="0" w:right="0" w:hanging="0"/>
        <w:rPr>
          <w:rFonts w:ascii="Times New Roman" w:hAnsi="Times New Roman"/>
        </w:rPr>
      </w:pPr>
      <w:r>
        <w:rPr>
          <w:rFonts w:ascii="Times New Roman" w:hAnsi="Times New Roman"/>
          <w:sz w:val="17"/>
          <w:u w:val="single"/>
        </w:rPr>
        <w:t>Amount Beneficially Owned</w:t>
      </w:r>
      <w:r>
        <w:rPr>
          <w:rFonts w:ascii="Times New Roman" w:hAnsi="Times New Roman"/>
          <w:sz w:val="17"/>
        </w:rPr>
        <w:t>: 35,000</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Gary R. Petersen</w:t>
      </w:r>
    </w:p>
    <w:p>
      <w:pPr>
        <w:pStyle w:val="TextBody"/>
        <w:spacing w:before="0" w:after="0"/>
        <w:ind w:left="0" w:right="0" w:hanging="0"/>
        <w:rPr>
          <w:rFonts w:ascii="Times New Roman" w:hAnsi="Times New Roman"/>
        </w:rPr>
      </w:pPr>
      <w:r>
        <w:rPr>
          <w:rFonts w:ascii="Times New Roman" w:hAnsi="Times New Roman"/>
          <w:sz w:val="17"/>
          <w:u w:val="single"/>
        </w:rPr>
        <w:t>Address</w:t>
      </w:r>
      <w:r>
        <w:rPr>
          <w:rFonts w:ascii="Times New Roman" w:hAnsi="Times New Roman"/>
          <w:sz w:val="17"/>
        </w:rPr>
        <w:t>: c/o Plains All American Pipeline, L.P., 333 Clay Street, Suite 1600, Houston, Texas 77002</w:t>
      </w:r>
    </w:p>
    <w:p>
      <w:pPr>
        <w:pStyle w:val="TextBody"/>
        <w:spacing w:before="0" w:after="0"/>
        <w:ind w:left="0" w:right="0" w:hanging="0"/>
        <w:rPr>
          <w:rFonts w:ascii="Times New Roman" w:hAnsi="Times New Roman"/>
        </w:rPr>
      </w:pPr>
      <w:r>
        <w:rPr>
          <w:rFonts w:ascii="Times New Roman" w:hAnsi="Times New Roman"/>
          <w:sz w:val="17"/>
          <w:u w:val="single"/>
        </w:rPr>
        <w:t>Principal Occupation</w:t>
      </w:r>
      <w:r>
        <w:rPr>
          <w:rFonts w:ascii="Times New Roman" w:hAnsi="Times New Roman"/>
          <w:sz w:val="17"/>
        </w:rPr>
        <w:t>: Managing Partner of EnCap Investments L.P.</w:t>
      </w:r>
    </w:p>
    <w:p>
      <w:pPr>
        <w:pStyle w:val="TextBody"/>
        <w:spacing w:before="0" w:after="0"/>
        <w:ind w:left="0" w:right="0" w:hanging="0"/>
        <w:rPr>
          <w:rFonts w:ascii="Times New Roman" w:hAnsi="Times New Roman"/>
        </w:rPr>
      </w:pPr>
      <w:r>
        <w:rPr>
          <w:rFonts w:ascii="Times New Roman" w:hAnsi="Times New Roman"/>
          <w:sz w:val="17"/>
          <w:u w:val="single"/>
        </w:rPr>
        <w:t>Citizenship</w:t>
      </w:r>
      <w:r>
        <w:rPr>
          <w:rFonts w:ascii="Times New Roman" w:hAnsi="Times New Roman"/>
          <w:sz w:val="17"/>
        </w:rPr>
        <w:t>: USA</w:t>
      </w:r>
    </w:p>
    <w:p>
      <w:pPr>
        <w:pStyle w:val="TextBody"/>
        <w:spacing w:before="0" w:after="0"/>
        <w:ind w:left="0" w:right="0" w:hanging="0"/>
        <w:rPr>
          <w:rFonts w:ascii="Times New Roman" w:hAnsi="Times New Roman"/>
        </w:rPr>
      </w:pPr>
      <w:r>
        <w:rPr>
          <w:rFonts w:ascii="Times New Roman" w:hAnsi="Times New Roman"/>
          <w:sz w:val="17"/>
          <w:u w:val="single"/>
        </w:rPr>
        <w:t>Amount Beneficially Owned</w:t>
      </w:r>
      <w:r>
        <w:rPr>
          <w:rFonts w:ascii="Times New Roman" w:hAnsi="Times New Roman"/>
          <w:sz w:val="17"/>
        </w:rPr>
        <w:t>: 10,000</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John Raymond</w:t>
      </w:r>
    </w:p>
    <w:p>
      <w:pPr>
        <w:pStyle w:val="TextBody"/>
        <w:spacing w:before="0" w:after="0"/>
        <w:ind w:left="0" w:right="0" w:hanging="0"/>
        <w:rPr>
          <w:rFonts w:ascii="Times New Roman" w:hAnsi="Times New Roman"/>
        </w:rPr>
      </w:pPr>
      <w:r>
        <w:rPr>
          <w:rFonts w:ascii="Times New Roman" w:hAnsi="Times New Roman"/>
          <w:sz w:val="17"/>
          <w:u w:val="single"/>
        </w:rPr>
        <w:t>Address</w:t>
      </w:r>
      <w:r>
        <w:rPr>
          <w:rFonts w:ascii="Times New Roman" w:hAnsi="Times New Roman"/>
          <w:sz w:val="17"/>
        </w:rPr>
        <w:t>: c/o Plains All American Pipeline, L.P., 333 Clay Street, Suite 1600, Houston, Texas 77002</w:t>
      </w:r>
    </w:p>
    <w:p>
      <w:pPr>
        <w:pStyle w:val="TextBody"/>
        <w:spacing w:before="0" w:after="0"/>
        <w:ind w:left="0" w:right="0" w:hanging="0"/>
        <w:rPr>
          <w:rFonts w:ascii="Times New Roman" w:hAnsi="Times New Roman"/>
        </w:rPr>
      </w:pPr>
      <w:r>
        <w:rPr>
          <w:rFonts w:ascii="Times New Roman" w:hAnsi="Times New Roman"/>
          <w:sz w:val="17"/>
          <w:u w:val="single"/>
        </w:rPr>
        <w:t>Principal Occupation</w:t>
      </w:r>
      <w:r>
        <w:rPr>
          <w:rFonts w:ascii="Times New Roman" w:hAnsi="Times New Roman"/>
          <w:sz w:val="17"/>
        </w:rPr>
        <w:t>: Owner and founder of The Energy &amp; Minerals Group</w:t>
      </w:r>
    </w:p>
    <w:p>
      <w:pPr>
        <w:pStyle w:val="TextBody"/>
        <w:spacing w:before="0" w:after="0"/>
        <w:ind w:left="0" w:right="0" w:hanging="0"/>
        <w:rPr>
          <w:rFonts w:ascii="Times New Roman" w:hAnsi="Times New Roman"/>
        </w:rPr>
      </w:pPr>
      <w:r>
        <w:rPr>
          <w:rFonts w:ascii="Times New Roman" w:hAnsi="Times New Roman"/>
          <w:sz w:val="17"/>
          <w:u w:val="single"/>
        </w:rPr>
        <w:t>Citizenship</w:t>
      </w:r>
      <w:r>
        <w:rPr>
          <w:rFonts w:ascii="Times New Roman" w:hAnsi="Times New Roman"/>
          <w:sz w:val="17"/>
        </w:rPr>
        <w:t>: USA</w:t>
      </w:r>
    </w:p>
    <w:p>
      <w:pPr>
        <w:pStyle w:val="TextBody"/>
        <w:spacing w:before="0" w:after="0"/>
        <w:ind w:left="0" w:right="0" w:hanging="0"/>
        <w:rPr>
          <w:rFonts w:ascii="Times New Roman" w:hAnsi="Times New Roman"/>
        </w:rPr>
      </w:pPr>
      <w:r>
        <w:rPr>
          <w:rFonts w:ascii="Times New Roman" w:hAnsi="Times New Roman"/>
          <w:sz w:val="17"/>
          <w:u w:val="single"/>
        </w:rPr>
        <w:t>Amount Beneficially Owned</w:t>
      </w:r>
      <w:r>
        <w:rPr>
          <w:rFonts w:ascii="Times New Roman" w:hAnsi="Times New Roman"/>
          <w:sz w:val="17"/>
        </w:rPr>
        <w:t>: 624,997</w:t>
      </w:r>
    </w:p>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7"/>
        </w:rPr>
        <w:t>(1)  PAA does not directly have officers, directors or employees, rather its operations and activities are managed by GP LLC, which employs PAAs management and operational personnel. GP LLC is the general partner of AAP LP, which is the sole member of PAA GP LLC, which is PAAs general partner. References to PAAs directors are references to the directors of GP LLC.</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14</w:t>
      </w:r>
      <w:bookmarkStart w:id="14" w:name="PB_14_022050_9231"/>
      <w:bookmarkEnd w:id="14"/>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Robert V. Sinnott</w:t>
      </w:r>
    </w:p>
    <w:p>
      <w:pPr>
        <w:pStyle w:val="TextBody"/>
        <w:spacing w:before="0" w:after="0"/>
        <w:ind w:left="0" w:right="0" w:hanging="0"/>
        <w:rPr>
          <w:rFonts w:ascii="Times New Roman" w:hAnsi="Times New Roman"/>
        </w:rPr>
      </w:pPr>
      <w:r>
        <w:rPr>
          <w:rFonts w:ascii="Times New Roman" w:hAnsi="Times New Roman"/>
          <w:sz w:val="17"/>
          <w:u w:val="single"/>
        </w:rPr>
        <w:t>Address</w:t>
      </w:r>
      <w:r>
        <w:rPr>
          <w:rFonts w:ascii="Times New Roman" w:hAnsi="Times New Roman"/>
          <w:sz w:val="17"/>
        </w:rPr>
        <w:t>: c/o Plains All American Pipeline, L.P., 333 Clay Street, Suite 1600, Houston, Texas 77002</w:t>
      </w:r>
    </w:p>
    <w:p>
      <w:pPr>
        <w:pStyle w:val="TextBody"/>
        <w:spacing w:before="0" w:after="0"/>
        <w:ind w:left="0" w:right="0" w:hanging="0"/>
        <w:rPr>
          <w:rFonts w:ascii="Times New Roman" w:hAnsi="Times New Roman"/>
        </w:rPr>
      </w:pPr>
      <w:r>
        <w:rPr>
          <w:rFonts w:ascii="Times New Roman" w:hAnsi="Times New Roman"/>
          <w:sz w:val="17"/>
          <w:u w:val="single"/>
        </w:rPr>
        <w:t>Principal Occupation</w:t>
      </w:r>
      <w:r>
        <w:rPr>
          <w:rFonts w:ascii="Times New Roman" w:hAnsi="Times New Roman"/>
          <w:sz w:val="17"/>
        </w:rPr>
        <w:t>: President, Chief Executive Officer, and Senior Managing Director of energy investments of Kayne Anderson Capital Advisors, L.P. and President of Kayne Anderson Investment Management, Inc., the general partner of Kayne Anderson Capital Advisors, L.P.</w:t>
      </w:r>
    </w:p>
    <w:p>
      <w:pPr>
        <w:pStyle w:val="TextBody"/>
        <w:spacing w:before="0" w:after="0"/>
        <w:ind w:left="0" w:right="0" w:hanging="0"/>
        <w:rPr>
          <w:rFonts w:ascii="Times New Roman" w:hAnsi="Times New Roman"/>
        </w:rPr>
      </w:pPr>
      <w:r>
        <w:rPr>
          <w:rFonts w:ascii="Times New Roman" w:hAnsi="Times New Roman"/>
          <w:sz w:val="17"/>
          <w:u w:val="single"/>
        </w:rPr>
        <w:t>Citizenship</w:t>
      </w:r>
      <w:r>
        <w:rPr>
          <w:rFonts w:ascii="Times New Roman" w:hAnsi="Times New Roman"/>
          <w:sz w:val="17"/>
        </w:rPr>
        <w:t>: USA</w:t>
      </w:r>
    </w:p>
    <w:p>
      <w:pPr>
        <w:pStyle w:val="TextBody"/>
        <w:spacing w:before="0" w:after="0"/>
        <w:ind w:left="0" w:right="0" w:hanging="0"/>
        <w:rPr>
          <w:rFonts w:ascii="Times New Roman" w:hAnsi="Times New Roman"/>
        </w:rPr>
      </w:pPr>
      <w:r>
        <w:rPr>
          <w:rFonts w:ascii="Times New Roman" w:hAnsi="Times New Roman"/>
          <w:sz w:val="17"/>
          <w:u w:val="single"/>
        </w:rPr>
        <w:t>Amount Beneficially Owned</w:t>
      </w:r>
      <w:r>
        <w:rPr>
          <w:rFonts w:ascii="Times New Roman" w:hAnsi="Times New Roman"/>
          <w:sz w:val="17"/>
        </w:rPr>
        <w:t>: 79,771</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Vicky Sutil</w:t>
      </w:r>
    </w:p>
    <w:p>
      <w:pPr>
        <w:pStyle w:val="TextBody"/>
        <w:spacing w:before="0" w:after="0"/>
        <w:ind w:left="0" w:right="0" w:hanging="0"/>
        <w:rPr>
          <w:rFonts w:ascii="Times New Roman" w:hAnsi="Times New Roman"/>
        </w:rPr>
      </w:pPr>
      <w:r>
        <w:rPr>
          <w:rFonts w:ascii="Times New Roman" w:hAnsi="Times New Roman"/>
          <w:sz w:val="17"/>
          <w:u w:val="single"/>
        </w:rPr>
        <w:t>Address</w:t>
      </w:r>
      <w:r>
        <w:rPr>
          <w:rFonts w:ascii="Times New Roman" w:hAnsi="Times New Roman"/>
          <w:sz w:val="17"/>
        </w:rPr>
        <w:t>: c/o Plains All American Pipeline, L.P., 333 Clay Street, Suite 1600, Houston, Texas 77002</w:t>
      </w:r>
    </w:p>
    <w:p>
      <w:pPr>
        <w:pStyle w:val="TextBody"/>
        <w:spacing w:before="0" w:after="0"/>
        <w:ind w:left="0" w:right="0" w:hanging="0"/>
        <w:rPr>
          <w:rFonts w:ascii="Times New Roman" w:hAnsi="Times New Roman"/>
        </w:rPr>
      </w:pPr>
      <w:r>
        <w:rPr>
          <w:rFonts w:ascii="Times New Roman" w:hAnsi="Times New Roman"/>
          <w:sz w:val="17"/>
          <w:u w:val="single"/>
        </w:rPr>
        <w:t>Principal Occupation</w:t>
      </w:r>
      <w:r>
        <w:rPr>
          <w:rFonts w:ascii="Times New Roman" w:hAnsi="Times New Roman"/>
          <w:sz w:val="17"/>
        </w:rPr>
        <w:t>: Director, Corporate Development Midstream, and Director, Business Development Rockies, for Occidental Petroleum Corporation</w:t>
      </w:r>
    </w:p>
    <w:p>
      <w:pPr>
        <w:pStyle w:val="TextBody"/>
        <w:spacing w:before="0" w:after="0"/>
        <w:ind w:left="0" w:right="0" w:hanging="0"/>
        <w:rPr>
          <w:rFonts w:ascii="Times New Roman" w:hAnsi="Times New Roman"/>
        </w:rPr>
      </w:pPr>
      <w:r>
        <w:rPr>
          <w:rFonts w:ascii="Times New Roman" w:hAnsi="Times New Roman"/>
          <w:sz w:val="17"/>
          <w:u w:val="single"/>
        </w:rPr>
        <w:t>Citizenship</w:t>
      </w:r>
      <w:r>
        <w:rPr>
          <w:rFonts w:ascii="Times New Roman" w:hAnsi="Times New Roman"/>
          <w:sz w:val="17"/>
        </w:rPr>
        <w:t>: USA</w:t>
      </w:r>
    </w:p>
    <w:p>
      <w:pPr>
        <w:pStyle w:val="TextBody"/>
        <w:spacing w:before="0" w:after="0"/>
        <w:ind w:left="0" w:right="0" w:hanging="0"/>
        <w:rPr>
          <w:rFonts w:ascii="Times New Roman" w:hAnsi="Times New Roman"/>
        </w:rPr>
      </w:pPr>
      <w:r>
        <w:rPr>
          <w:rFonts w:ascii="Times New Roman" w:hAnsi="Times New Roman"/>
          <w:sz w:val="17"/>
          <w:u w:val="single"/>
        </w:rPr>
        <w:t>Amount Beneficially Owned</w:t>
      </w:r>
      <w:r>
        <w:rPr>
          <w:rFonts w:ascii="Times New Roman" w:hAnsi="Times New Roman"/>
          <w:sz w:val="17"/>
        </w:rPr>
        <w:t>: None</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J. Taft Symonds</w:t>
      </w:r>
    </w:p>
    <w:p>
      <w:pPr>
        <w:pStyle w:val="TextBody"/>
        <w:spacing w:before="0" w:after="0"/>
        <w:ind w:left="0" w:right="0" w:hanging="0"/>
        <w:rPr>
          <w:rFonts w:ascii="Times New Roman" w:hAnsi="Times New Roman"/>
        </w:rPr>
      </w:pPr>
      <w:r>
        <w:rPr>
          <w:rFonts w:ascii="Times New Roman" w:hAnsi="Times New Roman"/>
          <w:sz w:val="17"/>
          <w:u w:val="single"/>
        </w:rPr>
        <w:t>Address</w:t>
      </w:r>
      <w:r>
        <w:rPr>
          <w:rFonts w:ascii="Times New Roman" w:hAnsi="Times New Roman"/>
          <w:sz w:val="17"/>
        </w:rPr>
        <w:t>: c/o Plains All American Pipeline, L.P., 333 Clay Street, Suite 1600, Houston, Texas 77002</w:t>
      </w:r>
    </w:p>
    <w:p>
      <w:pPr>
        <w:pStyle w:val="TextBody"/>
        <w:spacing w:before="0" w:after="0"/>
        <w:ind w:left="0" w:right="0" w:hanging="0"/>
        <w:rPr>
          <w:rFonts w:ascii="Times New Roman" w:hAnsi="Times New Roman"/>
        </w:rPr>
      </w:pPr>
      <w:r>
        <w:rPr>
          <w:rFonts w:ascii="Times New Roman" w:hAnsi="Times New Roman"/>
          <w:sz w:val="17"/>
          <w:u w:val="single"/>
        </w:rPr>
        <w:t>Principal Occupation</w:t>
      </w:r>
      <w:r>
        <w:rPr>
          <w:rFonts w:ascii="Times New Roman" w:hAnsi="Times New Roman"/>
          <w:sz w:val="17"/>
        </w:rPr>
        <w:t>: Chairman of the Board of Symonds Investment Company, Inc.</w:t>
      </w:r>
    </w:p>
    <w:p>
      <w:pPr>
        <w:pStyle w:val="TextBody"/>
        <w:spacing w:before="0" w:after="0"/>
        <w:ind w:left="0" w:right="0" w:hanging="0"/>
        <w:rPr>
          <w:rFonts w:ascii="Times New Roman" w:hAnsi="Times New Roman"/>
        </w:rPr>
      </w:pPr>
      <w:r>
        <w:rPr>
          <w:rFonts w:ascii="Times New Roman" w:hAnsi="Times New Roman"/>
          <w:sz w:val="17"/>
          <w:u w:val="single"/>
        </w:rPr>
        <w:t>Citizenship</w:t>
      </w:r>
      <w:r>
        <w:rPr>
          <w:rFonts w:ascii="Times New Roman" w:hAnsi="Times New Roman"/>
          <w:sz w:val="17"/>
        </w:rPr>
        <w:t>: USA</w:t>
      </w:r>
    </w:p>
    <w:p>
      <w:pPr>
        <w:pStyle w:val="TextBody"/>
        <w:spacing w:before="0" w:after="0"/>
        <w:ind w:left="0" w:right="0" w:hanging="0"/>
        <w:rPr>
          <w:rFonts w:ascii="Times New Roman" w:hAnsi="Times New Roman"/>
        </w:rPr>
      </w:pPr>
      <w:r>
        <w:rPr>
          <w:rFonts w:ascii="Times New Roman" w:hAnsi="Times New Roman"/>
          <w:sz w:val="17"/>
          <w:u w:val="single"/>
        </w:rPr>
        <w:t>Amount Beneficially Owned</w:t>
      </w:r>
      <w:r>
        <w:rPr>
          <w:rFonts w:ascii="Times New Roman" w:hAnsi="Times New Roman"/>
          <w:sz w:val="17"/>
        </w:rPr>
        <w:t>: 10,000</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Christopher M. Temple</w:t>
      </w:r>
    </w:p>
    <w:p>
      <w:pPr>
        <w:pStyle w:val="TextBody"/>
        <w:spacing w:before="0" w:after="0"/>
        <w:ind w:left="0" w:right="0" w:hanging="0"/>
        <w:rPr>
          <w:rFonts w:ascii="Times New Roman" w:hAnsi="Times New Roman"/>
        </w:rPr>
      </w:pPr>
      <w:r>
        <w:rPr>
          <w:rFonts w:ascii="Times New Roman" w:hAnsi="Times New Roman"/>
          <w:sz w:val="17"/>
          <w:u w:val="single"/>
        </w:rPr>
        <w:t>Address</w:t>
      </w:r>
      <w:r>
        <w:rPr>
          <w:rFonts w:ascii="Times New Roman" w:hAnsi="Times New Roman"/>
          <w:sz w:val="17"/>
        </w:rPr>
        <w:t>: c/o Plains All American Pipeline, L.P., 333 Clay Street, Suite 1600, Houston, Texas 77002</w:t>
      </w:r>
    </w:p>
    <w:p>
      <w:pPr>
        <w:pStyle w:val="TextBody"/>
        <w:spacing w:before="0" w:after="0"/>
        <w:ind w:left="0" w:right="0" w:hanging="0"/>
        <w:rPr>
          <w:rFonts w:ascii="Times New Roman" w:hAnsi="Times New Roman"/>
        </w:rPr>
      </w:pPr>
      <w:r>
        <w:rPr>
          <w:rFonts w:ascii="Times New Roman" w:hAnsi="Times New Roman"/>
          <w:sz w:val="17"/>
          <w:u w:val="single"/>
        </w:rPr>
        <w:t>Principal Occupation</w:t>
      </w:r>
      <w:r>
        <w:rPr>
          <w:rFonts w:ascii="Times New Roman" w:hAnsi="Times New Roman"/>
          <w:sz w:val="17"/>
        </w:rPr>
        <w:t>: President of DelTex Capital LLC and Chairman of the Board of Texas Plastics Holdco, LLC</w:t>
      </w:r>
    </w:p>
    <w:p>
      <w:pPr>
        <w:pStyle w:val="TextBody"/>
        <w:spacing w:before="0" w:after="0"/>
        <w:ind w:left="0" w:right="0" w:hanging="0"/>
        <w:rPr>
          <w:rFonts w:ascii="Times New Roman" w:hAnsi="Times New Roman"/>
        </w:rPr>
      </w:pPr>
      <w:r>
        <w:rPr>
          <w:rFonts w:ascii="Times New Roman" w:hAnsi="Times New Roman"/>
          <w:sz w:val="17"/>
          <w:u w:val="single"/>
        </w:rPr>
        <w:t>Citizenship</w:t>
      </w:r>
      <w:r>
        <w:rPr>
          <w:rFonts w:ascii="Times New Roman" w:hAnsi="Times New Roman"/>
          <w:sz w:val="17"/>
        </w:rPr>
        <w:t>: USA</w:t>
      </w:r>
    </w:p>
    <w:p>
      <w:pPr>
        <w:pStyle w:val="TextBody"/>
        <w:spacing w:before="0" w:after="0"/>
        <w:ind w:left="0" w:right="0" w:hanging="0"/>
        <w:rPr>
          <w:rFonts w:ascii="Times New Roman" w:hAnsi="Times New Roman"/>
        </w:rPr>
      </w:pPr>
      <w:r>
        <w:rPr>
          <w:rFonts w:ascii="Times New Roman" w:hAnsi="Times New Roman"/>
          <w:sz w:val="17"/>
          <w:u w:val="single"/>
        </w:rPr>
        <w:t>Amount Beneficially Owned</w:t>
      </w:r>
      <w:r>
        <w:rPr>
          <w:rFonts w:ascii="Times New Roman" w:hAnsi="Times New Roman"/>
          <w:sz w:val="17"/>
        </w:rPr>
        <w:t>: None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15</w:t>
      </w:r>
      <w:bookmarkStart w:id="15" w:name="PB_15_022050_5383"/>
      <w:bookmarkEnd w:id="15"/>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16" w:name="a13-19366_2ex99d1.htm"/>
      <w:bookmarkStart w:id="17" w:name="ksa1319366_2ex99d1"/>
      <w:bookmarkEnd w:id="16"/>
      <w:bookmarkEnd w:id="17"/>
      <w:r>
        <w:rPr>
          <w:rFonts w:ascii="Times New Roman" w:hAnsi="Times New Roman"/>
          <w:b/>
          <w:sz w:val="17"/>
        </w:rPr>
        <w:t>Exhibit 99.1</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August 27, 2013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Independent Directors of PNGS GP LLC</w:t>
      </w:r>
    </w:p>
    <w:p>
      <w:pPr>
        <w:pStyle w:val="TextBody"/>
        <w:spacing w:before="0" w:after="0"/>
        <w:ind w:left="0" w:right="0" w:hanging="0"/>
        <w:rPr>
          <w:rFonts w:ascii="Times New Roman" w:hAnsi="Times New Roman"/>
          <w:sz w:val="17"/>
        </w:rPr>
      </w:pPr>
      <w:r>
        <w:rPr>
          <w:rFonts w:ascii="Times New Roman" w:hAnsi="Times New Roman"/>
          <w:sz w:val="17"/>
        </w:rPr>
        <w:t>Mr. Victor Burk</w:t>
      </w:r>
    </w:p>
    <w:p>
      <w:pPr>
        <w:pStyle w:val="TextBody"/>
        <w:spacing w:before="0" w:after="0"/>
        <w:ind w:left="0" w:right="0" w:hanging="0"/>
        <w:rPr>
          <w:rFonts w:ascii="Times New Roman" w:hAnsi="Times New Roman"/>
          <w:sz w:val="17"/>
        </w:rPr>
      </w:pPr>
      <w:r>
        <w:rPr>
          <w:rFonts w:ascii="Times New Roman" w:hAnsi="Times New Roman"/>
          <w:sz w:val="17"/>
        </w:rPr>
        <w:t>Mr. Bobby S. Shackouls</w:t>
      </w:r>
    </w:p>
    <w:p>
      <w:pPr>
        <w:pStyle w:val="TextBody"/>
        <w:spacing w:before="0" w:after="0"/>
        <w:ind w:left="0" w:right="0" w:hanging="0"/>
        <w:rPr>
          <w:rFonts w:ascii="Times New Roman" w:hAnsi="Times New Roman"/>
          <w:sz w:val="17"/>
        </w:rPr>
      </w:pPr>
      <w:r>
        <w:rPr>
          <w:rFonts w:ascii="Times New Roman" w:hAnsi="Times New Roman"/>
          <w:sz w:val="17"/>
        </w:rPr>
        <w:t>Mr. Arthur L. Smith</w:t>
      </w:r>
    </w:p>
    <w:p>
      <w:pPr>
        <w:pStyle w:val="TextBody"/>
        <w:spacing w:before="0" w:after="0"/>
        <w:ind w:left="0" w:right="0" w:hanging="0"/>
        <w:rPr>
          <w:rFonts w:ascii="Times New Roman" w:hAnsi="Times New Roman"/>
          <w:sz w:val="17"/>
        </w:rPr>
      </w:pPr>
      <w:r>
        <w:rPr>
          <w:rFonts w:ascii="Times New Roman" w:hAnsi="Times New Roman"/>
          <w:sz w:val="17"/>
        </w:rPr>
        <w:t>333 Clay Street, Suite 1500</w:t>
      </w:r>
    </w:p>
    <w:p>
      <w:pPr>
        <w:pStyle w:val="TextBody"/>
        <w:spacing w:before="0" w:after="0"/>
        <w:ind w:left="0" w:right="0" w:hanging="0"/>
        <w:rPr>
          <w:rFonts w:ascii="Times New Roman" w:hAnsi="Times New Roman"/>
          <w:sz w:val="17"/>
        </w:rPr>
      </w:pPr>
      <w:r>
        <w:rPr>
          <w:rFonts w:ascii="Times New Roman" w:hAnsi="Times New Roman"/>
          <w:sz w:val="17"/>
        </w:rPr>
        <w:t>Houston, TX 77002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Gentlemen: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(PAA) is pleased to submit a proposal (the Proposal) pursuant to which PAA would acquire all of the outstanding common units of PAA Natural Gas Storage, L.P. (PNG) not already owned by PAA for common units in PAA through a unit-for-unit exchange.  As you are aware, PAA owns approximately 28.2 million common units of PNG, which represents approximately 46% of PNGs issued and outstanding common units. PAA also owns PNGs general partner, PNGS GP LLC (PNG GP), as well as all of PNGs incentive distribution rights and all of its Series A subordinated units (approximately 11.9 million units) and Series B subordinated units (13.5 million units).  Subject to the negotiation and execution of definitive documentation containing terms and conditions customary for a transaction of this type, PAA hereby proposes to pay consideration of 0.435 common units of PAA for each issued and outstanding publicly-held PNG common unit in a transaction to be structured as a merger between PNG and a wholly-owned subsidiary of PAA.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Shortly after the initial public offering of PNG in May of 2010, overall market conditions for natural gas storage began to deteriorate significantly.  In response to these deteriorating market conditions, on two separate occasions PAA voluntarily restructured its equity ownership holdings in PNG, which reduced and/or deferred the distribution amounts PNG would have otherwise been required to pay PAA.  In addition, during the period between late 2010 and early 2013, as market conditions continued to deteriorate, PAA also entered into a number of transactions that helped support PNG, including providing $430 million of debt and equity capital to help finance an acquisition, arranging for guarantees of certain PNG trade credit obligations, refinancing PAAs $200 million loan to PNG to extend the maturity and lower the interest rate, and leasing 20 billion cubic feet of storage from PNG.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first eight months of 2013, overall market conditions for natural gas storage have experienced further significant deterioration.  Seasonal spreads, which are a proxy for firm storage values, are currently near ten year lows and approximately half of levels seen as recently as a year ago. In addition, volatility levels, which impact short term and merchant storage revenues, have generally remained low.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While PAA shares PNGs positive views about the intermediate to long term outlook for natural gas storage, based on a number of market factors it appears likely that current market conditions will persist into 2014 and potentially beyond.  Such a continuation of current market conditions will adversely impact PNGs cash flow, which will in turn impact PNGs ability to maintain its distribution levels, borrowing capacity and debt covenant compliance.  While it is difficult to predict the timing and extent of a recovery in natural gas storage market conditions, it is clear that the next several years will be challenging for PNG on a stand-alone basis.</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401"/>
        <w:gridCol w:w="3402"/>
        <w:gridCol w:w="3402"/>
      </w:tblGrid>
      <w:tr>
        <w:trPr/>
        <w:tc>
          <w:tcPr>
            <w:tcW w:w="340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Independent Directors of PNGS GP LLC</w:t>
            </w:r>
          </w:p>
        </w:tc>
        <w:tc>
          <w:tcPr>
            <w:tcW w:w="340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2</w:t>
            </w:r>
            <w:bookmarkStart w:id="18" w:name="PB_2_015533_5335"/>
            <w:bookmarkEnd w:id="18"/>
          </w:p>
          <w:p>
            <w:pPr>
              <w:pStyle w:val="TableContents"/>
              <w:spacing w:before="0" w:after="0"/>
              <w:ind w:left="0" w:right="0" w:hanging="0"/>
              <w:jc w:val="center"/>
              <w:rPr/>
            </w:pPr>
            <w:r>
              <w:rPr/>
              <w:t> </w:t>
            </w:r>
          </w:p>
        </w:tc>
        <w:tc>
          <w:tcPr>
            <w:tcW w:w="3402"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August 27, 2013</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that the Proposal provides an attractive opportunity for PNGs common unitholders to realize a value that reflects an appropriate balance between the intermediate to long term value of PNGs storage business and the uncertainty associated with a near term challenging environment.  The proposed consideration represents a value per PNG common unit of $22.74 based on the trailing 10 day average closing price of PAAs common units through August 26, 2013.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anticipate that the board of directors of PNG GP will form a conflicts committee comprised of independent directors (the Conflicts Committee) and delegate to the Conflicts Committee the authority to evaluate and respond to the Proposal. We welcome the opportunity to present the Proposal in more detail to the Conflicts Committee and its advisors as soon as possible, and we are prepared to dedicate such resources as may be necessary to expeditiously complete negotiations, execute definitive agreements and close the transaction.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Importantly, the Proposal assumes the execution of definitive agreements on or before September 27</w:t>
      </w:r>
      <w:r>
        <w:rPr>
          <w:rFonts w:ascii="Times New Roman" w:hAnsi="Times New Roman"/>
          <w:sz w:val="11"/>
        </w:rPr>
        <w:t>th</w:t>
      </w:r>
      <w:r>
        <w:rPr>
          <w:rFonts w:ascii="Times New Roman" w:hAnsi="Times New Roman"/>
        </w:rPr>
        <w:t> </w:t>
      </w:r>
      <w:r>
        <w:rPr>
          <w:rFonts w:ascii="Times New Roman" w:hAnsi="Times New Roman"/>
          <w:sz w:val="17"/>
        </w:rPr>
        <w:t>and closing prior to the end of the year.  The Proposal also assumes a regular November distribution payment by PNG that is equal to the common unit distribution paid by PNG in August of this year.  Given that PAA currently owns a majority of PNG, we do not anticipate that regulatory approvals will be an impediment to closing.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Proposal is non-binding, and no agreement, arrangement or understanding between the parties with respect to the Proposal or any other transaction shall be created until such time as mutually satisfactory definitive agreements have been executed and delivered.  The making of the Proposal has been authorized by PAAs Board of Directors, but the definitive agreements and the transactions contemplated thereby will require approval by PAAs Board of Directors in addition to approval by the Conflicts Committee and PNGs unitholders.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PAA looks forward to working with the Conflicts Committee to complete a transaction that we believe is attractive to PNGs unitholders.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54"/>
        <w:gridCol w:w="412"/>
        <w:gridCol w:w="4639"/>
      </w:tblGrid>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Sincerely,</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LLC, its general partner</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 its sole member</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Greg L. Armstrong</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Greg L. Armstrong</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Chairman and Chief Executive Officer</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17</Pages>
  <Words>5000</Words>
  <CharactersWithSpaces>31174</CharactersWithSpaces>
  <Paragraphs>721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