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GP HOLDINGS, L.P.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37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Class A shares representing limited partner interests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37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72651A108</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2015</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*The  remainder of this cover page shall</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be</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filled out for a reporting 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filing on this form</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respect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subject class of securities,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subsequent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containing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which  would  alter</w:t>
            </w:r>
          </w:p>
        </w:tc>
      </w:tr>
      <w:tr>
        <w:trPr>
          <w:trHeight w:val="296"/>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2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disclosures provided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a prior</w:t>
            </w:r>
          </w:p>
        </w:tc>
        <w:tc>
          <w:tcPr>
            <w:tcW w:w="12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cover page.</w:t>
            </w:r>
          </w:p>
        </w:tc>
        <w:tc>
          <w:tcPr>
            <w:tcW w:w="3320" w:type="dxa"/>
            <w:vAlign w:val="bottom"/>
          </w:tcPr>
          <w:p>
            <w:pPr>
              <w:spacing w:after="0"/>
              <w:rPr>
                <w:sz w:val="24"/>
                <w:szCs w:val="24"/>
                <w:color w:val="auto"/>
              </w:rPr>
            </w:pPr>
          </w:p>
        </w:tc>
      </w:tr>
    </w:tbl>
    <w:p>
      <w:pPr>
        <w:spacing w:after="0" w:line="311" w:lineRule="exact"/>
        <w:rPr>
          <w:sz w:val="24"/>
          <w:szCs w:val="24"/>
          <w:color w:val="auto"/>
        </w:rPr>
      </w:pPr>
    </w:p>
    <w:p>
      <w:pPr>
        <w:jc w:val="both"/>
        <w:ind w:right="18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72651A108</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Goldman</w:t>
      </w:r>
      <w:r>
        <w:rPr>
          <w:sz w:val="20"/>
          <w:szCs w:val="20"/>
          <w:color w:val="auto"/>
        </w:rPr>
        <w:tab/>
      </w:r>
      <w:r>
        <w:rPr>
          <w:rFonts w:ascii="Courier New" w:cs="Courier New" w:eastAsia="Courier New" w:hAnsi="Courier New"/>
          <w:sz w:val="16"/>
          <w:szCs w:val="16"/>
          <w:color w:val="auto"/>
        </w:rPr>
        <w:t>Sachs Asset Management</w:t>
      </w:r>
    </w:p>
    <w:p>
      <w:pPr>
        <w:spacing w:after="0" w:line="31" w:lineRule="exact"/>
        <w:rPr>
          <w:sz w:val="24"/>
          <w:szCs w:val="24"/>
          <w:color w:val="auto"/>
        </w:rPr>
      </w:pPr>
    </w:p>
    <w:p>
      <w:pPr>
        <w:ind w:left="1160" w:right="2619"/>
        <w:spacing w:after="0" w:line="268" w:lineRule="auto"/>
        <w:rPr>
          <w:sz w:val="20"/>
          <w:szCs w:val="20"/>
          <w:color w:val="auto"/>
        </w:rPr>
      </w:pPr>
      <w:r>
        <w:rPr>
          <w:rFonts w:ascii="Courier New" w:cs="Courier New" w:eastAsia="Courier New" w:hAnsi="Courier New"/>
          <w:sz w:val="16"/>
          <w:szCs w:val="16"/>
          <w:color w:val="auto"/>
        </w:rPr>
        <w:t>(Goldman Sachs Asset Management, L.P., together with GS Investment Strategies, LLC, "Goldman Sachs Asset Management")</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420" w:right="1440" w:bottom="46"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4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4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37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1,926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80" w:right="2739" w:hanging="7172"/>
        <w:spacing w:after="0" w:line="443" w:lineRule="auto"/>
        <w:tabs>
          <w:tab w:leader="none" w:pos="64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7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9</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1(a).</w:t>
            </w:r>
          </w:p>
        </w:tc>
        <w:tc>
          <w:tcPr>
            <w:tcW w:w="1740" w:type="dxa"/>
            <w:vAlign w:val="bottom"/>
          </w:tcPr>
          <w:p>
            <w:pPr>
              <w:ind w:left="940"/>
              <w:spacing w:after="0"/>
              <w:rPr>
                <w:sz w:val="20"/>
                <w:szCs w:val="20"/>
                <w:color w:val="auto"/>
              </w:rPr>
            </w:pPr>
            <w:r>
              <w:rPr>
                <w:rFonts w:ascii="Courier New" w:cs="Courier New" w:eastAsia="Courier New" w:hAnsi="Courier New"/>
                <w:sz w:val="18"/>
                <w:szCs w:val="18"/>
                <w:color w:val="auto"/>
              </w:rPr>
              <w:t>Name of</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PLAINS GP HOLDINGS, L.P.</w:t>
            </w: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060" w:type="dxa"/>
            <w:vAlign w:val="bottom"/>
          </w:tcPr>
          <w:p>
            <w:pPr>
              <w:spacing w:after="0"/>
              <w:rPr>
                <w:sz w:val="17"/>
                <w:szCs w:val="17"/>
                <w:color w:val="auto"/>
              </w:rPr>
            </w:pPr>
          </w:p>
        </w:tc>
        <w:tc>
          <w:tcPr>
            <w:tcW w:w="72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333 Clay Street, Suite 1600</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Houston, TX 77002</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2(a).</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Name of Persons Filing:</w:t>
            </w:r>
          </w:p>
        </w:tc>
      </w:tr>
      <w:tr>
        <w:trPr>
          <w:trHeight w:val="405"/>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2(b).</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311"/>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203"/>
        </w:trPr>
        <w:tc>
          <w:tcPr>
            <w:tcW w:w="1060" w:type="dxa"/>
            <w:vAlign w:val="bottom"/>
          </w:tcPr>
          <w:p>
            <w:pPr>
              <w:spacing w:after="0"/>
              <w:rPr>
                <w:sz w:val="17"/>
                <w:szCs w:val="17"/>
                <w:color w:val="auto"/>
              </w:rPr>
            </w:pPr>
          </w:p>
        </w:tc>
        <w:tc>
          <w:tcPr>
            <w:tcW w:w="72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200 West Street</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New York, NY  10282</w:t>
            </w: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2(c).</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060" w:type="dxa"/>
            <w:vAlign w:val="bottom"/>
          </w:tcPr>
          <w:p>
            <w:pPr>
              <w:spacing w:after="0"/>
              <w:rPr>
                <w:sz w:val="17"/>
                <w:szCs w:val="17"/>
                <w:color w:val="auto"/>
              </w:rPr>
            </w:pPr>
          </w:p>
        </w:tc>
        <w:tc>
          <w:tcPr>
            <w:tcW w:w="72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GOLDMAN SACHS ASSET MANAGEMENT, L.P. - Delaware</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GS INVESTMENT STRATEGIES, LLC - Delaware</w:t>
            </w:r>
          </w:p>
        </w:tc>
      </w:tr>
      <w:tr>
        <w:trPr>
          <w:trHeight w:val="514"/>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2(d).</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Title of Class of Securities:</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Class A shares representing limited partner interests</w:t>
            </w: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Item 2(e).</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CUSIP Number:</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72651A108</w:t>
            </w: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13d-2(b) or (c), check whether the person filing is a:</w:t>
            </w:r>
          </w:p>
        </w:tc>
      </w:tr>
      <w:tr>
        <w:trPr>
          <w:trHeight w:val="311"/>
        </w:trPr>
        <w:tc>
          <w:tcPr>
            <w:tcW w:w="10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Courier New" w:cs="Courier New" w:eastAsia="Courier New" w:hAnsi="Courier New"/>
                <w:sz w:val="18"/>
                <w:szCs w:val="18"/>
                <w:color w:val="auto"/>
              </w:rPr>
              <w:t>(a).[_]  Broker or dealer registered under Section 15 of the Act</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(15 U.S.C. 78o).</w:t>
            </w:r>
          </w:p>
        </w:tc>
      </w:tr>
      <w:tr>
        <w:trPr>
          <w:trHeight w:val="311"/>
        </w:trPr>
        <w:tc>
          <w:tcPr>
            <w:tcW w:w="10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Courier New" w:cs="Courier New" w:eastAsia="Courier New" w:hAnsi="Courier New"/>
                <w:sz w:val="18"/>
                <w:szCs w:val="18"/>
                <w:color w:val="auto"/>
              </w:rPr>
              <w:t>(b).[_]  Bank as defined in Section 3(a)(6) of the Act</w:t>
            </w:r>
          </w:p>
        </w:tc>
      </w:tr>
      <w:tr>
        <w:trPr>
          <w:trHeight w:val="296"/>
        </w:trPr>
        <w:tc>
          <w:tcPr>
            <w:tcW w:w="1060" w:type="dxa"/>
            <w:vAlign w:val="bottom"/>
          </w:tcPr>
          <w:p>
            <w:pPr>
              <w:spacing w:after="0"/>
              <w:rPr>
                <w:sz w:val="24"/>
                <w:szCs w:val="24"/>
                <w:color w:val="auto"/>
              </w:rPr>
            </w:pPr>
          </w:p>
        </w:tc>
        <w:tc>
          <w:tcPr>
            <w:tcW w:w="728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(15 U.S.C. 78c).</w:t>
            </w:r>
          </w:p>
        </w:tc>
      </w:tr>
    </w:tbl>
    <w:p>
      <w:pPr>
        <w:spacing w:after="0" w:line="109" w:lineRule="exact"/>
        <w:rPr>
          <w:sz w:val="20"/>
          <w:szCs w:val="20"/>
          <w:color w:val="auto"/>
        </w:rPr>
      </w:pPr>
    </w:p>
    <w:p>
      <w:pPr>
        <w:ind w:left="2000" w:right="1999" w:hanging="947"/>
        <w:spacing w:after="0" w:line="347" w:lineRule="auto"/>
        <w:tabs>
          <w:tab w:leader="none" w:pos="1980" w:val="left"/>
        </w:tabs>
        <w:rPr>
          <w:sz w:val="20"/>
          <w:szCs w:val="20"/>
          <w:color w:val="auto"/>
        </w:rPr>
      </w:pPr>
      <w:r>
        <w:rPr>
          <w:rFonts w:ascii="Courier New" w:cs="Courier New" w:eastAsia="Courier New" w:hAnsi="Courier New"/>
          <w:sz w:val="18"/>
          <w:szCs w:val="18"/>
          <w:color w:val="auto"/>
        </w:rPr>
        <w:t>(c).[_]</w:t>
        <w:tab/>
        <w:t>Insurance company as defined in Section 3(a)(19) of the Act (15 U.S.C. 78c).</w:t>
      </w:r>
    </w:p>
    <w:p>
      <w:pPr>
        <w:spacing w:after="0" w:line="18" w:lineRule="exact"/>
        <w:rPr>
          <w:sz w:val="20"/>
          <w:szCs w:val="20"/>
          <w:color w:val="auto"/>
        </w:rPr>
      </w:pPr>
    </w:p>
    <w:p>
      <w:pPr>
        <w:ind w:left="2000" w:right="2739" w:hanging="947"/>
        <w:spacing w:after="0" w:line="402" w:lineRule="auto"/>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 Investment Company Act of 1940 (15 U.S.C. 80a-8).</w:t>
      </w:r>
    </w:p>
    <w:p>
      <w:pPr>
        <w:spacing w:after="0" w:line="1" w:lineRule="exact"/>
        <w:rPr>
          <w:sz w:val="20"/>
          <w:szCs w:val="20"/>
          <w:color w:val="auto"/>
        </w:rPr>
      </w:pPr>
    </w:p>
    <w:p>
      <w:pPr>
        <w:ind w:left="2000" w:right="3999" w:hanging="947"/>
        <w:spacing w:after="0" w:line="257" w:lineRule="auto"/>
        <w:tabs>
          <w:tab w:leader="none" w:pos="1980" w:val="left"/>
        </w:tabs>
        <w:rPr>
          <w:sz w:val="20"/>
          <w:szCs w:val="20"/>
          <w:color w:val="auto"/>
        </w:rPr>
      </w:pPr>
      <w:r>
        <w:rPr>
          <w:rFonts w:ascii="Courier New" w:cs="Courier New" w:eastAsia="Courier New" w:hAnsi="Courier New"/>
          <w:sz w:val="18"/>
          <w:szCs w:val="18"/>
          <w:color w:val="auto"/>
        </w:rPr>
        <w:t>(e).[X]</w:t>
        <w:tab/>
        <w:t>An investment adviser in accordance with Rule 13d-1(b)(1)(ii)(E);</w:t>
      </w:r>
    </w:p>
    <w:p>
      <w:pPr>
        <w:ind w:left="3160"/>
        <w:spacing w:after="0"/>
        <w:rPr>
          <w:sz w:val="20"/>
          <w:szCs w:val="20"/>
          <w:color w:val="auto"/>
        </w:rPr>
      </w:pPr>
      <w:r>
        <w:rPr>
          <w:rFonts w:ascii="Courier New" w:cs="Courier New" w:eastAsia="Courier New" w:hAnsi="Courier New"/>
          <w:sz w:val="18"/>
          <w:szCs w:val="18"/>
          <w:color w:val="auto"/>
        </w:rPr>
        <w:t>Goldman Sachs Asset Management, L.P.</w:t>
      </w:r>
    </w:p>
    <w:p>
      <w:pPr>
        <w:ind w:left="3160"/>
        <w:spacing w:after="0"/>
        <w:rPr>
          <w:sz w:val="20"/>
          <w:szCs w:val="20"/>
          <w:color w:val="auto"/>
        </w:rPr>
      </w:pPr>
      <w:r>
        <w:rPr>
          <w:rFonts w:ascii="Courier New" w:cs="Courier New" w:eastAsia="Courier New" w:hAnsi="Courier New"/>
          <w:sz w:val="18"/>
          <w:szCs w:val="18"/>
          <w:color w:val="auto"/>
        </w:rPr>
        <w:t>GS Investment Strategies, LLC</w:t>
      </w:r>
    </w:p>
    <w:p>
      <w:pPr>
        <w:spacing w:after="0" w:line="169" w:lineRule="exact"/>
        <w:rPr>
          <w:sz w:val="20"/>
          <w:szCs w:val="20"/>
          <w:color w:val="auto"/>
        </w:rPr>
      </w:pPr>
    </w:p>
    <w:p>
      <w:pPr>
        <w:ind w:left="2000" w:right="2319" w:hanging="947"/>
        <w:spacing w:after="0" w:line="347" w:lineRule="auto"/>
        <w:tabs>
          <w:tab w:leader="none" w:pos="1980" w:val="left"/>
        </w:tabs>
        <w:rPr>
          <w:sz w:val="20"/>
          <w:szCs w:val="20"/>
          <w:color w:val="auto"/>
        </w:rPr>
      </w:pPr>
      <w:r>
        <w:rPr>
          <w:rFonts w:ascii="Courier New" w:cs="Courier New" w:eastAsia="Courier New" w:hAnsi="Courier New"/>
          <w:sz w:val="18"/>
          <w:szCs w:val="18"/>
          <w:color w:val="auto"/>
        </w:rPr>
        <w:t>(f).[_]</w:t>
        <w:tab/>
        <w:t>An employee benefit plan or endowment fund in accordance with Rule 13d-1(b)(1)(ii)(F);</w:t>
      </w:r>
    </w:p>
    <w:p>
      <w:pPr>
        <w:spacing w:after="0" w:line="18" w:lineRule="exact"/>
        <w:rPr>
          <w:sz w:val="20"/>
          <w:szCs w:val="20"/>
          <w:color w:val="auto"/>
        </w:rPr>
      </w:pPr>
    </w:p>
    <w:p>
      <w:pPr>
        <w:ind w:left="2000" w:right="2319" w:hanging="947"/>
        <w:spacing w:after="0" w:line="347" w:lineRule="auto"/>
        <w:tabs>
          <w:tab w:leader="none" w:pos="1980" w:val="left"/>
        </w:tabs>
        <w:rPr>
          <w:sz w:val="20"/>
          <w:szCs w:val="20"/>
          <w:color w:val="auto"/>
        </w:rPr>
      </w:pPr>
      <w:r>
        <w:rPr>
          <w:rFonts w:ascii="Courier New" w:cs="Courier New" w:eastAsia="Courier New" w:hAnsi="Courier New"/>
          <w:sz w:val="18"/>
          <w:szCs w:val="18"/>
          <w:color w:val="auto"/>
        </w:rPr>
        <w:t>(g).[_]</w:t>
        <w:tab/>
        <w:t>A parent holding company or control person in accordance with Rule 13d-1(b)(1)(ii)(G);</w:t>
      </w:r>
    </w:p>
    <w:p>
      <w:pPr>
        <w:spacing w:after="0" w:line="18" w:lineRule="exact"/>
        <w:rPr>
          <w:sz w:val="20"/>
          <w:szCs w:val="20"/>
          <w:color w:val="auto"/>
        </w:rPr>
      </w:pPr>
    </w:p>
    <w:p>
      <w:pPr>
        <w:ind w:left="2000" w:right="2419" w:hanging="947"/>
        <w:spacing w:after="0" w:line="347" w:lineRule="auto"/>
        <w:tabs>
          <w:tab w:leader="none" w:pos="1980" w:val="left"/>
        </w:tabs>
        <w:rPr>
          <w:sz w:val="20"/>
          <w:szCs w:val="20"/>
          <w:color w:val="auto"/>
        </w:rPr>
      </w:pPr>
      <w:r>
        <w:rPr>
          <w:rFonts w:ascii="Courier New" w:cs="Courier New" w:eastAsia="Courier New" w:hAnsi="Courier New"/>
          <w:sz w:val="18"/>
          <w:szCs w:val="18"/>
          <w:color w:val="auto"/>
        </w:rPr>
        <w:t>(h).[_]</w:t>
        <w:tab/>
        <w:t>A savings association as defined in Section 3(b) of the Federal Deposit Insurance Act (12 U.S.C. 1813);</w:t>
      </w:r>
    </w:p>
    <w:p>
      <w:pPr>
        <w:spacing w:after="0" w:line="17"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(i).[_]</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w w:val="99"/>
              </w:rPr>
              <w:t>A church plan that</w:t>
            </w:r>
          </w:p>
        </w:tc>
        <w:tc>
          <w:tcPr>
            <w:tcW w:w="3940" w:type="dxa"/>
            <w:vAlign w:val="bottom"/>
          </w:tcPr>
          <w:p>
            <w:pPr>
              <w:ind w:left="60"/>
              <w:spacing w:after="0"/>
              <w:rPr>
                <w:sz w:val="20"/>
                <w:szCs w:val="20"/>
                <w:color w:val="auto"/>
              </w:rPr>
            </w:pPr>
            <w:r>
              <w:rPr>
                <w:rFonts w:ascii="Courier New" w:cs="Courier New" w:eastAsia="Courier New" w:hAnsi="Courier New"/>
                <w:sz w:val="18"/>
                <w:szCs w:val="18"/>
                <w:color w:val="auto"/>
                <w:w w:val="96"/>
              </w:rPr>
              <w:t>is excluded from the definition of an</w:t>
            </w:r>
          </w:p>
        </w:tc>
      </w:tr>
      <w:tr>
        <w:trPr>
          <w:trHeight w:val="203"/>
        </w:trPr>
        <w:tc>
          <w:tcPr>
            <w:tcW w:w="84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 Section 3(c)(14) of the</w:t>
            </w:r>
          </w:p>
        </w:tc>
      </w:tr>
      <w:tr>
        <w:trPr>
          <w:trHeight w:val="296"/>
        </w:trPr>
        <w:tc>
          <w:tcPr>
            <w:tcW w:w="84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w w:val="99"/>
              </w:rPr>
              <w:t>Investment Company</w:t>
            </w:r>
          </w:p>
        </w:tc>
        <w:tc>
          <w:tcPr>
            <w:tcW w:w="3940" w:type="dxa"/>
            <w:vAlign w:val="bottom"/>
          </w:tcPr>
          <w:p>
            <w:pPr>
              <w:ind w:left="60"/>
              <w:spacing w:after="0"/>
              <w:rPr>
                <w:sz w:val="20"/>
                <w:szCs w:val="20"/>
                <w:color w:val="auto"/>
              </w:rPr>
            </w:pPr>
            <w:r>
              <w:rPr>
                <w:rFonts w:ascii="Courier New" w:cs="Courier New" w:eastAsia="Courier New" w:hAnsi="Courier New"/>
                <w:sz w:val="18"/>
                <w:szCs w:val="18"/>
                <w:color w:val="auto"/>
              </w:rPr>
              <w:t>Act of 1940 (15 U.S.C. 80a-3);</w:t>
            </w:r>
          </w:p>
        </w:tc>
      </w:tr>
      <w:tr>
        <w:trPr>
          <w:trHeight w:val="514"/>
        </w:trPr>
        <w:tc>
          <w:tcPr>
            <w:tcW w:w="840" w:type="dxa"/>
            <w:vAlign w:val="bottom"/>
          </w:tcPr>
          <w:p>
            <w:pPr>
              <w:spacing w:after="0"/>
              <w:rPr>
                <w:sz w:val="20"/>
                <w:szCs w:val="20"/>
                <w:color w:val="auto"/>
              </w:rPr>
            </w:pPr>
            <w:r>
              <w:rPr>
                <w:rFonts w:ascii="Courier New" w:cs="Courier New" w:eastAsia="Courier New" w:hAnsi="Courier New"/>
                <w:sz w:val="18"/>
                <w:szCs w:val="18"/>
                <w:color w:val="auto"/>
              </w:rPr>
              <w:t>(j).[_]</w:t>
            </w:r>
          </w:p>
        </w:tc>
        <w:tc>
          <w:tcPr>
            <w:tcW w:w="6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non-U.S.institution in accordance with</w:t>
            </w:r>
          </w:p>
        </w:tc>
      </w:tr>
      <w:tr>
        <w:trPr>
          <w:trHeight w:val="296"/>
        </w:trPr>
        <w:tc>
          <w:tcPr>
            <w:tcW w:w="840" w:type="dxa"/>
            <w:vAlign w:val="bottom"/>
          </w:tcPr>
          <w:p>
            <w:pPr>
              <w:spacing w:after="0"/>
              <w:rPr>
                <w:sz w:val="24"/>
                <w:szCs w:val="24"/>
                <w:color w:val="auto"/>
              </w:rPr>
            </w:pPr>
          </w:p>
        </w:tc>
        <w:tc>
          <w:tcPr>
            <w:tcW w:w="60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Rule 13d-1(b)(1)(ii)(J);</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(k).[_]</w:t>
            </w:r>
          </w:p>
        </w:tc>
        <w:tc>
          <w:tcPr>
            <w:tcW w:w="6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Group, in accordance with Rule 13d-1(b)(1)(ii)(J).</w:t>
            </w:r>
          </w:p>
        </w:tc>
      </w:tr>
    </w:tbl>
    <w:p>
      <w:pPr>
        <w:spacing w:after="0" w:line="10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 13d-1(b)</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(1)(ii)(J), please specify the type of institution:</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9</w:t>
      </w:r>
    </w:p>
    <w:p>
      <w:pPr>
        <w:sectPr>
          <w:pgSz w:w="11900" w:h="16838" w:orient="portrait"/>
          <w:cols w:equalWidth="0" w:num="1">
            <w:col w:w="10219"/>
          </w:cols>
          <w:pgMar w:left="240" w:top="689" w:right="1440" w:bottom="793"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Amount beneficially</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20" w:type="dxa"/>
            <w:vAlign w:val="bottom"/>
          </w:tcPr>
          <w:p>
            <w:pPr>
              <w:spacing w:after="0"/>
              <w:rPr>
                <w:sz w:val="24"/>
                <w:szCs w:val="24"/>
                <w:color w:val="auto"/>
              </w:rPr>
            </w:pPr>
          </w:p>
        </w:tc>
        <w:tc>
          <w:tcPr>
            <w:tcW w:w="32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7"/>
              </w:rPr>
              <w:t>on 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See the response(s)</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to Item 9</w:t>
            </w: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w:t>
            </w:r>
          </w:p>
        </w:tc>
        <w:tc>
          <w:tcPr>
            <w:tcW w:w="32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7"/>
              </w:rPr>
              <w:t>on 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0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See the response(s)to Item</w:t>
            </w:r>
          </w:p>
        </w:tc>
        <w:tc>
          <w:tcPr>
            <w:tcW w:w="320" w:type="dxa"/>
            <w:vAlign w:val="bottom"/>
            <w:vMerge w:val="continue"/>
          </w:tcPr>
          <w:p>
            <w:pPr>
              <w:spacing w:after="0"/>
              <w:rPr>
                <w:sz w:val="24"/>
                <w:szCs w:val="24"/>
                <w:color w:val="auto"/>
              </w:rPr>
            </w:pP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1" w:lineRule="exact"/>
        <w:rPr>
          <w:sz w:val="20"/>
          <w:szCs w:val="20"/>
          <w:color w:val="auto"/>
        </w:rPr>
      </w:pPr>
    </w:p>
    <w:p>
      <w:pPr>
        <w:jc w:val="both"/>
        <w:ind w:left="2860" w:right="1879" w:hanging="842"/>
        <w:spacing w:after="0" w:line="402"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 w:lineRule="exact"/>
        <w:rPr>
          <w:sz w:val="20"/>
          <w:szCs w:val="20"/>
          <w:color w:val="auto"/>
        </w:rPr>
      </w:pPr>
    </w:p>
    <w:p>
      <w:pPr>
        <w:jc w:val="both"/>
        <w:ind w:left="2860" w:right="1879" w:hanging="842"/>
        <w:spacing w:after="0" w:line="402"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 w:lineRule="exact"/>
        <w:rPr>
          <w:sz w:val="20"/>
          <w:szCs w:val="20"/>
          <w:color w:val="auto"/>
        </w:rPr>
      </w:pPr>
    </w:p>
    <w:p>
      <w:pPr>
        <w:jc w:val="both"/>
        <w:ind w:left="2860" w:right="1879" w:hanging="842"/>
        <w:spacing w:after="0" w:line="292"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66" w:lineRule="exact"/>
        <w:rPr>
          <w:sz w:val="20"/>
          <w:szCs w:val="20"/>
          <w:color w:val="auto"/>
        </w:rPr>
      </w:pPr>
    </w:p>
    <w:p>
      <w:pPr>
        <w:jc w:val="both"/>
        <w:ind w:left="2860" w:right="1879" w:hanging="842"/>
        <w:spacing w:after="0" w:line="292"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620" w:type="dxa"/>
            <w:vAlign w:val="bottom"/>
            <w:gridSpan w:val="8"/>
          </w:tcPr>
          <w:p>
            <w:pPr>
              <w:ind w:left="56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9"/>
              </w:rPr>
              <w:t>If this statement is being filed to report the fact that as</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of the date hereof the reporting persons have ceased to be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the beneficial owners of more than five percent of the class</w:t>
            </w:r>
          </w:p>
        </w:tc>
      </w:tr>
      <w:tr>
        <w:trPr>
          <w:trHeight w:val="296"/>
        </w:trPr>
        <w:tc>
          <w:tcPr>
            <w:tcW w:w="1440" w:type="dxa"/>
            <w:vAlign w:val="bottom"/>
          </w:tcPr>
          <w:p>
            <w:pPr>
              <w:spacing w:after="0"/>
              <w:rPr>
                <w:sz w:val="24"/>
                <w:szCs w:val="24"/>
                <w:color w:val="auto"/>
              </w:rPr>
            </w:pPr>
          </w:p>
        </w:tc>
        <w:tc>
          <w:tcPr>
            <w:tcW w:w="5620" w:type="dxa"/>
            <w:vAlign w:val="bottom"/>
            <w:gridSpan w:val="8"/>
          </w:tcPr>
          <w:p>
            <w:pPr>
              <w:ind w:left="560"/>
              <w:spacing w:after="0"/>
              <w:rPr>
                <w:sz w:val="20"/>
                <w:szCs w:val="20"/>
                <w:color w:val="auto"/>
              </w:rPr>
            </w:pPr>
            <w:r>
              <w:rPr>
                <w:rFonts w:ascii="Courier New" w:cs="Courier New" w:eastAsia="Courier New" w:hAnsi="Courier New"/>
                <w:sz w:val="18"/>
                <w:szCs w:val="18"/>
                <w:color w:val="auto"/>
              </w:rPr>
              <w:t>of securities, check the following [X].</w:t>
            </w:r>
          </w:p>
        </w:tc>
        <w:tc>
          <w:tcPr>
            <w:tcW w:w="1280" w:type="dxa"/>
            <w:vAlign w:val="bottom"/>
          </w:tcPr>
          <w:p>
            <w:pPr>
              <w:spacing w:after="0"/>
              <w:rPr>
                <w:sz w:val="24"/>
                <w:szCs w:val="24"/>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88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Ownership of</w:t>
            </w:r>
          </w:p>
        </w:tc>
        <w:tc>
          <w:tcPr>
            <w:tcW w:w="502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More than Five Percent on Behalf of Another</w:t>
            </w:r>
          </w:p>
        </w:tc>
      </w:tr>
      <w:tr>
        <w:trPr>
          <w:trHeight w:val="296"/>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w w:val="95"/>
              </w:rPr>
              <w:t>Person.</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w w:val="95"/>
              </w:rPr>
              <w:t>Clients</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of</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22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Person(s) have or</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may have the</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right</w:t>
            </w:r>
          </w:p>
        </w:tc>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to  receive or</w:t>
            </w: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40" w:type="dxa"/>
            <w:vAlign w:val="bottom"/>
          </w:tcPr>
          <w:p>
            <w:pPr>
              <w:spacing w:after="0"/>
              <w:rPr>
                <w:sz w:val="17"/>
                <w:szCs w:val="17"/>
                <w:color w:val="auto"/>
              </w:rPr>
            </w:pPr>
          </w:p>
        </w:tc>
        <w:tc>
          <w:tcPr>
            <w:tcW w:w="400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w w:val="98"/>
              </w:rPr>
              <w:t>held  in their accounts. Clients</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power</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9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than 5%  of  the  class  of</w:t>
            </w:r>
          </w:p>
        </w:tc>
      </w:tr>
      <w:tr>
        <w:trPr>
          <w:trHeight w:val="203"/>
        </w:trPr>
        <w:tc>
          <w:tcPr>
            <w:tcW w:w="1440" w:type="dxa"/>
            <w:vAlign w:val="bottom"/>
          </w:tcPr>
          <w:p>
            <w:pPr>
              <w:spacing w:after="0"/>
              <w:rPr>
                <w:sz w:val="17"/>
                <w:szCs w:val="17"/>
                <w:color w:val="auto"/>
              </w:rPr>
            </w:pPr>
          </w:p>
        </w:tc>
        <w:tc>
          <w:tcPr>
            <w:tcW w:w="562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280" w:type="dxa"/>
            <w:vAlign w:val="bottom"/>
          </w:tcPr>
          <w:p>
            <w:pPr>
              <w:spacing w:after="0"/>
              <w:rPr>
                <w:sz w:val="17"/>
                <w:szCs w:val="17"/>
                <w:color w:val="auto"/>
              </w:rPr>
            </w:pPr>
          </w:p>
        </w:tc>
      </w:tr>
      <w:tr>
        <w:trPr>
          <w:trHeight w:val="296"/>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rPr>
              <w:t>NONE</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the Subsidiary Which</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r>
      <w:tr>
        <w:trPr>
          <w:trHeight w:val="203"/>
        </w:trPr>
        <w:tc>
          <w:tcPr>
            <w:tcW w:w="1440" w:type="dxa"/>
            <w:vAlign w:val="bottom"/>
          </w:tcPr>
          <w:p>
            <w:pPr>
              <w:spacing w:after="0"/>
              <w:rPr>
                <w:sz w:val="17"/>
                <w:szCs w:val="17"/>
                <w:color w:val="auto"/>
              </w:rPr>
            </w:pPr>
          </w:p>
        </w:tc>
        <w:tc>
          <w:tcPr>
            <w:tcW w:w="226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6"/>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96"/>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6"/>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9"/>
              </w:rPr>
              <w:t>effect of changing or influencing the control of the issuer</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9"/>
              </w:rPr>
              <w:t>of the securities and were not acquired and are not held in</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connection with or as a participant in any transaction</w:t>
            </w:r>
          </w:p>
        </w:tc>
      </w:tr>
      <w:tr>
        <w:trPr>
          <w:trHeight w:val="296"/>
        </w:trPr>
        <w:tc>
          <w:tcPr>
            <w:tcW w:w="1440" w:type="dxa"/>
            <w:vAlign w:val="bottom"/>
          </w:tcPr>
          <w:p>
            <w:pPr>
              <w:spacing w:after="0"/>
              <w:rPr>
                <w:sz w:val="24"/>
                <w:szCs w:val="24"/>
                <w:color w:val="auto"/>
              </w:rPr>
            </w:pPr>
          </w:p>
        </w:tc>
        <w:tc>
          <w:tcPr>
            <w:tcW w:w="4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having that purpose or effect.</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779" w:firstLine="211"/>
        <w:spacing w:after="0" w:line="247"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w:t>
      </w:r>
    </w:p>
    <w:p>
      <w:pPr>
        <w:sectPr>
          <w:pgSz w:w="11900" w:h="16838" w:orient="portrait"/>
          <w:cols w:equalWidth="0" w:num="1">
            <w:col w:w="10219"/>
          </w:cols>
          <w:pgMar w:left="240" w:top="488" w:right="1440" w:bottom="0" w:gutter="0" w:footer="0" w:header="0"/>
        </w:sectPr>
      </w:pPr>
    </w:p>
    <w:bookmarkStart w:id="4" w:name="page5"/>
    <w:bookmarkEnd w:id="4"/>
    <w:p>
      <w:pPr>
        <w:jc w:val="both"/>
        <w:ind w:right="2099"/>
        <w:spacing w:after="0" w:line="292" w:lineRule="auto"/>
        <w:rPr>
          <w:sz w:val="20"/>
          <w:szCs w:val="20"/>
          <w:color w:val="auto"/>
        </w:rPr>
      </w:pPr>
      <w:r>
        <w:rPr>
          <w:rFonts w:ascii="Courier New" w:cs="Courier New" w:eastAsia="Courier New" w:hAnsi="Courier New"/>
          <w:sz w:val="18"/>
          <w:szCs w:val="18"/>
          <w:color w:val="auto"/>
        </w:rPr>
        <w:t>act as the general partner, managing general partner or other manager, to the extent interests in such entities are held by persons other than the Goldman Sachs Reporting Units.</w:t>
      </w:r>
    </w:p>
    <w:p>
      <w:pPr>
        <w:spacing w:after="0" w:line="200" w:lineRule="exact"/>
        <w:rPr>
          <w:sz w:val="20"/>
          <w:szCs w:val="20"/>
          <w:color w:val="auto"/>
        </w:rPr>
      </w:pPr>
    </w:p>
    <w:p>
      <w:pPr>
        <w:spacing w:after="0" w:line="27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9</w:t>
      </w:r>
    </w:p>
    <w:p>
      <w:pPr>
        <w:sectPr>
          <w:pgSz w:w="11900" w:h="16838" w:orient="portrait"/>
          <w:cols w:equalWidth="0" w:num="1">
            <w:col w:w="10219"/>
          </w:cols>
          <w:pgMar w:left="240" w:top="110"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303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3, 2016</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219"/>
          </w:cols>
          <w:pgMar w:left="240" w:top="6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1440" w:type="dxa"/>
            <w:vAlign w:val="bottom"/>
          </w:tcPr>
          <w:p>
            <w:pPr>
              <w:spacing w:after="0"/>
              <w:rPr>
                <w:sz w:val="24"/>
                <w:szCs w:val="24"/>
                <w:color w:val="auto"/>
              </w:rPr>
            </w:pPr>
          </w:p>
        </w:tc>
        <w:tc>
          <w:tcPr>
            <w:tcW w:w="4040" w:type="dxa"/>
            <w:vAlign w:val="bottom"/>
          </w:tcPr>
          <w:p>
            <w:pPr>
              <w:ind w:left="1940"/>
              <w:spacing w:after="0"/>
              <w:rPr>
                <w:sz w:val="20"/>
                <w:szCs w:val="20"/>
                <w:color w:val="auto"/>
              </w:rPr>
            </w:pPr>
            <w:r>
              <w:rPr>
                <w:rFonts w:ascii="Courier New" w:cs="Courier New" w:eastAsia="Courier New" w:hAnsi="Courier New"/>
                <w:sz w:val="18"/>
                <w:szCs w:val="18"/>
                <w:color w:val="auto"/>
              </w:rPr>
              <w:t>INDEX TO EXHIBITS</w:t>
            </w:r>
          </w:p>
        </w:tc>
        <w:tc>
          <w:tcPr>
            <w:tcW w:w="0" w:type="dxa"/>
            <w:vAlign w:val="bottom"/>
          </w:tcPr>
          <w:p>
            <w:pPr>
              <w:spacing w:after="0"/>
              <w:rPr>
                <w:sz w:val="1"/>
                <w:szCs w:val="1"/>
                <w:color w:val="auto"/>
              </w:rPr>
            </w:pPr>
          </w:p>
        </w:tc>
      </w:tr>
      <w:tr>
        <w:trPr>
          <w:trHeight w:val="717"/>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Exhibit No.</w:t>
            </w:r>
          </w:p>
        </w:tc>
        <w:tc>
          <w:tcPr>
            <w:tcW w:w="4040" w:type="dxa"/>
            <w:vAlign w:val="bottom"/>
          </w:tcPr>
          <w:p>
            <w:pPr>
              <w:ind w:left="110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40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99.1</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99.2</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4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99.3</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GOLDMAN SACHS ASSET MANAGEMENT, L.P.</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040" w:type="dxa"/>
            <w:vAlign w:val="bottom"/>
          </w:tcPr>
          <w:p>
            <w:pPr>
              <w:ind w:left="260"/>
              <w:spacing w:after="0"/>
              <w:rPr>
                <w:sz w:val="20"/>
                <w:szCs w:val="20"/>
                <w:color w:val="auto"/>
              </w:rPr>
            </w:pPr>
            <w:r>
              <w:rPr>
                <w:rFonts w:ascii="Courier New" w:cs="Courier New" w:eastAsia="Courier New" w:hAnsi="Courier New"/>
                <w:sz w:val="18"/>
                <w:szCs w:val="18"/>
                <w:color w:val="auto"/>
              </w:rPr>
              <w:t>GS INVESTMENT STRATEGIES,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219"/>
          </w:cols>
          <w:pgMar w:left="240" w:top="691"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jc w:val="both"/>
        <w:ind w:right="1879" w:firstLine="421"/>
        <w:spacing w:after="0" w:line="24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Class A shares representing limited partner interests,</w:t>
      </w:r>
    </w:p>
    <w:p>
      <w:pPr>
        <w:spacing w:after="0" w:line="3"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of PLAINS GP HOLDINGS, L.P.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9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3, 2016</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219"/>
          </w:cols>
          <w:pgMar w:left="240" w:top="488"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ASSET MANAGEMENT, 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does hereby make, constitute and appoint each of Dan Deluca,</w:t>
      </w:r>
    </w:p>
    <w:p>
      <w:pPr>
        <w:spacing w:after="0" w:line="238" w:lineRule="auto"/>
        <w:rPr>
          <w:sz w:val="20"/>
          <w:szCs w:val="20"/>
          <w:color w:val="auto"/>
        </w:rPr>
      </w:pPr>
      <w:r>
        <w:rPr>
          <w:rFonts w:ascii="Courier New" w:cs="Courier New" w:eastAsia="Courier New" w:hAnsi="Courier New"/>
          <w:sz w:val="18"/>
          <w:szCs w:val="18"/>
          <w:color w:val="auto"/>
        </w:rPr>
        <w:t>Jeremy Kahn and Brian Bae (and any other employee of The Goldman Sachs Group,</w:t>
      </w:r>
    </w:p>
    <w:p>
      <w:pPr>
        <w:spacing w:after="0"/>
        <w:rPr>
          <w:sz w:val="20"/>
          <w:szCs w:val="20"/>
          <w:color w:val="auto"/>
        </w:rPr>
      </w:pPr>
      <w:r>
        <w:rPr>
          <w:rFonts w:ascii="Courier New" w:cs="Courier New" w:eastAsia="Courier New" w:hAnsi="Courier New"/>
          <w:sz w:val="16"/>
          <w:szCs w:val="16"/>
          <w:color w:val="auto"/>
        </w:rPr>
        <w:t>Inc. or one of its affiliates designated in writing by one of the attorneys-in-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 acting individually, its true and lawful attorney, to execute and</w:t>
      </w:r>
    </w:p>
    <w:p>
      <w:pPr>
        <w:spacing w:after="0"/>
        <w:rPr>
          <w:sz w:val="20"/>
          <w:szCs w:val="20"/>
          <w:color w:val="auto"/>
        </w:rPr>
      </w:pPr>
      <w:r>
        <w:rPr>
          <w:rFonts w:ascii="Courier New" w:cs="Courier New" w:eastAsia="Courier New" w:hAnsi="Courier New"/>
          <w:sz w:val="16"/>
          <w:szCs w:val="16"/>
          <w:color w:val="auto"/>
        </w:rPr>
        <w:t>deliver in its name and on its behalf whether the Company is acting individually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as representative of others, any and all filings required to be made by the</w:t>
      </w:r>
    </w:p>
    <w:p>
      <w:pPr>
        <w:spacing w:after="0"/>
        <w:rPr>
          <w:sz w:val="20"/>
          <w:szCs w:val="20"/>
          <w:color w:val="auto"/>
        </w:rPr>
      </w:pPr>
      <w:r>
        <w:rPr>
          <w:rFonts w:ascii="Courier New" w:cs="Courier New" w:eastAsia="Courier New" w:hAnsi="Courier New"/>
          <w:sz w:val="16"/>
          <w:szCs w:val="16"/>
          <w:color w:val="auto"/>
        </w:rPr>
        <w:t>Company under the Securities Exchange Act of 1934, (as amended, the "Act"), with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securities which may be deemed to be beneficially owned by the</w:t>
      </w:r>
    </w:p>
    <w:p>
      <w:pPr>
        <w:spacing w:after="0"/>
        <w:rPr>
          <w:sz w:val="20"/>
          <w:szCs w:val="20"/>
          <w:color w:val="auto"/>
        </w:rPr>
      </w:pPr>
      <w:r>
        <w:rPr>
          <w:rFonts w:ascii="Courier New" w:cs="Courier New" w:eastAsia="Courier New" w:hAnsi="Courier New"/>
          <w:sz w:val="16"/>
          <w:szCs w:val="16"/>
          <w:color w:val="auto"/>
        </w:rPr>
        <w:t>Company under the Act, giving and granting unto each said attorney-in-fact power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authority to act in the premises as fully and to all intents and purposes 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might or could do if personally present by one of its authorized</w:t>
      </w:r>
    </w:p>
    <w:p>
      <w:pPr>
        <w:spacing w:after="0"/>
        <w:rPr>
          <w:sz w:val="20"/>
          <w:szCs w:val="20"/>
          <w:color w:val="auto"/>
        </w:rPr>
      </w:pPr>
      <w:r>
        <w:rPr>
          <w:rFonts w:ascii="Courier New" w:cs="Courier New" w:eastAsia="Courier New" w:hAnsi="Courier New"/>
          <w:sz w:val="16"/>
          <w:szCs w:val="16"/>
          <w:color w:val="auto"/>
        </w:rPr>
        <w:t>signatories,hereby ratifying and confirming all that said attorney-in-fact shall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lawfully do or cause to be done by virtue hereof.</w:t>
      </w:r>
    </w:p>
    <w:p>
      <w:pPr>
        <w:spacing w:after="0" w:line="169" w:lineRule="exact"/>
        <w:rPr>
          <w:sz w:val="20"/>
          <w:szCs w:val="20"/>
          <w:color w:val="auto"/>
        </w:rPr>
      </w:pPr>
    </w:p>
    <w:p>
      <w:pPr>
        <w:jc w:val="both"/>
        <w:ind w:right="2319"/>
        <w:spacing w:after="0" w:line="260"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 The Company has the unrestricted right to unilaterally revoke this Power of Attorney.</w:t>
      </w:r>
    </w:p>
    <w:p>
      <w:pPr>
        <w:spacing w:after="0" w:line="93"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30, 2012.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Ellen R. Porges</w:t>
      </w:r>
    </w:p>
    <w:p>
      <w:pPr>
        <w:spacing w:after="0"/>
        <w:rPr>
          <w:sz w:val="20"/>
          <w:szCs w:val="20"/>
          <w:color w:val="auto"/>
        </w:rPr>
      </w:pPr>
      <w:r>
        <w:rPr>
          <w:rFonts w:ascii="Courier New" w:cs="Courier New" w:eastAsia="Courier New" w:hAnsi="Courier New"/>
          <w:sz w:val="18"/>
          <w:szCs w:val="18"/>
          <w:color w:val="auto"/>
        </w:rPr>
        <w:t>Title: General Counsel</w:t>
      </w:r>
    </w:p>
    <w:p>
      <w:pPr>
        <w:spacing w:after="0" w:line="3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DESIGNATION OF ADDITIONAL ATTORNEY-IN-FACT</w:t>
      </w:r>
    </w:p>
    <w:p>
      <w:pPr>
        <w:spacing w:after="0" w:line="201"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KNOW ALL PERSONS BY THESE PRESENTS that Jeremy Kahn, a duly appointed attorney-in-fact of GOLDMAN SACHS ASSET MANAGEMENT, L.P. (the "Company") , pursuant to that Power of Attorney dated November 30, 2012 (the "POA"), does hereby designate Veruna Stanescu, Lee Tryhorn and Leo Herskovich, employees of the Company, as additional attorneys-in-fact, with the same authority to act as provided to the undersigned and the other to the to the undersigned and the other attorneys-in-fact named in the POA.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This Designation</w:t>
            </w:r>
          </w:p>
        </w:tc>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rPr>
              <w:t>of  Additional  Attorney-in-Fact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(this</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6"/>
              </w:rPr>
              <w:t>"Designation")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not  affect  the continued  power  of</w:t>
            </w: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the   undersigned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or  the  other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attorneys-in-fact</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to act under the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POA to the</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full extent permitted thereby.</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This Designation shall remain</w:t>
            </w:r>
          </w:p>
        </w:tc>
        <w:tc>
          <w:tcPr>
            <w:tcW w:w="4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in full  force and effect until either it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POA is revoked in</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writing by</w:t>
            </w:r>
          </w:p>
        </w:tc>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the Company, or until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time as the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persons to whom</w:t>
            </w:r>
          </w:p>
        </w:tc>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power of attorney</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has been</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hereby  granted cease(s) to be</w:t>
            </w:r>
          </w:p>
        </w:tc>
      </w:tr>
      <w:tr>
        <w:trPr>
          <w:trHeight w:val="296"/>
        </w:trPr>
        <w:tc>
          <w:tcPr>
            <w:tcW w:w="5480" w:type="dxa"/>
            <w:vAlign w:val="bottom"/>
            <w:gridSpan w:val="5"/>
          </w:tcPr>
          <w:p>
            <w:pPr>
              <w:spacing w:after="0"/>
              <w:rPr>
                <w:sz w:val="20"/>
                <w:szCs w:val="20"/>
                <w:color w:val="auto"/>
              </w:rPr>
            </w:pPr>
            <w:r>
              <w:rPr>
                <w:rFonts w:ascii="Courier New" w:cs="Courier New" w:eastAsia="Courier New" w:hAnsi="Courier New"/>
                <w:sz w:val="18"/>
                <w:szCs w:val="18"/>
                <w:color w:val="auto"/>
                <w:w w:val="97"/>
              </w:rPr>
              <w:t>an employee of the Company or one of its affiliates.</w:t>
            </w: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1"/>
        </w:trPr>
        <w:tc>
          <w:tcPr>
            <w:tcW w:w="3900" w:type="dxa"/>
            <w:vAlign w:val="bottom"/>
            <w:gridSpan w:val="3"/>
          </w:tcPr>
          <w:p>
            <w:pPr>
              <w:spacing w:after="0"/>
              <w:rPr>
                <w:sz w:val="20"/>
                <w:szCs w:val="20"/>
                <w:color w:val="auto"/>
              </w:rPr>
            </w:pPr>
            <w:r>
              <w:rPr>
                <w:rFonts w:ascii="Courier New" w:cs="Courier New" w:eastAsia="Courier New" w:hAnsi="Courier New"/>
                <w:sz w:val="18"/>
                <w:szCs w:val="18"/>
                <w:color w:val="auto"/>
                <w:w w:val="99"/>
              </w:rPr>
              <w:t>IN WITNESS WHEREOF, the  undersigned</w:t>
            </w:r>
          </w:p>
        </w:tc>
        <w:tc>
          <w:tcPr>
            <w:tcW w:w="22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has duly subscribed</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these presents as of</w:t>
            </w: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April 21, 2015.</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3900" w:type="dxa"/>
            <w:vAlign w:val="bottom"/>
            <w:gridSpan w:val="3"/>
          </w:tcPr>
          <w:p>
            <w:pPr>
              <w:spacing w:after="0"/>
              <w:rPr>
                <w:sz w:val="20"/>
                <w:szCs w:val="20"/>
                <w:color w:val="auto"/>
              </w:rPr>
            </w:pPr>
            <w:r>
              <w:rPr>
                <w:rFonts w:ascii="Courier New" w:cs="Courier New" w:eastAsia="Courier New" w:hAnsi="Courier New"/>
                <w:sz w:val="18"/>
                <w:szCs w:val="18"/>
                <w:color w:val="auto"/>
                <w:w w:val="99"/>
              </w:rPr>
              <w:t>GOLDMAN SACHS ASSET MANAGEMENT, L.P.</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1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Kahn</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Jeremy Kahn</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96"/>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Title: Attorney-In-Fact</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31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219"/>
          </w:cols>
          <w:pgMar w:left="240" w:top="488" w:right="1440" w:bottom="388" w:gutter="0" w:footer="0" w:header="0"/>
        </w:sectPr>
      </w:pPr>
    </w:p>
    <w:bookmarkStart w:id="9" w:name="page10"/>
    <w:bookmarkEnd w:id="9"/>
    <w:p>
      <w:pPr>
        <w:ind w:left="6740"/>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999"/>
        <w:spacing w:after="0" w:line="246" w:lineRule="auto"/>
        <w:rPr>
          <w:sz w:val="20"/>
          <w:szCs w:val="20"/>
          <w:color w:val="auto"/>
        </w:rPr>
      </w:pPr>
      <w:r>
        <w:rPr>
          <w:rFonts w:ascii="Courier New" w:cs="Courier New" w:eastAsia="Courier New" w:hAnsi="Courier New"/>
          <w:sz w:val="18"/>
          <w:szCs w:val="18"/>
          <w:color w:val="auto"/>
        </w:rPr>
        <w:t>KNOW ALL PERSONS BY THESE PRESENTS that GS INVESTMENT STRATEGIES, LLC (the "Company") does hereby make, constitute and appoint each of Dan Deluca, Jeremy Kahn and Brian Bae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106" w:lineRule="exact"/>
        <w:rPr>
          <w:sz w:val="20"/>
          <w:szCs w:val="20"/>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82"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30, 2012.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Umit Alptuna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Umit Alptuna</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Managing Director</w:t>
      </w:r>
    </w:p>
    <w:p>
      <w:pPr>
        <w:spacing w:after="0" w:line="3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DESIGNATION OF ADDITIONAL ATTORNEY-IN-FACT</w:t>
      </w:r>
    </w:p>
    <w:p>
      <w:pPr>
        <w:spacing w:after="0" w:line="201" w:lineRule="exact"/>
        <w:rPr>
          <w:sz w:val="20"/>
          <w:szCs w:val="20"/>
          <w:color w:val="auto"/>
        </w:rPr>
      </w:pPr>
    </w:p>
    <w:p>
      <w:pPr>
        <w:ind w:right="2319"/>
        <w:spacing w:after="0" w:line="256" w:lineRule="auto"/>
        <w:rPr>
          <w:sz w:val="20"/>
          <w:szCs w:val="20"/>
          <w:color w:val="auto"/>
        </w:rPr>
      </w:pPr>
      <w:r>
        <w:rPr>
          <w:rFonts w:ascii="Courier New" w:cs="Courier New" w:eastAsia="Courier New" w:hAnsi="Courier New"/>
          <w:sz w:val="18"/>
          <w:szCs w:val="18"/>
          <w:color w:val="auto"/>
        </w:rPr>
        <w:t>KNOW ALL PERSONS BY THESE PRESENTS that Jeremy Kahn, a duly appointed attorney-in-fact of GS INVESTMENT STRATEGIES, LLC (the "Company") , pursuant to that Power of Attorney dated November 30, 2012 (the "POA"), does hereby designate Veruna Stanescu, Lee Tryhorn and Leo Herskovich, employees of the Company, as additional attorneys-in-fact, with the same authority to act as provided to the undersigned and the other to the to the undersigned and the other attorneys-in-fact named in the POA.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This Designation</w:t>
            </w:r>
          </w:p>
        </w:tc>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rPr>
              <w:t>of  Additional  Attorney-in-Fact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(this</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"Designation")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  affect  the continued  power  of</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undersigned</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or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other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attorneys-in-fact</w:t>
            </w:r>
          </w:p>
        </w:tc>
        <w:tc>
          <w:tcPr>
            <w:tcW w:w="3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to act under the  POA to the</w:t>
            </w:r>
          </w:p>
        </w:tc>
        <w:tc>
          <w:tcPr>
            <w:tcW w:w="3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full extent permitted thereby.</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This Designation shall remain</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in full</w:t>
            </w:r>
          </w:p>
        </w:tc>
        <w:tc>
          <w:tcPr>
            <w:tcW w:w="3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force and effect until either it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POA is revoked in</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writing by</w:t>
            </w:r>
          </w:p>
        </w:tc>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the Company, or until</w:t>
            </w:r>
          </w:p>
        </w:tc>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such</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time as the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persons to whom</w:t>
            </w:r>
          </w:p>
        </w:tc>
        <w:tc>
          <w:tcPr>
            <w:tcW w:w="2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been</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hereby</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granted cease(s) to be</w:t>
            </w:r>
          </w:p>
        </w:tc>
      </w:tr>
      <w:tr>
        <w:trPr>
          <w:trHeight w:val="296"/>
        </w:trPr>
        <w:tc>
          <w:tcPr>
            <w:tcW w:w="5480" w:type="dxa"/>
            <w:vAlign w:val="bottom"/>
            <w:gridSpan w:val="5"/>
          </w:tcPr>
          <w:p>
            <w:pPr>
              <w:spacing w:after="0"/>
              <w:rPr>
                <w:sz w:val="20"/>
                <w:szCs w:val="20"/>
                <w:color w:val="auto"/>
              </w:rPr>
            </w:pPr>
            <w:r>
              <w:rPr>
                <w:rFonts w:ascii="Courier New" w:cs="Courier New" w:eastAsia="Courier New" w:hAnsi="Courier New"/>
                <w:sz w:val="18"/>
                <w:szCs w:val="18"/>
                <w:color w:val="auto"/>
                <w:w w:val="97"/>
              </w:rPr>
              <w:t>an employee of the Company or one of its affiliates.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1"/>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IN WITNESS WHEREOF, the  undersigned</w:t>
            </w: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has duly subscribed</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these presents as of</w:t>
            </w: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April 21, 2015.</w:t>
            </w: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GS INVESTMENT STRATEGIES, LLC</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1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Kahn</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Jeremy Kahn</w:t>
            </w: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96"/>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Title: Attorney-In-Fact</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3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9</w:t>
      </w:r>
    </w:p>
    <w:p>
      <w:pPr>
        <w:sectPr>
          <w:pgSz w:w="11900" w:h="16838" w:orient="portrait"/>
          <w:cols w:equalWidth="0" w:num="1">
            <w:col w:w="10219"/>
          </w:cols>
          <w:pgMar w:left="240" w:top="488"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decimal"/>
      <w:start w:val="1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2020-01-19T12:23:15Z</dcterms:created>
  <dcterms:modified xsi:type="dcterms:W3CDTF">2020-01-19T12:23:15Z</dcterms:modified>
</cp:coreProperties>
</file>