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333-227358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June 8, 2020</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6820" w:type="dxa"/>
            <w:vAlign w:val="bottom"/>
          </w:tcPr>
          <w:p>
            <w:pPr>
              <w:jc w:val="center"/>
              <w:ind w:right="4330"/>
              <w:spacing w:after="0"/>
              <w:rPr>
                <w:sz w:val="20"/>
                <w:szCs w:val="20"/>
                <w:color w:val="auto"/>
              </w:rPr>
            </w:pPr>
            <w:r>
              <w:rPr>
                <w:rFonts w:ascii="Arial" w:cs="Arial" w:eastAsia="Arial" w:hAnsi="Arial"/>
                <w:sz w:val="18"/>
                <w:szCs w:val="18"/>
                <w:b w:val="1"/>
                <w:bCs w:val="1"/>
                <w:color w:val="auto"/>
                <w:w w:val="90"/>
              </w:rPr>
              <w:t>Final Term Sheet</w:t>
            </w:r>
          </w:p>
        </w:tc>
      </w:tr>
      <w:tr>
        <w:trPr>
          <w:trHeight w:val="234"/>
        </w:trPr>
        <w:tc>
          <w:tcPr>
            <w:tcW w:w="1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$750,000,000 3.800% Senior Notes due 2030</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Issuers:</w:t>
            </w:r>
          </w:p>
        </w:tc>
        <w:tc>
          <w:tcPr>
            <w:tcW w:w="6820" w:type="dxa"/>
            <w:vAlign w:val="bottom"/>
          </w:tcPr>
          <w:p>
            <w:pPr>
              <w:ind w:left="80"/>
              <w:spacing w:after="0"/>
              <w:rPr>
                <w:sz w:val="20"/>
                <w:szCs w:val="20"/>
                <w:color w:val="auto"/>
              </w:rPr>
            </w:pPr>
            <w:r>
              <w:rPr>
                <w:rFonts w:ascii="Arial" w:cs="Arial" w:eastAsia="Arial" w:hAnsi="Arial"/>
                <w:sz w:val="18"/>
                <w:szCs w:val="18"/>
                <w:color w:val="auto"/>
              </w:rPr>
              <w:t>Plains All American Pipeline, L.P. and PAA Finance Corp.</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Ratings (Moody’s / S&amp;P / Fitch):*</w:t>
            </w:r>
          </w:p>
        </w:tc>
        <w:tc>
          <w:tcPr>
            <w:tcW w:w="6820" w:type="dxa"/>
            <w:vAlign w:val="bottom"/>
          </w:tcPr>
          <w:p>
            <w:pPr>
              <w:ind w:left="80"/>
              <w:spacing w:after="0"/>
              <w:rPr>
                <w:sz w:val="20"/>
                <w:szCs w:val="20"/>
                <w:color w:val="auto"/>
              </w:rPr>
            </w:pPr>
            <w:r>
              <w:rPr>
                <w:rFonts w:ascii="Arial" w:cs="Arial" w:eastAsia="Arial" w:hAnsi="Arial"/>
                <w:sz w:val="18"/>
                <w:szCs w:val="18"/>
                <w:color w:val="auto"/>
              </w:rPr>
              <w:t>Ba1 / BBB- / BBB-</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Security Type:</w:t>
            </w:r>
          </w:p>
        </w:tc>
        <w:tc>
          <w:tcPr>
            <w:tcW w:w="6820" w:type="dxa"/>
            <w:vAlign w:val="bottom"/>
          </w:tcPr>
          <w:p>
            <w:pPr>
              <w:ind w:left="80"/>
              <w:spacing w:after="0"/>
              <w:rPr>
                <w:sz w:val="20"/>
                <w:szCs w:val="20"/>
                <w:color w:val="auto"/>
              </w:rPr>
            </w:pPr>
            <w:r>
              <w:rPr>
                <w:rFonts w:ascii="Arial" w:cs="Arial" w:eastAsia="Arial" w:hAnsi="Arial"/>
                <w:sz w:val="18"/>
                <w:szCs w:val="18"/>
                <w:color w:val="auto"/>
              </w:rPr>
              <w:t>Senior unsecured</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Legal Format:</w:t>
            </w:r>
          </w:p>
        </w:tc>
        <w:tc>
          <w:tcPr>
            <w:tcW w:w="6820" w:type="dxa"/>
            <w:vAlign w:val="bottom"/>
          </w:tcPr>
          <w:p>
            <w:pPr>
              <w:ind w:left="80"/>
              <w:spacing w:after="0"/>
              <w:rPr>
                <w:sz w:val="20"/>
                <w:szCs w:val="20"/>
                <w:color w:val="auto"/>
              </w:rPr>
            </w:pPr>
            <w:r>
              <w:rPr>
                <w:rFonts w:ascii="Arial" w:cs="Arial" w:eastAsia="Arial" w:hAnsi="Arial"/>
                <w:sz w:val="18"/>
                <w:szCs w:val="18"/>
                <w:color w:val="auto"/>
              </w:rPr>
              <w:t>SEC-registered</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Pricing Date:</w:t>
            </w:r>
          </w:p>
        </w:tc>
        <w:tc>
          <w:tcPr>
            <w:tcW w:w="6820" w:type="dxa"/>
            <w:vAlign w:val="bottom"/>
          </w:tcPr>
          <w:p>
            <w:pPr>
              <w:ind w:left="80"/>
              <w:spacing w:after="0"/>
              <w:rPr>
                <w:sz w:val="20"/>
                <w:szCs w:val="20"/>
                <w:color w:val="auto"/>
              </w:rPr>
            </w:pPr>
            <w:r>
              <w:rPr>
                <w:rFonts w:ascii="Arial" w:cs="Arial" w:eastAsia="Arial" w:hAnsi="Arial"/>
                <w:sz w:val="18"/>
                <w:szCs w:val="18"/>
                <w:color w:val="auto"/>
              </w:rPr>
              <w:t>June 8, 2020</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Settlement Date (T+3):</w:t>
            </w:r>
          </w:p>
        </w:tc>
        <w:tc>
          <w:tcPr>
            <w:tcW w:w="6820" w:type="dxa"/>
            <w:vAlign w:val="bottom"/>
          </w:tcPr>
          <w:p>
            <w:pPr>
              <w:ind w:left="80"/>
              <w:spacing w:after="0"/>
              <w:rPr>
                <w:sz w:val="20"/>
                <w:szCs w:val="20"/>
                <w:color w:val="auto"/>
              </w:rPr>
            </w:pPr>
            <w:r>
              <w:rPr>
                <w:rFonts w:ascii="Arial" w:cs="Arial" w:eastAsia="Arial" w:hAnsi="Arial"/>
                <w:sz w:val="18"/>
                <w:szCs w:val="18"/>
                <w:color w:val="auto"/>
              </w:rPr>
              <w:t>June 11, 2020</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Maturity Date:</w:t>
            </w:r>
          </w:p>
        </w:tc>
        <w:tc>
          <w:tcPr>
            <w:tcW w:w="6820" w:type="dxa"/>
            <w:vAlign w:val="bottom"/>
          </w:tcPr>
          <w:p>
            <w:pPr>
              <w:ind w:left="80"/>
              <w:spacing w:after="0"/>
              <w:rPr>
                <w:sz w:val="20"/>
                <w:szCs w:val="20"/>
                <w:color w:val="auto"/>
              </w:rPr>
            </w:pPr>
            <w:r>
              <w:rPr>
                <w:rFonts w:ascii="Arial" w:cs="Arial" w:eastAsia="Arial" w:hAnsi="Arial"/>
                <w:sz w:val="18"/>
                <w:szCs w:val="18"/>
                <w:color w:val="auto"/>
              </w:rPr>
              <w:t>September 15, 2030</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Principal Amount:</w:t>
            </w:r>
          </w:p>
        </w:tc>
        <w:tc>
          <w:tcPr>
            <w:tcW w:w="6820" w:type="dxa"/>
            <w:vAlign w:val="bottom"/>
          </w:tcPr>
          <w:p>
            <w:pPr>
              <w:ind w:left="80"/>
              <w:spacing w:after="0"/>
              <w:rPr>
                <w:sz w:val="20"/>
                <w:szCs w:val="20"/>
                <w:color w:val="auto"/>
              </w:rPr>
            </w:pPr>
            <w:r>
              <w:rPr>
                <w:rFonts w:ascii="Arial" w:cs="Arial" w:eastAsia="Arial" w:hAnsi="Arial"/>
                <w:sz w:val="18"/>
                <w:szCs w:val="18"/>
                <w:color w:val="auto"/>
              </w:rPr>
              <w:t>$750,000,000</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Benchmark Treasury:</w:t>
            </w:r>
          </w:p>
        </w:tc>
        <w:tc>
          <w:tcPr>
            <w:tcW w:w="6820" w:type="dxa"/>
            <w:vAlign w:val="bottom"/>
          </w:tcPr>
          <w:p>
            <w:pPr>
              <w:ind w:left="80"/>
              <w:spacing w:after="0"/>
              <w:rPr>
                <w:sz w:val="20"/>
                <w:szCs w:val="20"/>
                <w:color w:val="auto"/>
              </w:rPr>
            </w:pPr>
            <w:r>
              <w:rPr>
                <w:rFonts w:ascii="Arial" w:cs="Arial" w:eastAsia="Arial" w:hAnsi="Arial"/>
                <w:sz w:val="18"/>
                <w:szCs w:val="18"/>
                <w:color w:val="auto"/>
              </w:rPr>
              <w:t>UST 0.625% due May 15, 2030</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Benchmark Treasury Yield:</w:t>
            </w:r>
          </w:p>
        </w:tc>
        <w:tc>
          <w:tcPr>
            <w:tcW w:w="6820" w:type="dxa"/>
            <w:vAlign w:val="bottom"/>
          </w:tcPr>
          <w:p>
            <w:pPr>
              <w:ind w:left="80"/>
              <w:spacing w:after="0"/>
              <w:rPr>
                <w:sz w:val="20"/>
                <w:szCs w:val="20"/>
                <w:color w:val="auto"/>
              </w:rPr>
            </w:pPr>
            <w:r>
              <w:rPr>
                <w:rFonts w:ascii="Arial" w:cs="Arial" w:eastAsia="Arial" w:hAnsi="Arial"/>
                <w:sz w:val="18"/>
                <w:szCs w:val="18"/>
                <w:color w:val="auto"/>
              </w:rPr>
              <w:t>0.875%</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6820" w:type="dxa"/>
            <w:vAlign w:val="bottom"/>
          </w:tcPr>
          <w:p>
            <w:pPr>
              <w:ind w:left="80"/>
              <w:spacing w:after="0"/>
              <w:rPr>
                <w:sz w:val="20"/>
                <w:szCs w:val="20"/>
                <w:color w:val="auto"/>
              </w:rPr>
            </w:pPr>
            <w:r>
              <w:rPr>
                <w:rFonts w:ascii="Arial" w:cs="Arial" w:eastAsia="Arial" w:hAnsi="Arial"/>
                <w:sz w:val="18"/>
                <w:szCs w:val="18"/>
                <w:color w:val="auto"/>
              </w:rPr>
              <w:t>+295 bps</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Yield to Maturity:</w:t>
            </w:r>
          </w:p>
        </w:tc>
        <w:tc>
          <w:tcPr>
            <w:tcW w:w="6820" w:type="dxa"/>
            <w:vAlign w:val="bottom"/>
          </w:tcPr>
          <w:p>
            <w:pPr>
              <w:ind w:left="80"/>
              <w:spacing w:after="0"/>
              <w:rPr>
                <w:sz w:val="20"/>
                <w:szCs w:val="20"/>
                <w:color w:val="auto"/>
              </w:rPr>
            </w:pPr>
            <w:r>
              <w:rPr>
                <w:rFonts w:ascii="Arial" w:cs="Arial" w:eastAsia="Arial" w:hAnsi="Arial"/>
                <w:sz w:val="18"/>
                <w:szCs w:val="18"/>
                <w:color w:val="auto"/>
              </w:rPr>
              <w:t>3.825%</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Coupon:</w:t>
            </w:r>
          </w:p>
        </w:tc>
        <w:tc>
          <w:tcPr>
            <w:tcW w:w="6820" w:type="dxa"/>
            <w:vAlign w:val="bottom"/>
          </w:tcPr>
          <w:p>
            <w:pPr>
              <w:ind w:left="80"/>
              <w:spacing w:after="0"/>
              <w:rPr>
                <w:sz w:val="20"/>
                <w:szCs w:val="20"/>
                <w:color w:val="auto"/>
              </w:rPr>
            </w:pPr>
            <w:r>
              <w:rPr>
                <w:rFonts w:ascii="Arial" w:cs="Arial" w:eastAsia="Arial" w:hAnsi="Arial"/>
                <w:sz w:val="18"/>
                <w:szCs w:val="18"/>
                <w:color w:val="auto"/>
              </w:rPr>
              <w:t>3.800%</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Public Offering Price:</w:t>
            </w:r>
          </w:p>
        </w:tc>
        <w:tc>
          <w:tcPr>
            <w:tcW w:w="6820" w:type="dxa"/>
            <w:vAlign w:val="bottom"/>
          </w:tcPr>
          <w:p>
            <w:pPr>
              <w:ind w:left="80"/>
              <w:spacing w:after="0"/>
              <w:rPr>
                <w:sz w:val="20"/>
                <w:szCs w:val="20"/>
                <w:color w:val="auto"/>
              </w:rPr>
            </w:pPr>
            <w:r>
              <w:rPr>
                <w:rFonts w:ascii="Arial" w:cs="Arial" w:eastAsia="Arial" w:hAnsi="Arial"/>
                <w:sz w:val="18"/>
                <w:szCs w:val="18"/>
                <w:color w:val="auto"/>
              </w:rPr>
              <w:t>99.794%</w:t>
            </w: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w w:val="91"/>
              </w:rPr>
              <w:t>Net Proceeds (after deducting the underwriting discount and</w:t>
            </w:r>
          </w:p>
        </w:tc>
        <w:tc>
          <w:tcPr>
            <w:tcW w:w="6820" w:type="dxa"/>
            <w:vAlign w:val="bottom"/>
          </w:tcPr>
          <w:p>
            <w:pPr>
              <w:ind w:left="80"/>
              <w:spacing w:after="0"/>
              <w:rPr>
                <w:sz w:val="20"/>
                <w:szCs w:val="20"/>
                <w:color w:val="auto"/>
              </w:rPr>
            </w:pPr>
            <w:r>
              <w:rPr>
                <w:rFonts w:ascii="Arial" w:cs="Arial" w:eastAsia="Arial" w:hAnsi="Arial"/>
                <w:sz w:val="18"/>
                <w:szCs w:val="18"/>
                <w:color w:val="auto"/>
              </w:rPr>
              <w:t>$741.58 million</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estimated offering expenses):</w:t>
            </w:r>
          </w:p>
        </w:tc>
        <w:tc>
          <w:tcPr>
            <w:tcW w:w="6820" w:type="dxa"/>
            <w:vAlign w:val="bottom"/>
          </w:tcPr>
          <w:p>
            <w:pPr>
              <w:spacing w:after="0"/>
              <w:rPr>
                <w:sz w:val="20"/>
                <w:szCs w:val="20"/>
                <w:color w:val="auto"/>
              </w:rPr>
            </w:pP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Make-whole Call:</w:t>
            </w:r>
          </w:p>
        </w:tc>
        <w:tc>
          <w:tcPr>
            <w:tcW w:w="6820" w:type="dxa"/>
            <w:vAlign w:val="bottom"/>
          </w:tcPr>
          <w:p>
            <w:pPr>
              <w:ind w:left="80"/>
              <w:spacing w:after="0"/>
              <w:rPr>
                <w:sz w:val="20"/>
                <w:szCs w:val="20"/>
                <w:color w:val="auto"/>
              </w:rPr>
            </w:pPr>
            <w:r>
              <w:rPr>
                <w:rFonts w:ascii="Arial" w:cs="Arial" w:eastAsia="Arial" w:hAnsi="Arial"/>
                <w:sz w:val="18"/>
                <w:szCs w:val="18"/>
                <w:color w:val="auto"/>
              </w:rPr>
              <w:t>T+ 45 bps</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Call at Par:</w:t>
            </w:r>
          </w:p>
        </w:tc>
        <w:tc>
          <w:tcPr>
            <w:tcW w:w="6820" w:type="dxa"/>
            <w:vAlign w:val="bottom"/>
          </w:tcPr>
          <w:p>
            <w:pPr>
              <w:ind w:left="80"/>
              <w:spacing w:after="0"/>
              <w:rPr>
                <w:sz w:val="20"/>
                <w:szCs w:val="20"/>
                <w:color w:val="auto"/>
              </w:rPr>
            </w:pPr>
            <w:r>
              <w:rPr>
                <w:rFonts w:ascii="Arial" w:cs="Arial" w:eastAsia="Arial" w:hAnsi="Arial"/>
                <w:sz w:val="18"/>
                <w:szCs w:val="18"/>
                <w:color w:val="auto"/>
              </w:rPr>
              <w:t>On or after June 15, 2030</w:t>
            </w:r>
          </w:p>
        </w:tc>
      </w:tr>
      <w:tr>
        <w:trPr>
          <w:trHeight w:val="675"/>
        </w:trPr>
        <w:tc>
          <w:tcPr>
            <w:tcW w:w="44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jc w:val="center"/>
              <w:ind w:right="4330"/>
              <w:spacing w:after="0"/>
              <w:rPr>
                <w:sz w:val="20"/>
                <w:szCs w:val="20"/>
                <w:color w:val="auto"/>
              </w:rPr>
            </w:pPr>
            <w:r>
              <w:rPr>
                <w:rFonts w:ascii="Arial" w:cs="Arial" w:eastAsia="Arial" w:hAnsi="Arial"/>
                <w:sz w:val="18"/>
                <w:szCs w:val="18"/>
                <w:color w:val="auto"/>
                <w:w w:val="79"/>
              </w:rPr>
              <w:t>1</w:t>
            </w:r>
          </w:p>
        </w:tc>
      </w:tr>
    </w:tbl>
    <w:p>
      <w:pPr>
        <w:sectPr>
          <w:pgSz w:w="11900" w:h="16838" w:orient="portrait"/>
          <w:cols w:equalWidth="0" w:num="1">
            <w:col w:w="11240"/>
          </w:cols>
          <w:pgMar w:left="320" w:top="476"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15 and September 15, beginning on September 15, 2020</w:t>
      </w:r>
    </w:p>
    <w:p>
      <w:pPr>
        <w:spacing w:after="0" w:line="200" w:lineRule="exact"/>
        <w:rPr>
          <w:sz w:val="20"/>
          <w:szCs w:val="20"/>
          <w:color w:val="auto"/>
        </w:rPr>
      </w:pPr>
    </w:p>
    <w:p>
      <w:pPr>
        <w:sectPr>
          <w:pgSz w:w="11900" w:h="16838" w:orient="portrait"/>
          <w:cols w:equalWidth="0" w:num="2">
            <w:col w:w="3780" w:space="720"/>
            <w:col w:w="6740"/>
          </w:cols>
          <w:pgMar w:left="320" w:top="935" w:right="339"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CUSIP / ISIN: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72650R BN1 / US72650RBN17</w:t>
      </w:r>
    </w:p>
    <w:p>
      <w:pPr>
        <w:spacing w:after="0" w:line="211" w:lineRule="exact"/>
        <w:rPr>
          <w:sz w:val="20"/>
          <w:szCs w:val="20"/>
          <w:color w:val="auto"/>
        </w:rPr>
      </w:pPr>
    </w:p>
    <w:p>
      <w:pPr>
        <w:sectPr>
          <w:pgSz w:w="11900" w:h="16838" w:orient="portrait"/>
          <w:cols w:equalWidth="0" w:num="2">
            <w:col w:w="3780" w:space="720"/>
            <w:col w:w="6740"/>
          </w:cols>
          <w:pgMar w:left="320" w:top="935"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BBVA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CIBC World Markets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SunTrust Robinson Humphrey,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200" w:lineRule="exact"/>
        <w:rPr>
          <w:sz w:val="20"/>
          <w:szCs w:val="20"/>
          <w:color w:val="auto"/>
        </w:rPr>
      </w:pPr>
    </w:p>
    <w:p>
      <w:pPr>
        <w:sectPr>
          <w:pgSz w:w="11900" w:h="16838" w:orient="portrait"/>
          <w:cols w:equalWidth="0" w:num="2">
            <w:col w:w="3780" w:space="720"/>
            <w:col w:w="6740"/>
          </w:cols>
          <w:pgMar w:left="320" w:top="935"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Fifth Third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ING Financial Markets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Regions Securities LLC</w:t>
      </w:r>
    </w:p>
    <w:p>
      <w:pPr>
        <w:spacing w:after="0" w:line="200" w:lineRule="exact"/>
        <w:rPr>
          <w:sz w:val="20"/>
          <w:szCs w:val="20"/>
          <w:color w:val="auto"/>
        </w:rPr>
      </w:pPr>
    </w:p>
    <w:p>
      <w:pPr>
        <w:sectPr>
          <w:pgSz w:w="11900" w:h="16838" w:orient="portrait"/>
          <w:cols w:equalWidth="0" w:num="2">
            <w:col w:w="3780" w:space="720"/>
            <w:col w:w="6740"/>
          </w:cols>
          <w:pgMar w:left="320" w:top="935" w:right="339" w:bottom="1440" w:gutter="0" w:footer="0" w:header="0"/>
          <w:type w:val="continuous"/>
        </w:sectPr>
      </w:pPr>
    </w:p>
    <w:p>
      <w:pPr>
        <w:spacing w:after="0" w:line="11"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Note: A securities rating is not a recommendation to buy, sell or hold securities and may be revised or withdrawn at any time.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Delivery of the notes is expected to be made against payment therefor on or about June 11, 2020, which is the third business day following the date of pricing of the notes (such settlement being referred to as “T+3”). Under Rule 15c6-1 of the Securities Exchange Act of 1934, as amended, trades in the secondary market generally are required to settle in two business days unless the parties to any such trade expressly agree otherwise. Accordingly, purchasers who wish to trade the notes on any date prior to the second business day before delivery will be required, by virtue of the fact that the Notes initially will settle in T+3, to specify an alternate settlement cycle at the time of any such trade to prevent failed settlement and should consult their own advisors.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or emailing J.P. Morgan Securities LLC collect at 1-212-834-4533, Barclays Capital Inc. toll-free at 1-888-603-5847, BofA Securities, Inc. toll-free at 1-800-294-1322 or dg.prospectus_requests@bofa.com or RBC Capital Markets, LLC toll-free at 1-866-375-6829.</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3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2020-06-08T15:51:43Z</dcterms:created>
  <dcterms:modified xsi:type="dcterms:W3CDTF">2020-06-08T15:51:43Z</dcterms:modified>
</cp:coreProperties>
</file>