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2186e8vk.htm"/>
        <w:bookmarkStart w:id="1" w:name="ksh42186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December 13,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1-14569</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76-0582150</w:t>
            </w:r>
          </w:p>
        </w:tc>
      </w:tr>
      <w:tr>
        <w:trPr/>
        <w:tc>
          <w:tcPr>
            <w:tcW w:w="3061" w:type="dxa"/>
            <w:tcBorders/>
            <w:shd w:fill="auto" w:val="clear"/>
          </w:tcPr>
          <w:p>
            <w:pPr>
              <w:pStyle w:val="TableContents"/>
              <w:spacing w:before="0" w:after="283"/>
              <w:jc w:val="center"/>
              <w:rPr/>
            </w:pPr>
            <w:r>
              <w:rPr/>
              <w:t xml:space="preserve">(State or other jurisdiction of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569"/>
        <w:gridCol w:w="336"/>
        <w:gridCol w:w="316"/>
        <w:gridCol w:w="316"/>
        <w:gridCol w:w="316"/>
        <w:gridCol w:w="316"/>
        <w:gridCol w:w="316"/>
        <w:gridCol w:w="316"/>
        <w:gridCol w:w="6383"/>
      </w:tblGrid>
      <w:tr>
        <w:trPr/>
        <w:tc>
          <w:tcPr>
            <w:tcW w:w="56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383"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1.01. Entry into a Material Definitive Agreement</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2186exv1w1.htm">
              <w:r>
                <w:rPr>
                  <w:rStyle w:val="InternetLink"/>
                </w:rPr>
                <w:t>Purchase Agreement</w:t>
              </w:r>
            </w:hyperlink>
          </w:p>
        </w:tc>
      </w:tr>
      <w:tr>
        <w:trPr/>
        <w:tc>
          <w:tcPr>
            <w:tcW w:w="9184" w:type="dxa"/>
            <w:gridSpan w:val="9"/>
            <w:tcBorders/>
            <w:shd w:fill="auto" w:val="clear"/>
            <w:vAlign w:val="center"/>
          </w:tcPr>
          <w:p>
            <w:pPr>
              <w:pStyle w:val="TableContents"/>
              <w:spacing w:before="0" w:after="283"/>
              <w:rPr/>
            </w:pPr>
            <w:hyperlink w:anchor="h42186exv5w1.htm">
              <w:r>
                <w:rPr>
                  <w:rStyle w:val="InternetLink"/>
                </w:rPr>
                <w:t>Legal Opinion of Vinson &amp; Elkins L.L.P.</w:t>
              </w:r>
            </w:hyperlink>
          </w:p>
        </w:tc>
      </w:tr>
      <w:tr>
        <w:trPr/>
        <w:tc>
          <w:tcPr>
            <w:tcW w:w="9184" w:type="dxa"/>
            <w:gridSpan w:val="9"/>
            <w:tcBorders/>
            <w:shd w:fill="auto" w:val="clear"/>
            <w:vAlign w:val="center"/>
          </w:tcPr>
          <w:p>
            <w:pPr>
              <w:pStyle w:val="TableContents"/>
              <w:spacing w:before="0" w:after="283"/>
              <w:rPr/>
            </w:pPr>
            <w:hyperlink w:anchor="h42186exv8w1.htm">
              <w:r>
                <w:rPr>
                  <w:rStyle w:val="InternetLink"/>
                </w:rPr>
                <w:t>Opinion of Vinson &amp; Elkins L.L.P.</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1.01. Entry into a Material Definitive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December 13, 2006, Plains All American Pipeline, L.P. (the Partnership) entered into a purchase agreement with several institutional and private investors in connection with the sale by the Partnership of 6,163,960 common units of the Partnership (the Offering) at a per unit price of $48.67. The common units are being offered pursuant to an effective shelf registration statement that the Partnership previously filed with the U.S. Securities and Exchange Commission. The closing of the Partnerships sale of 6,163,960 common units is expected to occur later today.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 Exhibits. </w:t>
      </w:r>
    </w:p>
    <w:tbl>
      <w:tblPr>
        <w:tblW w:w="5000" w:type="pct"/>
        <w:jc w:val="left"/>
        <w:tblInd w:w="0" w:type="dxa"/>
        <w:tblCellMar>
          <w:top w:w="0" w:type="dxa"/>
          <w:left w:w="0" w:type="dxa"/>
          <w:bottom w:w="0" w:type="dxa"/>
          <w:right w:w="0" w:type="dxa"/>
        </w:tblCellMar>
      </w:tblPr>
      <w:tblGrid>
        <w:gridCol w:w="210"/>
        <w:gridCol w:w="440"/>
        <w:gridCol w:w="116"/>
        <w:gridCol w:w="9439"/>
      </w:tblGrid>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1.1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Purchase Agreement dated as of December 13, 2006 by and between Plains All American Pipeline, L.P. and the purchasers named therein.</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5.1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Legal Opinion of Vinson &amp; Elkins L.L.P.</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8.1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Opinion of Vinson &amp; Elkins L.L.P. as to certain tax matters</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23.1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Consent of Vinson &amp; Elkins L.L.P. (included in Exhibits 5.1 and 8.1)</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4316"/>
        <w:gridCol w:w="118"/>
        <w:gridCol w:w="380"/>
        <w:gridCol w:w="118"/>
        <w:gridCol w:w="380"/>
        <w:gridCol w:w="118"/>
        <w:gridCol w:w="600"/>
        <w:gridCol w:w="118"/>
        <w:gridCol w:w="3158"/>
        <w:gridCol w:w="118"/>
        <w:gridCol w:w="781"/>
      </w:tblGrid>
      <w:tr>
        <w:trPr/>
        <w:tc>
          <w:tcPr>
            <w:tcW w:w="4316"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1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781" w:type="dxa"/>
            <w:tcBorders/>
            <w:shd w:fill="auto" w:val="clear"/>
            <w:vAlign w:val="bottom"/>
          </w:tcPr>
          <w:p>
            <w:pPr>
              <w:pStyle w:val="TableContents"/>
              <w:spacing w:before="0" w:after="283"/>
              <w:rPr/>
            </w:pPr>
            <w:r>
              <w:rPr/>
              <w:t> </w:t>
            </w:r>
          </w:p>
        </w:tc>
      </w:tr>
      <w:tr>
        <w:trPr/>
        <w:tc>
          <w:tcPr>
            <w:tcW w:w="4316"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4872" w:type="dxa"/>
            <w:gridSpan w:val="7"/>
            <w:tcBorders/>
            <w:shd w:fill="auto" w:val="clear"/>
          </w:tcPr>
          <w:p>
            <w:pPr>
              <w:pStyle w:val="TableContents"/>
              <w:spacing w:before="0" w:after="283"/>
              <w:jc w:val="left"/>
              <w:rPr>
                <w:b/>
              </w:rPr>
            </w:pPr>
            <w:r>
              <w:rPr>
                <w:b/>
              </w:rPr>
              <w:t>PLAINS ALL AMERICAN PIPELINE, L.P.</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By:</w:t>
            </w:r>
          </w:p>
        </w:tc>
        <w:tc>
          <w:tcPr>
            <w:tcW w:w="118" w:type="dxa"/>
            <w:tcBorders/>
            <w:shd w:fill="auto" w:val="clear"/>
            <w:vAlign w:val="bottom"/>
          </w:tcPr>
          <w:p>
            <w:pPr>
              <w:pStyle w:val="TableContents"/>
              <w:spacing w:before="0" w:after="283"/>
              <w:rPr/>
            </w:pPr>
            <w:r>
              <w:rPr/>
              <w:t> </w:t>
            </w:r>
          </w:p>
        </w:tc>
        <w:tc>
          <w:tcPr>
            <w:tcW w:w="4374" w:type="dxa"/>
            <w:gridSpan w:val="5"/>
            <w:tcBorders/>
            <w:shd w:fill="auto" w:val="clear"/>
          </w:tcPr>
          <w:p>
            <w:pPr>
              <w:pStyle w:val="TableContents"/>
              <w:spacing w:before="0" w:after="283"/>
              <w:jc w:val="left"/>
              <w:rPr/>
            </w:pPr>
            <w:r>
              <w:rPr/>
              <w:t>Plains AAP, L.P., its general partner</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By:</w:t>
            </w:r>
          </w:p>
        </w:tc>
        <w:tc>
          <w:tcPr>
            <w:tcW w:w="118" w:type="dxa"/>
            <w:tcBorders/>
            <w:shd w:fill="auto" w:val="clear"/>
            <w:vAlign w:val="bottom"/>
          </w:tcPr>
          <w:p>
            <w:pPr>
              <w:pStyle w:val="TableContents"/>
              <w:spacing w:before="0" w:after="283"/>
              <w:rPr/>
            </w:pPr>
            <w:r>
              <w:rPr/>
              <w:t> </w:t>
            </w:r>
          </w:p>
        </w:tc>
        <w:tc>
          <w:tcPr>
            <w:tcW w:w="3876" w:type="dxa"/>
            <w:gridSpan w:val="3"/>
            <w:tcBorders/>
            <w:shd w:fill="auto" w:val="clear"/>
          </w:tcPr>
          <w:p>
            <w:pPr>
              <w:pStyle w:val="TableContents"/>
              <w:spacing w:before="0" w:after="283"/>
              <w:jc w:val="left"/>
              <w:rPr/>
            </w:pPr>
            <w:r>
              <w:rPr/>
              <w:t>Plains All American GP LLC, its general partner</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By:</w:t>
              <w:br/>
              <w:t xml:space="preserve">Name: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0"/>
              <w:jc w:val="left"/>
              <w:rPr/>
            </w:pPr>
            <w:r>
              <w:rPr/>
              <w:t xml:space="preserve">/s/ Tim Moore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Tim Moore </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 xml:space="preserve">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 xml:space="preserve">Title: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283"/>
              <w:jc w:val="left"/>
              <w:rPr/>
            </w:pPr>
            <w:r>
              <w:rPr/>
              <w:t>Vice President</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r>
        <w:trPr/>
        <w:tc>
          <w:tcPr>
            <w:tcW w:w="4316" w:type="dxa"/>
            <w:tcBorders/>
            <w:shd w:fill="auto" w:val="clear"/>
          </w:tcPr>
          <w:p>
            <w:pPr>
              <w:pStyle w:val="TableContents"/>
              <w:spacing w:before="0" w:after="0"/>
              <w:ind w:left="0" w:right="0" w:hanging="0"/>
              <w:rPr/>
            </w:pPr>
            <w:r>
              <w:rPr/>
              <w:t>December 19, 2006</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8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600"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3158" w:type="dxa"/>
            <w:tcBorders/>
            <w:shd w:fill="auto" w:val="clear"/>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781"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10"/>
        <w:gridCol w:w="440"/>
        <w:gridCol w:w="116"/>
        <w:gridCol w:w="9439"/>
      </w:tblGrid>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1.1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Purchase Agreement dated as of December 13, 2006 by and between Plains All American Pipeline, L.P. and the purchasers named therein.</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5.1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Legal Opinion of Vinson &amp; Elkins L.L.P.</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8.1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Opinion of Vinson &amp; Elkins L.L.P. as to certain tax matters</w:t>
            </w:r>
          </w:p>
        </w:tc>
      </w:tr>
      <w:tr>
        <w:trPr/>
        <w:tc>
          <w:tcPr>
            <w:tcW w:w="210" w:type="dxa"/>
            <w:tcBorders/>
            <w:shd w:fill="auto" w:val="clear"/>
            <w:vAlign w:val="center"/>
          </w:tcPr>
          <w:p>
            <w:pPr>
              <w:pStyle w:val="TableContents"/>
              <w:spacing w:before="0" w:after="283"/>
              <w:rPr/>
            </w:pPr>
            <w:r>
              <w:rPr/>
              <w:t> </w:t>
            </w:r>
          </w:p>
        </w:tc>
        <w:tc>
          <w:tcPr>
            <w:tcW w:w="9995" w:type="dxa"/>
            <w:gridSpan w:val="3"/>
            <w:tcBorders/>
            <w:shd w:fill="auto" w:val="clear"/>
          </w:tcPr>
          <w:p>
            <w:pPr>
              <w:pStyle w:val="TableContents"/>
              <w:spacing w:before="0" w:after="283"/>
              <w:rPr>
                <w:sz w:val="4"/>
                <w:szCs w:val="4"/>
              </w:rPr>
            </w:pPr>
            <w:r>
              <w:rPr>
                <w:sz w:val="4"/>
                <w:szCs w:val="4"/>
              </w:rPr>
            </w:r>
          </w:p>
        </w:tc>
      </w:tr>
      <w:tr>
        <w:trPr/>
        <w:tc>
          <w:tcPr>
            <w:tcW w:w="210" w:type="dxa"/>
            <w:tcBorders/>
            <w:shd w:fill="auto" w:val="clear"/>
          </w:tcPr>
          <w:p>
            <w:pPr>
              <w:pStyle w:val="TableContents"/>
              <w:spacing w:before="0" w:after="283"/>
              <w:rPr/>
            </w:pPr>
            <w:r>
              <w:rPr/>
              <w:t> </w:t>
            </w:r>
          </w:p>
        </w:tc>
        <w:tc>
          <w:tcPr>
            <w:tcW w:w="440" w:type="dxa"/>
            <w:tcBorders/>
            <w:shd w:fill="auto" w:val="clear"/>
          </w:tcPr>
          <w:p>
            <w:pPr>
              <w:pStyle w:val="TableContents"/>
              <w:spacing w:before="0" w:after="283"/>
              <w:jc w:val="left"/>
              <w:rPr/>
            </w:pPr>
            <w:r>
              <w:rPr/>
              <w:t>23.1</w:t>
            </w:r>
          </w:p>
        </w:tc>
        <w:tc>
          <w:tcPr>
            <w:tcW w:w="116" w:type="dxa"/>
            <w:tcBorders/>
            <w:shd w:fill="auto" w:val="clear"/>
          </w:tcPr>
          <w:p>
            <w:pPr>
              <w:pStyle w:val="TableContents"/>
              <w:spacing w:before="0" w:after="283"/>
              <w:rPr/>
            </w:pPr>
            <w:r>
              <w:rPr/>
              <w:t> </w:t>
            </w:r>
          </w:p>
        </w:tc>
        <w:tc>
          <w:tcPr>
            <w:tcW w:w="9439" w:type="dxa"/>
            <w:tcBorders/>
            <w:shd w:fill="auto" w:val="clear"/>
          </w:tcPr>
          <w:p>
            <w:pPr>
              <w:pStyle w:val="TableContents"/>
              <w:spacing w:before="0" w:after="283"/>
              <w:rPr/>
            </w:pPr>
            <w:r>
              <w:rPr/>
              <w:t>Consent of Vinson &amp; Elkins L.L.P. (included in Exhibits 5.1 and 8.1)</w:t>
            </w:r>
          </w:p>
        </w:tc>
      </w:tr>
    </w:tbl>
    <w:p>
      <w:pPr>
        <w:pStyle w:val="TextBody"/>
        <w:jc w:val="center"/>
        <w:rPr/>
      </w:pPr>
      <w:r>
        <w:rPr/>
        <w:t xml:space="preserve">  </w:t>
      </w:r>
      <w:r>
        <w:br w:type="page"/>
      </w:r>
    </w:p>
    <w:p>
      <w:pPr>
        <w:pStyle w:val="Heading5"/>
        <w:jc w:val="left"/>
        <w:rPr/>
      </w:pPr>
      <w:bookmarkStart w:id="7" w:name="h42186exv1w1.htm"/>
      <w:bookmarkStart w:id="8" w:name="ksh42186exv1w1"/>
      <w:bookmarkEnd w:id="7"/>
      <w:bookmarkEnd w:id="8"/>
      <w:r>
        <w:rPr/>
        <w:t> </w:t>
      </w:r>
    </w:p>
    <w:p>
      <w:pPr>
        <w:pStyle w:val="TextBody"/>
        <w:spacing w:before="240" w:after="283"/>
        <w:jc w:val="right"/>
        <w:rPr>
          <w:rFonts w:ascii="Times New Roman;Times;serif" w:hAnsi="Times New Roman;Times;serif"/>
          <w:b/>
          <w:sz w:val="17"/>
        </w:rPr>
      </w:pPr>
      <w:r>
        <w:rPr>
          <w:rFonts w:ascii="Times New Roman;Times;serif" w:hAnsi="Times New Roman;Times;serif"/>
          <w:b/>
          <w:sz w:val="17"/>
        </w:rPr>
        <w:t>Exhibit 1.1</w:t>
      </w:r>
    </w:p>
    <w:p>
      <w:pPr>
        <w:pStyle w:val="TextBody"/>
        <w:spacing w:before="240" w:after="283"/>
        <w:jc w:val="right"/>
        <w:rPr>
          <w:rFonts w:ascii="Times New Roman;Times;serif" w:hAnsi="Times New Roman;Times;serif"/>
          <w:i/>
          <w:sz w:val="17"/>
        </w:rPr>
      </w:pPr>
      <w:r>
        <w:rPr>
          <w:rFonts w:ascii="Times New Roman;Times;serif" w:hAnsi="Times New Roman;Times;serif"/>
          <w:i/>
          <w:sz w:val="17"/>
        </w:rPr>
        <w:t>EXECUTION COPY</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UNIT</w:t>
        <w:br/>
        <w:t>PURCHASE AGREEMENT</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by and among</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PIPELINE, L.P.</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and</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THE PURCHASERS PARTY HERETO</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COMMON UNIT</w:t>
        <w:br/>
        <w:t>PURCHASE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COMMON UNIT PURCHASE AGREEMENT is made and entered into as of December 13, 2006 (this </w:t>
      </w:r>
      <w:r>
        <w:rPr>
          <w:rFonts w:ascii="Times New Roman;Times;serif" w:hAnsi="Times New Roman;Times;serif"/>
          <w:sz w:val="17"/>
          <w:u w:val="single"/>
        </w:rPr>
        <w:t>Agreement</w:t>
      </w:r>
      <w:r>
        <w:rPr>
          <w:rFonts w:ascii="Times New Roman;Times;serif" w:hAnsi="Times New Roman;Times;serif"/>
          <w:sz w:val="17"/>
        </w:rPr>
        <w:t>), by and among PLAINS ALL AMERICAN PIPELINE, L.P., a Delaware limited partnership (</w:t>
      </w:r>
      <w:r>
        <w:rPr>
          <w:rFonts w:ascii="Times New Roman;Times;serif" w:hAnsi="Times New Roman;Times;serif"/>
          <w:sz w:val="17"/>
          <w:u w:val="single"/>
        </w:rPr>
        <w:t>Seller</w:t>
      </w:r>
      <w:r>
        <w:rPr>
          <w:rFonts w:ascii="Times New Roman;Times;serif" w:hAnsi="Times New Roman;Times;serif"/>
          <w:sz w:val="17"/>
        </w:rPr>
        <w:t>), and the Purchasers listed on Schedule 2.1 hereto (each a </w:t>
      </w:r>
      <w:r>
        <w:rPr>
          <w:rFonts w:ascii="Times New Roman;Times;serif" w:hAnsi="Times New Roman;Times;serif"/>
          <w:sz w:val="17"/>
          <w:u w:val="single"/>
        </w:rPr>
        <w:t>Purchaser</w:t>
      </w:r>
      <w:r>
        <w:rPr>
          <w:rFonts w:ascii="Times New Roman;Times;serif" w:hAnsi="Times New Roman;Times;serif"/>
          <w:sz w:val="17"/>
        </w:rPr>
        <w:t> and collectively, the </w:t>
      </w:r>
      <w:r>
        <w:rPr>
          <w:rFonts w:ascii="Times New Roman;Times;serif" w:hAnsi="Times New Roman;Times;serif"/>
          <w:sz w:val="17"/>
          <w:u w:val="single"/>
        </w:rPr>
        <w:t>Purchasers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WHEREAS, Seller desires to sell to the Purchasers, and the Purchasers desire to purchase from Seller, certain common units representing limited partner interests in Seller, subject to the terms and conditions set forth in this Agreement. </w:t>
      </w:r>
    </w:p>
    <w:p>
      <w:pPr>
        <w:pStyle w:val="TextBody"/>
        <w:spacing w:before="120" w:after="283"/>
        <w:jc w:val="left"/>
        <w:rPr/>
      </w:pPr>
      <w:r>
        <w:rPr/>
        <w:t>     </w:t>
      </w:r>
      <w:r>
        <w:rPr>
          <w:rFonts w:ascii="Times New Roman;Times;serif" w:hAnsi="Times New Roman;Times;serif"/>
          <w:sz w:val="17"/>
        </w:rPr>
        <w:t xml:space="preserve">NOW, THEREFORE, in consideration of the mutual covenants and agreements set forth herein and for good and valuable consideration, the receipt and sufficiency of which are hereby acknowledged, Seller and each of the Purchasers, severally and not jointly,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w:t>
        <w:br/>
        <w:t>DEFINITIONS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1.1 </w:t>
      </w:r>
      <w:r>
        <w:rPr>
          <w:rFonts w:ascii="Times New Roman;Times;serif" w:hAnsi="Times New Roman;Times;serif"/>
          <w:sz w:val="17"/>
          <w:u w:val="single"/>
        </w:rPr>
        <w:t>Definitions</w:t>
      </w:r>
      <w:r>
        <w:rPr>
          <w:rFonts w:ascii="Times New Roman;Times;serif" w:hAnsi="Times New Roman;Times;serif"/>
          <w:sz w:val="17"/>
        </w:rPr>
        <w:t xml:space="preserve">. As used in this Agreement, and unless the context requires a different meaning, the following terms have the meanings indicated: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Action</w:t>
      </w:r>
      <w:r>
        <w:rPr>
          <w:rFonts w:ascii="Times New Roman;Times;serif" w:hAnsi="Times New Roman;Times;serif"/>
          <w:sz w:val="17"/>
        </w:rPr>
        <w:t xml:space="preserve"> against a Person means any lawsuit, action, proceeding, investigation or complaint before any governmental authority, mediator or arbitrator.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Affiliate</w:t>
      </w:r>
      <w:r>
        <w:rPr>
          <w:rFonts w:ascii="Times New Roman;Times;serif" w:hAnsi="Times New Roman;Times;serif"/>
          <w:sz w:val="17"/>
        </w:rPr>
        <w:t xml:space="preserve"> means, with respect to a specified Person, any other Person, whether now in existence or hereafter created, directly or indirectly controlling, controlled by or under direct or indirect common control with such specified Person. For purposes of this definition, control (including, with correlative meanings, controlling, controlled by, and under common control with) means the power to direct or cause the direction of the management and policies of such Person, directly or indirectly, whether through the ownership of voting securities, by contract or otherwise.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Agreement</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Baker Botts Legal Fees</w:t>
      </w:r>
      <w:r>
        <w:rPr>
          <w:rFonts w:ascii="Times New Roman;Times;serif" w:hAnsi="Times New Roman;Times;serif"/>
          <w:sz w:val="17"/>
        </w:rPr>
        <w:t xml:space="preserve"> shall have the meaning specified in Section 7.11.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Business Day</w:t>
      </w:r>
      <w:r>
        <w:rPr>
          <w:rFonts w:ascii="Times New Roman;Times;serif" w:hAnsi="Times New Roman;Times;serif"/>
          <w:sz w:val="17"/>
        </w:rPr>
        <w:t xml:space="preserve"> means any day other than a Saturday, a Sunday or a legal holiday or other date on which the NYSE does not open for trading.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Closing</w:t>
      </w:r>
      <w:r>
        <w:rPr>
          <w:rFonts w:ascii="Times New Roman;Times;serif" w:hAnsi="Times New Roman;Times;serif"/>
          <w:sz w:val="17"/>
        </w:rPr>
        <w:t xml:space="preserve"> shall have the meaning specified in Section 2.3.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Closing Date</w:t>
      </w:r>
      <w:r>
        <w:rPr>
          <w:rFonts w:ascii="Times New Roman;Times;serif" w:hAnsi="Times New Roman;Times;serif"/>
          <w:sz w:val="17"/>
        </w:rPr>
        <w:t xml:space="preserve"> shall have the meaning specified in Section 2.3.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Commission</w:t>
      </w:r>
      <w:r>
        <w:rPr>
          <w:rFonts w:ascii="Times New Roman;Times;serif" w:hAnsi="Times New Roman;Times;serif"/>
          <w:sz w:val="17"/>
        </w:rPr>
        <w:t xml:space="preserve"> means the United States Securities and Exchange Commission.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Common Unit Price</w:t>
      </w:r>
      <w:r>
        <w:rPr>
          <w:rFonts w:ascii="Times New Roman;Times;serif" w:hAnsi="Times New Roman;Times;serif"/>
          <w:sz w:val="17"/>
        </w:rPr>
        <w:t xml:space="preserve"> shall have the meaning specified in Section 2.2.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Common Units</w:t>
      </w:r>
      <w:r>
        <w:rPr>
          <w:rFonts w:ascii="Times New Roman;Times;serif" w:hAnsi="Times New Roman;Times;serif"/>
          <w:sz w:val="17"/>
        </w:rPr>
        <w:t xml:space="preserve"> means the common units representing limited partner interests in Seller.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Confidential Information</w:t>
      </w:r>
      <w:r>
        <w:rPr>
          <w:rFonts w:ascii="Times New Roman;Times;serif" w:hAnsi="Times New Roman;Times;serif"/>
          <w:sz w:val="17"/>
        </w:rPr>
        <w:t xml:space="preserve"> means, with respect to each Purchaser, all oral or written information, documents, records and data that Seller or its Representatives furnishes or otherwise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discloses to such Purchaser or any of its Representatives in connection with the transaction contemplated hereby together with all copies, extracts, analyses, compilations, studies, memoranda, notes or other documents, records or data (in whatever form maintained, whether documentary, computer or other electronic storage or otherwise) prepared by any Person that contain or otherwise reflect or are generated from such information, documents, records, or data. The term Confidential Information does not include any information that (a) at the time of disclosure or thereafter is generally available to the public (other than as a result of a disclosure by such Purchaser or its Representatives in breach of this Agreement), (b) is developed by such Purchaser or any of its Representatives, independent of, and without reliance in whole or in part on, any Confidential Information or any knowledge of Confidential Information, (c) becomes available to such Purchaser or its Representatives on a non-confidential basis from a source other than Seller or its Representatives who, insofar as is known to the recipient after reasonable inquiry, is not prohibited from transmitting the information to the recipient by a contractual, legal, fiduciary or other obligation to such Purchaser or (d) was available to such Purchaser or its Representatives on a non-confidential basis prior to its disclosure to such Purchaser or its Representatives by Seller or its Representatives.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Exchange Act</w:t>
      </w:r>
      <w:r>
        <w:rPr>
          <w:rFonts w:ascii="Times New Roman;Times;serif" w:hAnsi="Times New Roman;Times;serif"/>
          <w:sz w:val="17"/>
        </w:rPr>
        <w:t xml:space="preserve"> means the Securities Exchange Act of 1934, as amended from time to time, and the rules and regulations of the Commission promulgated thereunder.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GAAP</w:t>
      </w:r>
      <w:r>
        <w:rPr>
          <w:rFonts w:ascii="Times New Roman;Times;serif" w:hAnsi="Times New Roman;Times;serif"/>
          <w:sz w:val="17"/>
        </w:rPr>
        <w:t xml:space="preserve"> means generally accepted accounting principles in the United States of America as in effect from time to time.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Indemnified Party</w:t>
      </w:r>
      <w:r>
        <w:rPr>
          <w:rFonts w:ascii="Times New Roman;Times;serif" w:hAnsi="Times New Roman;Times;serif"/>
          <w:sz w:val="17"/>
        </w:rPr>
        <w:t xml:space="preserve"> shall have the meaning specified in Section 6.3.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Indemnifying Party</w:t>
      </w:r>
      <w:r>
        <w:rPr>
          <w:rFonts w:ascii="Times New Roman;Times;serif" w:hAnsi="Times New Roman;Times;serif"/>
          <w:sz w:val="17"/>
        </w:rPr>
        <w:t xml:space="preserve"> shall have the meaning specified in Section 6.3.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NYSE</w:t>
      </w:r>
      <w:r>
        <w:rPr>
          <w:rFonts w:ascii="Times New Roman;Times;serif" w:hAnsi="Times New Roman;Times;serif"/>
          <w:sz w:val="17"/>
        </w:rPr>
        <w:t xml:space="preserve"> means the New York Stock Exchange.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Parties</w:t>
      </w:r>
      <w:r>
        <w:rPr>
          <w:rFonts w:ascii="Times New Roman;Times;serif" w:hAnsi="Times New Roman;Times;serif"/>
          <w:sz w:val="17"/>
        </w:rPr>
        <w:t xml:space="preserve"> means Seller and the Purchasers.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Partnership Agreement</w:t>
      </w:r>
      <w:r>
        <w:rPr>
          <w:rFonts w:ascii="Times New Roman;Times;serif" w:hAnsi="Times New Roman;Times;serif"/>
          <w:sz w:val="17"/>
        </w:rPr>
        <w:t> means the Third Amended and Restated Agreement of Limited Partnership of Seller, dated as of June 27, 2001 (the </w:t>
      </w:r>
      <w:r>
        <w:rPr>
          <w:rFonts w:ascii="Times New Roman;Times;serif" w:hAnsi="Times New Roman;Times;serif"/>
          <w:sz w:val="17"/>
          <w:u w:val="single"/>
        </w:rPr>
        <w:t>Partnership Agreement</w:t>
      </w:r>
      <w:r>
        <w:rPr>
          <w:rFonts w:ascii="Times New Roman;Times;serif" w:hAnsi="Times New Roman;Times;serif"/>
          <w:sz w:val="17"/>
        </w:rPr>
        <w:t xml:space="preserve">), as amended to date, and as the same may be further amended from time to time.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Person</w:t>
      </w:r>
      <w:r>
        <w:rPr>
          <w:rFonts w:ascii="Times New Roman;Times;serif" w:hAnsi="Times New Roman;Times;serif"/>
          <w:sz w:val="17"/>
        </w:rPr>
        <w:t xml:space="preserve"> means any individual, corporation, company, voluntary association, partnership, joint venture, trust, limited liability company, unincorporated organization or government or any agency, instrumentality or political subdivision thereof, or any other form of entity.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Prospectus</w:t>
      </w:r>
      <w:r>
        <w:rPr>
          <w:rFonts w:ascii="Times New Roman;Times;serif" w:hAnsi="Times New Roman;Times;serif"/>
          <w:sz w:val="17"/>
        </w:rPr>
        <w:t xml:space="preserve"> means any prospectus or prospectuses included in the Registration Statement at the effective time of the Registration Statement, as supplemented by a prospectus supplement relating to the Purchased Units and the offering thereof to be filed pursuant to Rule 424(b) under the Securities Act. Any reference in this Agreement to the Prospectus shall be deemed to refer to and include the documents incorporated by reference therein pursuant to Item 12 of Form S-3 that were filed under the Exchange Act on or before the issue date of the Prospectus; and any reference to the terms amend, amendment or supplement with respect to the Prospectus shall be deemed to refer to and include the filing of any document under the Exchange Act after the issue date of the Prospectus deemed to be incorporated therein by reference.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 Price</w:t>
      </w:r>
      <w:r>
        <w:rPr>
          <w:rFonts w:ascii="Times New Roman;Times;serif" w:hAnsi="Times New Roman;Times;serif"/>
          <w:sz w:val="17"/>
        </w:rPr>
        <w:t xml:space="preserve"> means, with respect to a particular Purchaser, the amount set forth opposite such Purchasers name under the column entitled Purchase Price on Schedule 2.1 to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Purchased Units</w:t>
      </w:r>
      <w:r>
        <w:rPr>
          <w:rFonts w:ascii="Times New Roman;Times;serif" w:hAnsi="Times New Roman;Times;serif"/>
          <w:sz w:val="17"/>
        </w:rPr>
        <w:t xml:space="preserve"> means, with respect to a particular Purchaser, the number of Common Units set forth opposite such Purchasers name under the column entitled Purchased Units on Schedule 2.1 to this Agreement, which is equal to the rounded amount of the quotient determined by dividing (a) the Purchase Price of such Purchaser by (b) the Common Unit Price.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w:t>
      </w:r>
      <w:r>
        <w:rPr>
          <w:rFonts w:ascii="Times New Roman;Times;serif" w:hAnsi="Times New Roman;Times;serif"/>
          <w:sz w:val="17"/>
        </w:rPr>
        <w:t> or </w:t>
      </w:r>
      <w:r>
        <w:rPr>
          <w:rFonts w:ascii="Times New Roman;Times;serif" w:hAnsi="Times New Roman;Times;serif"/>
          <w:sz w:val="17"/>
          <w:u w:val="single"/>
        </w:rPr>
        <w:t>Purchasers</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 Material Adverse Effect</w:t>
      </w:r>
      <w:r>
        <w:rPr>
          <w:rFonts w:ascii="Times New Roman;Times;serif" w:hAnsi="Times New Roman;Times;serif"/>
          <w:sz w:val="17"/>
        </w:rPr>
        <w:t xml:space="preserve"> means, with respect to each Purchaser, any material and adverse effect on (i) the ability of such Purchaser to meet its obligations under this Agreement on a timely basis or (ii) the ability of such Purchaser to consummate the transactions under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Purchaser Related Parties</w:t>
      </w:r>
      <w:r>
        <w:rPr>
          <w:rFonts w:ascii="Times New Roman;Times;serif" w:hAnsi="Times New Roman;Times;serif"/>
          <w:sz w:val="17"/>
        </w:rPr>
        <w:t xml:space="preserve"> shall have the meaning specified in Section 6.1.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Registration Rights Agreement</w:t>
      </w:r>
      <w:r>
        <w:rPr>
          <w:rFonts w:ascii="Times New Roman;Times;serif" w:hAnsi="Times New Roman;Times;serif"/>
          <w:sz w:val="17"/>
        </w:rPr>
        <w:t xml:space="preserve"> shall have the meaning specified in Section 3.11.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Registration Statement</w:t>
      </w:r>
      <w:r>
        <w:rPr>
          <w:rFonts w:ascii="Times New Roman;Times;serif" w:hAnsi="Times New Roman;Times;serif"/>
          <w:sz w:val="17"/>
        </w:rPr>
        <w:t xml:space="preserve"> means Sellers registration statement (File No. 333-126447) on Form S-3 filed with the Commission on July 7, 2005, including a form of prospectus, as supplemented, and including the exhibits and financial statements, as amended at the time of the Closing, and any post-effective amendment thereto that becomes effective prior to the Closing Date. Any reference in this Agreement to the Registration Statement shall be deemed to refer to and include the documents incorporated by reference therein pursuant to Item 12 of Form S-3 that were filed under the Exchange Act on or before the effective date of the Registration Statement; and any reference to the terms amend, amendment or supplement with respect to the Registration Statement shall be deemed to refer to and include the filing of any document under the Exchange Act after the effective date of the Registration Statement deemed to be incorporated therein by reference.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Representatives</w:t>
      </w:r>
      <w:r>
        <w:rPr>
          <w:rFonts w:ascii="Times New Roman;Times;serif" w:hAnsi="Times New Roman;Times;serif"/>
          <w:sz w:val="17"/>
        </w:rPr>
        <w:t xml:space="preserve"> of any Person means the officers, directors, employees, agents, counsel, investment bankers and other representatives of such Person.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Securities Act</w:t>
      </w:r>
      <w:r>
        <w:rPr>
          <w:rFonts w:ascii="Times New Roman;Times;serif" w:hAnsi="Times New Roman;Times;serif"/>
          <w:sz w:val="17"/>
        </w:rPr>
        <w:t xml:space="preserve"> means the Securities Act of 1933, as amended from time to time, and the rules and regulations of the Commission promulgated thereunder.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w:t>
      </w:r>
      <w:r>
        <w:rPr>
          <w:rFonts w:ascii="Times New Roman;Times;serif" w:hAnsi="Times New Roman;Times;serif"/>
          <w:sz w:val="17"/>
        </w:rPr>
        <w:t xml:space="preserve"> shall have the meaning specified in the Preamble.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Commission Documents</w:t>
      </w:r>
      <w:r>
        <w:rPr>
          <w:rFonts w:ascii="Times New Roman;Times;serif" w:hAnsi="Times New Roman;Times;serif"/>
          <w:sz w:val="17"/>
        </w:rPr>
        <w:t xml:space="preserve"> shall have the meaning specified in Section 3.5.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Material Adverse Effect</w:t>
      </w:r>
      <w:r>
        <w:rPr>
          <w:rFonts w:ascii="Times New Roman;Times;serif" w:hAnsi="Times New Roman;Times;serif"/>
          <w:sz w:val="17"/>
        </w:rPr>
        <w:t xml:space="preserve"> means any material adverse effect on (i) the condition (financial or otherwise), business, prospects, properties, net worth or results of operations of Seller and its subsidiaries, taken as a whole, (ii) the ability of Seller to meet its obligations under this Agreement on a timely basis, or (iii) the ability of Seller to consummate the transactions under this Agreement. </w:t>
      </w:r>
    </w:p>
    <w:p>
      <w:pPr>
        <w:pStyle w:val="TextBody"/>
        <w:spacing w:before="120" w:after="283"/>
        <w:jc w:val="left"/>
        <w:rPr/>
      </w:pPr>
      <w:r>
        <w:rPr/>
        <w:t>     </w:t>
      </w:r>
      <w:r>
        <w:rPr>
          <w:rFonts w:ascii="Times New Roman;Times;serif" w:hAnsi="Times New Roman;Times;serif"/>
          <w:sz w:val="17"/>
        </w:rPr>
        <w:t></w:t>
      </w:r>
      <w:r>
        <w:rPr>
          <w:rFonts w:ascii="Times New Roman;Times;serif" w:hAnsi="Times New Roman;Times;serif"/>
          <w:sz w:val="17"/>
          <w:u w:val="single"/>
        </w:rPr>
        <w:t>Seller Related Parties</w:t>
      </w:r>
      <w:r>
        <w:rPr>
          <w:rFonts w:ascii="Times New Roman;Times;serif" w:hAnsi="Times New Roman;Times;serif"/>
          <w:sz w:val="17"/>
        </w:rPr>
        <w:t xml:space="preserve"> shall have the meaning specified in Section 6.2.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w:t>
        <w:br/>
        <w:t>AGREEMENT TO SELL AND PURCHASE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2.1 </w:t>
      </w:r>
      <w:r>
        <w:rPr>
          <w:rFonts w:ascii="Times New Roman;Times;serif" w:hAnsi="Times New Roman;Times;serif"/>
          <w:sz w:val="17"/>
          <w:u w:val="single"/>
        </w:rPr>
        <w:t>Sale and Purchase</w:t>
      </w:r>
      <w:r>
        <w:rPr>
          <w:rFonts w:ascii="Times New Roman;Times;serif" w:hAnsi="Times New Roman;Times;serif"/>
          <w:sz w:val="17"/>
        </w:rPr>
        <w:t xml:space="preserve">. On the basis of the representations and warranties contained herein and subject to the terms and conditions hereof, at the Closing, Seller hereby agrees to issue and sell to each Purchaser, and each Purchaser hereby agrees to purchase from Seller, the number of Purchased Units set forth opposite such Purchasers name on Schedule 2.1 to this Agreement, and each Purchaser agrees to pay Seller the amount of the Purchase Price in respect of such Purchased Units set forth opposite such Purchasers name on Schedule 2.1 to this Agreement as consideration for the Purchased Units. </w:t>
      </w:r>
    </w:p>
    <w:p>
      <w:pPr>
        <w:pStyle w:val="TextBody"/>
        <w:spacing w:before="120" w:after="283"/>
        <w:jc w:val="left"/>
        <w:rPr/>
      </w:pPr>
      <w:r>
        <w:rPr/>
        <w:t>     </w:t>
      </w:r>
      <w:r>
        <w:rPr>
          <w:rFonts w:ascii="Times New Roman;Times;serif" w:hAnsi="Times New Roman;Times;serif"/>
          <w:sz w:val="17"/>
        </w:rPr>
        <w:t xml:space="preserve">Section 2.2 </w:t>
      </w:r>
      <w:r>
        <w:rPr>
          <w:rFonts w:ascii="Times New Roman;Times;serif" w:hAnsi="Times New Roman;Times;serif"/>
          <w:sz w:val="17"/>
          <w:u w:val="single"/>
        </w:rPr>
        <w:t>Consideration</w:t>
      </w:r>
      <w:r>
        <w:rPr>
          <w:rFonts w:ascii="Times New Roman;Times;serif" w:hAnsi="Times New Roman;Times;serif"/>
          <w:sz w:val="17"/>
        </w:rPr>
        <w:t>. The amount per Common Unit each Purchaser will pay to Seller to purchase the Purchased Units (the </w:t>
      </w:r>
      <w:r>
        <w:rPr>
          <w:rFonts w:ascii="Times New Roman;Times;serif" w:hAnsi="Times New Roman;Times;serif"/>
          <w:sz w:val="17"/>
          <w:u w:val="single"/>
        </w:rPr>
        <w:t>Common Unit Price</w:t>
      </w:r>
      <w:r>
        <w:rPr>
          <w:rFonts w:ascii="Times New Roman;Times;serif" w:hAnsi="Times New Roman;Times;serif"/>
          <w:sz w:val="17"/>
        </w:rPr>
        <w:t xml:space="preserve">) shall be $48.67 per Common Unit. </w:t>
      </w:r>
    </w:p>
    <w:p>
      <w:pPr>
        <w:pStyle w:val="TextBody"/>
        <w:spacing w:before="120" w:after="283"/>
        <w:jc w:val="left"/>
        <w:rPr/>
      </w:pPr>
      <w:r>
        <w:rPr/>
        <w:t>     </w:t>
      </w:r>
      <w:r>
        <w:rPr>
          <w:rFonts w:ascii="Times New Roman;Times;serif" w:hAnsi="Times New Roman;Times;serif"/>
          <w:sz w:val="17"/>
        </w:rPr>
        <w:t xml:space="preserve">Section 2.3 </w:t>
      </w:r>
      <w:r>
        <w:rPr>
          <w:rFonts w:ascii="Times New Roman;Times;serif" w:hAnsi="Times New Roman;Times;serif"/>
          <w:sz w:val="17"/>
          <w:u w:val="single"/>
        </w:rPr>
        <w:t>Closing</w:t>
      </w:r>
      <w:r>
        <w:rPr>
          <w:rFonts w:ascii="Times New Roman;Times;serif" w:hAnsi="Times New Roman;Times;serif"/>
          <w:sz w:val="17"/>
        </w:rPr>
        <w:t>. Subject to the terms and conditions hereof, the consummation of the purchase and sale of the Purchased Units hereunder (the </w:t>
      </w:r>
      <w:r>
        <w:rPr>
          <w:rFonts w:ascii="Times New Roman;Times;serif" w:hAnsi="Times New Roman;Times;serif"/>
          <w:sz w:val="17"/>
          <w:u w:val="single"/>
        </w:rPr>
        <w:t>Closing</w:t>
      </w:r>
      <w:r>
        <w:rPr>
          <w:rFonts w:ascii="Times New Roman;Times;serif" w:hAnsi="Times New Roman;Times;serif"/>
          <w:sz w:val="17"/>
        </w:rPr>
        <w:t>) shall take place on December 19, 2006, or at such other time and date thereafter as any Purchaser and Seller may mutually agree (such date, the </w:t>
      </w:r>
      <w:r>
        <w:rPr>
          <w:rFonts w:ascii="Times New Roman;Times;serif" w:hAnsi="Times New Roman;Times;serif"/>
          <w:sz w:val="17"/>
          <w:u w:val="single"/>
        </w:rPr>
        <w:t>Closing Date</w:t>
      </w:r>
      <w:r>
        <w:rPr>
          <w:rFonts w:ascii="Times New Roman;Times;serif" w:hAnsi="Times New Roman;Times;serif"/>
          <w:sz w:val="17"/>
        </w:rPr>
        <w:t xml:space="preserve">), at the offices of Vinson &amp; Elkins L.L.P., 1001 Fannin, Suite 2300, Houston, Texas 77002. </w:t>
      </w:r>
    </w:p>
    <w:p>
      <w:pPr>
        <w:pStyle w:val="TextBody"/>
        <w:spacing w:before="120" w:after="283"/>
        <w:jc w:val="left"/>
        <w:rPr/>
      </w:pPr>
      <w:r>
        <w:rPr/>
        <w:t>     </w:t>
      </w:r>
      <w:r>
        <w:rPr>
          <w:rFonts w:ascii="Times New Roman;Times;serif" w:hAnsi="Times New Roman;Times;serif"/>
          <w:sz w:val="17"/>
        </w:rPr>
        <w:t xml:space="preserve">Section 2.4 </w:t>
      </w:r>
      <w:r>
        <w:rPr>
          <w:rFonts w:ascii="Times New Roman;Times;serif" w:hAnsi="Times New Roman;Times;serif"/>
          <w:sz w:val="17"/>
          <w:u w:val="single"/>
        </w:rPr>
        <w:t>Independent Obligations</w:t>
      </w:r>
      <w:r>
        <w:rPr>
          <w:rFonts w:ascii="Times New Roman;Times;serif" w:hAnsi="Times New Roman;Times;serif"/>
          <w:sz w:val="17"/>
        </w:rPr>
        <w:t xml:space="preserve">. The obligation of each Purchaser hereunder is several and not joint and is independent of the obligation of each other Purchaser, and the failure of, or Sellers waiver of, performance by any Purchaser does not excuse performance by any other Purchaser or Seller. No Purchaser shall be responsible in any way for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 Each Purchaser acknowledges that such Purchaser is not relying upon any Person in making its investment in Seller.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transactions contemplated by this Agreement.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III.</w:t>
        <w:br/>
        <w:t>REPRESENTATIONS AND WARRANTIES</w:t>
        <w:br/>
        <w:t>RELATED TO SELLER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Seller hereby represents and warrants to the Purchasers as follows: </w:t>
      </w:r>
    </w:p>
    <w:p>
      <w:pPr>
        <w:pStyle w:val="TextBody"/>
        <w:spacing w:before="120" w:after="283"/>
        <w:jc w:val="left"/>
        <w:rPr/>
      </w:pPr>
      <w:r>
        <w:rPr/>
        <w:t>     </w:t>
      </w:r>
      <w:r>
        <w:rPr>
          <w:rFonts w:ascii="Times New Roman;Times;serif" w:hAnsi="Times New Roman;Times;serif"/>
          <w:sz w:val="17"/>
        </w:rPr>
        <w:t xml:space="preserve">Section 3.1 </w:t>
      </w:r>
      <w:r>
        <w:rPr>
          <w:rFonts w:ascii="Times New Roman;Times;serif" w:hAnsi="Times New Roman;Times;serif"/>
          <w:sz w:val="17"/>
          <w:u w:val="single"/>
        </w:rPr>
        <w:t>Corporate Existence of Seller</w:t>
      </w:r>
      <w:r>
        <w:rPr>
          <w:rFonts w:ascii="Times New Roman;Times;serif" w:hAnsi="Times New Roman;Times;serif"/>
          <w:sz w:val="17"/>
        </w:rPr>
        <w:t xml:space="preserve">. Seller (a) is a limited partnership duly formed, validly existing and in good standing under the laws of the State of Delaware and (b) has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all requisite limited partnership power necessary to own its assets and carry on its business as its business is now being conducted. </w:t>
      </w:r>
    </w:p>
    <w:p>
      <w:pPr>
        <w:pStyle w:val="TextBody"/>
        <w:spacing w:before="120" w:after="283"/>
        <w:jc w:val="left"/>
        <w:rPr/>
      </w:pPr>
      <w:r>
        <w:rPr/>
        <w:t>     </w:t>
      </w:r>
      <w:r>
        <w:rPr>
          <w:rFonts w:ascii="Times New Roman;Times;serif" w:hAnsi="Times New Roman;Times;serif"/>
          <w:sz w:val="17"/>
        </w:rPr>
        <w:t xml:space="preserve">Section 3.2 </w:t>
      </w:r>
      <w:r>
        <w:rPr>
          <w:rFonts w:ascii="Times New Roman;Times;serif" w:hAnsi="Times New Roman;Times;serif"/>
          <w:sz w:val="17"/>
          <w:u w:val="single"/>
        </w:rPr>
        <w:t>Valid Issuance of Purchased Units</w:t>
      </w:r>
      <w:r>
        <w:rPr>
          <w:rFonts w:ascii="Times New Roman;Times;serif" w:hAnsi="Times New Roman;Times;serif"/>
          <w:sz w:val="17"/>
        </w:rPr>
        <w:t xml:space="preserve">. The offer and sale of the Purchased Units and the limited partner interests represented thereby have been duly authorized by Seller and, when issued and delivered to the Purchasers against payment therefor in accordance with the terms of this Agreement, will be validly issued, fully paid (to the extent required under the Partnership Agreement) and nonassessable (except as such nonassessability may be affected by such matters described under the caption The Partnership Agreement  Limited Liability in Sellers Registration Statement on Form S-1 (File No. 333-64107), which is incorporated by reference into Sellers Registration Statement on Form 8-A/A (File No. 001-14569)). </w:t>
      </w:r>
    </w:p>
    <w:p>
      <w:pPr>
        <w:pStyle w:val="TextBody"/>
        <w:spacing w:before="120" w:after="283"/>
        <w:jc w:val="left"/>
        <w:rPr/>
      </w:pPr>
      <w:r>
        <w:rPr/>
        <w:t>     </w:t>
      </w:r>
      <w:r>
        <w:rPr>
          <w:rFonts w:ascii="Times New Roman;Times;serif" w:hAnsi="Times New Roman;Times;serif"/>
          <w:sz w:val="17"/>
        </w:rPr>
        <w:t xml:space="preserve">Section 3.3 </w:t>
      </w:r>
      <w:r>
        <w:rPr>
          <w:rFonts w:ascii="Times New Roman;Times;serif" w:hAnsi="Times New Roman;Times;serif"/>
          <w:sz w:val="17"/>
          <w:u w:val="single"/>
        </w:rPr>
        <w:t>Form S-3 Eligibility</w:t>
      </w:r>
      <w:r>
        <w:rPr>
          <w:rFonts w:ascii="Times New Roman;Times;serif" w:hAnsi="Times New Roman;Times;serif"/>
          <w:sz w:val="17"/>
        </w:rPr>
        <w:t xml:space="preserve">. As of the date hereof, Seller meets the requirements for the use of Form S-3 under the Securities Act, and, as of the Closing Date, Seller will meet the requirements for the use of Form S-3 under the Securities Act. </w:t>
      </w:r>
    </w:p>
    <w:p>
      <w:pPr>
        <w:pStyle w:val="TextBody"/>
        <w:spacing w:before="120" w:after="283"/>
        <w:jc w:val="left"/>
        <w:rPr/>
      </w:pPr>
      <w:r>
        <w:rPr/>
        <w:t>     </w:t>
      </w:r>
      <w:r>
        <w:rPr>
          <w:rFonts w:ascii="Times New Roman;Times;serif" w:hAnsi="Times New Roman;Times;serif"/>
          <w:sz w:val="17"/>
        </w:rPr>
        <w:t xml:space="preserve">Section 3.4 </w:t>
      </w:r>
      <w:r>
        <w:rPr>
          <w:rFonts w:ascii="Times New Roman;Times;serif" w:hAnsi="Times New Roman;Times;serif"/>
          <w:sz w:val="17"/>
          <w:u w:val="single"/>
        </w:rPr>
        <w:t>Registration Statement</w:t>
      </w:r>
      <w:r>
        <w:rPr>
          <w:rFonts w:ascii="Times New Roman;Times;serif" w:hAnsi="Times New Roman;Times;serif"/>
          <w:sz w:val="17"/>
        </w:rPr>
        <w:t xml:space="preserve">. The Registration Statement, at the time it became effective, and the prospectus contained therein, complied, and on the date of this Agreement and the Closing Date and when any post-effective amendment to the Registration Statement becomes effective or any supplement to such prospectus is filed with the Commission, the Registration Statement, the Prospectus and any such amendment or supplement, respectively, will comply, in all material respects with the applicable requirements of the Securities Act; all documents incorporated, or deemed to be incorporated, into the Registration Statement or the Prospectus by reference pursuant to the requirements of Item 12 of Form S-3 under the Securities Act, when they were or are filed with the Commission, conformed or will conform as of their respective dates in all material respects with the applicable requirements of the Exchange Act; and each part of the Registration Statement and any amendment thereto, at the time such part became effective, and the Prospectus and any amendment or supplement thereto, at the time it was or is filed with the Commission pursuant to Rule 424 under the Securities Act and at the time of the Closing, did not and will not contain an untrue statement of a material fact or omit to state a material fact required to be stated therein or necessary to make the statements therein, in the light of the circumstances under which they were made, not misleading, except that this representation and warranty does not apply to statements or omissions in the Registration Statement or Prospectus (or in amendments or supplements thereto) made in reliance upon information, if any, furnished in writing to Seller by any Purchaser. </w:t>
      </w:r>
    </w:p>
    <w:p>
      <w:pPr>
        <w:pStyle w:val="TextBody"/>
        <w:spacing w:before="120" w:after="283"/>
        <w:jc w:val="left"/>
        <w:rPr/>
      </w:pPr>
      <w:r>
        <w:rPr/>
        <w:t>     </w:t>
      </w:r>
      <w:r>
        <w:rPr>
          <w:rFonts w:ascii="Times New Roman;Times;serif" w:hAnsi="Times New Roman;Times;serif"/>
          <w:sz w:val="17"/>
        </w:rPr>
        <w:t xml:space="preserve">Section 3.5 </w:t>
      </w:r>
      <w:r>
        <w:rPr>
          <w:rFonts w:ascii="Times New Roman;Times;serif" w:hAnsi="Times New Roman;Times;serif"/>
          <w:sz w:val="17"/>
          <w:u w:val="single"/>
        </w:rPr>
        <w:t>Seller Commission Documents</w:t>
      </w:r>
      <w:r>
        <w:rPr>
          <w:rFonts w:ascii="Times New Roman;Times;serif" w:hAnsi="Times New Roman;Times;serif"/>
          <w:sz w:val="17"/>
        </w:rPr>
        <w:t>. Seller has filed with the Commission all forms, registration statements, reports, schedules and statements required to be filed by it under the Exchange Act or the Securities Act (all such documents, collectively, the </w:t>
      </w:r>
      <w:r>
        <w:rPr>
          <w:rFonts w:ascii="Times New Roman;Times;serif" w:hAnsi="Times New Roman;Times;serif"/>
          <w:sz w:val="17"/>
          <w:u w:val="single"/>
        </w:rPr>
        <w:t>Seller Commission Documents</w:t>
      </w:r>
      <w:r>
        <w:rPr>
          <w:rFonts w:ascii="Times New Roman;Times;serif" w:hAnsi="Times New Roman;Times;serif"/>
          <w:sz w:val="17"/>
        </w:rPr>
        <w:t xml:space="preserve">). The Seller Commission Documents, including, without limitation, any audited or unaudited financial statements and any notes thereto or schedules included therein, at the time filed (in the case of registration statements, solely on the dates of effectiveness) (except to the extent corrected by a subsequently filed Seller Commission Document filed prior to the date hereof) (a) complied as to form in all material respects with applicable accounting requirements and with the published rules and regulations of the Commission with respect thereto, (b) were prepared in accordance with GAAP applied on a consistent basis during the periods involved (except as may be indicated in the notes thereto or,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case of unaudited statements, as permitted by the applicable rules and regulations of the Commission), and (c) fairly present (subject in the case of unaudited statements to normal, recurring and year-end audit adjustments) in all material respects the consolidated financial position and status of the business of Seller as of the dates thereof and the consolidated results of its operations and cash flows for the periods then ended. PricewaterhouseCoopers LLP is an independent registered public accounting firm with respect to Seller and has not resigned or been dismissed as independent registered public accountants of Seller as a result of or in connection with any disagreement with Seller on any matter of accounting principles or practices, financial statement disclosure or auditing scope or procedures. </w:t>
      </w:r>
    </w:p>
    <w:p>
      <w:pPr>
        <w:pStyle w:val="TextBody"/>
        <w:spacing w:before="120" w:after="283"/>
        <w:jc w:val="left"/>
        <w:rPr/>
      </w:pPr>
      <w:r>
        <w:rPr/>
        <w:t>     </w:t>
      </w:r>
      <w:r>
        <w:rPr>
          <w:rFonts w:ascii="Times New Roman;Times;serif" w:hAnsi="Times New Roman;Times;serif"/>
          <w:sz w:val="17"/>
        </w:rPr>
        <w:t xml:space="preserve">Section 3.6 </w:t>
      </w:r>
      <w:r>
        <w:rPr>
          <w:rFonts w:ascii="Times New Roman;Times;serif" w:hAnsi="Times New Roman;Times;serif"/>
          <w:sz w:val="17"/>
          <w:u w:val="single"/>
        </w:rPr>
        <w:t>No Breach</w:t>
      </w:r>
      <w:r>
        <w:rPr>
          <w:rFonts w:ascii="Times New Roman;Times;serif" w:hAnsi="Times New Roman;Times;serif"/>
          <w:sz w:val="17"/>
        </w:rPr>
        <w:t xml:space="preserve">. The execution, delivery and performance by Seller of this Agreement and all other agreements and instruments to be executed and delivered by Seller pursuant hereto or in connection with the transactions contemplated by this Agreement, and compliance by Seller with the terms and provisions hereof, do not and will not (a) violate any provision of any statute, rule, regulation or order of any court or governmental authority having jurisdiction over Seller or any of its properties or assets, (b) conflict with or result in a violation of Sellers certificate of limited partnership or the Partnership Agreement, or (c) result in a violation or breach of or constitute a default under any material agreement to which Seller is a party or by which Seller or any of its properties is bound, except, in the case of clauses (a) and (c), where such violation, breach or default would not, individually or in the aggregate, reasonably be expected to have a Seller Material Adverse Effect. </w:t>
      </w:r>
    </w:p>
    <w:p>
      <w:pPr>
        <w:pStyle w:val="TextBody"/>
        <w:spacing w:before="120" w:after="283"/>
        <w:jc w:val="left"/>
        <w:rPr/>
      </w:pPr>
      <w:r>
        <w:rPr/>
        <w:t>     </w:t>
      </w:r>
      <w:r>
        <w:rPr>
          <w:rFonts w:ascii="Times New Roman;Times;serif" w:hAnsi="Times New Roman;Times;serif"/>
          <w:sz w:val="17"/>
        </w:rPr>
        <w:t xml:space="preserve">Section 3.7 </w:t>
      </w:r>
      <w:r>
        <w:rPr>
          <w:rFonts w:ascii="Times New Roman;Times;serif" w:hAnsi="Times New Roman;Times;serif"/>
          <w:sz w:val="17"/>
          <w:u w:val="single"/>
        </w:rPr>
        <w:t>Authority</w:t>
      </w:r>
      <w:r>
        <w:rPr>
          <w:rFonts w:ascii="Times New Roman;Times;serif" w:hAnsi="Times New Roman;Times;serif"/>
          <w:sz w:val="17"/>
        </w:rPr>
        <w:t xml:space="preserve">. Seller has all necessary limited partnership power and authority to execute, deliver and perform its obligations under this Agreement and to consummate the transactions contemplated hereby; the execution, delivery and performance by Seller of this Agreement and the consummation of the transactions contemplated hereby have been duly authorized by all necessary limited partnership action on its part; and this Agreement constitutes the legal, valid and binding obligation of Seller, enforceable in accordance with its terms, except as such enforceability may be limited by bankruptcy, insolvency, fraudulent transfer and similar laws affecting creditors rights generally or by general principles of equity. </w:t>
      </w:r>
    </w:p>
    <w:p>
      <w:pPr>
        <w:pStyle w:val="TextBody"/>
        <w:spacing w:before="120" w:after="283"/>
        <w:jc w:val="left"/>
        <w:rPr/>
      </w:pPr>
      <w:r>
        <w:rPr/>
        <w:t>     </w:t>
      </w:r>
      <w:r>
        <w:rPr>
          <w:rFonts w:ascii="Times New Roman;Times;serif" w:hAnsi="Times New Roman;Times;serif"/>
          <w:sz w:val="17"/>
        </w:rPr>
        <w:t xml:space="preserve">Section 3.8 </w:t>
      </w:r>
      <w:r>
        <w:rPr>
          <w:rFonts w:ascii="Times New Roman;Times;serif" w:hAnsi="Times New Roman;Times;serif"/>
          <w:sz w:val="17"/>
          <w:u w:val="single"/>
        </w:rPr>
        <w:t>Approvals</w:t>
      </w:r>
      <w:r>
        <w:rPr>
          <w:rFonts w:ascii="Times New Roman;Times;serif" w:hAnsi="Times New Roman;Times;serif"/>
          <w:sz w:val="17"/>
        </w:rPr>
        <w:t xml:space="preserve">. No authorization, consent, approval, waiver, license, qualification or written exemption from, nor any filing, declaration, qualification or registration with, any governmental authority or any other Person is required in connection with the execution, delivery or performance by Seller of this Agreement, except where the failure to receive such authorization, consent, approval, waiver, license, qualification or written exemption, or to make such filing, declaration, qualification or registration, would not, individually or in the aggregate, reasonably be expected to have a Seller Material Adverse Effect. </w:t>
      </w:r>
    </w:p>
    <w:p>
      <w:pPr>
        <w:pStyle w:val="TextBody"/>
        <w:spacing w:before="120" w:after="283"/>
        <w:jc w:val="left"/>
        <w:rPr/>
      </w:pPr>
      <w:r>
        <w:rPr/>
        <w:t>     </w:t>
      </w:r>
      <w:r>
        <w:rPr>
          <w:rFonts w:ascii="Times New Roman;Times;serif" w:hAnsi="Times New Roman;Times;serif"/>
          <w:sz w:val="17"/>
        </w:rPr>
        <w:t xml:space="preserve">Section 3.9 </w:t>
      </w:r>
      <w:r>
        <w:rPr>
          <w:rFonts w:ascii="Times New Roman;Times;serif" w:hAnsi="Times New Roman;Times;serif"/>
          <w:sz w:val="17"/>
          <w:u w:val="single"/>
        </w:rPr>
        <w:t>Investment Company Status</w:t>
      </w:r>
      <w:r>
        <w:rPr>
          <w:rFonts w:ascii="Times New Roman;Times;serif" w:hAnsi="Times New Roman;Times;serif"/>
          <w:sz w:val="17"/>
        </w:rPr>
        <w:t xml:space="preserve">. Seller is not an investment company within the meaning of the Investment Company Act of 1940, as amended. </w:t>
      </w:r>
    </w:p>
    <w:p>
      <w:pPr>
        <w:pStyle w:val="TextBody"/>
        <w:spacing w:before="120" w:after="283"/>
        <w:jc w:val="left"/>
        <w:rPr/>
      </w:pPr>
      <w:r>
        <w:rPr/>
        <w:t>     </w:t>
      </w:r>
      <w:r>
        <w:rPr>
          <w:rFonts w:ascii="Times New Roman;Times;serif" w:hAnsi="Times New Roman;Times;serif"/>
          <w:sz w:val="17"/>
        </w:rPr>
        <w:t xml:space="preserve">Section 3.10 </w:t>
      </w:r>
      <w:r>
        <w:rPr>
          <w:rFonts w:ascii="Times New Roman;Times;serif" w:hAnsi="Times New Roman;Times;serif"/>
          <w:sz w:val="17"/>
          <w:u w:val="single"/>
        </w:rPr>
        <w:t>Certain Fees</w:t>
      </w:r>
      <w:r>
        <w:rPr>
          <w:rFonts w:ascii="Times New Roman;Times;serif" w:hAnsi="Times New Roman;Times;serif"/>
          <w:sz w:val="17"/>
        </w:rPr>
        <w:t xml:space="preserve">. No fees or commissions will be payable by Seller to brokers, finders, or investment bankers with respect to the sale of any of the Purchased Units or the consummation of the transactions contemplated by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3.11 </w:t>
      </w:r>
      <w:r>
        <w:rPr>
          <w:rFonts w:ascii="Times New Roman;Times;serif" w:hAnsi="Times New Roman;Times;serif"/>
          <w:sz w:val="17"/>
          <w:u w:val="single"/>
        </w:rPr>
        <w:t>No Side Agreements</w:t>
      </w:r>
      <w:r>
        <w:rPr>
          <w:rFonts w:ascii="Times New Roman;Times;serif" w:hAnsi="Times New Roman;Times;serif"/>
          <w:sz w:val="17"/>
        </w:rPr>
        <w:t>. Other than (a) any existing confidentiality agreements in favor of Seller that have been executed by any Purchaser or to which any Purchaser is otherwise bound, (b) any total return swap letter contemplated by Section 5.4(c) and (c) a registration rights agreement to be entered into on the Closing Date among Seller, E-Holdings III, L.P., E-Holdings V, L.P., Kayne Anderson MLP Investment Company and Kayne Anderson Energy Development Company (the </w:t>
      </w:r>
      <w:r>
        <w:rPr>
          <w:rFonts w:ascii="Times New Roman;Times;serif" w:hAnsi="Times New Roman;Times;serif"/>
          <w:sz w:val="17"/>
          <w:u w:val="single"/>
        </w:rPr>
        <w:t>Registration Rights Agreement</w:t>
      </w:r>
      <w:r>
        <w:rPr>
          <w:rFonts w:ascii="Times New Roman;Times;serif" w:hAnsi="Times New Roman;Times;serif"/>
          <w:sz w:val="17"/>
        </w:rPr>
        <w:t xml:space="preserve">), there are no other agreements by, among or between Seller or its Affiliates, on the one hand, and any other Purchaser or its Affiliates, on the other hand, with respect to the transactions contemplated hereby. For purposes of this Section 3.11, Purchaser or its Affiliates shall not include Plains All American GP LLC, Plains AAP, L.P., Seller or any of their respective subsidiaries and Seller or its Affiliates shall not include E-Holdings III, L.P., E-Holdings V, L.P., Kayne Anderson MLP Investment Company and Kayne Anderson Energy Development Company or any of their respective Affiliates. </w:t>
      </w:r>
    </w:p>
    <w:p>
      <w:pPr>
        <w:pStyle w:val="TextBody"/>
        <w:spacing w:before="120" w:after="283"/>
        <w:jc w:val="left"/>
        <w:rPr/>
      </w:pPr>
      <w:r>
        <w:rPr/>
        <w:t>     </w:t>
      </w:r>
      <w:r>
        <w:rPr>
          <w:rFonts w:ascii="Times New Roman;Times;serif" w:hAnsi="Times New Roman;Times;serif"/>
          <w:sz w:val="17"/>
        </w:rPr>
        <w:t xml:space="preserve">Section 3.12 </w:t>
      </w:r>
      <w:r>
        <w:rPr>
          <w:rFonts w:ascii="Times New Roman;Times;serif" w:hAnsi="Times New Roman;Times;serif"/>
          <w:sz w:val="17"/>
          <w:u w:val="single"/>
        </w:rPr>
        <w:t>MLP Status</w:t>
      </w:r>
      <w:r>
        <w:rPr>
          <w:rFonts w:ascii="Times New Roman;Times;serif" w:hAnsi="Times New Roman;Times;serif"/>
          <w:sz w:val="17"/>
        </w:rPr>
        <w:t xml:space="preserve">. Seller has, since its formation, met the gross income requirements of Section 7704(c)(2) of the Internal Revenue Code of 1986, as amended.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IV.</w:t>
        <w:br/>
        <w:t>REPRESENTATIONS AND WARRANTIES OF THE PURCHASERS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Each Purchaser, severally and not jointly, hereby represents and warrants to Seller as follows: </w:t>
      </w:r>
    </w:p>
    <w:p>
      <w:pPr>
        <w:pStyle w:val="TextBody"/>
        <w:spacing w:before="120" w:after="283"/>
        <w:jc w:val="left"/>
        <w:rPr/>
      </w:pPr>
      <w:r>
        <w:rPr/>
        <w:t>     </w:t>
      </w:r>
      <w:r>
        <w:rPr>
          <w:rFonts w:ascii="Times New Roman;Times;serif" w:hAnsi="Times New Roman;Times;serif"/>
          <w:sz w:val="17"/>
        </w:rPr>
        <w:t xml:space="preserve">Section 4.1 </w:t>
      </w:r>
      <w:r>
        <w:rPr>
          <w:rFonts w:ascii="Times New Roman;Times;serif" w:hAnsi="Times New Roman;Times;serif"/>
          <w:sz w:val="17"/>
          <w:u w:val="single"/>
        </w:rPr>
        <w:t>Existence</w:t>
      </w:r>
      <w:r>
        <w:rPr>
          <w:rFonts w:ascii="Times New Roman;Times;serif" w:hAnsi="Times New Roman;Times;serif"/>
          <w:sz w:val="17"/>
        </w:rPr>
        <w:t xml:space="preserve">. Such Purchaser (a) is an entity duly organized, validly existing and in good standing, as applicable, under the laws of its jurisdiction of organization and (b) has all requisite power necessary to own its assets and carry on its business as its business is now being conducted. </w:t>
      </w:r>
    </w:p>
    <w:p>
      <w:pPr>
        <w:pStyle w:val="TextBody"/>
        <w:spacing w:before="120" w:after="283"/>
        <w:jc w:val="left"/>
        <w:rPr/>
      </w:pPr>
      <w:r>
        <w:rPr/>
        <w:t>     </w:t>
      </w:r>
      <w:r>
        <w:rPr>
          <w:rFonts w:ascii="Times New Roman;Times;serif" w:hAnsi="Times New Roman;Times;serif"/>
          <w:sz w:val="17"/>
        </w:rPr>
        <w:t xml:space="preserve">Section 4.2 </w:t>
      </w:r>
      <w:r>
        <w:rPr>
          <w:rFonts w:ascii="Times New Roman;Times;serif" w:hAnsi="Times New Roman;Times;serif"/>
          <w:sz w:val="17"/>
          <w:u w:val="single"/>
        </w:rPr>
        <w:t>No Conflicts</w:t>
      </w:r>
      <w:r>
        <w:rPr>
          <w:rFonts w:ascii="Times New Roman;Times;serif" w:hAnsi="Times New Roman;Times;serif"/>
          <w:sz w:val="17"/>
        </w:rPr>
        <w:t xml:space="preserve">. The execution, delivery and performance by such Purchaser of this Agreement and all other agreements and instruments to be executed and delivered by such Purchaser pursuant hereto or in connection herewith, compliance by such Purchaser with the terms and provisions hereof and the purchase of the Purchased Units by such Purchaser do not and will not (a) violate any provision of any statute, rule, regulation or order of any court or governmental authority having jurisdiction over such Purchaser or any of its properties or assets, (b) conflict with or result in a violation of any provision of the organizational documents of such Purchaser, or (c) result in a violation or breach of or constitute a default under any material agreement to which such Purchaser is a party or by which such Purchaser or any of its properties is bound, except, in the case of clauses (a) and (c), where such violation, breach or default would not, individually or in the aggregate, reasonably be expected to have a Purchaser Material Adverse Effect. </w:t>
      </w:r>
    </w:p>
    <w:p>
      <w:pPr>
        <w:pStyle w:val="TextBody"/>
        <w:spacing w:before="120" w:after="283"/>
        <w:jc w:val="left"/>
        <w:rPr/>
      </w:pPr>
      <w:r>
        <w:rPr/>
        <w:t>     </w:t>
      </w:r>
      <w:r>
        <w:rPr>
          <w:rFonts w:ascii="Times New Roman;Times;serif" w:hAnsi="Times New Roman;Times;serif"/>
          <w:sz w:val="17"/>
        </w:rPr>
        <w:t xml:space="preserve">Section 4.3 </w:t>
      </w:r>
      <w:r>
        <w:rPr>
          <w:rFonts w:ascii="Times New Roman;Times;serif" w:hAnsi="Times New Roman;Times;serif"/>
          <w:sz w:val="17"/>
          <w:u w:val="single"/>
        </w:rPr>
        <w:t>Ownership of Securities</w:t>
      </w:r>
      <w:r>
        <w:rPr>
          <w:rFonts w:ascii="Times New Roman;Times;serif" w:hAnsi="Times New Roman;Times;serif"/>
          <w:sz w:val="17"/>
        </w:rPr>
        <w:t xml:space="preserve">. Except as otherwise disclosed in Sellers Annual Report on Form 10-K for the year ended December 31, 2005, such Purchaser and its Affiliates do not, as of the date hereof, and, as of the Closing Date, will not, own ten percent or more of Sellers issued and outstanding Common Units.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Section 4.4 </w:t>
      </w:r>
      <w:r>
        <w:rPr>
          <w:rFonts w:ascii="Times New Roman;Times;serif" w:hAnsi="Times New Roman;Times;serif"/>
          <w:sz w:val="17"/>
          <w:u w:val="single"/>
        </w:rPr>
        <w:t>Trading Activities</w:t>
      </w:r>
      <w:r>
        <w:rPr>
          <w:rFonts w:ascii="Times New Roman;Times;serif" w:hAnsi="Times New Roman;Times;serif"/>
          <w:sz w:val="17"/>
        </w:rPr>
        <w:t xml:space="preserve">. Such Purchasers trading activities, if any, with respect to Sellers Common Units will be in compliance with all applicable state and federal securities laws, rules and regulations and the rules and regulations of the NYSE. </w:t>
      </w:r>
    </w:p>
    <w:p>
      <w:pPr>
        <w:pStyle w:val="TextBody"/>
        <w:spacing w:before="120" w:after="283"/>
        <w:jc w:val="left"/>
        <w:rPr/>
      </w:pPr>
      <w:r>
        <w:rPr/>
        <w:t>     </w:t>
      </w:r>
      <w:r>
        <w:rPr>
          <w:rFonts w:ascii="Times New Roman;Times;serif" w:hAnsi="Times New Roman;Times;serif"/>
          <w:sz w:val="17"/>
        </w:rPr>
        <w:t xml:space="preserve">Section 4.5 </w:t>
      </w:r>
      <w:r>
        <w:rPr>
          <w:rFonts w:ascii="Times New Roman;Times;serif" w:hAnsi="Times New Roman;Times;serif"/>
          <w:sz w:val="17"/>
          <w:u w:val="single"/>
        </w:rPr>
        <w:t>Certain Fees</w:t>
      </w:r>
      <w:r>
        <w:rPr>
          <w:rFonts w:ascii="Times New Roman;Times;serif" w:hAnsi="Times New Roman;Times;serif"/>
          <w:sz w:val="17"/>
        </w:rPr>
        <w:t xml:space="preserve">. No fees or commissions will be payable by such Purchaser to brokers, finders, or investment bankers with respect to the purchase of any of the Purchased Units or the consummation of the transaction contemplated by this Agreement. </w:t>
      </w:r>
    </w:p>
    <w:p>
      <w:pPr>
        <w:pStyle w:val="TextBody"/>
        <w:spacing w:before="120" w:after="283"/>
        <w:jc w:val="left"/>
        <w:rPr/>
      </w:pPr>
      <w:r>
        <w:rPr/>
        <w:t>     </w:t>
      </w:r>
      <w:r>
        <w:rPr>
          <w:rFonts w:ascii="Times New Roman;Times;serif" w:hAnsi="Times New Roman;Times;serif"/>
          <w:sz w:val="17"/>
        </w:rPr>
        <w:t xml:space="preserve">Section 4.6 </w:t>
      </w:r>
      <w:r>
        <w:rPr>
          <w:rFonts w:ascii="Times New Roman;Times;serif" w:hAnsi="Times New Roman;Times;serif"/>
          <w:sz w:val="17"/>
          <w:u w:val="single"/>
        </w:rPr>
        <w:t>No Side Agreements</w:t>
      </w:r>
      <w:r>
        <w:rPr>
          <w:rFonts w:ascii="Times New Roman;Times;serif" w:hAnsi="Times New Roman;Times;serif"/>
          <w:sz w:val="17"/>
        </w:rPr>
        <w:t xml:space="preserve">. Other than (a) any existing confidentiality agreements in favor of Seller that have been executed by any Purchaser or to which any Purchaser is otherwise bound, (b) any total return swap letter contemplated by Section 5.4(c) and (c) the Registration Rights Agreement, there are no other agreements by, among or between such Purchaser and any of its Affiliates, on the one hand, and any of Seller or its Affiliates, on the other hand, with respect to the transactions contemplated hereby. For purposes of this Section 4.6, Purchaser or its Affiliates shall not include Plains All American GP LLC, Plains AAP, L.P., Seller or any of their respective subsidiaries and Seller or its Affiliates shall not include E-Holdings III, L.P., E-Holdings V, L.P., Kayne Anderson MLP Investment Company and Kayne Anderson Energy Development Company or any of their respective Affiliates. </w:t>
      </w:r>
    </w:p>
    <w:p>
      <w:pPr>
        <w:pStyle w:val="TextBody"/>
        <w:spacing w:before="120" w:after="283"/>
        <w:jc w:val="left"/>
        <w:rPr/>
      </w:pPr>
      <w:r>
        <w:rPr/>
        <w:t>     </w:t>
      </w:r>
      <w:r>
        <w:rPr>
          <w:rFonts w:ascii="Times New Roman;Times;serif" w:hAnsi="Times New Roman;Times;serif"/>
          <w:sz w:val="17"/>
        </w:rPr>
        <w:t xml:space="preserve">Section 4.7 </w:t>
      </w:r>
      <w:r>
        <w:rPr>
          <w:rFonts w:ascii="Times New Roman;Times;serif" w:hAnsi="Times New Roman;Times;serif"/>
          <w:sz w:val="17"/>
          <w:u w:val="single"/>
        </w:rPr>
        <w:t>Seller Information</w:t>
      </w:r>
      <w:r>
        <w:rPr>
          <w:rFonts w:ascii="Times New Roman;Times;serif" w:hAnsi="Times New Roman;Times;serif"/>
          <w:sz w:val="17"/>
        </w:rPr>
        <w:t xml:space="preserve">. Each Purchaser acknowledges and agrees that Seller has provided or made available to such Purchaser (through EDGAR, Sellers website, or otherwise) the Registration Statement, all documents filed by Seller with the Commission through the date of this Agreement and incorporated by reference into the Registration Statement and all press releases issued by Seller through the date of this Agreement.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w:t>
        <w:br/>
        <w:t>CLOSING CONDITIONS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5.1 </w:t>
      </w:r>
      <w:r>
        <w:rPr>
          <w:rFonts w:ascii="Times New Roman;Times;serif" w:hAnsi="Times New Roman;Times;serif"/>
          <w:sz w:val="17"/>
          <w:u w:val="single"/>
        </w:rPr>
        <w:t>Conditions to the Closing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Mutual Conditions</w:t>
      </w:r>
      <w:r>
        <w:rPr>
          <w:rFonts w:ascii="Times New Roman;Times;serif" w:hAnsi="Times New Roman;Times;serif"/>
          <w:sz w:val="17"/>
        </w:rPr>
        <w:t xml:space="preserve">. The respective obligation of each Party to consummate the purchase and issuance and sale of the Purchased Units shall be subject to the satisfaction on or prior to the Closing Date of each of the following conditions (any or all of which may be waived by a particular Party on behalf of itself in writing, in whole or in part, to the extent permitted by applicable law): </w:t>
      </w:r>
    </w:p>
    <w:p>
      <w:pPr>
        <w:pStyle w:val="TextBody"/>
        <w:spacing w:before="120" w:after="283"/>
        <w:jc w:val="left"/>
        <w:rPr/>
      </w:pPr>
      <w:r>
        <w:rPr/>
        <w:t>     </w:t>
      </w:r>
      <w:r>
        <w:rPr>
          <w:rFonts w:ascii="Times New Roman;Times;serif" w:hAnsi="Times New Roman;Times;serif"/>
          <w:sz w:val="17"/>
        </w:rPr>
        <w:t xml:space="preserve">(i) no statute, rule, regulation or order shall have been enacted or promulgated, and no action shall have been taken, by any governmental authority of competent jurisdiction that temporarily, preliminarily or permanently restrains, precludes, enjoins or otherwise prohibits the consummation of the transactions contemplated by this Agreement or makes the transactions contemplated by this Agreement illegal; </w:t>
      </w:r>
    </w:p>
    <w:p>
      <w:pPr>
        <w:pStyle w:val="TextBody"/>
        <w:spacing w:before="120" w:after="283"/>
        <w:jc w:val="left"/>
        <w:rPr/>
      </w:pPr>
      <w:r>
        <w:rPr/>
        <w:t>     </w:t>
      </w:r>
      <w:r>
        <w:rPr>
          <w:rFonts w:ascii="Times New Roman;Times;serif" w:hAnsi="Times New Roman;Times;serif"/>
          <w:sz w:val="17"/>
        </w:rPr>
        <w:t xml:space="preserve">(ii) there shall not be pending any suit, action or proceeding by any governmental authority seeking to restrain, preclude, enjoin or prohibit the transactions contemplated by this Agreement;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(iii) the Purchased Units shall have been approved for listing on the NYSE, subject to notice of issuance; and </w:t>
      </w:r>
    </w:p>
    <w:p>
      <w:pPr>
        <w:pStyle w:val="TextBody"/>
        <w:spacing w:before="120" w:after="283"/>
        <w:jc w:val="left"/>
        <w:rPr/>
      </w:pPr>
      <w:r>
        <w:rPr/>
        <w:t>     </w:t>
      </w:r>
      <w:r>
        <w:rPr>
          <w:rFonts w:ascii="Times New Roman;Times;serif" w:hAnsi="Times New Roman;Times;serif"/>
          <w:sz w:val="17"/>
        </w:rPr>
        <w:t xml:space="preserve">(iv) no stop order suspending the effectiveness of the Registration Statement or any part thereof shall have been issued and no proceedings for that purpose shall have been instituted or threatened by any governmental authority.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Each Purchasers Conditions</w:t>
      </w:r>
      <w:r>
        <w:rPr>
          <w:rFonts w:ascii="Times New Roman;Times;serif" w:hAnsi="Times New Roman;Times;serif"/>
          <w:sz w:val="17"/>
        </w:rPr>
        <w:t xml:space="preserve">. The respective obligation of each Purchaser to consummate the purchase of its Purchased Units shall be subject to the satisfaction on or prior to the Closing Date of each of the following conditions (any or all of which may be waived by a particular Purchaser on behalf of itself in writing, in whole or in part, to the extent permitted by applicable law): </w:t>
      </w:r>
    </w:p>
    <w:p>
      <w:pPr>
        <w:pStyle w:val="TextBody"/>
        <w:spacing w:before="120" w:after="283"/>
        <w:jc w:val="left"/>
        <w:rPr/>
      </w:pPr>
      <w:r>
        <w:rPr/>
        <w:t>     </w:t>
      </w:r>
      <w:r>
        <w:rPr>
          <w:rFonts w:ascii="Times New Roman;Times;serif" w:hAnsi="Times New Roman;Times;serif"/>
          <w:sz w:val="17"/>
        </w:rPr>
        <w:t xml:space="preserve">(i) Seller shall have performed and complied with the covenants and agreements contained in this Agreement that are required to be performed and complied with by Seller on or prior to the Closing Date; </w:t>
      </w:r>
    </w:p>
    <w:p>
      <w:pPr>
        <w:pStyle w:val="TextBody"/>
        <w:spacing w:before="120" w:after="283"/>
        <w:jc w:val="left"/>
        <w:rPr/>
      </w:pPr>
      <w:r>
        <w:rPr/>
        <w:t>     </w:t>
      </w:r>
      <w:r>
        <w:rPr>
          <w:rFonts w:ascii="Times New Roman;Times;serif" w:hAnsi="Times New Roman;Times;serif"/>
          <w:sz w:val="17"/>
        </w:rPr>
        <w:t xml:space="preserve">(ii) the representations and warranties of Seller contained in this Agreement that are qualified by materiality or Seller Material Adverse Effect shall be true and correct when made and as of the Closing Date and all other representations and warranties shall be true and correct in all material respects when made and as of the Closing Date, in each case as though made at and as of the Closing Date (except that representations made as of a specific date shall be required to be true and correct as of such date only); </w:t>
      </w:r>
    </w:p>
    <w:p>
      <w:pPr>
        <w:pStyle w:val="TextBody"/>
        <w:spacing w:before="120" w:after="283"/>
        <w:jc w:val="left"/>
        <w:rPr/>
      </w:pPr>
      <w:r>
        <w:rPr/>
        <w:t>     </w:t>
      </w:r>
      <w:r>
        <w:rPr>
          <w:rFonts w:ascii="Times New Roman;Times;serif" w:hAnsi="Times New Roman;Times;serif"/>
          <w:sz w:val="17"/>
        </w:rPr>
        <w:t xml:space="preserve">(iii) since December 31, 2005, no Seller Material Adverse Effect shall have occurred and be continuing; </w:t>
      </w:r>
    </w:p>
    <w:p>
      <w:pPr>
        <w:pStyle w:val="TextBody"/>
        <w:spacing w:before="120" w:after="283"/>
        <w:jc w:val="left"/>
        <w:rPr/>
      </w:pPr>
      <w:r>
        <w:rPr/>
        <w:t>     </w:t>
      </w:r>
      <w:r>
        <w:rPr>
          <w:rFonts w:ascii="Times New Roman;Times;serif" w:hAnsi="Times New Roman;Times;serif"/>
          <w:sz w:val="17"/>
        </w:rPr>
        <w:t xml:space="preserve">(iv) Seller shall have delivered, or caused to be delivered, to the Purchasers at the Closing, Sellers closing deliveries described in Section 5.3 of this Agreement; and </w:t>
      </w:r>
    </w:p>
    <w:p>
      <w:pPr>
        <w:pStyle w:val="TextBody"/>
        <w:spacing w:before="120" w:after="283"/>
        <w:jc w:val="left"/>
        <w:rPr/>
      </w:pPr>
      <w:r>
        <w:rPr/>
        <w:t>     </w:t>
      </w:r>
      <w:r>
        <w:rPr>
          <w:rFonts w:ascii="Times New Roman;Times;serif" w:hAnsi="Times New Roman;Times;serif"/>
          <w:sz w:val="17"/>
        </w:rPr>
        <w:t xml:space="preserve">(v) Seller shall have filed with the Commission a prospectus supplement to the Prospectus related to the purchase and sale of the Purchased Units. </w:t>
      </w:r>
    </w:p>
    <w:p>
      <w:pPr>
        <w:pStyle w:val="TextBody"/>
        <w:spacing w:before="120" w:after="283"/>
        <w:jc w:val="left"/>
        <w:rPr/>
      </w:pPr>
      <w:r>
        <w:rPr/>
        <w:t>     </w:t>
      </w:r>
      <w:r>
        <w:rPr>
          <w:rFonts w:ascii="Times New Roman;Times;serif" w:hAnsi="Times New Roman;Times;serif"/>
          <w:sz w:val="17"/>
        </w:rPr>
        <w:t xml:space="preserve">(c) </w:t>
      </w:r>
      <w:r>
        <w:rPr>
          <w:rFonts w:ascii="Times New Roman;Times;serif" w:hAnsi="Times New Roman;Times;serif"/>
          <w:sz w:val="17"/>
          <w:u w:val="single"/>
        </w:rPr>
        <w:t>Sellers Conditions</w:t>
      </w:r>
      <w:r>
        <w:rPr>
          <w:rFonts w:ascii="Times New Roman;Times;serif" w:hAnsi="Times New Roman;Times;serif"/>
          <w:sz w:val="17"/>
        </w:rPr>
        <w:t xml:space="preserve">. The obligation of Seller to consummate the sale of the Purchased Units to each of the Purchasers shall be subject to the satisfaction on or prior to the Closing Date of each of the following conditions with respect to each Purchaser individually and not the Purchasers jointly (any or all of which may be waived by Seller in writing, in whole or in part, to the extent permitted by applicable law): </w:t>
      </w:r>
    </w:p>
    <w:p>
      <w:pPr>
        <w:pStyle w:val="TextBody"/>
        <w:spacing w:before="120" w:after="283"/>
        <w:jc w:val="left"/>
        <w:rPr/>
      </w:pPr>
      <w:r>
        <w:rPr/>
        <w:t>     </w:t>
      </w:r>
      <w:r>
        <w:rPr>
          <w:rFonts w:ascii="Times New Roman;Times;serif" w:hAnsi="Times New Roman;Times;serif"/>
          <w:sz w:val="17"/>
        </w:rPr>
        <w:t xml:space="preserve">(i) such Purchaser shall have performed and complied with the covenants and agreements contained in this Agreement that are required to be performed and complied with by that Purchaser on or prior to the Closing Date; </w:t>
      </w:r>
    </w:p>
    <w:p>
      <w:pPr>
        <w:pStyle w:val="TextBody"/>
        <w:spacing w:before="120" w:after="283"/>
        <w:jc w:val="left"/>
        <w:rPr/>
      </w:pPr>
      <w:r>
        <w:rPr/>
        <w:t>     </w:t>
      </w:r>
      <w:r>
        <w:rPr>
          <w:rFonts w:ascii="Times New Roman;Times;serif" w:hAnsi="Times New Roman;Times;serif"/>
          <w:sz w:val="17"/>
        </w:rPr>
        <w:t xml:space="preserve">(ii) the representations and warranties of such Purchaser contained in this Agreement that are qualified by materiality or Purchaser Material Adverse </w:t>
      </w:r>
    </w:p>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Effect shall be true and correct when made and as of the Closing Date and all other representations and warranties of such Purchaser contained in this Agreement shall be true and correct in all material respects when made and as of the Closing Date, in each case as though made at and as of the Closing Date (except that representations and warranties made as of a specific date shall be required to be true and correct as of such date only); </w:t>
      </w:r>
    </w:p>
    <w:p>
      <w:pPr>
        <w:pStyle w:val="TextBody"/>
        <w:spacing w:before="120" w:after="283"/>
        <w:jc w:val="left"/>
        <w:rPr/>
      </w:pPr>
      <w:r>
        <w:rPr/>
        <w:t>     </w:t>
      </w:r>
      <w:r>
        <w:rPr>
          <w:rFonts w:ascii="Times New Roman;Times;serif" w:hAnsi="Times New Roman;Times;serif"/>
          <w:sz w:val="17"/>
        </w:rPr>
        <w:t xml:space="preserve">(iii) since the date of this Agreement, no Purchaser Material Adverse Effect shall have occurred and be continuing; and </w:t>
      </w:r>
    </w:p>
    <w:p>
      <w:pPr>
        <w:pStyle w:val="TextBody"/>
        <w:spacing w:before="120" w:after="283"/>
        <w:jc w:val="left"/>
        <w:rPr/>
      </w:pPr>
      <w:r>
        <w:rPr/>
        <w:t>     </w:t>
      </w:r>
      <w:r>
        <w:rPr>
          <w:rFonts w:ascii="Times New Roman;Times;serif" w:hAnsi="Times New Roman;Times;serif"/>
          <w:sz w:val="17"/>
        </w:rPr>
        <w:t xml:space="preserve">(iv) such Purchaser shall have delivered, or caused to be delivered, to Seller at the Closing, such Purchasers closing deliveries described in Section 5.4 of this Agreement. </w:t>
      </w:r>
    </w:p>
    <w:p>
      <w:pPr>
        <w:pStyle w:val="TextBody"/>
        <w:spacing w:before="120" w:after="283"/>
        <w:jc w:val="left"/>
        <w:rPr/>
      </w:pPr>
      <w:r>
        <w:rPr/>
        <w:t>     </w:t>
      </w:r>
      <w:r>
        <w:rPr>
          <w:rFonts w:ascii="Times New Roman;Times;serif" w:hAnsi="Times New Roman;Times;serif"/>
          <w:sz w:val="17"/>
        </w:rPr>
        <w:t xml:space="preserve">Section 5.2 </w:t>
      </w:r>
      <w:r>
        <w:rPr>
          <w:rFonts w:ascii="Times New Roman;Times;serif" w:hAnsi="Times New Roman;Times;serif"/>
          <w:sz w:val="17"/>
          <w:u w:val="single"/>
        </w:rPr>
        <w:t>Termination</w:t>
      </w:r>
      <w:r>
        <w:rPr>
          <w:rFonts w:ascii="Times New Roman;Times;serif" w:hAnsi="Times New Roman;Times;serif"/>
          <w:sz w:val="17"/>
        </w:rPr>
        <w:t xml:space="preserve">. In the event that any condition to a Partys obligation to close specified in Section 5.1 is not satisfied or waived on the Closing Date, such Party may terminate this Agreement upon written notice to the other Party. In the event of any termination of this Agreement, this Agreement shall forthwith become null and void. In the event of such termination, there shall be no liability on the part of any Party hereto; provided that nothing herein shall relieve any Party from any liability or obligation with respect to any willful breach of this Agreement. Notwithstanding the foregoing, any termination of this Agreement by any Purchaser shall not serve to terminate this Agreement as between any Purchaser not so terminating and Seller. </w:t>
      </w:r>
    </w:p>
    <w:p>
      <w:pPr>
        <w:pStyle w:val="TextBody"/>
        <w:spacing w:before="120" w:after="283"/>
        <w:jc w:val="left"/>
        <w:rPr/>
      </w:pPr>
      <w:r>
        <w:rPr/>
        <w:t>     </w:t>
      </w:r>
      <w:r>
        <w:rPr>
          <w:rFonts w:ascii="Times New Roman;Times;serif" w:hAnsi="Times New Roman;Times;serif"/>
          <w:sz w:val="17"/>
        </w:rPr>
        <w:t xml:space="preserve">Section 5.3 </w:t>
      </w:r>
      <w:r>
        <w:rPr>
          <w:rFonts w:ascii="Times New Roman;Times;serif" w:hAnsi="Times New Roman;Times;serif"/>
          <w:sz w:val="17"/>
          <w:u w:val="single"/>
        </w:rPr>
        <w:t>Seller Deliveries</w:t>
      </w:r>
      <w:r>
        <w:rPr>
          <w:rFonts w:ascii="Times New Roman;Times;serif" w:hAnsi="Times New Roman;Times;serif"/>
          <w:sz w:val="17"/>
        </w:rPr>
        <w:t xml:space="preserve">. At the Closing, subject to the terms and conditions of this Agreement, Seller will deliver, or cause to be delivered, to the Purchasers: </w:t>
      </w:r>
    </w:p>
    <w:p>
      <w:pPr>
        <w:pStyle w:val="TextBody"/>
        <w:spacing w:before="120" w:after="283"/>
        <w:jc w:val="left"/>
        <w:rPr/>
      </w:pPr>
      <w:r>
        <w:rPr/>
        <w:t>     </w:t>
      </w:r>
      <w:r>
        <w:rPr>
          <w:rFonts w:ascii="Times New Roman;Times;serif" w:hAnsi="Times New Roman;Times;serif"/>
          <w:sz w:val="17"/>
        </w:rPr>
        <w:t xml:space="preserve">(a) the applicable Purchased Units, which Seller shall cause to be electronically delivered to The Depository Trust Company on each Purchasers behalf, registered in such name(s) as such Purchaser shall, with reasonable notice, have designated, all free and clear of any liens, encumbrances or interests of any other Person; and </w:t>
      </w:r>
    </w:p>
    <w:p>
      <w:pPr>
        <w:pStyle w:val="TextBody"/>
        <w:spacing w:before="120" w:after="283"/>
        <w:jc w:val="left"/>
        <w:rPr/>
      </w:pPr>
      <w:r>
        <w:rPr/>
        <w:t>     </w:t>
      </w:r>
      <w:r>
        <w:rPr>
          <w:rFonts w:ascii="Times New Roman;Times;serif" w:hAnsi="Times New Roman;Times;serif"/>
          <w:sz w:val="17"/>
        </w:rPr>
        <w:t xml:space="preserve">(b) an officers certificate in form reasonably satisfactory to the Purchasers attesting to the matters set forth in Section 5.1(b)(i), (ii) and (iii). </w:t>
      </w:r>
    </w:p>
    <w:p>
      <w:pPr>
        <w:pStyle w:val="TextBody"/>
        <w:spacing w:before="120" w:after="283"/>
        <w:jc w:val="left"/>
        <w:rPr/>
      </w:pPr>
      <w:r>
        <w:rPr/>
        <w:t>     </w:t>
      </w:r>
      <w:r>
        <w:rPr>
          <w:rFonts w:ascii="Times New Roman;Times;serif" w:hAnsi="Times New Roman;Times;serif"/>
          <w:sz w:val="17"/>
        </w:rPr>
        <w:t xml:space="preserve">Section 5.4 </w:t>
      </w:r>
      <w:r>
        <w:rPr>
          <w:rFonts w:ascii="Times New Roman;Times;serif" w:hAnsi="Times New Roman;Times;serif"/>
          <w:sz w:val="17"/>
          <w:u w:val="single"/>
        </w:rPr>
        <w:t>Purchaser Deliveries</w:t>
      </w:r>
      <w:r>
        <w:rPr>
          <w:rFonts w:ascii="Times New Roman;Times;serif" w:hAnsi="Times New Roman;Times;serif"/>
          <w:sz w:val="17"/>
        </w:rPr>
        <w:t xml:space="preserve">. At the Closing, subject to the terms and conditions of this Agreement, each Purchaser will deliver, or cause to be delivered, to Seller: </w:t>
      </w:r>
    </w:p>
    <w:p>
      <w:pPr>
        <w:pStyle w:val="TextBody"/>
        <w:spacing w:before="120" w:after="283"/>
        <w:jc w:val="left"/>
        <w:rPr/>
      </w:pPr>
      <w:r>
        <w:rPr/>
        <w:t>     </w:t>
      </w:r>
      <w:r>
        <w:rPr>
          <w:rFonts w:ascii="Times New Roman;Times;serif" w:hAnsi="Times New Roman;Times;serif"/>
          <w:sz w:val="17"/>
        </w:rPr>
        <w:t xml:space="preserve">(a) payment to Seller of the amount of the applicable Purchase Price set forth opposite such Purchasers name on Schedule 2.1 to this Agreement for the applicable Purchased Units by wire transfer of immediately available funds to an account designated by Seller in writing at least two (2) Business Days (or such shorter period as shall be agreeable to the applicable Parties) prior to the Closing; </w:t>
      </w:r>
    </w:p>
    <w:p>
      <w:pPr>
        <w:pStyle w:val="TextBody"/>
        <w:spacing w:before="120" w:after="283"/>
        <w:jc w:val="left"/>
        <w:rPr/>
      </w:pPr>
      <w:r>
        <w:rPr/>
        <w:t>     </w:t>
      </w:r>
      <w:r>
        <w:rPr>
          <w:rFonts w:ascii="Times New Roman;Times;serif" w:hAnsi="Times New Roman;Times;serif"/>
          <w:sz w:val="17"/>
        </w:rPr>
        <w:t xml:space="preserve">(b) an officers certificate in form reasonably acceptable to Seller attesting to the matters set forth in Section 5.1(c)(i), (ii) and (iii); and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(c) with respect to any Purchaser effecting a total return swap, Seller shall have received a letter from such Purchaser regarding certain tax withholding matters in form reasonably acceptable to Seller.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w:t>
        <w:br/>
        <w:t>INDEMNIFICATION</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6.1 </w:t>
      </w:r>
      <w:r>
        <w:rPr>
          <w:rFonts w:ascii="Times New Roman;Times;serif" w:hAnsi="Times New Roman;Times;serif"/>
          <w:sz w:val="17"/>
          <w:u w:val="single"/>
        </w:rPr>
        <w:t>Indemnification by Seller</w:t>
      </w:r>
      <w:r>
        <w:rPr>
          <w:rFonts w:ascii="Times New Roman;Times;serif" w:hAnsi="Times New Roman;Times;serif"/>
          <w:sz w:val="17"/>
        </w:rPr>
        <w:t>. Seller agrees to indemnify each Purchaser and its Affiliates and each of their respective officers, directors, employees and agents (collectively, </w:t>
      </w:r>
      <w:r>
        <w:rPr>
          <w:rFonts w:ascii="Times New Roman;Times;serif" w:hAnsi="Times New Roman;Times;serif"/>
          <w:sz w:val="17"/>
          <w:u w:val="single"/>
        </w:rPr>
        <w:t>Purchaser Related Parties</w:t>
      </w:r>
      <w:r>
        <w:rPr>
          <w:rFonts w:ascii="Times New Roman;Times;serif" w:hAnsi="Times New Roman;Times;serif"/>
          <w:sz w:val="17"/>
        </w:rPr>
        <w:t xml:space="preserve">)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that may be incurred by them or asserted against or involve any of them as a result of, arising out of, or in any way related to the breach of any of the representations, warranties or covenants of Seller contained herein, provided such claim for indemnification relating to a breach of a representation or warranty is made prior to the expiration of such representation or warranty. Furthermore, Seller agrees that it will indemnify and hold harmless each Purchaser and Purchaser Related Parties from and against any and all claims, demands or liabilities for brokers, finders, placement or other similar fees or commissions incurred by Seller or alleged to have been incurred by Seller in connection with the sale of any of the Purchased Units or the consummation of the transactions contemplated by this Agreement. </w:t>
      </w:r>
    </w:p>
    <w:p>
      <w:pPr>
        <w:pStyle w:val="TextBody"/>
        <w:spacing w:before="120" w:after="283"/>
        <w:jc w:val="left"/>
        <w:rPr/>
      </w:pPr>
      <w:r>
        <w:rPr/>
        <w:t>     </w:t>
      </w:r>
      <w:r>
        <w:rPr>
          <w:rFonts w:ascii="Times New Roman;Times;serif" w:hAnsi="Times New Roman;Times;serif"/>
          <w:sz w:val="17"/>
        </w:rPr>
        <w:t xml:space="preserve">Section 6.2 </w:t>
      </w:r>
      <w:r>
        <w:rPr>
          <w:rFonts w:ascii="Times New Roman;Times;serif" w:hAnsi="Times New Roman;Times;serif"/>
          <w:sz w:val="17"/>
          <w:u w:val="single"/>
        </w:rPr>
        <w:t>Indemnification by Purchasers</w:t>
      </w:r>
      <w:r>
        <w:rPr>
          <w:rFonts w:ascii="Times New Roman;Times;serif" w:hAnsi="Times New Roman;Times;serif"/>
          <w:sz w:val="17"/>
        </w:rPr>
        <w:t>. Each Purchaser agrees, severally and not jointly, to indemnify Seller and its officers, directors, employees and agents (collectively, </w:t>
      </w:r>
      <w:r>
        <w:rPr>
          <w:rFonts w:ascii="Times New Roman;Times;serif" w:hAnsi="Times New Roman;Times;serif"/>
          <w:sz w:val="17"/>
          <w:u w:val="single"/>
        </w:rPr>
        <w:t>Seller Related Parties</w:t>
      </w:r>
      <w:r>
        <w:rPr>
          <w:rFonts w:ascii="Times New Roman;Times;serif" w:hAnsi="Times New Roman;Times;serif"/>
          <w:sz w:val="17"/>
        </w:rPr>
        <w:t xml:space="preserve">) from, and hold each of them harmless against any and all actions, suits, proceedings (including any investigations, litigation, or inquiries), demands, and causes of action, and, in connection therewith, and promptly upon demand, pay or reimburse each of them for all reasonable costs, losses, liabilities, damages, or expenses of any kind or nature whatsoever, including, without limitation, the reasonable fees and disbursements of counsel and all other reasonable expenses incurred in connection with investigating, defending or preparing to defend any such matter to the extent that it may be incurred by them or asserted against or involve any of them as a result of, arising out of, or in any way related to the breach of any of the representations, warranties or covenants of Purchaser contained herein, provided such claim for indemnification relating to a breach of a representation or warranty is made prior to the expiration of such representation or warranty. Furthermore, each Purchaser agrees, severally and not jointly, that it will indemnify and hold harmless Seller and Seller Related Parties from and against any and all claims, demands or liabilities for brokers, finders, placement or other similar fees or commissions incurred by such Purchaser or alleged to have been incurred by such Purchaser in connection with the purchase of any of the Purchased Units or the consummation of the transactions contemplated by this Agreement. </w:t>
      </w:r>
    </w:p>
    <w:p>
      <w:pPr>
        <w:pStyle w:val="TextBody"/>
        <w:spacing w:before="120" w:after="283"/>
        <w:jc w:val="left"/>
        <w:rPr/>
      </w:pPr>
      <w:r>
        <w:rPr/>
        <w:t>     </w:t>
      </w:r>
      <w:r>
        <w:rPr>
          <w:rFonts w:ascii="Times New Roman;Times;serif" w:hAnsi="Times New Roman;Times;serif"/>
          <w:sz w:val="17"/>
        </w:rPr>
        <w:t xml:space="preserve">Section 6.3 </w:t>
      </w:r>
      <w:r>
        <w:rPr>
          <w:rFonts w:ascii="Times New Roman;Times;serif" w:hAnsi="Times New Roman;Times;serif"/>
          <w:sz w:val="17"/>
          <w:u w:val="single"/>
        </w:rPr>
        <w:t>Indemnification Procedures</w:t>
      </w:r>
      <w:r>
        <w:rPr>
          <w:rFonts w:ascii="Times New Roman;Times;serif" w:hAnsi="Times New Roman;Times;serif"/>
          <w:sz w:val="17"/>
        </w:rPr>
        <w:t>. Promptly after any Seller Related Party or Purchaser Related Party (hereinafter, the </w:t>
      </w:r>
      <w:r>
        <w:rPr>
          <w:rFonts w:ascii="Times New Roman;Times;serif" w:hAnsi="Times New Roman;Times;serif"/>
          <w:sz w:val="17"/>
          <w:u w:val="single"/>
        </w:rPr>
        <w:t>Indemnified Party</w:t>
      </w:r>
      <w:r>
        <w:rPr>
          <w:rFonts w:ascii="Times New Roman;Times;serif" w:hAnsi="Times New Roman;Times;serif"/>
          <w:sz w:val="17"/>
        </w:rPr>
        <w:t xml:space="preserve">) has received notice of any </w:t>
      </w:r>
    </w:p>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indemnifiable claim hereunder, or the commencement of any Action or proceeding by a third person, which the Indemnified Party believes in good faith is an indemnifiable claim under this Agreement, the Indemnified Party shall give the indemnitor hereunder (the </w:t>
      </w:r>
      <w:r>
        <w:rPr>
          <w:rFonts w:ascii="Times New Roman;Times;serif" w:hAnsi="Times New Roman;Times;serif"/>
          <w:sz w:val="17"/>
          <w:u w:val="single"/>
        </w:rPr>
        <w:t>Indemnifying Party</w:t>
      </w:r>
      <w:r>
        <w:rPr>
          <w:rFonts w:ascii="Times New Roman;Times;serif" w:hAnsi="Times New Roman;Times;serif"/>
          <w:sz w:val="17"/>
        </w:rPr>
        <w:t xml:space="preserve">) written notice of such claim or the commencement of such Action or proceeding, but failure to so notify the Indemnifying Party will not relieve the Indemnifying Party from any liability it may have to such Indemnified Party hereunder except to the extent that the Indemnifying Party is materially prejudiced by such failure. Such notice shall state the nature and the basis of such claim to the extent then known. The Indemnifying Party shall have the right to defend and settle, at its own expense and by its own counsel, any such matter as long as the Indemnifying Party pursues the same diligently and in good faith. If the Indemnifying Party undertakes to defend or settle, it shall promptly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w:t>
      </w:r>
      <w:r>
        <w:rPr>
          <w:rFonts w:ascii="Times New Roman;Times;serif" w:hAnsi="Times New Roman;Times;serif"/>
          <w:i/>
          <w:sz w:val="17"/>
        </w:rPr>
        <w:t>provided, however</w:t>
      </w:r>
      <w:r>
        <w:rPr>
          <w:rFonts w:ascii="Times New Roman;Times;serif" w:hAnsi="Times New Roman;Times;serif"/>
          <w:sz w:val="17"/>
        </w:rPr>
        <w:t xml:space="preserve">, that the Indemnified Party shall be entitled (a) at its expense, to participate in the defense of such asserted liability and the negotiations of the settlement thereof and (b) if (i) the Indemnifying Party has failed to assume the defense and employ counsel or (ii)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the Indemnified Party. </w:t>
      </w:r>
    </w:p>
    <w:p>
      <w:pPr>
        <w:pStyle w:val="TextBody"/>
        <w:spacing w:before="120" w:after="283"/>
        <w:jc w:val="left"/>
        <w:rPr/>
      </w:pPr>
      <w:r>
        <w:rPr/>
        <w:t>     </w:t>
      </w:r>
      <w:r>
        <w:rPr>
          <w:rFonts w:ascii="Times New Roman;Times;serif" w:hAnsi="Times New Roman;Times;serif"/>
          <w:sz w:val="17"/>
        </w:rPr>
        <w:t xml:space="preserve">Section 6.4 </w:t>
      </w:r>
      <w:r>
        <w:rPr>
          <w:rFonts w:ascii="Times New Roman;Times;serif" w:hAnsi="Times New Roman;Times;serif"/>
          <w:sz w:val="17"/>
          <w:u w:val="single"/>
        </w:rPr>
        <w:t>Survival</w:t>
      </w:r>
      <w:r>
        <w:rPr>
          <w:rFonts w:ascii="Times New Roman;Times;serif" w:hAnsi="Times New Roman;Times;serif"/>
          <w:sz w:val="17"/>
        </w:rPr>
        <w:t xml:space="preserve">. The Parties obligations under this Article VI shall only become operative following the Closing Date and shall not survive any termination of this Agreement pursuant to Section 5.2.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ARTICLE VII.</w:t>
        <w:br/>
        <w:t>MISCELLANEOUS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Section 7.1 </w:t>
      </w:r>
      <w:r>
        <w:rPr>
          <w:rFonts w:ascii="Times New Roman;Times;serif" w:hAnsi="Times New Roman;Times;serif"/>
          <w:sz w:val="17"/>
          <w:u w:val="single"/>
        </w:rPr>
        <w:t>Purchaser Lock-Up</w:t>
      </w:r>
      <w:r>
        <w:rPr>
          <w:rFonts w:ascii="Times New Roman;Times;serif" w:hAnsi="Times New Roman;Times;serif"/>
          <w:sz w:val="17"/>
        </w:rPr>
        <w:t xml:space="preserve">. Except as provided in this Agreement, no Purchaser will offer, sell, contract to sell, pledge or otherwise dispose of (or enter into any transaction which is designed to, or might reasonably be expected to, result in the disposition (whether by actual disposition or effective economic disposition due to cash settlement or otherwise)), </w:t>
      </w:r>
    </w:p>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Purchased Units, or publicly announce an intention to effect any such transaction in respect of any Purchased Units, for a period of 90 days after the Closing Date; </w:t>
      </w:r>
      <w:r>
        <w:rPr>
          <w:rFonts w:ascii="Times New Roman;Times;serif" w:hAnsi="Times New Roman;Times;serif"/>
          <w:i/>
          <w:sz w:val="17"/>
        </w:rPr>
        <w:t>provided</w:t>
      </w:r>
      <w:r>
        <w:rPr>
          <w:rFonts w:ascii="Times New Roman;Times;serif" w:hAnsi="Times New Roman;Times;serif"/>
          <w:sz w:val="17"/>
        </w:rPr>
        <w:t xml:space="preserve">, </w:t>
      </w:r>
      <w:r>
        <w:rPr>
          <w:rFonts w:ascii="Times New Roman;Times;serif" w:hAnsi="Times New Roman;Times;serif"/>
          <w:i/>
          <w:sz w:val="17"/>
        </w:rPr>
        <w:t>however</w:t>
      </w:r>
      <w:r>
        <w:rPr>
          <w:rFonts w:ascii="Times New Roman;Times;serif" w:hAnsi="Times New Roman;Times;serif"/>
          <w:sz w:val="17"/>
        </w:rPr>
        <w:t xml:space="preserve">, that any Purchaser may enter into a total return swap or similar transaction with respect to the Purchased Units purchased by such Purchaser so long as the swap counterparty agrees to be bound by the terms of this Section 7.1. </w:t>
      </w:r>
    </w:p>
    <w:p>
      <w:pPr>
        <w:pStyle w:val="TextBody"/>
        <w:spacing w:before="120" w:after="283"/>
        <w:jc w:val="left"/>
        <w:rPr/>
      </w:pPr>
      <w:r>
        <w:rPr/>
        <w:t>     </w:t>
      </w:r>
      <w:r>
        <w:rPr>
          <w:rFonts w:ascii="Times New Roman;Times;serif" w:hAnsi="Times New Roman;Times;serif"/>
          <w:sz w:val="17"/>
        </w:rPr>
        <w:t xml:space="preserve">Section 7.2 </w:t>
      </w:r>
      <w:r>
        <w:rPr>
          <w:rFonts w:ascii="Times New Roman;Times;serif" w:hAnsi="Times New Roman;Times;serif"/>
          <w:sz w:val="17"/>
          <w:u w:val="single"/>
        </w:rPr>
        <w:t>Interpretation of Provisions</w:t>
      </w:r>
      <w:r>
        <w:rPr>
          <w:rFonts w:ascii="Times New Roman;Times;serif" w:hAnsi="Times New Roman;Times;serif"/>
          <w:sz w:val="17"/>
        </w:rPr>
        <w:t xml:space="preserve">. Article, Section and Schedule references are to this Agreement, unless otherwise specified.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Whenever a Party has an obligation under this Agreement, the expense of complying with that obligation shall be an expense of such Party unless otherwise specified. Whenever any determination, consent, or approval is to be made or given by a Party, such action shall be in such Partys sole discretion unless otherwise specified in this Agreement. If any provision in this Agreement is held to be illegal, invalid, not binding, or unenforceable, such provision shall be fully severable and this Agreement shall be construed and enforced as if such illegal, invalid, not binding, or unenforceable provision had never comprised a part of this Agreement, and the remaining provisions shall remain in full force and effect. This Agreement has been reviewed and negotiated by sophisticated parties with access to legal counsel and shall not be construed against the drafter. </w:t>
      </w:r>
    </w:p>
    <w:p>
      <w:pPr>
        <w:pStyle w:val="TextBody"/>
        <w:spacing w:before="120" w:after="283"/>
        <w:jc w:val="left"/>
        <w:rPr/>
      </w:pPr>
      <w:r>
        <w:rPr/>
        <w:t>     </w:t>
      </w:r>
      <w:r>
        <w:rPr>
          <w:rFonts w:ascii="Times New Roman;Times;serif" w:hAnsi="Times New Roman;Times;serif"/>
          <w:sz w:val="17"/>
        </w:rPr>
        <w:t xml:space="preserve">Section 7.3 </w:t>
      </w:r>
      <w:r>
        <w:rPr>
          <w:rFonts w:ascii="Times New Roman;Times;serif" w:hAnsi="Times New Roman;Times;serif"/>
          <w:sz w:val="17"/>
          <w:u w:val="single"/>
        </w:rPr>
        <w:t>Survival</w:t>
      </w:r>
      <w:r>
        <w:rPr>
          <w:rFonts w:ascii="Times New Roman;Times;serif" w:hAnsi="Times New Roman;Times;serif"/>
          <w:sz w:val="17"/>
        </w:rPr>
        <w:t xml:space="preserve">. The representations and warranties set forth in Section 3.2, Section 3.3, Section 3.10, Section 3.11, Section 3.12, Section 4.5 and Section 4.6 hereunder shall survive indefinitely, and the other representations and warranties set forth herein shall survive for a period of twelve (12) months, in each case, following the Closing Date regardless of any investigation made by or on behalf of Seller or the Purchasers. The covenants made in this Agreement shall survive the Closing of the transactions described herein and remain operative and in full force and effect regardless of acceptance of any of the Purchased Units and payment therefor. </w:t>
      </w:r>
    </w:p>
    <w:p>
      <w:pPr>
        <w:pStyle w:val="TextBody"/>
        <w:spacing w:before="120" w:after="283"/>
        <w:jc w:val="left"/>
        <w:rPr/>
      </w:pPr>
      <w:r>
        <w:rPr/>
        <w:t>     </w:t>
      </w:r>
      <w:r>
        <w:rPr>
          <w:rFonts w:ascii="Times New Roman;Times;serif" w:hAnsi="Times New Roman;Times;serif"/>
          <w:sz w:val="17"/>
        </w:rPr>
        <w:t xml:space="preserve">Section 7.4 </w:t>
      </w:r>
      <w:r>
        <w:rPr>
          <w:rFonts w:ascii="Times New Roman;Times;serif" w:hAnsi="Times New Roman;Times;serif"/>
          <w:sz w:val="17"/>
          <w:u w:val="single"/>
        </w:rPr>
        <w:t>No Waiver; Modifications in Writing</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Delay</w:t>
      </w:r>
      <w:r>
        <w:rPr>
          <w:rFonts w:ascii="Times New Roman;Times;serif" w:hAnsi="Times New Roman;Times;serif"/>
          <w:sz w:val="17"/>
        </w:rPr>
        <w:t xml:space="preserve">.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Specific Waiver</w:t>
      </w:r>
      <w:r>
        <w:rPr>
          <w:rFonts w:ascii="Times New Roman;Times;serif" w:hAnsi="Times New Roman;Times;serif"/>
          <w:sz w:val="17"/>
        </w:rPr>
        <w:t xml:space="preserve">. Except as otherwise provided herein, no amendment, waiver, consent, modification or termination of any provision of this Agreement shall be effective unless signed by each of the Parties hereto or thereto affected by such amendment, waiver, consent, modification or termination. Any amendment, supplement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 Except where notice is specifically required by this Agreement, no notice to or demand on a Party in any case shall entitle such Party to any other or further notice or demand in similar or other circumstances. </w:t>
      </w:r>
    </w:p>
    <w:p>
      <w:pPr>
        <w:pStyle w:val="TextBody"/>
        <w:spacing w:before="120" w:after="283"/>
        <w:jc w:val="left"/>
        <w:rPr/>
      </w:pPr>
      <w:r>
        <w:rPr/>
        <w:t>     </w:t>
      </w:r>
      <w:r>
        <w:rPr>
          <w:rFonts w:ascii="Times New Roman;Times;serif" w:hAnsi="Times New Roman;Times;serif"/>
          <w:sz w:val="17"/>
        </w:rPr>
        <w:t xml:space="preserve">Section 7.5 </w:t>
      </w:r>
      <w:r>
        <w:rPr>
          <w:rFonts w:ascii="Times New Roman;Times;serif" w:hAnsi="Times New Roman;Times;serif"/>
          <w:sz w:val="17"/>
          <w:u w:val="single"/>
        </w:rPr>
        <w:t>Binding Effect; Assignment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(a) </w:t>
      </w:r>
      <w:r>
        <w:rPr>
          <w:rFonts w:ascii="Times New Roman;Times;serif" w:hAnsi="Times New Roman;Times;serif"/>
          <w:sz w:val="17"/>
          <w:u w:val="single"/>
        </w:rPr>
        <w:t>Binding Effect</w:t>
      </w:r>
      <w:r>
        <w:rPr>
          <w:rFonts w:ascii="Times New Roman;Times;serif" w:hAnsi="Times New Roman;Times;serif"/>
          <w:sz w:val="17"/>
        </w:rPr>
        <w:t xml:space="preserve">. This Agreement shall be binding upon Seller,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 </w:t>
      </w:r>
    </w:p>
    <w:p>
      <w:pPr>
        <w:pStyle w:val="TextBody"/>
        <w:spacing w:before="120" w:after="283"/>
        <w:jc w:val="left"/>
        <w:rPr/>
      </w:pPr>
      <w:r>
        <w:rPr/>
        <w:t>     </w:t>
      </w:r>
      <w:r>
        <w:rPr>
          <w:rFonts w:ascii="Times New Roman;Times;serif" w:hAnsi="Times New Roman;Times;serif"/>
          <w:sz w:val="17"/>
        </w:rPr>
        <w:t xml:space="preserve">(b) </w:t>
      </w:r>
      <w:r>
        <w:rPr>
          <w:rFonts w:ascii="Times New Roman;Times;serif" w:hAnsi="Times New Roman;Times;serif"/>
          <w:sz w:val="17"/>
          <w:u w:val="single"/>
        </w:rPr>
        <w:t>Assignment of Rights</w:t>
      </w:r>
      <w:r>
        <w:rPr>
          <w:rFonts w:ascii="Times New Roman;Times;serif" w:hAnsi="Times New Roman;Times;serif"/>
          <w:sz w:val="17"/>
        </w:rPr>
        <w:t xml:space="preserve">. All or any portion of the rights and obligations of each Purchaser under this Agreement may not be transferred by such Purchaser without the written consent of Seller. </w:t>
      </w:r>
    </w:p>
    <w:p>
      <w:pPr>
        <w:pStyle w:val="TextBody"/>
        <w:spacing w:before="120" w:after="283"/>
        <w:jc w:val="left"/>
        <w:rPr/>
      </w:pPr>
      <w:r>
        <w:rPr/>
        <w:t>     </w:t>
      </w:r>
      <w:r>
        <w:rPr>
          <w:rFonts w:ascii="Times New Roman;Times;serif" w:hAnsi="Times New Roman;Times;serif"/>
          <w:sz w:val="17"/>
        </w:rPr>
        <w:t xml:space="preserve">(c) </w:t>
      </w:r>
      <w:r>
        <w:rPr>
          <w:rFonts w:ascii="Times New Roman;Times;serif" w:hAnsi="Times New Roman;Times;serif"/>
          <w:sz w:val="17"/>
          <w:u w:val="single"/>
        </w:rPr>
        <w:t>Total Return Swap</w:t>
      </w:r>
      <w:r>
        <w:rPr>
          <w:rFonts w:ascii="Times New Roman;Times;serif" w:hAnsi="Times New Roman;Times;serif"/>
          <w:sz w:val="17"/>
        </w:rPr>
        <w:t xml:space="preserve">. Notwithstanding the foregoing, Seller agrees that any Purchaser may enter into total return swaps or similar transactions with respect to the Purchased Units purchased by such Purchaser. </w:t>
      </w:r>
    </w:p>
    <w:p>
      <w:pPr>
        <w:pStyle w:val="TextBody"/>
        <w:spacing w:before="120" w:after="283"/>
        <w:jc w:val="left"/>
        <w:rPr/>
      </w:pPr>
      <w:r>
        <w:rPr/>
        <w:t>     </w:t>
      </w:r>
      <w:r>
        <w:rPr>
          <w:rFonts w:ascii="Times New Roman;Times;serif" w:hAnsi="Times New Roman;Times;serif"/>
          <w:sz w:val="17"/>
        </w:rPr>
        <w:t xml:space="preserve">Section 7.6 </w:t>
      </w:r>
      <w:r>
        <w:rPr>
          <w:rFonts w:ascii="Times New Roman;Times;serif" w:hAnsi="Times New Roman;Times;serif"/>
          <w:sz w:val="17"/>
          <w:u w:val="single"/>
        </w:rPr>
        <w:t>Confidentiality</w:t>
      </w:r>
      <w:r>
        <w:rPr>
          <w:rFonts w:ascii="Times New Roman;Times;serif" w:hAnsi="Times New Roman;Times;serif"/>
          <w:sz w:val="17"/>
        </w:rPr>
        <w:t xml:space="preserve">. Notwithstanding anything herein to the contrary, to the extent that any Purchaser has executed or is otherwise bound by a confidentiality agreement in favor of Seller as of the date hereof, such Purchaser shall continue to be bound by such confidentiality agreement in accordance with its terms. To the extent that any Purchaser has not executed or is not otherwise bound by a confidentiality agreement in favor of Seller as of the date hereof, and has actually received Confidential Information from Seller, such Purchaser will refrain, and will cause its Representatives to refrain, from disclosing to any other Person any Confidential Information; </w:t>
      </w:r>
      <w:r>
        <w:rPr>
          <w:rFonts w:ascii="Times New Roman;Times;serif" w:hAnsi="Times New Roman;Times;serif"/>
          <w:i/>
          <w:sz w:val="17"/>
        </w:rPr>
        <w:t>provided, however</w:t>
      </w:r>
      <w:r>
        <w:rPr>
          <w:rFonts w:ascii="Times New Roman;Times;serif" w:hAnsi="Times New Roman;Times;serif"/>
          <w:sz w:val="17"/>
        </w:rPr>
        <w:t xml:space="preserve">, that with respect to any Purchaser who has not executed and is not otherwise bound by a confidentiality agreement in favor of Seller as of the date hereof, Seller acknowledges that Seller has not provided such Purchaser any Confidential Information unless requested by such Purchaser. Disclosure of Confidential Information will not be deemed to be a breach of this Section 7.6 if such disclosure is made with the consent of Seller or pursuant to a subpoena or order issued by a court of competent jurisdiction or by a judicial, administrative or legislative body or committee; </w:t>
      </w:r>
      <w:r>
        <w:rPr>
          <w:rFonts w:ascii="Times New Roman;Times;serif" w:hAnsi="Times New Roman;Times;serif"/>
          <w:i/>
          <w:sz w:val="17"/>
        </w:rPr>
        <w:t>provided, however</w:t>
      </w:r>
      <w:r>
        <w:rPr>
          <w:rFonts w:ascii="Times New Roman;Times;serif" w:hAnsi="Times New Roman;Times;serif"/>
          <w:sz w:val="17"/>
        </w:rPr>
        <w:t xml:space="preserve">, that upon receipt by any Purchaser of any subpoena or order covering Confidential Information of Seller, such Purchaser will to the extent reasonably practicable promptly notify Seller of such subpoena or order. </w:t>
      </w:r>
    </w:p>
    <w:p>
      <w:pPr>
        <w:pStyle w:val="TextBody"/>
        <w:spacing w:before="120" w:after="283"/>
        <w:jc w:val="left"/>
        <w:rPr/>
      </w:pPr>
      <w:r>
        <w:rPr/>
        <w:t>     </w:t>
      </w:r>
      <w:r>
        <w:rPr>
          <w:rFonts w:ascii="Times New Roman;Times;serif" w:hAnsi="Times New Roman;Times;serif"/>
          <w:sz w:val="17"/>
        </w:rPr>
        <w:t xml:space="preserve">Section 7.7 </w:t>
      </w:r>
      <w:r>
        <w:rPr>
          <w:rFonts w:ascii="Times New Roman;Times;serif" w:hAnsi="Times New Roman;Times;serif"/>
          <w:sz w:val="17"/>
          <w:u w:val="single"/>
        </w:rPr>
        <w:t>Communications</w:t>
      </w:r>
      <w:r>
        <w:rPr>
          <w:rFonts w:ascii="Times New Roman;Times;serif" w:hAnsi="Times New Roman;Times;serif"/>
          <w:sz w:val="17"/>
        </w:rPr>
        <w:t xml:space="preserve">. All notices and communications provided for hereunder shall be in writing and shall be given by registered or certified mail, return receipt requested, regular mail, telecopy, air courier guaranteeing overnight delivery or personal delivery to the following addresses: </w:t>
      </w:r>
    </w:p>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(a) If to the Purchasers, to the addresses listed on the signature pages hereto, with a copy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Baker Botts L.L.P.</w:t>
        <w:br/>
        <w:t>910 Louisiana Street, Suite 3200</w:t>
        <w:br/>
        <w:t>Houston, Texas 77002</w:t>
        <w:br/>
        <w:t>Attention: Joshua Davidson</w:t>
        <w:br/>
        <w:t xml:space="preserve">Facsimile: (713) 229-2727 </w:t>
      </w:r>
    </w:p>
    <w:p>
      <w:pPr>
        <w:pStyle w:val="TextBody"/>
        <w:spacing w:before="120" w:after="283"/>
        <w:jc w:val="left"/>
        <w:rPr/>
      </w:pPr>
      <w:r>
        <w:rPr/>
        <w:t>          </w:t>
      </w:r>
      <w:r>
        <w:rPr>
          <w:rFonts w:ascii="Times New Roman;Times;serif" w:hAnsi="Times New Roman;Times;serif"/>
          <w:sz w:val="17"/>
        </w:rPr>
        <w:t xml:space="preserve">(b) If to Seller: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Plains All American Pipeline, L.P.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333 Clay Street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Houston, Texas 77002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Attention: Tim Moore </w:t>
      </w:r>
    </w:p>
    <w:p>
      <w:pPr>
        <w:pStyle w:val="TextBody"/>
        <w:spacing w:before="0" w:after="283"/>
        <w:jc w:val="left"/>
        <w:rPr>
          <w:rFonts w:ascii="Times New Roman;Times;serif" w:hAnsi="Times New Roman;Times;serif"/>
          <w:sz w:val="17"/>
        </w:rPr>
      </w:pPr>
      <w:r>
        <w:rPr>
          <w:rFonts w:ascii="Times New Roman;Times;serif" w:hAnsi="Times New Roman;Times;serif"/>
          <w:sz w:val="17"/>
        </w:rPr>
        <w:t xml:space="preserve">Facsimile: (713) 646-4313 </w:t>
      </w:r>
    </w:p>
    <w:p>
      <w:pPr>
        <w:pStyle w:val="TextBody"/>
        <w:spacing w:before="120" w:after="283"/>
        <w:jc w:val="left"/>
        <w:rPr/>
      </w:pPr>
      <w:r>
        <w:rPr/>
        <w:t>     </w:t>
      </w:r>
      <w:r>
        <w:rPr>
          <w:rFonts w:ascii="Times New Roman;Times;serif" w:hAnsi="Times New Roman;Times;serif"/>
          <w:sz w:val="17"/>
        </w:rPr>
        <w:t xml:space="preserve">with a copy 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Vinson &amp; Elkins L.L.P.</w:t>
        <w:br/>
        <w:t>1001 Fannin Street</w:t>
        <w:br/>
        <w:t>Suite 2300</w:t>
        <w:br/>
        <w:t>Houston, Texas 77002</w:t>
        <w:br/>
        <w:t>Attention: Alan Beck</w:t>
        <w:br/>
        <w:t xml:space="preserve">Facsimile: (713) 615-5861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or to such other address as Seller or any Purchaser may designate in writing. All notices and communications shall be deemed to have been duly given: at the time delivered by hand, if personally delivered; upon actual receipt if sent by registered or certified mail, return receipt requested, or regular mail, if mailed; when receipt acknowledged, if sent via telecopy; and upon actual receipt when delivered to an air courier guaranteeing overnight delivery. </w:t>
      </w:r>
    </w:p>
    <w:p>
      <w:pPr>
        <w:pStyle w:val="TextBody"/>
        <w:spacing w:before="120" w:after="283"/>
        <w:jc w:val="left"/>
        <w:rPr/>
      </w:pPr>
      <w:r>
        <w:rPr/>
        <w:t>     </w:t>
      </w:r>
      <w:r>
        <w:rPr>
          <w:rFonts w:ascii="Times New Roman;Times;serif" w:hAnsi="Times New Roman;Times;serif"/>
          <w:sz w:val="17"/>
        </w:rPr>
        <w:t xml:space="preserve">Section 7.8 </w:t>
      </w:r>
      <w:r>
        <w:rPr>
          <w:rFonts w:ascii="Times New Roman;Times;serif" w:hAnsi="Times New Roman;Times;serif"/>
          <w:sz w:val="17"/>
          <w:u w:val="single"/>
        </w:rPr>
        <w:t>Entire Agreement</w:t>
      </w:r>
      <w:r>
        <w:rPr>
          <w:rFonts w:ascii="Times New Roman;Times;serif" w:hAnsi="Times New Roman;Times;serif"/>
          <w:sz w:val="17"/>
        </w:rPr>
        <w:t xml:space="preserve">. Except with respect to the Registration Rights Agreement and any confidentiality agreements executed pursuant to Section 7.6, 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rights granted by Seller or any of its Affiliates or the Purchasers or any of their Affiliates set forth herein. This Agreement supersedes all prior agreements and understandings between the Parties with respect to such subject matter, including any term sheets and commitment letters. </w:t>
      </w:r>
    </w:p>
    <w:p>
      <w:pPr>
        <w:pStyle w:val="TextBody"/>
        <w:spacing w:before="120" w:after="283"/>
        <w:jc w:val="left"/>
        <w:rPr/>
      </w:pPr>
      <w:r>
        <w:rPr/>
        <w:t>     </w:t>
      </w:r>
      <w:r>
        <w:rPr>
          <w:rFonts w:ascii="Times New Roman;Times;serif" w:hAnsi="Times New Roman;Times;serif"/>
          <w:sz w:val="17"/>
        </w:rPr>
        <w:t xml:space="preserve">Section 7.9 </w:t>
      </w:r>
      <w:r>
        <w:rPr>
          <w:rFonts w:ascii="Times New Roman;Times;serif" w:hAnsi="Times New Roman;Times;serif"/>
          <w:sz w:val="17"/>
          <w:u w:val="single"/>
        </w:rPr>
        <w:t>Governing Law</w:t>
      </w:r>
      <w:r>
        <w:rPr>
          <w:rFonts w:ascii="Times New Roman;Times;serif" w:hAnsi="Times New Roman;Times;serif"/>
          <w:sz w:val="17"/>
        </w:rPr>
        <w:t xml:space="preserve">. This Agreement will be construed in accordance with and governed by the laws of the State of Texas without regard to principles of conflicts of laws. </w:t>
      </w:r>
    </w:p>
    <w:p>
      <w:pPr>
        <w:pStyle w:val="TextBody"/>
        <w:spacing w:before="120" w:after="283"/>
        <w:jc w:val="left"/>
        <w:rPr/>
      </w:pPr>
      <w:r>
        <w:rPr/>
        <w:t>     </w:t>
      </w:r>
      <w:r>
        <w:rPr>
          <w:rFonts w:ascii="Times New Roman;Times;serif" w:hAnsi="Times New Roman;Times;serif"/>
          <w:sz w:val="17"/>
        </w:rPr>
        <w:t xml:space="preserve">Section 7.10 </w:t>
      </w:r>
      <w:r>
        <w:rPr>
          <w:rFonts w:ascii="Times New Roman;Times;serif" w:hAnsi="Times New Roman;Times;serif"/>
          <w:sz w:val="17"/>
          <w:u w:val="single"/>
        </w:rPr>
        <w:t>Execution in Counterparts</w:t>
      </w:r>
      <w:r>
        <w:rPr>
          <w:rFonts w:ascii="Times New Roman;Times;serif" w:hAnsi="Times New Roman;Times;serif"/>
          <w:sz w:val="17"/>
        </w:rPr>
        <w:t xml:space="preserve">. This Agreement may be executed in any number of counterparts and by different Parties hereto in separate counterparts, each of which </w:t>
      </w:r>
    </w:p>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counterparts, when so executed and delivered, shall be deemed to be an original and all of which counterparts, taken together, shall constitute but one and the same Agreement. </w:t>
      </w:r>
    </w:p>
    <w:p>
      <w:pPr>
        <w:pStyle w:val="TextBody"/>
        <w:spacing w:before="120" w:after="283"/>
        <w:jc w:val="left"/>
        <w:rPr/>
      </w:pPr>
      <w:r>
        <w:rPr/>
        <w:t>     </w:t>
      </w:r>
      <w:r>
        <w:rPr>
          <w:rFonts w:ascii="Times New Roman;Times;serif" w:hAnsi="Times New Roman;Times;serif"/>
          <w:sz w:val="17"/>
        </w:rPr>
        <w:t xml:space="preserve">Section 7.11 </w:t>
      </w:r>
      <w:r>
        <w:rPr>
          <w:rFonts w:ascii="Times New Roman;Times;serif" w:hAnsi="Times New Roman;Times;serif"/>
          <w:sz w:val="17"/>
          <w:u w:val="single"/>
        </w:rPr>
        <w:t>Costs and Expenses</w:t>
      </w:r>
      <w:r>
        <w:rPr>
          <w:rFonts w:ascii="Times New Roman;Times;serif" w:hAnsi="Times New Roman;Times;serif"/>
          <w:sz w:val="17"/>
        </w:rPr>
        <w:t>. Each Party shall be responsible for such Partys own expenses in connection with this Agreement and the transactions contemplated hereby, except that Seller will reimburse the Purchasers for up to $25,000 of legal fees incurred by Baker Botts L.L.P. (</w:t>
      </w:r>
      <w:r>
        <w:rPr>
          <w:rFonts w:ascii="Times New Roman;Times;serif" w:hAnsi="Times New Roman;Times;serif"/>
          <w:sz w:val="17"/>
          <w:u w:val="single"/>
        </w:rPr>
        <w:t>Baker Botts Legal Fees</w:t>
      </w:r>
      <w:r>
        <w:rPr>
          <w:rFonts w:ascii="Times New Roman;Times;serif" w:hAnsi="Times New Roman;Times;serif"/>
          <w:sz w:val="17"/>
        </w:rPr>
        <w:t xml:space="preserve">). Any Baker Botts Legal Fees in excess of $25,000 shall be paid pro rata by the Purchasers in proportion to the aggregate number of Purchased Units set forth opposite the names of such Purchasers on Schedule 2.1. </w:t>
      </w:r>
    </w:p>
    <w:p>
      <w:pPr>
        <w:pStyle w:val="TextBody"/>
        <w:spacing w:before="120" w:after="283"/>
        <w:jc w:val="left"/>
        <w:rPr/>
      </w:pPr>
      <w:r>
        <w:rPr/>
        <w:t>     </w:t>
      </w:r>
      <w:r>
        <w:rPr>
          <w:rFonts w:ascii="Times New Roman;Times;serif" w:hAnsi="Times New Roman;Times;serif"/>
          <w:sz w:val="17"/>
        </w:rPr>
        <w:t xml:space="preserve">Section 7.12 </w:t>
      </w:r>
      <w:r>
        <w:rPr>
          <w:rFonts w:ascii="Times New Roman;Times;serif" w:hAnsi="Times New Roman;Times;serif"/>
          <w:sz w:val="17"/>
          <w:u w:val="single"/>
        </w:rPr>
        <w:t>Unit Split or Unit Dividend Affecting the Purchased Units</w:t>
      </w:r>
      <w:r>
        <w:rPr>
          <w:rFonts w:ascii="Times New Roman;Times;serif" w:hAnsi="Times New Roman;Times;serif"/>
          <w:sz w:val="17"/>
        </w:rPr>
        <w:t xml:space="preserve">. In the event that Seller declares a unit split or unit dividend (payable in Common Units) with respect to its Common Units and the record date for such unit split or unit dividend is after the date of this Agreement and prior to the Closing Date, the number of Purchased Units to be delivered to the Purchasers hereunder and the Common Unit Price and the Purchase Price therefor shall be appropriately adjusted so that the Purchasers would be in the same relative economic position as they would be if such Purchased Units would have been issued and delivered to the Purchasers prior to the record date for any such unit split or unit dividend. </w:t>
      </w:r>
    </w:p>
    <w:p>
      <w:pPr>
        <w:pStyle w:val="TextBody"/>
        <w:spacing w:before="120" w:after="283"/>
        <w:jc w:val="left"/>
        <w:rPr/>
      </w:pPr>
      <w:r>
        <w:rPr/>
        <w:t>     </w:t>
      </w:r>
      <w:r>
        <w:rPr>
          <w:rFonts w:ascii="Times New Roman;Times;serif" w:hAnsi="Times New Roman;Times;serif"/>
          <w:sz w:val="17"/>
        </w:rPr>
        <w:t xml:space="preserve">Section 7.13 </w:t>
      </w:r>
      <w:r>
        <w:rPr>
          <w:rFonts w:ascii="Times New Roman;Times;serif" w:hAnsi="Times New Roman;Times;serif"/>
          <w:sz w:val="17"/>
          <w:u w:val="single"/>
        </w:rPr>
        <w:t>Distributions</w:t>
      </w:r>
      <w:r>
        <w:rPr>
          <w:rFonts w:ascii="Times New Roman;Times;serif" w:hAnsi="Times New Roman;Times;serif"/>
          <w:sz w:val="17"/>
        </w:rPr>
        <w:t xml:space="preserve">. If the Closing occurs on a date after the record date relating to a distribution to be made to holders of Common Units after the date of this Agreement, the Common Unit Price shall be reduced by the per Common Unit amount of such distribution and the applicable Purchase Price set forth on Schedule 2.1 hereto shall be reduced accordingly. </w:t>
      </w:r>
    </w:p>
    <w:p>
      <w:pPr>
        <w:pStyle w:val="TextBody"/>
        <w:spacing w:before="120" w:after="283"/>
        <w:jc w:val="left"/>
        <w:rPr/>
      </w:pPr>
      <w:r>
        <w:rPr/>
        <w:t>     </w:t>
      </w:r>
      <w:r>
        <w:rPr>
          <w:rFonts w:ascii="Times New Roman;Times;serif" w:hAnsi="Times New Roman;Times;serif"/>
          <w:sz w:val="17"/>
        </w:rPr>
        <w:t xml:space="preserve">Section 7.14 </w:t>
      </w:r>
      <w:r>
        <w:rPr>
          <w:rFonts w:ascii="Times New Roman;Times;serif" w:hAnsi="Times New Roman;Times;serif"/>
          <w:sz w:val="17"/>
          <w:u w:val="single"/>
        </w:rPr>
        <w:t>Use of Proceeds</w:t>
      </w:r>
      <w:r>
        <w:rPr>
          <w:rFonts w:ascii="Times New Roman;Times;serif" w:hAnsi="Times New Roman;Times;serif"/>
          <w:sz w:val="17"/>
        </w:rPr>
        <w:t xml:space="preserve">. Seller shall use the proceeds from the transactions contemplated hereby in the manner set forth in the Prospectus. </w:t>
      </w:r>
    </w:p>
    <w:p>
      <w:pPr>
        <w:pStyle w:val="TextBody"/>
        <w:spacing w:before="120" w:after="283"/>
        <w:jc w:val="left"/>
        <w:rPr/>
      </w:pPr>
      <w:r>
        <w:rPr/>
        <w:t>     </w:t>
      </w:r>
      <w:r>
        <w:rPr>
          <w:rFonts w:ascii="Times New Roman;Times;serif" w:hAnsi="Times New Roman;Times;serif"/>
          <w:sz w:val="17"/>
        </w:rPr>
        <w:t xml:space="preserve">IN WITNESS WHEREOF, the parties hereto execute this Agreement, effective as of the date first above written. </w:t>
      </w:r>
    </w:p>
    <w:tbl>
      <w:tblPr>
        <w:tblW w:w="5000" w:type="pct"/>
        <w:jc w:val="center"/>
        <w:tblInd w:w="0" w:type="dxa"/>
        <w:tblCellMar>
          <w:top w:w="0" w:type="dxa"/>
          <w:left w:w="0" w:type="dxa"/>
          <w:bottom w:w="0" w:type="dxa"/>
          <w:right w:w="0" w:type="dxa"/>
        </w:tblCellMar>
      </w:tblPr>
      <w:tblGrid>
        <w:gridCol w:w="4185"/>
        <w:gridCol w:w="223"/>
        <w:gridCol w:w="633"/>
        <w:gridCol w:w="547"/>
        <w:gridCol w:w="3736"/>
        <w:gridCol w:w="223"/>
        <w:gridCol w:w="658"/>
      </w:tblGrid>
      <w:tr>
        <w:trPr/>
        <w:tc>
          <w:tcPr>
            <w:tcW w:w="4185"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33" w:type="dxa"/>
            <w:tcBorders/>
            <w:shd w:fill="auto" w:val="clear"/>
            <w:vAlign w:val="bottom"/>
          </w:tcPr>
          <w:p>
            <w:pPr>
              <w:pStyle w:val="TableContents"/>
              <w:spacing w:before="0" w:after="283"/>
              <w:rPr/>
            </w:pPr>
            <w:r>
              <w:rPr/>
              <w:t> </w:t>
            </w:r>
          </w:p>
        </w:tc>
        <w:tc>
          <w:tcPr>
            <w:tcW w:w="547" w:type="dxa"/>
            <w:tcBorders/>
            <w:shd w:fill="auto" w:val="clear"/>
            <w:vAlign w:val="bottom"/>
          </w:tcPr>
          <w:p>
            <w:pPr>
              <w:pStyle w:val="TableContents"/>
              <w:spacing w:before="0" w:after="283"/>
              <w:rPr/>
            </w:pPr>
            <w:r>
              <w:rPr/>
              <w:t> </w:t>
            </w:r>
          </w:p>
        </w:tc>
        <w:tc>
          <w:tcPr>
            <w:tcW w:w="3736"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658" w:type="dxa"/>
            <w:tcBorders/>
            <w:shd w:fill="auto" w:val="clear"/>
            <w:vAlign w:val="bottom"/>
          </w:tcPr>
          <w:p>
            <w:pPr>
              <w:pStyle w:val="TableContents"/>
              <w:spacing w:before="0" w:after="283"/>
              <w:rPr/>
            </w:pPr>
            <w:r>
              <w:rPr/>
              <w:t> </w:t>
            </w:r>
          </w:p>
        </w:tc>
      </w:tr>
      <w:tr>
        <w:trPr/>
        <w:tc>
          <w:tcPr>
            <w:tcW w:w="4185" w:type="dxa"/>
            <w:tcBorders/>
            <w:shd w:fill="auto" w:val="clear"/>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4916" w:type="dxa"/>
            <w:gridSpan w:val="3"/>
            <w:tcBorders/>
            <w:shd w:fill="auto" w:val="clear"/>
          </w:tcPr>
          <w:p>
            <w:pPr>
              <w:pStyle w:val="TableContents"/>
              <w:spacing w:before="0" w:after="283"/>
              <w:jc w:val="left"/>
              <w:rPr/>
            </w:pPr>
            <w:r>
              <w:rPr/>
              <w:t>PURCHASERS:</w:t>
            </w:r>
          </w:p>
        </w:tc>
        <w:tc>
          <w:tcPr>
            <w:tcW w:w="223" w:type="dxa"/>
            <w:tcBorders/>
            <w:shd w:fill="auto" w:val="clear"/>
            <w:vAlign w:val="bottom"/>
          </w:tcPr>
          <w:p>
            <w:pPr>
              <w:pStyle w:val="TableContents"/>
              <w:spacing w:before="0" w:after="283"/>
              <w:rPr/>
            </w:pPr>
            <w:r>
              <w:rPr/>
              <w:t> </w:t>
            </w:r>
          </w:p>
        </w:tc>
        <w:tc>
          <w:tcPr>
            <w:tcW w:w="658"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[The remainder of this page is intentionally left blank.] </w:t>
      </w:r>
    </w:p>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324"/>
        <w:gridCol w:w="215"/>
        <w:gridCol w:w="438"/>
        <w:gridCol w:w="125"/>
        <w:gridCol w:w="4222"/>
        <w:gridCol w:w="215"/>
        <w:gridCol w:w="666"/>
      </w:tblGrid>
      <w:tr>
        <w:trPr/>
        <w:tc>
          <w:tcPr>
            <w:tcW w:w="432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66" w:type="dxa"/>
            <w:tcBorders/>
            <w:shd w:fill="auto" w:val="clear"/>
            <w:vAlign w:val="bottom"/>
          </w:tcPr>
          <w:p>
            <w:pPr>
              <w:pStyle w:val="TableContents"/>
              <w:spacing w:before="0" w:after="283"/>
              <w:rPr/>
            </w:pPr>
            <w:r>
              <w:rPr/>
              <w:t> </w:t>
            </w:r>
          </w:p>
        </w:tc>
      </w:tr>
      <w:tr>
        <w:trPr/>
        <w:tc>
          <w:tcPr>
            <w:tcW w:w="4324"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785" w:type="dxa"/>
            <w:gridSpan w:val="3"/>
            <w:tcBorders/>
            <w:shd w:fill="auto" w:val="clear"/>
          </w:tcPr>
          <w:p>
            <w:pPr>
              <w:pStyle w:val="TableContents"/>
              <w:spacing w:before="0" w:after="283"/>
              <w:jc w:val="left"/>
              <w:rPr>
                <w:b/>
              </w:rPr>
            </w:pPr>
            <w:r>
              <w:rPr>
                <w:b/>
              </w:rPr>
              <w:t>ROYAL BANK OF CANADA</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785" w:type="dxa"/>
            <w:gridSpan w:val="3"/>
            <w:tcBorders/>
            <w:shd w:fill="auto" w:val="clear"/>
          </w:tcPr>
          <w:p>
            <w:pPr>
              <w:pStyle w:val="TableContents"/>
              <w:spacing w:before="0" w:after="283"/>
              <w:jc w:val="left"/>
              <w:rPr/>
            </w:pPr>
            <w:r>
              <w:rPr/>
              <w:t>By: RBC CAPITAL MARKETS</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785" w:type="dxa"/>
            <w:gridSpan w:val="3"/>
            <w:tcBorders/>
            <w:shd w:fill="auto" w:val="clear"/>
          </w:tcPr>
          <w:p>
            <w:pPr>
              <w:pStyle w:val="TableContents"/>
              <w:spacing w:before="0" w:after="283"/>
              <w:jc w:val="left"/>
              <w:rPr/>
            </w:pPr>
            <w:r>
              <w:rPr/>
              <w:t>CORPORATION, its agent</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/s/ Josef Muskatel</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center"/>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222" w:type="dxa"/>
            <w:tcBorders>
              <w:top w:val="single" w:sz="2" w:space="0" w:color="000000"/>
            </w:tcBorders>
            <w:shd w:fill="auto" w:val="clear"/>
            <w:tcMar>
              <w:top w:w="28" w:type="dxa"/>
            </w:tcM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Name: Josef Muskatel</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Title: Director and Senior Counsel</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/s/ Steven Milke</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center"/>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222" w:type="dxa"/>
            <w:tcBorders>
              <w:top w:val="single" w:sz="2" w:space="0" w:color="000000"/>
            </w:tcBorders>
            <w:shd w:fill="auto" w:val="clear"/>
            <w:tcMar>
              <w:top w:w="28" w:type="dxa"/>
            </w:tcM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Name: Steven Milke</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Title: Managing Directors</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Address:</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One Liberty Plaza</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Second Floor</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r>
        <w:trPr/>
        <w:tc>
          <w:tcPr>
            <w:tcW w:w="4324"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22" w:type="dxa"/>
            <w:tcBorders/>
            <w:shd w:fill="auto" w:val="clear"/>
          </w:tcPr>
          <w:p>
            <w:pPr>
              <w:pStyle w:val="TableContents"/>
              <w:spacing w:before="0" w:after="283"/>
              <w:jc w:val="left"/>
              <w:rPr/>
            </w:pPr>
            <w:r>
              <w:rPr/>
              <w:t>New York, NY 10006</w:t>
            </w:r>
          </w:p>
        </w:tc>
        <w:tc>
          <w:tcPr>
            <w:tcW w:w="215" w:type="dxa"/>
            <w:tcBorders/>
            <w:shd w:fill="auto" w:val="clear"/>
            <w:vAlign w:val="bottom"/>
          </w:tcPr>
          <w:p>
            <w:pPr>
              <w:pStyle w:val="TableContents"/>
              <w:spacing w:before="0" w:after="283"/>
              <w:rPr/>
            </w:pPr>
            <w:r>
              <w:rPr/>
              <w:t> </w:t>
            </w:r>
          </w:p>
        </w:tc>
        <w:tc>
          <w:tcPr>
            <w:tcW w:w="666"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222"/>
        <w:gridCol w:w="216"/>
        <w:gridCol w:w="570"/>
        <w:gridCol w:w="142"/>
        <w:gridCol w:w="4182"/>
        <w:gridCol w:w="216"/>
        <w:gridCol w:w="657"/>
      </w:tblGrid>
      <w:tr>
        <w:trPr/>
        <w:tc>
          <w:tcPr>
            <w:tcW w:w="422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b/>
              </w:rPr>
            </w:pPr>
            <w:r>
              <w:rPr>
                <w:b/>
              </w:rPr>
              <w:t>GPS INCOME FUND LP</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vAlign w:val="center"/>
          </w:tcPr>
          <w:p>
            <w:pPr>
              <w:pStyle w:val="TableContents"/>
              <w:spacing w:before="0" w:after="283"/>
              <w:rPr/>
            </w:pPr>
            <w:r>
              <w:rPr/>
              <w:t> </w:t>
            </w:r>
          </w:p>
        </w:tc>
        <w:tc>
          <w:tcPr>
            <w:tcW w:w="5983" w:type="dxa"/>
            <w:gridSpan w:val="6"/>
            <w:tcBorders/>
            <w:shd w:fill="auto" w:val="clear"/>
          </w:tcPr>
          <w:p>
            <w:pPr>
              <w:pStyle w:val="TableContents"/>
              <w:spacing w:before="0" w:after="283"/>
              <w:rPr>
                <w:sz w:val="4"/>
                <w:szCs w:val="4"/>
              </w:rPr>
            </w:pPr>
            <w:r>
              <w:rPr>
                <w:sz w:val="4"/>
                <w:szCs w:val="4"/>
              </w:rPr>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pPr>
            <w:r>
              <w:rPr/>
              <w:t>By: GPS Partners LLC, its general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xml:space="preserve">By: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/s/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center"/>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182" w:type="dxa"/>
            <w:tcBorders>
              <w:top w:val="single" w:sz="2" w:space="0" w:color="000000"/>
            </w:tcBorders>
            <w:shd w:fill="auto" w:val="clear"/>
            <w:tcMar>
              <w:top w:w="28" w:type="dxa"/>
            </w:tcMar>
          </w:tcPr>
          <w:p>
            <w:pPr>
              <w:pStyle w:val="TableContents"/>
              <w:spacing w:before="0" w:after="283"/>
              <w:jc w:val="left"/>
              <w:rPr/>
            </w:pPr>
            <w:r>
              <w:rPr/>
              <w:t> </w:t>
            </w:r>
          </w:p>
        </w:tc>
        <w:tc>
          <w:tcPr>
            <w:tcW w:w="216" w:type="dxa"/>
            <w:tcBorders/>
            <w:shd w:fill="auto" w:val="clear"/>
            <w:vAlign w:val="center"/>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Name: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Title: Managing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b/>
              </w:rPr>
            </w:pPr>
            <w:r>
              <w:rPr>
                <w:b/>
              </w:rPr>
              <w:t>GPS HIGH YIELD EQUITIES FUND LP</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pPr>
            <w:r>
              <w:rPr/>
              <w:t>By: GPS Partners LLC, its general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xml:space="preserve">By: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/s/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center"/>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182" w:type="dxa"/>
            <w:tcBorders>
              <w:top w:val="single" w:sz="2" w:space="0" w:color="000000"/>
            </w:tcBorders>
            <w:shd w:fill="auto" w:val="clear"/>
            <w:tcMar>
              <w:top w:w="28" w:type="dxa"/>
            </w:tcMar>
          </w:tcPr>
          <w:p>
            <w:pPr>
              <w:pStyle w:val="TableContents"/>
              <w:spacing w:before="0" w:after="283"/>
              <w:jc w:val="left"/>
              <w:rPr/>
            </w:pPr>
            <w:r>
              <w:rPr/>
              <w:t> </w:t>
            </w:r>
          </w:p>
        </w:tc>
        <w:tc>
          <w:tcPr>
            <w:tcW w:w="216" w:type="dxa"/>
            <w:tcBorders/>
            <w:shd w:fill="auto" w:val="clear"/>
            <w:vAlign w:val="center"/>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Name: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Title: Managing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b/>
              </w:rPr>
            </w:pPr>
            <w:r>
              <w:rPr>
                <w:b/>
              </w:rPr>
              <w:t>GPS INCOME FUND (CAYMAN) LTD</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pPr>
            <w:r>
              <w:rPr/>
              <w:t>By: GPS Partners LLC, its investment manager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xml:space="preserve">By: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/s/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center"/>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182" w:type="dxa"/>
            <w:tcBorders>
              <w:top w:val="single" w:sz="2" w:space="0" w:color="000000"/>
            </w:tcBorders>
            <w:shd w:fill="auto" w:val="clear"/>
            <w:tcMar>
              <w:top w:w="28" w:type="dxa"/>
            </w:tcMar>
          </w:tcPr>
          <w:p>
            <w:pPr>
              <w:pStyle w:val="TableContents"/>
              <w:spacing w:before="0" w:after="283"/>
              <w:jc w:val="left"/>
              <w:rPr/>
            </w:pPr>
            <w:r>
              <w:rPr/>
              <w:t> </w:t>
            </w:r>
          </w:p>
        </w:tc>
        <w:tc>
          <w:tcPr>
            <w:tcW w:w="216" w:type="dxa"/>
            <w:tcBorders/>
            <w:shd w:fill="auto" w:val="clear"/>
            <w:vAlign w:val="center"/>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Name: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Title: Managing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b/>
              </w:rPr>
            </w:pPr>
            <w:r>
              <w:rPr>
                <w:b/>
              </w:rPr>
              <w:t>HFR RVA GPS MASTER TRUST</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4894" w:type="dxa"/>
            <w:gridSpan w:val="3"/>
            <w:tcBorders/>
            <w:shd w:fill="auto" w:val="clear"/>
          </w:tcPr>
          <w:p>
            <w:pPr>
              <w:pStyle w:val="TableContents"/>
              <w:spacing w:before="0" w:after="283"/>
              <w:jc w:val="left"/>
              <w:rPr/>
            </w:pPr>
            <w:r>
              <w:rPr/>
              <w:t>By: GPS Partners LLC, its trading manager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xml:space="preserve">By: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/s/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center"/>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center"/>
          </w:tcPr>
          <w:p>
            <w:pPr>
              <w:pStyle w:val="TableContents"/>
              <w:spacing w:before="0" w:after="283"/>
              <w:rPr/>
            </w:pPr>
            <w:r>
              <w:rPr/>
              <w:t> </w:t>
            </w:r>
          </w:p>
        </w:tc>
        <w:tc>
          <w:tcPr>
            <w:tcW w:w="4182" w:type="dxa"/>
            <w:tcBorders>
              <w:top w:val="single" w:sz="2" w:space="0" w:color="000000"/>
            </w:tcBorders>
            <w:shd w:fill="auto" w:val="clear"/>
            <w:tcMar>
              <w:top w:w="28" w:type="dxa"/>
            </w:tcMar>
          </w:tcPr>
          <w:p>
            <w:pPr>
              <w:pStyle w:val="TableContents"/>
              <w:spacing w:before="0" w:after="283"/>
              <w:jc w:val="left"/>
              <w:rPr/>
            </w:pPr>
            <w:r>
              <w:rPr/>
              <w:t> </w:t>
            </w:r>
          </w:p>
        </w:tc>
        <w:tc>
          <w:tcPr>
            <w:tcW w:w="216" w:type="dxa"/>
            <w:tcBorders/>
            <w:shd w:fill="auto" w:val="clear"/>
            <w:vAlign w:val="center"/>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Name: Brett Messing</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Title: Managing Partner</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 </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GPS Partners LLC</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100 Wilshire Blvd., Suite 900</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r>
        <w:trPr/>
        <w:tc>
          <w:tcPr>
            <w:tcW w:w="4222" w:type="dxa"/>
            <w:tcBorders/>
            <w:shd w:fill="auto" w:val="clear"/>
          </w:tcPr>
          <w:p>
            <w:pPr>
              <w:pStyle w:val="TableContents"/>
              <w:spacing w:before="0" w:after="0"/>
              <w:ind w:left="0" w:right="0" w:hanging="0"/>
              <w:rPr/>
            </w:pPr>
            <w:r>
              <w:rPr/>
              <w:t xml:space="preserve">  </w:t>
            </w:r>
          </w:p>
        </w:tc>
        <w:tc>
          <w:tcPr>
            <w:tcW w:w="216" w:type="dxa"/>
            <w:tcBorders/>
            <w:shd w:fill="auto" w:val="clear"/>
            <w:vAlign w:val="bottom"/>
          </w:tcPr>
          <w:p>
            <w:pPr>
              <w:pStyle w:val="TableContents"/>
              <w:spacing w:before="0" w:after="283"/>
              <w:rPr/>
            </w:pPr>
            <w:r>
              <w:rPr/>
              <w:t> </w:t>
            </w:r>
          </w:p>
        </w:tc>
        <w:tc>
          <w:tcPr>
            <w:tcW w:w="570" w:type="dxa"/>
            <w:tcBorders/>
            <w:shd w:fill="auto" w:val="clear"/>
          </w:tcPr>
          <w:p>
            <w:pPr>
              <w:pStyle w:val="TableContents"/>
              <w:spacing w:before="0" w:after="283"/>
              <w:jc w:val="left"/>
              <w:rPr/>
            </w:pPr>
            <w:r>
              <w:rPr/>
              <w:t> </w:t>
            </w:r>
          </w:p>
        </w:tc>
        <w:tc>
          <w:tcPr>
            <w:tcW w:w="142" w:type="dxa"/>
            <w:tcBorders/>
            <w:shd w:fill="auto" w:val="clear"/>
            <w:vAlign w:val="bottom"/>
          </w:tcPr>
          <w:p>
            <w:pPr>
              <w:pStyle w:val="TableContents"/>
              <w:spacing w:before="0" w:after="283"/>
              <w:rPr/>
            </w:pPr>
            <w:r>
              <w:rPr/>
              <w:t> </w:t>
            </w:r>
          </w:p>
        </w:tc>
        <w:tc>
          <w:tcPr>
            <w:tcW w:w="4182" w:type="dxa"/>
            <w:tcBorders/>
            <w:shd w:fill="auto" w:val="clear"/>
          </w:tcPr>
          <w:p>
            <w:pPr>
              <w:pStyle w:val="TableContents"/>
              <w:spacing w:before="0" w:after="283"/>
              <w:jc w:val="left"/>
              <w:rPr/>
            </w:pPr>
            <w:r>
              <w:rPr/>
              <w:t>Santa Monica, CA 90401</w:t>
            </w:r>
          </w:p>
        </w:tc>
        <w:tc>
          <w:tcPr>
            <w:tcW w:w="216" w:type="dxa"/>
            <w:tcBorders/>
            <w:shd w:fill="auto" w:val="clear"/>
            <w:vAlign w:val="bottom"/>
          </w:tcPr>
          <w:p>
            <w:pPr>
              <w:pStyle w:val="TableContents"/>
              <w:spacing w:before="0" w:after="283"/>
              <w:rPr/>
            </w:pPr>
            <w:r>
              <w:rPr/>
              <w:t> </w:t>
            </w:r>
          </w:p>
        </w:tc>
        <w:tc>
          <w:tcPr>
            <w:tcW w:w="65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332"/>
        <w:gridCol w:w="215"/>
        <w:gridCol w:w="437"/>
        <w:gridCol w:w="125"/>
        <w:gridCol w:w="4214"/>
        <w:gridCol w:w="215"/>
        <w:gridCol w:w="667"/>
      </w:tblGrid>
      <w:tr>
        <w:trPr/>
        <w:tc>
          <w:tcPr>
            <w:tcW w:w="433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3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67" w:type="dxa"/>
            <w:tcBorders/>
            <w:shd w:fill="auto" w:val="clear"/>
            <w:vAlign w:val="bottom"/>
          </w:tcPr>
          <w:p>
            <w:pPr>
              <w:pStyle w:val="TableContents"/>
              <w:spacing w:before="0" w:after="283"/>
              <w:rPr/>
            </w:pPr>
            <w:r>
              <w:rPr/>
              <w:t> </w:t>
            </w:r>
          </w:p>
        </w:tc>
      </w:tr>
      <w:tr>
        <w:trPr/>
        <w:tc>
          <w:tcPr>
            <w:tcW w:w="43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776" w:type="dxa"/>
            <w:gridSpan w:val="3"/>
            <w:tcBorders/>
            <w:shd w:fill="auto" w:val="clear"/>
          </w:tcPr>
          <w:p>
            <w:pPr>
              <w:pStyle w:val="TableContents"/>
              <w:spacing w:before="0" w:after="283"/>
              <w:jc w:val="left"/>
              <w:rPr>
                <w:b/>
              </w:rPr>
            </w:pPr>
            <w:r>
              <w:rPr>
                <w:b/>
              </w:rPr>
              <w:t>FIDUCIARY / CLAYMORE MLP</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776" w:type="dxa"/>
            <w:gridSpan w:val="3"/>
            <w:tcBorders/>
            <w:shd w:fill="auto" w:val="clear"/>
          </w:tcPr>
          <w:p>
            <w:pPr>
              <w:pStyle w:val="TableContents"/>
              <w:spacing w:before="0" w:after="283"/>
              <w:jc w:val="left"/>
              <w:rPr>
                <w:b/>
              </w:rPr>
            </w:pPr>
            <w:r>
              <w:rPr>
                <w:b/>
              </w:rPr>
              <w:t>OPPORTUNITY FUND</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xml:space="preserve">By: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/s/ James J. Cunnane, Jr.</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center"/>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center"/>
          </w:tcPr>
          <w:p>
            <w:pPr>
              <w:pStyle w:val="TableContents"/>
              <w:spacing w:before="0" w:after="283"/>
              <w:rPr/>
            </w:pPr>
            <w:r>
              <w:rPr/>
              <w:t> </w:t>
            </w:r>
          </w:p>
        </w:tc>
        <w:tc>
          <w:tcPr>
            <w:tcW w:w="4214" w:type="dxa"/>
            <w:tcBorders>
              <w:top w:val="single" w:sz="2" w:space="0" w:color="000000"/>
            </w:tcBorders>
            <w:shd w:fill="auto" w:val="clear"/>
            <w:tcMar>
              <w:top w:w="28" w:type="dxa"/>
            </w:tcMar>
          </w:tcPr>
          <w:p>
            <w:pPr>
              <w:pStyle w:val="TableContents"/>
              <w:spacing w:before="0" w:after="283"/>
              <w:jc w:val="left"/>
              <w:rPr/>
            </w:pPr>
            <w:r>
              <w:rPr/>
              <w:t> </w:t>
            </w:r>
          </w:p>
        </w:tc>
        <w:tc>
          <w:tcPr>
            <w:tcW w:w="215" w:type="dxa"/>
            <w:tcBorders/>
            <w:shd w:fill="auto" w:val="clear"/>
            <w:vAlign w:val="center"/>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Name: James J. Cunnane, Jr.</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Title: Vice President</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8112 Maryland Avenue, Suite 400</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r>
        <w:trPr/>
        <w:tc>
          <w:tcPr>
            <w:tcW w:w="4332"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437" w:type="dxa"/>
            <w:tcBorders/>
            <w:shd w:fill="auto" w:val="clear"/>
          </w:tcPr>
          <w:p>
            <w:pPr>
              <w:pStyle w:val="TableContents"/>
              <w:spacing w:before="0" w:after="283"/>
              <w:jc w:val="left"/>
              <w:rPr/>
            </w:pPr>
            <w:r>
              <w:rPr/>
              <w:t> </w:t>
            </w:r>
          </w:p>
        </w:tc>
        <w:tc>
          <w:tcPr>
            <w:tcW w:w="125" w:type="dxa"/>
            <w:tcBorders/>
            <w:shd w:fill="auto" w:val="clear"/>
            <w:vAlign w:val="bottom"/>
          </w:tcPr>
          <w:p>
            <w:pPr>
              <w:pStyle w:val="TableContents"/>
              <w:spacing w:before="0" w:after="283"/>
              <w:rPr/>
            </w:pPr>
            <w:r>
              <w:rPr/>
              <w:t> </w:t>
            </w:r>
          </w:p>
        </w:tc>
        <w:tc>
          <w:tcPr>
            <w:tcW w:w="4214" w:type="dxa"/>
            <w:tcBorders/>
            <w:shd w:fill="auto" w:val="clear"/>
          </w:tcPr>
          <w:p>
            <w:pPr>
              <w:pStyle w:val="TableContents"/>
              <w:spacing w:before="0" w:after="283"/>
              <w:jc w:val="left"/>
              <w:rPr/>
            </w:pPr>
            <w:r>
              <w:rPr/>
              <w:t>St. Louis, MO 63105</w:t>
            </w:r>
          </w:p>
        </w:tc>
        <w:tc>
          <w:tcPr>
            <w:tcW w:w="215" w:type="dxa"/>
            <w:tcBorders/>
            <w:shd w:fill="auto" w:val="clear"/>
            <w:vAlign w:val="bottom"/>
          </w:tcPr>
          <w:p>
            <w:pPr>
              <w:pStyle w:val="TableContents"/>
              <w:spacing w:before="0" w:after="283"/>
              <w:rPr/>
            </w:pPr>
            <w:r>
              <w:rPr/>
              <w:t> </w:t>
            </w:r>
          </w:p>
        </w:tc>
        <w:tc>
          <w:tcPr>
            <w:tcW w:w="66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5059"/>
        <w:gridCol w:w="132"/>
        <w:gridCol w:w="438"/>
        <w:gridCol w:w="132"/>
        <w:gridCol w:w="3758"/>
        <w:gridCol w:w="132"/>
        <w:gridCol w:w="554"/>
      </w:tblGrid>
      <w:tr>
        <w:trPr/>
        <w:tc>
          <w:tcPr>
            <w:tcW w:w="5059"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vAlign w:val="bottom"/>
          </w:tcPr>
          <w:p>
            <w:pPr>
              <w:pStyle w:val="TableContents"/>
              <w:spacing w:before="0" w:after="283"/>
              <w:rPr/>
            </w:pPr>
            <w:r>
              <w:rPr/>
              <w:t> </w:t>
            </w:r>
          </w:p>
        </w:tc>
      </w:tr>
      <w:tr>
        <w:trPr/>
        <w:tc>
          <w:tcPr>
            <w:tcW w:w="5059"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28" w:type="dxa"/>
            <w:gridSpan w:val="3"/>
            <w:tcBorders/>
            <w:shd w:fill="auto" w:val="clear"/>
          </w:tcPr>
          <w:p>
            <w:pPr>
              <w:pStyle w:val="TableContents"/>
              <w:spacing w:before="0" w:after="283"/>
              <w:jc w:val="left"/>
              <w:rPr>
                <w:b/>
              </w:rPr>
            </w:pPr>
            <w:r>
              <w:rPr>
                <w:b/>
              </w:rPr>
              <w:t>SWANK MLP CONVERGENCE FUND, LP</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0"/>
              <w:jc w:val="left"/>
              <w:rPr/>
            </w:pPr>
            <w:r>
              <w:rPr/>
              <w:t xml:space="preserve">/s/ Jerry V. Swank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Jerry V. Swank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Title: Managing Partner</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Daniel L. Spears</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Swank Capital, LLC</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3300 Oak Lawn Ave, Suite 650</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Dallas, TX 75219</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28" w:type="dxa"/>
            <w:gridSpan w:val="3"/>
            <w:tcBorders/>
            <w:shd w:fill="auto" w:val="clear"/>
          </w:tcPr>
          <w:p>
            <w:pPr>
              <w:pStyle w:val="TableContents"/>
              <w:spacing w:before="0" w:after="283"/>
              <w:jc w:val="left"/>
              <w:rPr>
                <w:b/>
              </w:rPr>
            </w:pPr>
            <w:r>
              <w:rPr>
                <w:b/>
              </w:rPr>
              <w:t>THE CUSHING MLP</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328" w:type="dxa"/>
            <w:gridSpan w:val="3"/>
            <w:tcBorders/>
            <w:shd w:fill="auto" w:val="clear"/>
          </w:tcPr>
          <w:p>
            <w:pPr>
              <w:pStyle w:val="TableContents"/>
              <w:spacing w:before="0" w:after="283"/>
              <w:jc w:val="left"/>
              <w:rPr>
                <w:b/>
              </w:rPr>
            </w:pPr>
            <w:r>
              <w:rPr>
                <w:b/>
              </w:rPr>
              <w:t>OPPORTUNITIES FUND I, LP</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0"/>
              <w:jc w:val="left"/>
              <w:rPr/>
            </w:pPr>
            <w:r>
              <w:rPr/>
              <w:t xml:space="preserve">/s/ Jerry V. Swank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Jerry V. Swank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Title: Managing Partner</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Daniel L. Spears</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Swank Capital, LLC</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3300 Oak Lawn Ave, Suite 650</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r>
        <w:trPr/>
        <w:tc>
          <w:tcPr>
            <w:tcW w:w="5059"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38"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3758" w:type="dxa"/>
            <w:tcBorders/>
            <w:shd w:fill="auto" w:val="clear"/>
          </w:tcPr>
          <w:p>
            <w:pPr>
              <w:pStyle w:val="TableContents"/>
              <w:spacing w:before="0" w:after="283"/>
              <w:jc w:val="left"/>
              <w:rPr/>
            </w:pPr>
            <w:r>
              <w:rPr/>
              <w:t>Dallas, TX 75219</w:t>
            </w:r>
          </w:p>
        </w:tc>
        <w:tc>
          <w:tcPr>
            <w:tcW w:w="132" w:type="dxa"/>
            <w:tcBorders/>
            <w:shd w:fill="auto" w:val="clear"/>
            <w:vAlign w:val="bottom"/>
          </w:tcPr>
          <w:p>
            <w:pPr>
              <w:pStyle w:val="TableContents"/>
              <w:spacing w:before="0" w:after="283"/>
              <w:rPr/>
            </w:pPr>
            <w:r>
              <w:rPr/>
              <w:t> </w:t>
            </w:r>
          </w:p>
        </w:tc>
        <w:tc>
          <w:tcPr>
            <w:tcW w:w="554"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5499"/>
        <w:gridCol w:w="123"/>
        <w:gridCol w:w="594"/>
        <w:gridCol w:w="123"/>
        <w:gridCol w:w="3341"/>
        <w:gridCol w:w="123"/>
        <w:gridCol w:w="402"/>
      </w:tblGrid>
      <w:tr>
        <w:trPr/>
        <w:tc>
          <w:tcPr>
            <w:tcW w:w="5499"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b/>
              </w:rPr>
            </w:pPr>
            <w:r>
              <w:rPr>
                <w:b/>
              </w:rPr>
              <w:t>E-HOLDINGS III, L.P.</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xml:space="preserve">By: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E-Holdings III GP, LLC,</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General Partner of E-Holdings III, L.P.</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By:</w:t>
              <w:br/>
              <w:t xml:space="preserve">Name: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0"/>
              <w:jc w:val="left"/>
              <w:rPr/>
            </w:pPr>
            <w:r>
              <w:rPr/>
              <w:t xml:space="preserve">/s/ Gary R. Petersen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Gary R. Petersen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xml:space="preserve">Title: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Managing Director</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b/>
              </w:rPr>
            </w:pPr>
            <w:r>
              <w:rPr>
                <w:b/>
              </w:rPr>
              <w:t>E-HOLDINGS V, L.P.</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By: E-Holdings V GP, LLC,</w:t>
              <w:br/>
              <w:t>General Partner of E-Holdings V, L.P.</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By:</w:t>
              <w:br/>
              <w:t xml:space="preserve">Name: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0"/>
              <w:jc w:val="left"/>
              <w:rPr/>
            </w:pPr>
            <w:r>
              <w:rPr/>
              <w:t xml:space="preserve">/s/ Gary R. Petersen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Gary R. Petersen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xml:space="preserve">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xml:space="preserve">Title: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Managing Director</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0"/>
              <w:ind w:left="0" w:right="0" w:hanging="0"/>
              <w:rPr/>
            </w:pPr>
            <w:r>
              <w:rPr/>
              <w:t> </w:t>
            </w:r>
          </w:p>
        </w:tc>
        <w:tc>
          <w:tcPr>
            <w:tcW w:w="123" w:type="dxa"/>
            <w:tcBorders/>
            <w:shd w:fill="auto" w:val="clear"/>
            <w:vAlign w:val="bottom"/>
          </w:tcPr>
          <w:p>
            <w:pPr>
              <w:pStyle w:val="TableContents"/>
              <w:spacing w:before="0" w:after="283"/>
              <w:rPr/>
            </w:pPr>
            <w:r>
              <w:rPr/>
              <w:t> </w:t>
            </w:r>
          </w:p>
        </w:tc>
        <w:tc>
          <w:tcPr>
            <w:tcW w:w="594"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3341" w:type="dxa"/>
            <w:tcBorders/>
            <w:shd w:fill="auto" w:val="clear"/>
          </w:tcPr>
          <w:p>
            <w:pPr>
              <w:pStyle w:val="TableContents"/>
              <w:spacing w:before="0" w:after="283"/>
              <w:jc w:val="left"/>
              <w:rPr/>
            </w:pPr>
            <w:r>
              <w:rPr/>
              <w:t> </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E-Holdings III, L.P / E-Holdings V, L.P.</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Attn: Jason M. DeLorenzo and Robert H.</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Haier</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1100 Louisiana Street, Suite 3150</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Houston, Texas 77002</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Phone: (713) 659-6100</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r>
        <w:trPr/>
        <w:tc>
          <w:tcPr>
            <w:tcW w:w="5499" w:type="dxa"/>
            <w:tcBorders/>
            <w:shd w:fill="auto" w:val="clear"/>
          </w:tcPr>
          <w:p>
            <w:pPr>
              <w:pStyle w:val="TableContents"/>
              <w:spacing w:before="0" w:after="283"/>
              <w:rPr/>
            </w:pPr>
            <w:r>
              <w:rPr/>
              <w:t> </w:t>
            </w:r>
          </w:p>
        </w:tc>
        <w:tc>
          <w:tcPr>
            <w:tcW w:w="123" w:type="dxa"/>
            <w:tcBorders/>
            <w:shd w:fill="auto" w:val="clear"/>
            <w:vAlign w:val="bottom"/>
          </w:tcPr>
          <w:p>
            <w:pPr>
              <w:pStyle w:val="TableContents"/>
              <w:spacing w:before="0" w:after="283"/>
              <w:rPr/>
            </w:pPr>
            <w:r>
              <w:rPr/>
              <w:t> </w:t>
            </w:r>
          </w:p>
        </w:tc>
        <w:tc>
          <w:tcPr>
            <w:tcW w:w="4058" w:type="dxa"/>
            <w:gridSpan w:val="3"/>
            <w:tcBorders/>
            <w:shd w:fill="auto" w:val="clear"/>
          </w:tcPr>
          <w:p>
            <w:pPr>
              <w:pStyle w:val="TableContents"/>
              <w:spacing w:before="0" w:after="283"/>
              <w:jc w:val="left"/>
              <w:rPr/>
            </w:pPr>
            <w:r>
              <w:rPr/>
              <w:t>Fax: (713) 659-6130</w:t>
            </w:r>
          </w:p>
        </w:tc>
        <w:tc>
          <w:tcPr>
            <w:tcW w:w="123"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5448"/>
        <w:gridCol w:w="133"/>
        <w:gridCol w:w="311"/>
        <w:gridCol w:w="133"/>
        <w:gridCol w:w="3458"/>
        <w:gridCol w:w="133"/>
        <w:gridCol w:w="589"/>
      </w:tblGrid>
      <w:tr>
        <w:trPr/>
        <w:tc>
          <w:tcPr>
            <w:tcW w:w="54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45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vAlign w:val="bottom"/>
          </w:tcPr>
          <w:p>
            <w:pPr>
              <w:pStyle w:val="TableContents"/>
              <w:spacing w:before="0" w:after="283"/>
              <w:rPr/>
            </w:pPr>
            <w:r>
              <w:rPr/>
              <w:t> </w:t>
            </w:r>
          </w:p>
        </w:tc>
      </w:tr>
      <w:tr>
        <w:trPr/>
        <w:tc>
          <w:tcPr>
            <w:tcW w:w="5448"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902" w:type="dxa"/>
            <w:gridSpan w:val="3"/>
            <w:tcBorders/>
            <w:shd w:fill="auto" w:val="clear"/>
          </w:tcPr>
          <w:p>
            <w:pPr>
              <w:pStyle w:val="TableContents"/>
              <w:spacing w:before="0" w:after="283"/>
              <w:jc w:val="left"/>
              <w:rPr/>
            </w:pPr>
            <w:r>
              <w:rPr>
                <w:b/>
              </w:rPr>
              <w:t>STADIUM PLAZA SHOPPING</w:t>
            </w:r>
            <w:r>
              <w:rPr/>
              <w:br/>
            </w:r>
            <w:r>
              <w:rPr>
                <w:b/>
              </w:rPr>
              <w:t>CENTER LLC</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r>
        <w:trPr/>
        <w:tc>
          <w:tcPr>
            <w:tcW w:w="5448"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r>
        <w:trPr/>
        <w:tc>
          <w:tcPr>
            <w:tcW w:w="544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0"/>
              <w:jc w:val="left"/>
              <w:rPr/>
            </w:pPr>
            <w:r>
              <w:rPr/>
              <w:t xml:space="preserve">/s/ Rolland J. Walters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Rolland J. Walters </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r>
        <w:trPr/>
        <w:tc>
          <w:tcPr>
            <w:tcW w:w="544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283"/>
              <w:jc w:val="left"/>
              <w:rPr/>
            </w:pPr>
            <w:r>
              <w:rPr/>
              <w:t>Title: Managing Member</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r>
        <w:trPr/>
        <w:tc>
          <w:tcPr>
            <w:tcW w:w="5448" w:type="dxa"/>
            <w:tcBorders/>
            <w:shd w:fill="auto" w:val="clear"/>
            <w:vAlign w:val="center"/>
          </w:tcPr>
          <w:p>
            <w:pPr>
              <w:pStyle w:val="TableContents"/>
              <w:spacing w:before="0" w:after="283"/>
              <w:rPr/>
            </w:pPr>
            <w:r>
              <w:rPr/>
              <w:t> </w:t>
            </w:r>
          </w:p>
        </w:tc>
        <w:tc>
          <w:tcPr>
            <w:tcW w:w="4757" w:type="dxa"/>
            <w:gridSpan w:val="6"/>
            <w:tcBorders/>
            <w:shd w:fill="auto" w:val="clear"/>
          </w:tcPr>
          <w:p>
            <w:pPr>
              <w:pStyle w:val="TableContents"/>
              <w:spacing w:before="0" w:after="283"/>
              <w:rPr>
                <w:sz w:val="4"/>
                <w:szCs w:val="4"/>
              </w:rPr>
            </w:pPr>
            <w:r>
              <w:rPr>
                <w:sz w:val="4"/>
                <w:szCs w:val="4"/>
              </w:rPr>
            </w:r>
          </w:p>
        </w:tc>
      </w:tr>
      <w:tr>
        <w:trPr/>
        <w:tc>
          <w:tcPr>
            <w:tcW w:w="544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283"/>
              <w:jc w:val="left"/>
              <w:rPr/>
            </w:pPr>
            <w:r>
              <w:rPr/>
              <w:t>Address: 1021 Ashland Road # 601</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r>
        <w:trPr/>
        <w:tc>
          <w:tcPr>
            <w:tcW w:w="5448"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1"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458" w:type="dxa"/>
            <w:tcBorders/>
            <w:shd w:fill="auto" w:val="clear"/>
          </w:tcPr>
          <w:p>
            <w:pPr>
              <w:pStyle w:val="TableContents"/>
              <w:spacing w:before="0" w:after="283"/>
              <w:jc w:val="left"/>
              <w:rPr/>
            </w:pPr>
            <w:r>
              <w:rPr/>
              <w:t>Columbia, MO 65201</w:t>
            </w:r>
          </w:p>
        </w:tc>
        <w:tc>
          <w:tcPr>
            <w:tcW w:w="133" w:type="dxa"/>
            <w:tcBorders/>
            <w:shd w:fill="auto" w:val="clear"/>
            <w:vAlign w:val="bottom"/>
          </w:tcPr>
          <w:p>
            <w:pPr>
              <w:pStyle w:val="TableContents"/>
              <w:spacing w:before="0" w:after="283"/>
              <w:rPr/>
            </w:pPr>
            <w:r>
              <w:rPr/>
              <w:t> </w:t>
            </w:r>
          </w:p>
        </w:tc>
        <w:tc>
          <w:tcPr>
            <w:tcW w:w="589"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02"/>
        <w:gridCol w:w="363"/>
        <w:gridCol w:w="820"/>
        <w:gridCol w:w="3728"/>
        <w:gridCol w:w="1292"/>
      </w:tblGrid>
      <w:tr>
        <w:trPr/>
        <w:tc>
          <w:tcPr>
            <w:tcW w:w="4002" w:type="dxa"/>
            <w:tcBorders/>
            <w:shd w:fill="auto" w:val="clear"/>
            <w:vAlign w:val="center"/>
          </w:tcPr>
          <w:p>
            <w:pPr>
              <w:pStyle w:val="TableContents"/>
              <w:spacing w:before="0" w:after="283"/>
              <w:rPr/>
            </w:pPr>
            <w:r>
              <w:rPr/>
              <w:t> </w:t>
            </w:r>
          </w:p>
        </w:tc>
        <w:tc>
          <w:tcPr>
            <w:tcW w:w="363" w:type="dxa"/>
            <w:tcBorders/>
            <w:shd w:fill="auto" w:val="clear"/>
            <w:vAlign w:val="center"/>
          </w:tcPr>
          <w:p>
            <w:pPr>
              <w:pStyle w:val="TableContents"/>
              <w:spacing w:before="0" w:after="283"/>
              <w:rPr/>
            </w:pPr>
            <w:r>
              <w:rPr/>
              <w:t> </w:t>
            </w:r>
          </w:p>
        </w:tc>
        <w:tc>
          <w:tcPr>
            <w:tcW w:w="820" w:type="dxa"/>
            <w:tcBorders/>
            <w:shd w:fill="auto" w:val="clear"/>
            <w:vAlign w:val="center"/>
          </w:tcPr>
          <w:p>
            <w:pPr>
              <w:pStyle w:val="TableContents"/>
              <w:spacing w:before="0" w:after="283"/>
              <w:rPr/>
            </w:pPr>
            <w:r>
              <w:rPr/>
              <w:t> </w:t>
            </w:r>
          </w:p>
        </w:tc>
        <w:tc>
          <w:tcPr>
            <w:tcW w:w="3728" w:type="dxa"/>
            <w:tcBorders/>
            <w:shd w:fill="auto" w:val="clear"/>
            <w:vAlign w:val="center"/>
          </w:tcPr>
          <w:p>
            <w:pPr>
              <w:pStyle w:val="TableContents"/>
              <w:spacing w:before="0" w:after="283"/>
              <w:rPr/>
            </w:pPr>
            <w:r>
              <w:rP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tcPr>
          <w:p>
            <w:pPr>
              <w:pStyle w:val="TableContents"/>
              <w:spacing w:before="0" w:after="283"/>
              <w:jc w:val="left"/>
              <w:rPr/>
            </w:pPr>
            <w:r>
              <w:rPr/>
              <w:t> </w:t>
            </w:r>
          </w:p>
        </w:tc>
        <w:tc>
          <w:tcPr>
            <w:tcW w:w="4911" w:type="dxa"/>
            <w:gridSpan w:val="3"/>
            <w:tcBorders/>
            <w:shd w:fill="auto" w:val="clear"/>
            <w:vAlign w:val="center"/>
          </w:tcPr>
          <w:p>
            <w:pPr>
              <w:pStyle w:val="TableContents"/>
              <w:spacing w:before="0" w:after="283"/>
              <w:jc w:val="left"/>
              <w:rPr/>
            </w:pPr>
            <w:r>
              <w:rPr>
                <w:b/>
              </w:rPr>
              <w:t>TETRAD CORPORATION</w:t>
            </w:r>
            <w:r>
              <w:rPr/>
              <w:t xml:space="preserve"> </w:t>
              <w:b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363" w:type="dxa"/>
            <w:tcBorders/>
            <w:shd w:fill="auto" w:val="clear"/>
          </w:tcPr>
          <w:p>
            <w:pPr>
              <w:pStyle w:val="TableContents"/>
              <w:spacing w:before="0" w:after="283"/>
              <w:rPr/>
            </w:pPr>
            <w:r>
              <w:rPr/>
              <w:t>By:  </w:t>
            </w:r>
          </w:p>
        </w:tc>
        <w:tc>
          <w:tcPr>
            <w:tcW w:w="4548" w:type="dxa"/>
            <w:gridSpan w:val="2"/>
            <w:tcBorders>
              <w:bottom w:val="single" w:sz="2" w:space="0" w:color="000000"/>
            </w:tcBorders>
            <w:shd w:fill="auto" w:val="clear"/>
            <w:tcMar>
              <w:bottom w:w="28" w:type="dxa"/>
            </w:tcMar>
            <w:vAlign w:val="center"/>
          </w:tcPr>
          <w:p>
            <w:pPr>
              <w:pStyle w:val="TableContents"/>
              <w:spacing w:before="0" w:after="283"/>
              <w:jc w:val="left"/>
              <w:rPr/>
            </w:pPr>
            <w:r>
              <w:rPr/>
              <w:t>/s/ Vance D. Gardiner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rPr/>
            </w:pPr>
            <w:r>
              <w:rPr/>
              <w:t> </w:t>
            </w:r>
          </w:p>
        </w:tc>
        <w:tc>
          <w:tcPr>
            <w:tcW w:w="820" w:type="dxa"/>
            <w:tcBorders/>
            <w:shd w:fill="auto" w:val="clear"/>
          </w:tcPr>
          <w:p>
            <w:pPr>
              <w:pStyle w:val="TableContents"/>
              <w:spacing w:before="0" w:after="283"/>
              <w:rPr/>
            </w:pPr>
            <w:r>
              <w:rPr/>
              <w:t>Name:  </w:t>
            </w:r>
          </w:p>
        </w:tc>
        <w:tc>
          <w:tcPr>
            <w:tcW w:w="3728" w:type="dxa"/>
            <w:tcBorders/>
            <w:shd w:fill="auto" w:val="clear"/>
            <w:vAlign w:val="center"/>
          </w:tcPr>
          <w:p>
            <w:pPr>
              <w:pStyle w:val="TableContents"/>
              <w:spacing w:before="0" w:after="283"/>
              <w:jc w:val="left"/>
              <w:rPr/>
            </w:pPr>
            <w:r>
              <w:rPr/>
              <w:t>Vance D. Gardiner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rPr/>
            </w:pPr>
            <w:r>
              <w:rPr/>
              <w:t> </w:t>
            </w:r>
          </w:p>
        </w:tc>
        <w:tc>
          <w:tcPr>
            <w:tcW w:w="820" w:type="dxa"/>
            <w:tcBorders/>
            <w:shd w:fill="auto" w:val="clear"/>
          </w:tcPr>
          <w:p>
            <w:pPr>
              <w:pStyle w:val="TableContents"/>
              <w:spacing w:before="0" w:after="283"/>
              <w:rPr/>
            </w:pPr>
            <w:r>
              <w:rPr/>
              <w:t>Title:  </w:t>
            </w:r>
          </w:p>
        </w:tc>
        <w:tc>
          <w:tcPr>
            <w:tcW w:w="3728" w:type="dxa"/>
            <w:tcBorders/>
            <w:shd w:fill="auto" w:val="clear"/>
            <w:vAlign w:val="center"/>
          </w:tcPr>
          <w:p>
            <w:pPr>
              <w:pStyle w:val="TableContents"/>
              <w:spacing w:before="0" w:after="283"/>
              <w:jc w:val="left"/>
              <w:rPr/>
            </w:pPr>
            <w:r>
              <w:rPr/>
              <w:t>Treasurer</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363" w:type="dxa"/>
            <w:tcBorders/>
            <w:shd w:fill="auto" w:val="clear"/>
            <w:vAlign w:val="center"/>
          </w:tcPr>
          <w:p>
            <w:pPr>
              <w:pStyle w:val="TableContents"/>
              <w:spacing w:before="0" w:after="283"/>
              <w:rPr/>
            </w:pPr>
            <w:r>
              <w:rPr/>
              <w:t> </w:t>
            </w:r>
          </w:p>
        </w:tc>
        <w:tc>
          <w:tcPr>
            <w:tcW w:w="820" w:type="dxa"/>
            <w:tcBorders/>
            <w:shd w:fill="auto" w:val="clear"/>
          </w:tcPr>
          <w:p>
            <w:pPr>
              <w:pStyle w:val="TableContents"/>
              <w:spacing w:before="0" w:after="283"/>
              <w:rPr/>
            </w:pPr>
            <w:r>
              <w:rPr/>
              <w:t>Address:</w:t>
            </w:r>
          </w:p>
        </w:tc>
        <w:tc>
          <w:tcPr>
            <w:tcW w:w="3728" w:type="dxa"/>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tcPr>
          <w:p>
            <w:pPr>
              <w:pStyle w:val="TableContents"/>
              <w:spacing w:before="0" w:after="283"/>
              <w:jc w:val="left"/>
              <w:rPr/>
            </w:pPr>
            <w:r>
              <w:rPr/>
              <w:t> </w:t>
            </w:r>
          </w:p>
        </w:tc>
        <w:tc>
          <w:tcPr>
            <w:tcW w:w="4911" w:type="dxa"/>
            <w:gridSpan w:val="3"/>
            <w:tcBorders/>
            <w:shd w:fill="auto" w:val="clear"/>
            <w:vAlign w:val="center"/>
          </w:tcPr>
          <w:p>
            <w:pPr>
              <w:pStyle w:val="TableContents"/>
              <w:spacing w:before="0" w:after="283"/>
              <w:jc w:val="left"/>
              <w:rPr/>
            </w:pPr>
            <w:r>
              <w:rPr/>
              <w:t>11422 Miracle Hills Drive, Suite 400</w:t>
              <w:br/>
              <w:t>Omaha, NE 68154</w:t>
              <w:b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4911"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4911"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4002" w:type="dxa"/>
            <w:tcBorders/>
            <w:shd w:fill="auto" w:val="clear"/>
            <w:vAlign w:val="center"/>
          </w:tcPr>
          <w:p>
            <w:pPr>
              <w:pStyle w:val="TableContents"/>
              <w:spacing w:before="0" w:after="283"/>
              <w:jc w:val="left"/>
              <w:rPr/>
            </w:pPr>
            <w:r>
              <w:rPr/>
              <w:t> </w:t>
            </w:r>
          </w:p>
        </w:tc>
        <w:tc>
          <w:tcPr>
            <w:tcW w:w="4911" w:type="dxa"/>
            <w:gridSpan w:val="3"/>
            <w:tcBorders/>
            <w:shd w:fill="auto" w:val="clear"/>
            <w:vAlign w:val="center"/>
          </w:tcPr>
          <w:p>
            <w:pPr>
              <w:pStyle w:val="TableContents"/>
              <w:spacing w:before="0" w:after="283"/>
              <w:jc w:val="left"/>
              <w:rPr/>
            </w:pPr>
            <w:r>
              <w:rPr/>
              <w:t> </w:t>
            </w:r>
          </w:p>
        </w:tc>
        <w:tc>
          <w:tcPr>
            <w:tcW w:w="129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9"/>
        <w:gridCol w:w="354"/>
        <w:gridCol w:w="599"/>
        <w:gridCol w:w="3807"/>
        <w:gridCol w:w="1326"/>
      </w:tblGrid>
      <w:tr>
        <w:trPr/>
        <w:tc>
          <w:tcPr>
            <w:tcW w:w="4119" w:type="dxa"/>
            <w:tcBorders/>
            <w:shd w:fill="auto" w:val="clear"/>
            <w:vAlign w:val="center"/>
          </w:tcPr>
          <w:p>
            <w:pPr>
              <w:pStyle w:val="TableContents"/>
              <w:spacing w:before="0" w:after="283"/>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07" w:type="dxa"/>
            <w:tcBorders/>
            <w:shd w:fill="auto" w:val="clear"/>
            <w:vAlign w:val="center"/>
          </w:tcPr>
          <w:p>
            <w:pPr>
              <w:pStyle w:val="TableContents"/>
              <w:spacing w:before="0" w:after="283"/>
              <w:rPr/>
            </w:pPr>
            <w:r>
              <w:rPr/>
              <w:t>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tcPr>
          <w:p>
            <w:pPr>
              <w:pStyle w:val="TableContents"/>
              <w:spacing w:before="0" w:after="283"/>
              <w:jc w:val="left"/>
              <w:rPr/>
            </w:pPr>
            <w:r>
              <w:rPr/>
              <w:t> </w:t>
            </w:r>
          </w:p>
        </w:tc>
        <w:tc>
          <w:tcPr>
            <w:tcW w:w="4760" w:type="dxa"/>
            <w:gridSpan w:val="3"/>
            <w:tcBorders/>
            <w:shd w:fill="auto" w:val="clear"/>
            <w:vAlign w:val="center"/>
          </w:tcPr>
          <w:p>
            <w:pPr>
              <w:pStyle w:val="TableContents"/>
              <w:spacing w:before="0" w:after="283"/>
              <w:jc w:val="left"/>
              <w:rPr/>
            </w:pPr>
            <w:r>
              <w:rPr>
                <w:b/>
              </w:rPr>
              <w:t>HUGO NEU CORPORATION</w:t>
            </w:r>
            <w:r>
              <w:rPr/>
              <w:t xml:space="preserve"> </w:t>
              <w:br/>
              <w:t>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tcPr>
          <w:p>
            <w:pPr>
              <w:pStyle w:val="TableContents"/>
              <w:spacing w:before="0" w:after="283"/>
              <w:rPr/>
            </w:pPr>
            <w:r>
              <w:rPr/>
              <w:t>By:  </w:t>
            </w:r>
          </w:p>
        </w:tc>
        <w:tc>
          <w:tcPr>
            <w:tcW w:w="4406"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Silver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07" w:type="dxa"/>
            <w:tcBorders/>
            <w:shd w:fill="auto" w:val="clear"/>
            <w:vAlign w:val="center"/>
          </w:tcPr>
          <w:p>
            <w:pPr>
              <w:pStyle w:val="TableContents"/>
              <w:spacing w:before="0" w:after="283"/>
              <w:jc w:val="left"/>
              <w:rPr/>
            </w:pPr>
            <w:r>
              <w:rPr/>
              <w:t>David Silver  </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07" w:type="dxa"/>
            <w:tcBorders/>
            <w:shd w:fill="auto" w:val="clear"/>
            <w:vAlign w:val="center"/>
          </w:tcPr>
          <w:p>
            <w:pPr>
              <w:pStyle w:val="TableContents"/>
              <w:spacing w:before="0" w:after="283"/>
              <w:jc w:val="left"/>
              <w:rPr/>
            </w:pPr>
            <w:r>
              <w:rPr/>
              <w:t>Executive Vice President and</w:t>
              <w:br/>
              <w:t>Chief Financial Officer</w:t>
            </w:r>
          </w:p>
        </w:tc>
        <w:tc>
          <w:tcPr>
            <w:tcW w:w="1326" w:type="dxa"/>
            <w:tcBorders/>
            <w:shd w:fill="auto" w:val="clear"/>
            <w:vAlign w:val="center"/>
          </w:tcPr>
          <w:p>
            <w:pPr>
              <w:pStyle w:val="TableContents"/>
              <w:spacing w:before="0" w:after="283"/>
              <w:rPr/>
            </w:pPr>
            <w:r>
              <w:rPr/>
              <w:t> </w:t>
            </w:r>
          </w:p>
        </w:tc>
      </w:tr>
      <w:tr>
        <w:trPr/>
        <w:tc>
          <w:tcPr>
            <w:tcW w:w="4119" w:type="dxa"/>
            <w:tcBorders/>
            <w:shd w:fill="auto" w:val="clear"/>
            <w:vAlign w:val="center"/>
          </w:tcPr>
          <w:p>
            <w:pPr>
              <w:pStyle w:val="TableContents"/>
              <w:spacing w:before="0" w:after="283"/>
              <w:jc w:val="left"/>
              <w:rPr/>
            </w:pPr>
            <w:r>
              <w:rPr/>
              <w:t> </w:t>
            </w:r>
          </w:p>
        </w:tc>
        <w:tc>
          <w:tcPr>
            <w:tcW w:w="354" w:type="dxa"/>
            <w:tcBorders/>
            <w:shd w:fill="auto" w:val="clear"/>
            <w:vAlign w:val="center"/>
          </w:tcPr>
          <w:p>
            <w:pPr>
              <w:pStyle w:val="TableContents"/>
              <w:spacing w:before="0" w:after="283"/>
              <w:rPr/>
            </w:pPr>
            <w:r>
              <w:rPr/>
              <w:t> </w:t>
            </w:r>
          </w:p>
        </w:tc>
        <w:tc>
          <w:tcPr>
            <w:tcW w:w="4406" w:type="dxa"/>
            <w:gridSpan w:val="2"/>
            <w:tcBorders/>
            <w:shd w:fill="auto" w:val="clear"/>
          </w:tcPr>
          <w:p>
            <w:pPr>
              <w:pStyle w:val="TableContents"/>
              <w:spacing w:before="0" w:after="283"/>
              <w:rPr/>
            </w:pPr>
            <w:r>
              <w:rPr/>
              <w:t>Address: 120 Fifth Avenue, Suite 600</w:t>
              <w:br/>
              <w:t>New York, NY 10011 </w:t>
            </w:r>
          </w:p>
        </w:tc>
        <w:tc>
          <w:tcPr>
            <w:tcW w:w="132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RCH ENERGY MLP FUND, L.P.</w:t>
            </w:r>
            <w:r>
              <w:rPr/>
              <w:br/>
              <w:br/>
              <w:t>By: RCH ENERGY MLP FUND G.P., L.P.</w:t>
              <w:br/>
              <w:t>Its General Partner</w:t>
              <w:br/>
              <w:br/>
              <w:t>By: RR ADVISORS, LLC, Its General Partner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Robert Raymond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Robert Raymond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Sole Member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xml:space="preserve">RCH Energy MLP Fund, L.P. </w:t>
              <w:br/>
              <w:t>200 Crescent Court, Suite 1060</w:t>
              <w:br/>
              <w:t xml:space="preserve">Dallas, Texas 75201 </w:t>
              <w:br/>
              <w:t xml:space="preserve">Attn: Robert Raymond </w:t>
              <w:br/>
              <w:t>Phone (214) 871-8680</w:t>
              <w:br/>
              <w:t>Fax (214) 871-8683</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RCH ENERGY MLP FUND A, L.P.</w:t>
            </w:r>
            <w:r>
              <w:rPr/>
              <w:br/>
              <w:br/>
              <w:t>By: RCH ENERGY MLP FUND G.P., L.P.</w:t>
              <w:br/>
              <w:t>Its General Partner</w:t>
              <w:br/>
              <w:br/>
              <w:t xml:space="preserve">By: RR ADVISORS, LLC </w:t>
              <w:br/>
              <w:t>Its General Partner</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Robert Raymond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Robert Raymond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Sole Member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RCH Energy MLP Fund A, L.P.</w:t>
              <w:br/>
              <w:t>200 Crescent Court, Suite 1060</w:t>
              <w:br/>
              <w:t>Dallas, Texas 75201</w:t>
              <w:br/>
              <w:t xml:space="preserve">Attn: Robert Raymond </w:t>
              <w:br/>
              <w:t>Phone (214) 871-8680</w:t>
              <w:br/>
              <w:t>Fax (214) 871-8683</w:t>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99"/>
        <w:gridCol w:w="355"/>
        <w:gridCol w:w="635"/>
        <w:gridCol w:w="3795"/>
        <w:gridCol w:w="1321"/>
      </w:tblGrid>
      <w:tr>
        <w:trPr/>
        <w:tc>
          <w:tcPr>
            <w:tcW w:w="4099"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635" w:type="dxa"/>
            <w:tcBorders/>
            <w:shd w:fill="auto" w:val="clear"/>
            <w:vAlign w:val="center"/>
          </w:tcPr>
          <w:p>
            <w:pPr>
              <w:pStyle w:val="TableContents"/>
              <w:spacing w:before="0" w:after="283"/>
              <w:rPr/>
            </w:pPr>
            <w:r>
              <w:rPr/>
              <w:t> </w:t>
            </w:r>
          </w:p>
        </w:tc>
        <w:tc>
          <w:tcPr>
            <w:tcW w:w="3795" w:type="dxa"/>
            <w:tcBorders/>
            <w:shd w:fill="auto" w:val="clear"/>
            <w:vAlign w:val="center"/>
          </w:tcPr>
          <w:p>
            <w:pPr>
              <w:pStyle w:val="TableContents"/>
              <w:spacing w:before="0" w:after="283"/>
              <w:rPr/>
            </w:pPr>
            <w:r>
              <w:rPr/>
              <w:t> </w:t>
            </w:r>
          </w:p>
        </w:tc>
        <w:tc>
          <w:tcPr>
            <w:tcW w:w="1321" w:type="dxa"/>
            <w:tcBorders/>
            <w:shd w:fill="auto" w:val="clear"/>
            <w:vAlign w:val="center"/>
          </w:tcPr>
          <w:p>
            <w:pPr>
              <w:pStyle w:val="TableContents"/>
              <w:spacing w:before="0" w:after="283"/>
              <w:rPr/>
            </w:pPr>
            <w:r>
              <w:rPr/>
              <w:t> </w:t>
            </w:r>
          </w:p>
        </w:tc>
      </w:tr>
      <w:tr>
        <w:trPr/>
        <w:tc>
          <w:tcPr>
            <w:tcW w:w="4099" w:type="dxa"/>
            <w:tcBorders/>
            <w:shd w:fill="auto" w:val="clear"/>
          </w:tcPr>
          <w:p>
            <w:pPr>
              <w:pStyle w:val="TableContents"/>
              <w:spacing w:before="0" w:after="283"/>
              <w:jc w:val="left"/>
              <w:rPr/>
            </w:pPr>
            <w:r>
              <w:rPr/>
              <w:t> </w:t>
            </w:r>
          </w:p>
        </w:tc>
        <w:tc>
          <w:tcPr>
            <w:tcW w:w="4785" w:type="dxa"/>
            <w:gridSpan w:val="3"/>
            <w:tcBorders/>
            <w:shd w:fill="auto" w:val="clear"/>
            <w:vAlign w:val="center"/>
          </w:tcPr>
          <w:p>
            <w:pPr>
              <w:pStyle w:val="TableContents"/>
              <w:spacing w:before="0" w:after="283"/>
              <w:jc w:val="left"/>
              <w:rPr/>
            </w:pPr>
            <w:r>
              <w:rPr>
                <w:b/>
              </w:rPr>
              <w:t>TORTOISE ENERGY CAPITAL CORPORATION</w:t>
            </w:r>
            <w:r>
              <w:rPr/>
              <w:br/>
              <w:t> </w:t>
            </w:r>
          </w:p>
        </w:tc>
        <w:tc>
          <w:tcPr>
            <w:tcW w:w="1321"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5" w:type="dxa"/>
            <w:tcBorders/>
            <w:shd w:fill="auto" w:val="clear"/>
          </w:tcPr>
          <w:p>
            <w:pPr>
              <w:pStyle w:val="TableContents"/>
              <w:spacing w:before="0" w:after="283"/>
              <w:rPr/>
            </w:pPr>
            <w:r>
              <w:rPr/>
              <w:t>By:  </w:t>
            </w:r>
          </w:p>
        </w:tc>
        <w:tc>
          <w:tcPr>
            <w:tcW w:w="4430" w:type="dxa"/>
            <w:gridSpan w:val="2"/>
            <w:tcBorders>
              <w:bottom w:val="single" w:sz="2" w:space="0" w:color="000000"/>
            </w:tcBorders>
            <w:shd w:fill="auto" w:val="clear"/>
            <w:tcMar>
              <w:bottom w:w="28" w:type="dxa"/>
            </w:tcMar>
            <w:vAlign w:val="center"/>
          </w:tcPr>
          <w:p>
            <w:pPr>
              <w:pStyle w:val="TableContents"/>
              <w:spacing w:before="0" w:after="283"/>
              <w:jc w:val="left"/>
              <w:rPr/>
            </w:pPr>
            <w:r>
              <w:rPr/>
              <w:t>/s/ David J. Schulte  </w:t>
            </w:r>
          </w:p>
        </w:tc>
        <w:tc>
          <w:tcPr>
            <w:tcW w:w="1321"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635" w:type="dxa"/>
            <w:tcBorders/>
            <w:shd w:fill="auto" w:val="clear"/>
          </w:tcPr>
          <w:p>
            <w:pPr>
              <w:pStyle w:val="TableContents"/>
              <w:spacing w:before="0" w:after="283"/>
              <w:rPr/>
            </w:pPr>
            <w:r>
              <w:rPr/>
              <w:t>Name:  </w:t>
            </w:r>
          </w:p>
        </w:tc>
        <w:tc>
          <w:tcPr>
            <w:tcW w:w="3795" w:type="dxa"/>
            <w:tcBorders/>
            <w:shd w:fill="auto" w:val="clear"/>
            <w:vAlign w:val="center"/>
          </w:tcPr>
          <w:p>
            <w:pPr>
              <w:pStyle w:val="TableContents"/>
              <w:spacing w:before="0" w:after="283"/>
              <w:jc w:val="left"/>
              <w:rPr/>
            </w:pPr>
            <w:r>
              <w:rPr/>
              <w:t>David J. Schulte </w:t>
            </w:r>
          </w:p>
        </w:tc>
        <w:tc>
          <w:tcPr>
            <w:tcW w:w="1321"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635" w:type="dxa"/>
            <w:tcBorders/>
            <w:shd w:fill="auto" w:val="clear"/>
          </w:tcPr>
          <w:p>
            <w:pPr>
              <w:pStyle w:val="TableContents"/>
              <w:spacing w:before="0" w:after="283"/>
              <w:rPr/>
            </w:pPr>
            <w:r>
              <w:rPr/>
              <w:t>Title:  </w:t>
            </w:r>
          </w:p>
        </w:tc>
        <w:tc>
          <w:tcPr>
            <w:tcW w:w="3795" w:type="dxa"/>
            <w:tcBorders/>
            <w:shd w:fill="auto" w:val="clear"/>
            <w:vAlign w:val="center"/>
          </w:tcPr>
          <w:p>
            <w:pPr>
              <w:pStyle w:val="TableContents"/>
              <w:spacing w:before="0" w:after="283"/>
              <w:jc w:val="left"/>
              <w:rPr/>
            </w:pPr>
            <w:r>
              <w:rPr/>
              <w:t>Chief Executive Officer and President</w:t>
            </w:r>
          </w:p>
        </w:tc>
        <w:tc>
          <w:tcPr>
            <w:tcW w:w="1321" w:type="dxa"/>
            <w:tcBorders/>
            <w:shd w:fill="auto" w:val="clear"/>
            <w:vAlign w:val="center"/>
          </w:tcPr>
          <w:p>
            <w:pPr>
              <w:pStyle w:val="TableContents"/>
              <w:spacing w:before="0" w:after="283"/>
              <w:rPr/>
            </w:pPr>
            <w:r>
              <w:rPr/>
              <w:t> </w:t>
            </w:r>
          </w:p>
        </w:tc>
      </w:tr>
      <w:tr>
        <w:trPr/>
        <w:tc>
          <w:tcPr>
            <w:tcW w:w="4099" w:type="dxa"/>
            <w:tcBorders/>
            <w:shd w:fill="auto" w:val="clear"/>
            <w:vAlign w:val="center"/>
          </w:tcPr>
          <w:p>
            <w:pPr>
              <w:pStyle w:val="TableContents"/>
              <w:spacing w:before="0" w:after="283"/>
              <w:jc w:val="left"/>
              <w:rPr/>
            </w:pPr>
            <w:r>
              <w:rPr/>
              <w:t> </w:t>
            </w:r>
          </w:p>
        </w:tc>
        <w:tc>
          <w:tcPr>
            <w:tcW w:w="355" w:type="dxa"/>
            <w:tcBorders/>
            <w:shd w:fill="auto" w:val="clear"/>
            <w:vAlign w:val="center"/>
          </w:tcPr>
          <w:p>
            <w:pPr>
              <w:pStyle w:val="TableContents"/>
              <w:spacing w:before="0" w:after="283"/>
              <w:rPr/>
            </w:pPr>
            <w:r>
              <w:rPr/>
              <w:t> </w:t>
            </w:r>
          </w:p>
        </w:tc>
        <w:tc>
          <w:tcPr>
            <w:tcW w:w="4430" w:type="dxa"/>
            <w:gridSpan w:val="2"/>
            <w:tcBorders/>
            <w:shd w:fill="auto" w:val="clear"/>
          </w:tcPr>
          <w:p>
            <w:pPr>
              <w:pStyle w:val="TableContents"/>
              <w:spacing w:before="0" w:after="283"/>
              <w:rPr/>
            </w:pPr>
            <w:r>
              <w:rPr/>
              <w:t xml:space="preserve">Address: 10801 Mastin Blvd., Suite 222, Overland </w:t>
              <w:br/>
              <w:t>                  Park, KS 66210 </w:t>
            </w:r>
          </w:p>
        </w:tc>
        <w:tc>
          <w:tcPr>
            <w:tcW w:w="132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330"/>
        <w:gridCol w:w="133"/>
        <w:gridCol w:w="315"/>
        <w:gridCol w:w="133"/>
        <w:gridCol w:w="4130"/>
        <w:gridCol w:w="133"/>
        <w:gridCol w:w="1031"/>
      </w:tblGrid>
      <w:tr>
        <w:trPr/>
        <w:tc>
          <w:tcPr>
            <w:tcW w:w="433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r>
      <w:tr>
        <w:trPr/>
        <w:tc>
          <w:tcPr>
            <w:tcW w:w="4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78" w:type="dxa"/>
            <w:gridSpan w:val="3"/>
            <w:tcBorders/>
            <w:shd w:fill="auto" w:val="clear"/>
          </w:tcPr>
          <w:p>
            <w:pPr>
              <w:pStyle w:val="TableContents"/>
              <w:spacing w:before="0" w:after="283"/>
              <w:jc w:val="left"/>
              <w:rPr>
                <w:b/>
              </w:rPr>
            </w:pPr>
            <w:r>
              <w:rPr>
                <w:b/>
              </w:rPr>
              <w:t>ALERIAN CAPITAL PARTNERS, L.P.</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78" w:type="dxa"/>
            <w:gridSpan w:val="3"/>
            <w:tcBorders/>
            <w:shd w:fill="auto" w:val="clear"/>
          </w:tcPr>
          <w:p>
            <w:pPr>
              <w:pStyle w:val="TableContents"/>
              <w:spacing w:before="0" w:after="283"/>
              <w:jc w:val="left"/>
              <w:rPr/>
            </w:pPr>
            <w:r>
              <w:rPr/>
              <w:t>By: ALERIAN CAPITAL ADVISORS, LCC</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0"/>
              <w:jc w:val="left"/>
              <w:rPr/>
            </w:pPr>
            <w:r>
              <w:rPr/>
              <w:t xml:space="preserve">/s/ Richard Levy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Richard Levy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Title: Chief Financial Officer</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45 Rockefeller Plaza Suite 2000</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New York, NY 10111</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330"/>
        <w:gridCol w:w="133"/>
        <w:gridCol w:w="315"/>
        <w:gridCol w:w="133"/>
        <w:gridCol w:w="4130"/>
        <w:gridCol w:w="133"/>
        <w:gridCol w:w="1031"/>
      </w:tblGrid>
      <w:tr>
        <w:trPr/>
        <w:tc>
          <w:tcPr>
            <w:tcW w:w="433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vAlign w:val="bottom"/>
          </w:tcPr>
          <w:p>
            <w:pPr>
              <w:pStyle w:val="TableContents"/>
              <w:spacing w:before="0" w:after="283"/>
              <w:rPr/>
            </w:pPr>
            <w:r>
              <w:rPr/>
              <w:t> </w:t>
            </w:r>
          </w:p>
        </w:tc>
      </w:tr>
      <w:tr>
        <w:trPr/>
        <w:tc>
          <w:tcPr>
            <w:tcW w:w="4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78" w:type="dxa"/>
            <w:gridSpan w:val="3"/>
            <w:tcBorders/>
            <w:shd w:fill="auto" w:val="clear"/>
          </w:tcPr>
          <w:p>
            <w:pPr>
              <w:pStyle w:val="TableContents"/>
              <w:spacing w:before="0" w:after="283"/>
              <w:jc w:val="left"/>
              <w:rPr>
                <w:b/>
              </w:rPr>
            </w:pPr>
            <w:r>
              <w:rPr>
                <w:b/>
              </w:rPr>
              <w:t>ALERIAN FOCUS PARTNERS, L.P.</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578" w:type="dxa"/>
            <w:gridSpan w:val="3"/>
            <w:tcBorders/>
            <w:shd w:fill="auto" w:val="clear"/>
          </w:tcPr>
          <w:p>
            <w:pPr>
              <w:pStyle w:val="TableContents"/>
              <w:spacing w:before="0" w:after="283"/>
              <w:jc w:val="left"/>
              <w:rPr/>
            </w:pPr>
            <w:r>
              <w:rPr/>
              <w:t>By: ALERIAN FOCUS ADVISORS, LCC</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0"/>
              <w:jc w:val="left"/>
              <w:rPr/>
            </w:pPr>
            <w:r>
              <w:rPr/>
              <w:t xml:space="preserve">/s/ Richard Levy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Richard Levy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Title: Chief Financial Officer</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45 Rockefeller Plaza Suite 2000</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r>
        <w:trPr/>
        <w:tc>
          <w:tcPr>
            <w:tcW w:w="4330"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1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130" w:type="dxa"/>
            <w:tcBorders/>
            <w:shd w:fill="auto" w:val="clear"/>
          </w:tcPr>
          <w:p>
            <w:pPr>
              <w:pStyle w:val="TableContents"/>
              <w:spacing w:before="0" w:after="283"/>
              <w:jc w:val="left"/>
              <w:rPr/>
            </w:pPr>
            <w:r>
              <w:rPr/>
              <w:t>New York, NY 10111</w:t>
            </w:r>
          </w:p>
        </w:tc>
        <w:tc>
          <w:tcPr>
            <w:tcW w:w="133" w:type="dxa"/>
            <w:tcBorders/>
            <w:shd w:fill="auto" w:val="clear"/>
            <w:vAlign w:val="bottom"/>
          </w:tcPr>
          <w:p>
            <w:pPr>
              <w:pStyle w:val="TableContents"/>
              <w:spacing w:before="0" w:after="283"/>
              <w:rPr/>
            </w:pPr>
            <w:r>
              <w:rPr/>
              <w:t> </w:t>
            </w:r>
          </w:p>
        </w:tc>
        <w:tc>
          <w:tcPr>
            <w:tcW w:w="1031" w:type="dxa"/>
            <w:tcBorders/>
            <w:shd w:fill="auto" w:val="clear"/>
          </w:tcPr>
          <w:p>
            <w:pPr>
              <w:pStyle w:val="TableContents"/>
              <w:spacing w:before="0" w:after="283"/>
              <w:jc w:val="left"/>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117"/>
        <w:gridCol w:w="132"/>
        <w:gridCol w:w="425"/>
        <w:gridCol w:w="132"/>
        <w:gridCol w:w="4281"/>
        <w:gridCol w:w="132"/>
        <w:gridCol w:w="986"/>
      </w:tblGrid>
      <w:tr>
        <w:trPr/>
        <w:tc>
          <w:tcPr>
            <w:tcW w:w="411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b/>
              </w:rPr>
            </w:pPr>
            <w:r>
              <w:rPr>
                <w:b/>
              </w:rPr>
              <w:t>EAGLE INCOME APPRECIATION PARTNERS, L.P.</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By: Eagle Income Appreciation GP, LLC</w:t>
              <w:br/>
              <w:t>By: Eagle Global Advisors, LLC</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0"/>
              <w:jc w:val="left"/>
              <w:rPr/>
            </w:pPr>
            <w:r>
              <w:rPr/>
              <w:t xml:space="preserve">/s/ Malcom Day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Malcom Day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Title: Partner</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117"/>
        <w:gridCol w:w="132"/>
        <w:gridCol w:w="425"/>
        <w:gridCol w:w="132"/>
        <w:gridCol w:w="4281"/>
        <w:gridCol w:w="132"/>
        <w:gridCol w:w="986"/>
      </w:tblGrid>
      <w:tr>
        <w:trPr/>
        <w:tc>
          <w:tcPr>
            <w:tcW w:w="411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vAlign w:val="bottom"/>
          </w:tcPr>
          <w:p>
            <w:pPr>
              <w:pStyle w:val="TableContents"/>
              <w:spacing w:before="0" w:after="283"/>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b/>
              </w:rPr>
            </w:pPr>
            <w:r>
              <w:rPr>
                <w:b/>
              </w:rPr>
              <w:t>EAGLE INCOME APPRECIATION II, L.P.</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By: Eagle Income Appreciation GP, LLC</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By: Eagle Global Advisors, LLC</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/s/ Malcom Day</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center"/>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center"/>
          </w:tcPr>
          <w:p>
            <w:pPr>
              <w:pStyle w:val="TableContents"/>
              <w:spacing w:before="0" w:after="283"/>
              <w:rPr/>
            </w:pPr>
            <w:r>
              <w:rPr/>
              <w:t> </w:t>
            </w:r>
          </w:p>
        </w:tc>
        <w:tc>
          <w:tcPr>
            <w:tcW w:w="4281" w:type="dxa"/>
            <w:tcBorders>
              <w:top w:val="single" w:sz="2" w:space="0" w:color="000000"/>
            </w:tcBorders>
            <w:shd w:fill="auto" w:val="clear"/>
            <w:tcMar>
              <w:top w:w="28" w:type="dxa"/>
            </w:tcMar>
          </w:tcPr>
          <w:p>
            <w:pPr>
              <w:pStyle w:val="TableContents"/>
              <w:spacing w:before="0" w:after="283"/>
              <w:jc w:val="left"/>
              <w:rPr/>
            </w:pPr>
            <w:r>
              <w:rPr/>
              <w:t> </w:t>
            </w:r>
          </w:p>
        </w:tc>
        <w:tc>
          <w:tcPr>
            <w:tcW w:w="132" w:type="dxa"/>
            <w:tcBorders/>
            <w:shd w:fill="auto" w:val="clear"/>
            <w:vAlign w:val="center"/>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Name: Malcom Day</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Title: Partner</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425"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81"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Address:</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5847 San Felipe Road, Suite 930</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r>
        <w:trPr/>
        <w:tc>
          <w:tcPr>
            <w:tcW w:w="4117" w:type="dxa"/>
            <w:tcBorders/>
            <w:shd w:fill="auto" w:val="clear"/>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838" w:type="dxa"/>
            <w:gridSpan w:val="3"/>
            <w:tcBorders/>
            <w:shd w:fill="auto" w:val="clear"/>
          </w:tcPr>
          <w:p>
            <w:pPr>
              <w:pStyle w:val="TableContents"/>
              <w:spacing w:before="0" w:after="283"/>
              <w:jc w:val="left"/>
              <w:rPr/>
            </w:pPr>
            <w:r>
              <w:rPr/>
              <w:t>Houston, TX 77057</w:t>
            </w:r>
          </w:p>
        </w:tc>
        <w:tc>
          <w:tcPr>
            <w:tcW w:w="132" w:type="dxa"/>
            <w:tcBorders/>
            <w:shd w:fill="auto" w:val="clear"/>
            <w:vAlign w:val="bottom"/>
          </w:tcPr>
          <w:p>
            <w:pPr>
              <w:pStyle w:val="TableContents"/>
              <w:spacing w:before="0" w:after="283"/>
              <w:rPr/>
            </w:pPr>
            <w:r>
              <w:rPr/>
              <w:t> </w:t>
            </w:r>
          </w:p>
        </w:tc>
        <w:tc>
          <w:tcPr>
            <w:tcW w:w="986" w:type="dxa"/>
            <w:tcBorders/>
            <w:shd w:fill="auto" w:val="clear"/>
          </w:tcPr>
          <w:p>
            <w:pPr>
              <w:pStyle w:val="TableContents"/>
              <w:spacing w:before="0" w:after="283"/>
              <w:jc w:val="left"/>
              <w:rPr/>
            </w:pPr>
            <w:r>
              <w:rPr/>
              <w:t> </w:t>
            </w:r>
          </w:p>
        </w:tc>
      </w:tr>
    </w:tbl>
    <w:p>
      <w:pPr>
        <w:pStyle w:val="TextBody"/>
        <w:spacing w:before="12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404"/>
        <w:gridCol w:w="133"/>
        <w:gridCol w:w="307"/>
        <w:gridCol w:w="133"/>
        <w:gridCol w:w="4048"/>
        <w:gridCol w:w="133"/>
        <w:gridCol w:w="1047"/>
      </w:tblGrid>
      <w:tr>
        <w:trPr/>
        <w:tc>
          <w:tcPr>
            <w:tcW w:w="4404"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r>
      <w:tr>
        <w:trPr/>
        <w:tc>
          <w:tcPr>
            <w:tcW w:w="4404"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88" w:type="dxa"/>
            <w:gridSpan w:val="3"/>
            <w:tcBorders/>
            <w:shd w:fill="auto" w:val="clear"/>
          </w:tcPr>
          <w:p>
            <w:pPr>
              <w:pStyle w:val="TableContents"/>
              <w:spacing w:before="0" w:after="283"/>
              <w:jc w:val="left"/>
              <w:rPr>
                <w:b/>
              </w:rPr>
            </w:pPr>
            <w:r>
              <w:rPr>
                <w:b/>
              </w:rPr>
              <w:t>HARTZ CAPITAL MLP, LLC</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Hartz Trading, Inc.,</w:t>
              <w:br/>
              <w:t>Its Manager</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0"/>
              <w:jc w:val="left"/>
              <w:rPr/>
            </w:pPr>
            <w:r>
              <w:rPr/>
              <w:t xml:space="preserve">/s/ Ronald J. Bangs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Ronald J. Bangs </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Title: Vice President</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400 Plaza Drive</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r>
        <w:trPr/>
        <w:tc>
          <w:tcPr>
            <w:tcW w:w="4404"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48" w:type="dxa"/>
            <w:tcBorders/>
            <w:shd w:fill="auto" w:val="clear"/>
          </w:tcPr>
          <w:p>
            <w:pPr>
              <w:pStyle w:val="TableContents"/>
              <w:spacing w:before="0" w:after="283"/>
              <w:jc w:val="left"/>
              <w:rPr/>
            </w:pPr>
            <w:r>
              <w:rPr/>
              <w:t>Secaucus, NJ 07094</w:t>
            </w:r>
          </w:p>
        </w:tc>
        <w:tc>
          <w:tcPr>
            <w:tcW w:w="133" w:type="dxa"/>
            <w:tcBorders/>
            <w:shd w:fill="auto" w:val="clear"/>
            <w:vAlign w:val="bottom"/>
          </w:tcPr>
          <w:p>
            <w:pPr>
              <w:pStyle w:val="TableContents"/>
              <w:spacing w:before="0" w:after="283"/>
              <w:rPr/>
            </w:pPr>
            <w:r>
              <w:rPr/>
              <w:t> </w:t>
            </w:r>
          </w:p>
        </w:tc>
        <w:tc>
          <w:tcPr>
            <w:tcW w:w="1047"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166"/>
        <w:gridCol w:w="135"/>
        <w:gridCol w:w="436"/>
        <w:gridCol w:w="135"/>
        <w:gridCol w:w="4202"/>
        <w:gridCol w:w="135"/>
        <w:gridCol w:w="996"/>
      </w:tblGrid>
      <w:tr>
        <w:trPr/>
        <w:tc>
          <w:tcPr>
            <w:tcW w:w="416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996" w:type="dxa"/>
            <w:tcBorders/>
            <w:shd w:fill="auto" w:val="clear"/>
            <w:vAlign w:val="bottom"/>
          </w:tcPr>
          <w:p>
            <w:pPr>
              <w:pStyle w:val="TableContents"/>
              <w:spacing w:before="0" w:after="283"/>
              <w:rPr/>
            </w:pPr>
            <w:r>
              <w:rPr/>
              <w:t> </w:t>
            </w:r>
          </w:p>
        </w:tc>
      </w:tr>
      <w:tr>
        <w:trPr/>
        <w:tc>
          <w:tcPr>
            <w:tcW w:w="4166" w:type="dxa"/>
            <w:tcBorders/>
            <w:shd w:fill="auto" w:val="clear"/>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4773" w:type="dxa"/>
            <w:gridSpan w:val="3"/>
            <w:tcBorders/>
            <w:shd w:fill="auto" w:val="clear"/>
          </w:tcPr>
          <w:p>
            <w:pPr>
              <w:pStyle w:val="TableContents"/>
              <w:spacing w:before="0" w:after="283"/>
              <w:jc w:val="left"/>
              <w:rPr>
                <w:b/>
              </w:rPr>
            </w:pPr>
            <w:r>
              <w:rPr>
                <w:b/>
              </w:rPr>
              <w:t>STRUCTURED FINANCE AMERICAS, LLC</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xml:space="preserve">By: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0"/>
              <w:jc w:val="left"/>
              <w:rPr/>
            </w:pPr>
            <w:r>
              <w:rPr/>
              <w:t xml:space="preserve">/s/ Andrea Leung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Andrea Leung </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Title: Vice President</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xml:space="preserve">By: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/s/ Jill Rathjen</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center"/>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center"/>
          </w:tcPr>
          <w:p>
            <w:pPr>
              <w:pStyle w:val="TableContents"/>
              <w:spacing w:before="0" w:after="283"/>
              <w:rPr/>
            </w:pPr>
            <w:r>
              <w:rPr/>
              <w:t> </w:t>
            </w:r>
          </w:p>
        </w:tc>
        <w:tc>
          <w:tcPr>
            <w:tcW w:w="4202" w:type="dxa"/>
            <w:tcBorders>
              <w:top w:val="single" w:sz="2" w:space="0" w:color="000000"/>
            </w:tcBorders>
            <w:shd w:fill="auto" w:val="clear"/>
            <w:tcMar>
              <w:top w:w="28" w:type="dxa"/>
            </w:tcMar>
          </w:tcPr>
          <w:p>
            <w:pPr>
              <w:pStyle w:val="TableContents"/>
              <w:spacing w:before="0" w:after="283"/>
              <w:jc w:val="left"/>
              <w:rPr/>
            </w:pPr>
            <w:r>
              <w:rPr/>
              <w:t> </w:t>
            </w:r>
          </w:p>
        </w:tc>
        <w:tc>
          <w:tcPr>
            <w:tcW w:w="135" w:type="dxa"/>
            <w:tcBorders/>
            <w:shd w:fill="auto" w:val="clear"/>
            <w:vAlign w:val="center"/>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Name: Jill Rathjen</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r>
        <w:trPr/>
        <w:tc>
          <w:tcPr>
            <w:tcW w:w="4166"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436"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4202" w:type="dxa"/>
            <w:tcBorders/>
            <w:shd w:fill="auto" w:val="clear"/>
          </w:tcPr>
          <w:p>
            <w:pPr>
              <w:pStyle w:val="TableContents"/>
              <w:spacing w:before="0" w:after="283"/>
              <w:jc w:val="left"/>
              <w:rPr/>
            </w:pPr>
            <w:r>
              <w:rPr/>
              <w:t>Title: Vice President</w:t>
            </w:r>
          </w:p>
        </w:tc>
        <w:tc>
          <w:tcPr>
            <w:tcW w:w="135" w:type="dxa"/>
            <w:tcBorders/>
            <w:shd w:fill="auto" w:val="clear"/>
            <w:vAlign w:val="bottom"/>
          </w:tcPr>
          <w:p>
            <w:pPr>
              <w:pStyle w:val="TableContents"/>
              <w:spacing w:before="0" w:after="283"/>
              <w:rPr/>
            </w:pPr>
            <w:r>
              <w:rPr/>
              <w:t> </w:t>
            </w:r>
          </w:p>
        </w:tc>
        <w:tc>
          <w:tcPr>
            <w:tcW w:w="996"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14"/>
        <w:gridCol w:w="350"/>
        <w:gridCol w:w="599"/>
        <w:gridCol w:w="3817"/>
        <w:gridCol w:w="1325"/>
      </w:tblGrid>
      <w:tr>
        <w:trPr/>
        <w:tc>
          <w:tcPr>
            <w:tcW w:w="4114"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vAlign w:val="center"/>
          </w:tcPr>
          <w:p>
            <w:pPr>
              <w:pStyle w:val="TableContents"/>
              <w:spacing w:before="0" w:after="283"/>
              <w:rPr/>
            </w:pPr>
            <w:r>
              <w:rPr/>
              <w:t> </w:t>
            </w:r>
          </w:p>
        </w:tc>
        <w:tc>
          <w:tcPr>
            <w:tcW w:w="3817" w:type="dxa"/>
            <w:tcBorders/>
            <w:shd w:fill="auto" w:val="clear"/>
            <w:vAlign w:val="center"/>
          </w:tcPr>
          <w:p>
            <w:pPr>
              <w:pStyle w:val="TableContents"/>
              <w:spacing w:before="0" w:after="283"/>
              <w:rPr/>
            </w:pPr>
            <w:r>
              <w:rP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tcPr>
          <w:p>
            <w:pPr>
              <w:pStyle w:val="TableContents"/>
              <w:spacing w:before="0" w:after="283"/>
              <w:jc w:val="left"/>
              <w:rPr/>
            </w:pPr>
            <w:r>
              <w:rPr/>
              <w:t> </w:t>
            </w:r>
          </w:p>
        </w:tc>
        <w:tc>
          <w:tcPr>
            <w:tcW w:w="4766" w:type="dxa"/>
            <w:gridSpan w:val="3"/>
            <w:tcBorders/>
            <w:shd w:fill="auto" w:val="clear"/>
            <w:vAlign w:val="center"/>
          </w:tcPr>
          <w:p>
            <w:pPr>
              <w:pStyle w:val="TableContents"/>
              <w:spacing w:before="0" w:after="283"/>
              <w:jc w:val="left"/>
              <w:rPr/>
            </w:pPr>
            <w:r>
              <w:rPr>
                <w:b/>
              </w:rPr>
              <w:t>ZLP FUND, L.P.</w:t>
            </w:r>
            <w:r>
              <w:rPr/>
              <w:br/>
              <w:br/>
              <w:t>By: Zimmer Lucas Partners, LLC, its</w:t>
              <w:br/>
              <w:t>General Partner</w:t>
              <w:br/>
              <w:t>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416" w:type="dxa"/>
            <w:gridSpan w:val="2"/>
            <w:tcBorders>
              <w:bottom w:val="single" w:sz="2" w:space="0" w:color="000000"/>
            </w:tcBorders>
            <w:shd w:fill="auto" w:val="clear"/>
            <w:tcMar>
              <w:bottom w:w="28" w:type="dxa"/>
            </w:tcMar>
            <w:vAlign w:val="center"/>
          </w:tcPr>
          <w:p>
            <w:pPr>
              <w:pStyle w:val="TableContents"/>
              <w:spacing w:before="0" w:after="283"/>
              <w:jc w:val="left"/>
              <w:rPr/>
            </w:pPr>
            <w:r>
              <w:rPr/>
              <w:t>/s/ Craig M. Lucas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Name:  </w:t>
            </w:r>
          </w:p>
        </w:tc>
        <w:tc>
          <w:tcPr>
            <w:tcW w:w="3817" w:type="dxa"/>
            <w:tcBorders/>
            <w:shd w:fill="auto" w:val="clear"/>
            <w:vAlign w:val="center"/>
          </w:tcPr>
          <w:p>
            <w:pPr>
              <w:pStyle w:val="TableContents"/>
              <w:spacing w:before="0" w:after="283"/>
              <w:jc w:val="left"/>
              <w:rPr/>
            </w:pPr>
            <w:r>
              <w:rPr/>
              <w:t>Craig M. Lucas </w:t>
            </w:r>
          </w:p>
        </w:tc>
        <w:tc>
          <w:tcPr>
            <w:tcW w:w="1325" w:type="dxa"/>
            <w:tcBorders/>
            <w:shd w:fill="auto" w:val="clear"/>
            <w:vAlign w:val="center"/>
          </w:tcPr>
          <w:p>
            <w:pPr>
              <w:pStyle w:val="TableContents"/>
              <w:spacing w:before="0" w:after="283"/>
              <w:rPr/>
            </w:pPr>
            <w:r>
              <w:rPr/>
              <w:t> </w:t>
            </w:r>
          </w:p>
        </w:tc>
      </w:tr>
      <w:tr>
        <w:trPr/>
        <w:tc>
          <w:tcPr>
            <w:tcW w:w="4114"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9" w:type="dxa"/>
            <w:tcBorders/>
            <w:shd w:fill="auto" w:val="clear"/>
          </w:tcPr>
          <w:p>
            <w:pPr>
              <w:pStyle w:val="TableContents"/>
              <w:spacing w:before="0" w:after="283"/>
              <w:rPr/>
            </w:pPr>
            <w:r>
              <w:rPr/>
              <w:t>Title:  </w:t>
            </w:r>
          </w:p>
        </w:tc>
        <w:tc>
          <w:tcPr>
            <w:tcW w:w="3817" w:type="dxa"/>
            <w:tcBorders/>
            <w:shd w:fill="auto" w:val="clear"/>
            <w:vAlign w:val="center"/>
          </w:tcPr>
          <w:p>
            <w:pPr>
              <w:pStyle w:val="TableContents"/>
              <w:spacing w:before="0" w:after="283"/>
              <w:jc w:val="left"/>
              <w:rPr/>
            </w:pPr>
            <w:r>
              <w:rPr/>
              <w:t>Managing Member </w:t>
            </w:r>
          </w:p>
        </w:tc>
        <w:tc>
          <w:tcPr>
            <w:tcW w:w="13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b/>
              </w:rPr>
              <w:t xml:space="preserve">KAYNE ANDERSON MLP </w:t>
              <w:br/>
              <w:t>INVESTMENT COMPANY</w:t>
            </w:r>
            <w:r>
              <w:rPr/>
              <w:b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James C. Baker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James C. Baker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4082"/>
        <w:gridCol w:w="434"/>
        <w:gridCol w:w="601"/>
        <w:gridCol w:w="3772"/>
        <w:gridCol w:w="1316"/>
      </w:tblGrid>
      <w:tr>
        <w:trPr/>
        <w:tc>
          <w:tcPr>
            <w:tcW w:w="4082"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601" w:type="dxa"/>
            <w:tcBorders/>
            <w:shd w:fill="auto" w:val="clear"/>
            <w:vAlign w:val="center"/>
          </w:tcPr>
          <w:p>
            <w:pPr>
              <w:pStyle w:val="TableContents"/>
              <w:spacing w:before="0" w:after="283"/>
              <w:rPr/>
            </w:pPr>
            <w:r>
              <w:rPr/>
              <w:t> </w:t>
            </w:r>
          </w:p>
        </w:tc>
        <w:tc>
          <w:tcPr>
            <w:tcW w:w="3772" w:type="dxa"/>
            <w:tcBorders/>
            <w:shd w:fill="auto" w:val="clear"/>
            <w:vAlign w:val="center"/>
          </w:tcPr>
          <w:p>
            <w:pPr>
              <w:pStyle w:val="TableContents"/>
              <w:spacing w:before="0" w:after="283"/>
              <w:rPr/>
            </w:pPr>
            <w:r>
              <w:rPr/>
              <w:t> </w:t>
            </w:r>
          </w:p>
        </w:tc>
        <w:tc>
          <w:tcPr>
            <w:tcW w:w="1316" w:type="dxa"/>
            <w:tcBorders/>
            <w:shd w:fill="auto" w:val="clear"/>
            <w:vAlign w:val="center"/>
          </w:tcPr>
          <w:p>
            <w:pPr>
              <w:pStyle w:val="TableContents"/>
              <w:spacing w:before="0" w:after="283"/>
              <w:rPr/>
            </w:pPr>
            <w:r>
              <w:rPr/>
              <w:t> </w:t>
            </w:r>
          </w:p>
        </w:tc>
      </w:tr>
      <w:tr>
        <w:trPr/>
        <w:tc>
          <w:tcPr>
            <w:tcW w:w="4082" w:type="dxa"/>
            <w:tcBorders/>
            <w:shd w:fill="auto" w:val="clear"/>
          </w:tcPr>
          <w:p>
            <w:pPr>
              <w:pStyle w:val="TableContents"/>
              <w:spacing w:before="0" w:after="283"/>
              <w:jc w:val="left"/>
              <w:rPr/>
            </w:pPr>
            <w:r>
              <w:rPr/>
              <w:t> </w:t>
            </w:r>
          </w:p>
        </w:tc>
        <w:tc>
          <w:tcPr>
            <w:tcW w:w="4807" w:type="dxa"/>
            <w:gridSpan w:val="3"/>
            <w:tcBorders/>
            <w:shd w:fill="auto" w:val="clear"/>
            <w:vAlign w:val="center"/>
          </w:tcPr>
          <w:p>
            <w:pPr>
              <w:pStyle w:val="TableContents"/>
              <w:spacing w:before="0" w:after="283"/>
              <w:jc w:val="left"/>
              <w:rPr/>
            </w:pPr>
            <w:r>
              <w:rPr>
                <w:b/>
              </w:rPr>
              <w:t>KAYNE ANDERSON ENERGY</w:t>
              <w:br/>
              <w:t>DEVELOPMENT COMPANY</w:t>
            </w:r>
            <w:r>
              <w:rPr/>
              <w:br/>
              <w:t> </w:t>
            </w:r>
          </w:p>
        </w:tc>
        <w:tc>
          <w:tcPr>
            <w:tcW w:w="1316" w:type="dxa"/>
            <w:tcBorders/>
            <w:shd w:fill="auto" w:val="clear"/>
            <w:vAlign w:val="center"/>
          </w:tcPr>
          <w:p>
            <w:pPr>
              <w:pStyle w:val="TableContents"/>
              <w:spacing w:before="0" w:after="283"/>
              <w:rPr/>
            </w:pPr>
            <w:r>
              <w:rPr/>
              <w:t> </w:t>
            </w:r>
          </w:p>
        </w:tc>
      </w:tr>
      <w:tr>
        <w:trPr/>
        <w:tc>
          <w:tcPr>
            <w:tcW w:w="4082" w:type="dxa"/>
            <w:tcBorders/>
            <w:shd w:fill="auto" w:val="clear"/>
            <w:vAlign w:val="center"/>
          </w:tcPr>
          <w:p>
            <w:pPr>
              <w:pStyle w:val="TableContents"/>
              <w:spacing w:before="0" w:after="283"/>
              <w:jc w:val="left"/>
              <w:rPr/>
            </w:pPr>
            <w:r>
              <w:rPr/>
              <w:t> </w:t>
            </w:r>
          </w:p>
        </w:tc>
        <w:tc>
          <w:tcPr>
            <w:tcW w:w="434" w:type="dxa"/>
            <w:tcBorders/>
            <w:shd w:fill="auto" w:val="clear"/>
          </w:tcPr>
          <w:p>
            <w:pPr>
              <w:pStyle w:val="TableContents"/>
              <w:spacing w:before="0" w:after="283"/>
              <w:rPr/>
            </w:pPr>
            <w:r>
              <w:rPr/>
              <w:t>By:  </w:t>
            </w:r>
          </w:p>
        </w:tc>
        <w:tc>
          <w:tcPr>
            <w:tcW w:w="4373" w:type="dxa"/>
            <w:gridSpan w:val="2"/>
            <w:tcBorders>
              <w:bottom w:val="single" w:sz="2" w:space="0" w:color="000000"/>
            </w:tcBorders>
            <w:shd w:fill="auto" w:val="clear"/>
            <w:tcMar>
              <w:bottom w:w="28" w:type="dxa"/>
            </w:tcMar>
            <w:vAlign w:val="center"/>
          </w:tcPr>
          <w:p>
            <w:pPr>
              <w:pStyle w:val="TableContents"/>
              <w:spacing w:before="0" w:after="283"/>
              <w:jc w:val="left"/>
              <w:rPr/>
            </w:pPr>
            <w:r>
              <w:rPr/>
              <w:t>/s/ James C. Baker  </w:t>
            </w:r>
          </w:p>
        </w:tc>
        <w:tc>
          <w:tcPr>
            <w:tcW w:w="1316" w:type="dxa"/>
            <w:tcBorders/>
            <w:shd w:fill="auto" w:val="clear"/>
            <w:vAlign w:val="center"/>
          </w:tcPr>
          <w:p>
            <w:pPr>
              <w:pStyle w:val="TableContents"/>
              <w:spacing w:before="0" w:after="283"/>
              <w:rPr/>
            </w:pPr>
            <w:r>
              <w:rPr/>
              <w:t> </w:t>
            </w:r>
          </w:p>
        </w:tc>
      </w:tr>
      <w:tr>
        <w:trPr/>
        <w:tc>
          <w:tcPr>
            <w:tcW w:w="4082" w:type="dxa"/>
            <w:tcBorders/>
            <w:shd w:fill="auto" w:val="clear"/>
            <w:vAlign w:val="center"/>
          </w:tcPr>
          <w:p>
            <w:pPr>
              <w:pStyle w:val="TableContents"/>
              <w:spacing w:before="0" w:after="283"/>
              <w:jc w:val="left"/>
              <w:rPr/>
            </w:pPr>
            <w:r>
              <w:rPr/>
              <w:t> </w:t>
            </w:r>
          </w:p>
        </w:tc>
        <w:tc>
          <w:tcPr>
            <w:tcW w:w="434"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Name:  </w:t>
            </w:r>
          </w:p>
        </w:tc>
        <w:tc>
          <w:tcPr>
            <w:tcW w:w="3772" w:type="dxa"/>
            <w:tcBorders/>
            <w:shd w:fill="auto" w:val="clear"/>
            <w:vAlign w:val="center"/>
          </w:tcPr>
          <w:p>
            <w:pPr>
              <w:pStyle w:val="TableContents"/>
              <w:spacing w:before="0" w:after="283"/>
              <w:jc w:val="left"/>
              <w:rPr/>
            </w:pPr>
            <w:r>
              <w:rPr/>
              <w:t>James C. Baker </w:t>
            </w:r>
          </w:p>
        </w:tc>
        <w:tc>
          <w:tcPr>
            <w:tcW w:w="1316" w:type="dxa"/>
            <w:tcBorders/>
            <w:shd w:fill="auto" w:val="clear"/>
            <w:vAlign w:val="center"/>
          </w:tcPr>
          <w:p>
            <w:pPr>
              <w:pStyle w:val="TableContents"/>
              <w:spacing w:before="0" w:after="283"/>
              <w:rPr/>
            </w:pPr>
            <w:r>
              <w:rPr/>
              <w:t> </w:t>
            </w:r>
          </w:p>
        </w:tc>
      </w:tr>
      <w:tr>
        <w:trPr/>
        <w:tc>
          <w:tcPr>
            <w:tcW w:w="4082" w:type="dxa"/>
            <w:tcBorders/>
            <w:shd w:fill="auto" w:val="clear"/>
            <w:vAlign w:val="center"/>
          </w:tcPr>
          <w:p>
            <w:pPr>
              <w:pStyle w:val="TableContents"/>
              <w:spacing w:before="0" w:after="283"/>
              <w:jc w:val="left"/>
              <w:rPr/>
            </w:pPr>
            <w:r>
              <w:rPr/>
              <w:t> </w:t>
            </w:r>
          </w:p>
        </w:tc>
        <w:tc>
          <w:tcPr>
            <w:tcW w:w="434" w:type="dxa"/>
            <w:tcBorders/>
            <w:shd w:fill="auto" w:val="clear"/>
            <w:vAlign w:val="center"/>
          </w:tcPr>
          <w:p>
            <w:pPr>
              <w:pStyle w:val="TableContents"/>
              <w:spacing w:before="0" w:after="283"/>
              <w:rPr/>
            </w:pPr>
            <w:r>
              <w:rPr/>
              <w:t> </w:t>
            </w:r>
          </w:p>
        </w:tc>
        <w:tc>
          <w:tcPr>
            <w:tcW w:w="601" w:type="dxa"/>
            <w:tcBorders/>
            <w:shd w:fill="auto" w:val="clear"/>
          </w:tcPr>
          <w:p>
            <w:pPr>
              <w:pStyle w:val="TableContents"/>
              <w:spacing w:before="0" w:after="283"/>
              <w:rPr/>
            </w:pPr>
            <w:r>
              <w:rPr/>
              <w:t>Title:  </w:t>
            </w:r>
          </w:p>
        </w:tc>
        <w:tc>
          <w:tcPr>
            <w:tcW w:w="3772" w:type="dxa"/>
            <w:tcBorders/>
            <w:shd w:fill="auto" w:val="clear"/>
            <w:vAlign w:val="center"/>
          </w:tcPr>
          <w:p>
            <w:pPr>
              <w:pStyle w:val="TableContents"/>
              <w:spacing w:before="0" w:after="283"/>
              <w:jc w:val="left"/>
              <w:rPr/>
            </w:pPr>
            <w:r>
              <w:rPr/>
              <w:t>Vice President </w:t>
            </w:r>
          </w:p>
        </w:tc>
        <w:tc>
          <w:tcPr>
            <w:tcW w:w="1316"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265"/>
        <w:gridCol w:w="220"/>
        <w:gridCol w:w="443"/>
        <w:gridCol w:w="220"/>
        <w:gridCol w:w="3326"/>
        <w:gridCol w:w="220"/>
        <w:gridCol w:w="1511"/>
      </w:tblGrid>
      <w:tr>
        <w:trPr/>
        <w:tc>
          <w:tcPr>
            <w:tcW w:w="4265"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443"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511" w:type="dxa"/>
            <w:tcBorders/>
            <w:shd w:fill="auto" w:val="clear"/>
            <w:vAlign w:val="bottom"/>
          </w:tcPr>
          <w:p>
            <w:pPr>
              <w:pStyle w:val="TableContents"/>
              <w:spacing w:before="0" w:after="283"/>
              <w:rPr/>
            </w:pPr>
            <w:r>
              <w:rPr/>
              <w:t> </w:t>
            </w:r>
          </w:p>
        </w:tc>
      </w:tr>
      <w:tr>
        <w:trPr/>
        <w:tc>
          <w:tcPr>
            <w:tcW w:w="4265" w:type="dxa"/>
            <w:tcBorders/>
            <w:shd w:fill="auto" w:val="clear"/>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3989" w:type="dxa"/>
            <w:gridSpan w:val="3"/>
            <w:tcBorders/>
            <w:shd w:fill="auto" w:val="clear"/>
          </w:tcPr>
          <w:p>
            <w:pPr>
              <w:pStyle w:val="TableContents"/>
              <w:spacing w:before="0" w:after="283"/>
              <w:jc w:val="left"/>
              <w:rPr>
                <w:b/>
              </w:rPr>
            </w:pPr>
            <w:r>
              <w:rPr>
                <w:b/>
              </w:rPr>
              <w:t xml:space="preserve">LEHMAN BROTHERS MLP </w:t>
              <w:br/>
              <w:t>PARTNERS, L.P.</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xml:space="preserve">By: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0"/>
              <w:jc w:val="left"/>
              <w:rPr/>
            </w:pPr>
            <w:r>
              <w:rPr/>
              <w:t xml:space="preserve">/s/ Michael J. Cannon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Michael J. Cannon </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Title: Managing Director</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Lehman Brothers MLP Partners, L.P.</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399 Park Ave. 9th Floor</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r>
        <w:trPr/>
        <w:tc>
          <w:tcPr>
            <w:tcW w:w="4265" w:type="dxa"/>
            <w:tcBorders/>
            <w:shd w:fill="auto" w:val="clear"/>
          </w:tcPr>
          <w:p>
            <w:pPr>
              <w:pStyle w:val="TableContents"/>
              <w:spacing w:before="0" w:after="0"/>
              <w:ind w:left="0" w:right="0" w:hanging="0"/>
              <w:rPr/>
            </w:pPr>
            <w:r>
              <w:rPr/>
              <w:t xml:space="preserve">  </w:t>
            </w:r>
          </w:p>
        </w:tc>
        <w:tc>
          <w:tcPr>
            <w:tcW w:w="220" w:type="dxa"/>
            <w:tcBorders/>
            <w:shd w:fill="auto" w:val="clear"/>
            <w:vAlign w:val="bottom"/>
          </w:tcPr>
          <w:p>
            <w:pPr>
              <w:pStyle w:val="TableContents"/>
              <w:spacing w:before="0" w:after="283"/>
              <w:rPr/>
            </w:pPr>
            <w:r>
              <w:rPr/>
              <w:t> </w:t>
            </w:r>
          </w:p>
        </w:tc>
        <w:tc>
          <w:tcPr>
            <w:tcW w:w="443" w:type="dxa"/>
            <w:tcBorders/>
            <w:shd w:fill="auto" w:val="clear"/>
          </w:tcPr>
          <w:p>
            <w:pPr>
              <w:pStyle w:val="TableContents"/>
              <w:spacing w:before="0" w:after="283"/>
              <w:jc w:val="left"/>
              <w:rPr/>
            </w:pPr>
            <w:r>
              <w:rPr/>
              <w:t> </w:t>
            </w:r>
          </w:p>
        </w:tc>
        <w:tc>
          <w:tcPr>
            <w:tcW w:w="220" w:type="dxa"/>
            <w:tcBorders/>
            <w:shd w:fill="auto" w:val="clear"/>
            <w:vAlign w:val="bottom"/>
          </w:tcPr>
          <w:p>
            <w:pPr>
              <w:pStyle w:val="TableContents"/>
              <w:spacing w:before="0" w:after="283"/>
              <w:rPr/>
            </w:pPr>
            <w:r>
              <w:rPr/>
              <w:t> </w:t>
            </w:r>
          </w:p>
        </w:tc>
        <w:tc>
          <w:tcPr>
            <w:tcW w:w="3326" w:type="dxa"/>
            <w:tcBorders/>
            <w:shd w:fill="auto" w:val="clear"/>
          </w:tcPr>
          <w:p>
            <w:pPr>
              <w:pStyle w:val="TableContents"/>
              <w:spacing w:before="0" w:after="283"/>
              <w:jc w:val="left"/>
              <w:rPr/>
            </w:pPr>
            <w:r>
              <w:rPr/>
              <w:t>New York, NY 10022</w:t>
            </w:r>
          </w:p>
        </w:tc>
        <w:tc>
          <w:tcPr>
            <w:tcW w:w="220" w:type="dxa"/>
            <w:tcBorders/>
            <w:shd w:fill="auto" w:val="clear"/>
            <w:vAlign w:val="bottom"/>
          </w:tcPr>
          <w:p>
            <w:pPr>
              <w:pStyle w:val="TableContents"/>
              <w:spacing w:before="0" w:after="283"/>
              <w:rPr/>
            </w:pPr>
            <w:r>
              <w:rPr/>
              <w:t> </w:t>
            </w:r>
          </w:p>
        </w:tc>
        <w:tc>
          <w:tcPr>
            <w:tcW w:w="1511"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167"/>
        <w:gridCol w:w="215"/>
        <w:gridCol w:w="601"/>
        <w:gridCol w:w="215"/>
        <w:gridCol w:w="3542"/>
        <w:gridCol w:w="215"/>
        <w:gridCol w:w="1250"/>
      </w:tblGrid>
      <w:tr>
        <w:trPr/>
        <w:tc>
          <w:tcPr>
            <w:tcW w:w="4167"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3542"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250" w:type="dxa"/>
            <w:tcBorders/>
            <w:shd w:fill="auto" w:val="clear"/>
            <w:vAlign w:val="bottom"/>
          </w:tcPr>
          <w:p>
            <w:pPr>
              <w:pStyle w:val="TableContents"/>
              <w:spacing w:before="0" w:after="283"/>
              <w:rPr/>
            </w:pPr>
            <w:r>
              <w:rPr/>
              <w:t> </w:t>
            </w:r>
          </w:p>
        </w:tc>
      </w:tr>
      <w:tr>
        <w:trPr/>
        <w:tc>
          <w:tcPr>
            <w:tcW w:w="4167"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358" w:type="dxa"/>
            <w:gridSpan w:val="3"/>
            <w:tcBorders/>
            <w:shd w:fill="auto" w:val="clear"/>
          </w:tcPr>
          <w:p>
            <w:pPr>
              <w:pStyle w:val="TableContents"/>
              <w:spacing w:before="0" w:after="283"/>
              <w:jc w:val="left"/>
              <w:rPr>
                <w:b/>
              </w:rPr>
            </w:pPr>
            <w:r>
              <w:rPr>
                <w:b/>
              </w:rPr>
              <w:t>SELLER:</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4358" w:type="dxa"/>
            <w:gridSpan w:val="3"/>
            <w:tcBorders/>
            <w:shd w:fill="auto" w:val="clear"/>
          </w:tcPr>
          <w:p>
            <w:pPr>
              <w:pStyle w:val="TableContents"/>
              <w:spacing w:before="0" w:after="283"/>
              <w:jc w:val="left"/>
              <w:rPr>
                <w:b/>
              </w:rPr>
            </w:pPr>
            <w:r>
              <w:rPr>
                <w:b/>
              </w:rPr>
              <w:t>PLAINS ALL AMERICAN PIPELINE, L.P.</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By: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PLAINS AAP, L.P., its general partner</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By: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PLAINS ALL AMERICAN GP LLC, its general partner</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 </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By:</w:t>
              <w:br/>
              <w:t xml:space="preserve">Name: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0"/>
              <w:jc w:val="left"/>
              <w:rPr/>
            </w:pPr>
            <w:r>
              <w:rPr/>
              <w:t xml:space="preserve">/s/ Greg L. Armstrong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Greg L. Armstrong </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r>
        <w:trPr/>
        <w:tc>
          <w:tcPr>
            <w:tcW w:w="4167" w:type="dxa"/>
            <w:tcBorders/>
            <w:shd w:fill="auto" w:val="clear"/>
          </w:tcPr>
          <w:p>
            <w:pPr>
              <w:pStyle w:val="TableContents"/>
              <w:spacing w:before="0" w:after="0"/>
              <w:ind w:left="0" w:right="0" w:hanging="0"/>
              <w:rPr/>
            </w:pPr>
            <w:r>
              <w:rPr/>
              <w:t xml:space="preserve">  </w:t>
            </w:r>
          </w:p>
        </w:tc>
        <w:tc>
          <w:tcPr>
            <w:tcW w:w="215" w:type="dxa"/>
            <w:tcBorders/>
            <w:shd w:fill="auto" w:val="clear"/>
            <w:vAlign w:val="bottom"/>
          </w:tcPr>
          <w:p>
            <w:pPr>
              <w:pStyle w:val="TableContents"/>
              <w:spacing w:before="0" w:after="283"/>
              <w:rPr/>
            </w:pPr>
            <w:r>
              <w:rPr/>
              <w:t> </w:t>
            </w:r>
          </w:p>
        </w:tc>
        <w:tc>
          <w:tcPr>
            <w:tcW w:w="601" w:type="dxa"/>
            <w:tcBorders/>
            <w:shd w:fill="auto" w:val="clear"/>
          </w:tcPr>
          <w:p>
            <w:pPr>
              <w:pStyle w:val="TableContents"/>
              <w:spacing w:before="0" w:after="283"/>
              <w:jc w:val="left"/>
              <w:rPr/>
            </w:pPr>
            <w:r>
              <w:rPr/>
              <w:t xml:space="preserve">Title: </w:t>
            </w:r>
          </w:p>
        </w:tc>
        <w:tc>
          <w:tcPr>
            <w:tcW w:w="215" w:type="dxa"/>
            <w:tcBorders/>
            <w:shd w:fill="auto" w:val="clear"/>
            <w:vAlign w:val="bottom"/>
          </w:tcPr>
          <w:p>
            <w:pPr>
              <w:pStyle w:val="TableContents"/>
              <w:spacing w:before="0" w:after="283"/>
              <w:rPr/>
            </w:pPr>
            <w:r>
              <w:rPr/>
              <w:t> </w:t>
            </w:r>
          </w:p>
        </w:tc>
        <w:tc>
          <w:tcPr>
            <w:tcW w:w="3542" w:type="dxa"/>
            <w:tcBorders/>
            <w:shd w:fill="auto" w:val="clear"/>
          </w:tcPr>
          <w:p>
            <w:pPr>
              <w:pStyle w:val="TableContents"/>
              <w:spacing w:before="0" w:after="283"/>
              <w:jc w:val="left"/>
              <w:rPr/>
            </w:pPr>
            <w:r>
              <w:rPr/>
              <w:t>Chief Executive Officer</w:t>
            </w:r>
          </w:p>
        </w:tc>
        <w:tc>
          <w:tcPr>
            <w:tcW w:w="215" w:type="dxa"/>
            <w:tcBorders/>
            <w:shd w:fill="auto" w:val="clear"/>
            <w:vAlign w:val="bottom"/>
          </w:tcPr>
          <w:p>
            <w:pPr>
              <w:pStyle w:val="TableContents"/>
              <w:spacing w:before="0" w:after="283"/>
              <w:rPr/>
            </w:pPr>
            <w:r>
              <w:rPr/>
              <w:t> </w:t>
            </w:r>
          </w:p>
        </w:tc>
        <w:tc>
          <w:tcPr>
            <w:tcW w:w="1250" w:type="dxa"/>
            <w:tcBorders/>
            <w:shd w:fill="auto" w:val="clear"/>
          </w:tcPr>
          <w:p>
            <w:pPr>
              <w:pStyle w:val="TableContents"/>
              <w:spacing w:before="0" w:after="283"/>
              <w:jc w:val="left"/>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b/>
          <w:i/>
          <w:sz w:val="17"/>
        </w:rPr>
        <w:t>[Signature Page to Common Unit Purchase Agreement]</w:t>
      </w:r>
      <w:r>
        <w:rPr>
          <w:rFonts w:ascii="Times New Roman;Times;serif" w:hAnsi="Times New Roman;Times;serif"/>
          <w:sz w:val="17"/>
        </w:rPr>
        <w:t xml:space="preserve">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Schedule 2.1</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500"/>
        <w:gridCol w:w="419"/>
        <w:gridCol w:w="173"/>
        <w:gridCol w:w="1232"/>
        <w:gridCol w:w="117"/>
        <w:gridCol w:w="419"/>
        <w:gridCol w:w="119"/>
        <w:gridCol w:w="1104"/>
        <w:gridCol w:w="122"/>
      </w:tblGrid>
      <w:tr>
        <w:trPr/>
        <w:tc>
          <w:tcPr>
            <w:tcW w:w="65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b/>
              </w:rPr>
            </w:pPr>
            <w:r>
              <w:rPr>
                <w:b/>
              </w:rPr>
              <w:t>Purchase</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jc w:val="center"/>
              <w:rPr>
                <w:b/>
              </w:rPr>
            </w:pPr>
            <w:r>
              <w:rPr>
                <w:b/>
              </w:rPr>
              <w:t>Purchased</w:t>
            </w:r>
          </w:p>
        </w:tc>
        <w:tc>
          <w:tcPr>
            <w:tcW w:w="122" w:type="dxa"/>
            <w:tcBorders/>
            <w:shd w:fill="auto" w:val="clear"/>
            <w:vAlign w:val="bottom"/>
          </w:tcPr>
          <w:p>
            <w:pPr>
              <w:pStyle w:val="TableContents"/>
              <w:spacing w:before="0" w:after="283"/>
              <w:rPr/>
            </w:pPr>
            <w:r>
              <w:rPr/>
              <w:t> </w:t>
            </w:r>
          </w:p>
        </w:tc>
      </w:tr>
      <w:tr>
        <w:trPr/>
        <w:tc>
          <w:tcPr>
            <w:tcW w:w="6500" w:type="dxa"/>
            <w:tcBorders>
              <w:bottom w:val="single" w:sz="2" w:space="0" w:color="000000"/>
            </w:tcBorders>
            <w:shd w:fill="auto" w:val="clear"/>
            <w:tcMar>
              <w:bottom w:w="28" w:type="dxa"/>
            </w:tcMar>
            <w:vAlign w:val="bottom"/>
          </w:tcPr>
          <w:p>
            <w:pPr>
              <w:pStyle w:val="TableContents"/>
              <w:spacing w:before="0" w:after="283"/>
              <w:jc w:val="center"/>
              <w:rPr>
                <w:b/>
              </w:rPr>
            </w:pPr>
            <w:r>
              <w:rPr>
                <w:b/>
              </w:rPr>
              <w:t>Purchaser</w:t>
            </w:r>
          </w:p>
        </w:tc>
        <w:tc>
          <w:tcPr>
            <w:tcW w:w="419" w:type="dxa"/>
            <w:tcBorders/>
            <w:shd w:fill="auto" w:val="cle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Price</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223"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Units</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Royal Bank of Canada</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1232" w:type="dxa"/>
            <w:tcBorders/>
            <w:shd w:fill="CCEEFF" w:val="clear"/>
            <w:vAlign w:val="bottom"/>
          </w:tcPr>
          <w:p>
            <w:pPr>
              <w:pStyle w:val="TableContents"/>
              <w:spacing w:before="0" w:after="283"/>
              <w:jc w:val="right"/>
              <w:rPr/>
            </w:pPr>
            <w:r>
              <w:rPr/>
              <w:t>64,000,000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1,314,979</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The Cushing MLP Opportunities Fund I,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27,500,000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565,030</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Kayne Anderson MLP Investment Company</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27,500,000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565,030</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E-Holdings III,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24,300,000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499,281</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Structured Finance Americas, LLC</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20,000,000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410,931</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GPS Income Fund (Cayman) Ltd.</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18,400,000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378,056</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Lehman Brothers MLP Partners, L.P.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15,000,000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308,198</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ZLP Fund,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12,000,000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246,558</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GPS Income Fund LP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11,900,000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244,504</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Swank MLP Convergence Fund,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8,000,000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164,372</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Hugo Neu Corporation</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8,000,000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164,372</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Fiduciary/Claymore MLP Opportunity Fund</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8,000,000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164,372</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Hartz Capital MLP, LLC</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8,000,000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164,372</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HFR RVA GPS Master Trust</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7,200,000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147,935</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Alerian Capital Partners, LP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6,250,000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128,416</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E-Holdings V,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5,700,000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117,115</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Stadium Plaza Shopping Center LLC</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5,000,000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102,733</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Tetrad Corporation</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4,500,000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92,459</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Tortoise Energy Capital Corp.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4,000,000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82,186</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RCH Energy MLP Fund,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3,900,000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80,131</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Eagle Income Appreciation Partners, L.P.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3,800,000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78,077</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GPS High Yield Equities Fund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3,500,000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71,913</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Kayne Anderson Energy Development Company</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2,500,000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51,366</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Alerian Focus Partners,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750,000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15,410</w:t>
            </w:r>
          </w:p>
        </w:tc>
        <w:tc>
          <w:tcPr>
            <w:tcW w:w="122" w:type="dxa"/>
            <w:tcBorders/>
            <w:shd w:fill="auto" w:val="clear"/>
            <w:vAlign w:val="bottom"/>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225" w:right="0" w:hanging="225"/>
              <w:rPr/>
            </w:pPr>
            <w:r>
              <w:rPr/>
              <w:t>Eagle Income Appreciation II, L.P.</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32" w:type="dxa"/>
            <w:tcBorders/>
            <w:shd w:fill="CCEEFF" w:val="clear"/>
            <w:vAlign w:val="bottom"/>
          </w:tcPr>
          <w:p>
            <w:pPr>
              <w:pStyle w:val="TableContents"/>
              <w:spacing w:before="0" w:after="283"/>
              <w:jc w:val="right"/>
              <w:rPr/>
            </w:pPr>
            <w:r>
              <w:rPr/>
              <w:t>200,000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4,109</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bottom"/>
          </w:tcPr>
          <w:p>
            <w:pPr>
              <w:pStyle w:val="TableContents"/>
              <w:spacing w:before="0" w:after="0"/>
              <w:ind w:left="225" w:right="0" w:hanging="225"/>
              <w:rPr/>
            </w:pPr>
            <w:r>
              <w:rPr/>
              <w:t>RCH Energy MLP Fund A, L.P.</w:t>
            </w:r>
          </w:p>
        </w:tc>
        <w:tc>
          <w:tcPr>
            <w:tcW w:w="41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32" w:type="dxa"/>
            <w:tcBorders/>
            <w:shd w:fill="auto" w:val="clear"/>
            <w:vAlign w:val="bottom"/>
          </w:tcPr>
          <w:p>
            <w:pPr>
              <w:pStyle w:val="TableContents"/>
              <w:spacing w:before="0" w:after="283"/>
              <w:jc w:val="right"/>
              <w:rPr/>
            </w:pPr>
            <w:r>
              <w:rPr/>
              <w:t>100,000</w:t>
            </w:r>
          </w:p>
        </w:tc>
        <w:tc>
          <w:tcPr>
            <w:tcW w:w="117"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2,055</w:t>
            </w:r>
          </w:p>
        </w:tc>
        <w:tc>
          <w:tcPr>
            <w:tcW w:w="122" w:type="dxa"/>
            <w:tcBorders/>
            <w:shd w:fill="auto" w:val="clear"/>
            <w:vAlign w:val="bottom"/>
          </w:tcPr>
          <w:p>
            <w:pPr>
              <w:pStyle w:val="TableContents"/>
              <w:spacing w:before="0" w:after="283"/>
              <w:rPr/>
            </w:pPr>
            <w:r>
              <w:rPr/>
              <w:t> </w:t>
            </w:r>
          </w:p>
        </w:tc>
      </w:tr>
      <w:tr>
        <w:trPr/>
        <w:tc>
          <w:tcPr>
            <w:tcW w:w="6500"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r>
        <w:trPr/>
        <w:tc>
          <w:tcPr>
            <w:tcW w:w="6500" w:type="dxa"/>
            <w:tcBorders/>
            <w:shd w:fill="CCEEFF" w:val="clear"/>
            <w:vAlign w:val="bottom"/>
          </w:tcPr>
          <w:p>
            <w:pPr>
              <w:pStyle w:val="TableContents"/>
              <w:spacing w:before="0" w:after="0"/>
              <w:ind w:left="450" w:right="0" w:hanging="225"/>
              <w:rPr/>
            </w:pPr>
            <w:r>
              <w:rPr/>
              <w:t>TOTAL</w:t>
            </w:r>
          </w:p>
        </w:tc>
        <w:tc>
          <w:tcPr>
            <w:tcW w:w="419"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jc w:val="left"/>
              <w:rPr/>
            </w:pPr>
            <w:r>
              <w:rPr/>
              <w:t>$</w:t>
            </w:r>
          </w:p>
        </w:tc>
        <w:tc>
          <w:tcPr>
            <w:tcW w:w="1232" w:type="dxa"/>
            <w:tcBorders/>
            <w:shd w:fill="CCEEFF" w:val="clear"/>
            <w:vAlign w:val="bottom"/>
          </w:tcPr>
          <w:p>
            <w:pPr>
              <w:pStyle w:val="TableContents"/>
              <w:spacing w:before="0" w:after="283"/>
              <w:jc w:val="right"/>
              <w:rPr/>
            </w:pPr>
            <w:r>
              <w:rPr/>
              <w:t>300,000,000</w:t>
            </w:r>
          </w:p>
        </w:tc>
        <w:tc>
          <w:tcPr>
            <w:tcW w:w="117" w:type="dxa"/>
            <w:tcBorders/>
            <w:shd w:fill="CCEEFF" w:val="clear"/>
            <w:vAlign w:val="bottom"/>
          </w:tcPr>
          <w:p>
            <w:pPr>
              <w:pStyle w:val="TableContents"/>
              <w:spacing w:before="0" w:after="283"/>
              <w:rPr/>
            </w:pPr>
            <w:r>
              <w:rPr/>
              <w:t> </w:t>
            </w:r>
          </w:p>
        </w:tc>
        <w:tc>
          <w:tcPr>
            <w:tcW w:w="419" w:type="dxa"/>
            <w:tcBorders/>
            <w:shd w:fill="CCEEFF" w:val="clear"/>
            <w:vAlign w:val="bottom"/>
          </w:tcPr>
          <w:p>
            <w:pPr>
              <w:pStyle w:val="TableContents"/>
              <w:spacing w:before="0" w:after="283"/>
              <w:rPr/>
            </w:pPr>
            <w:r>
              <w:rPr/>
              <w:t> </w:t>
            </w:r>
          </w:p>
        </w:tc>
        <w:tc>
          <w:tcPr>
            <w:tcW w:w="119" w:type="dxa"/>
            <w:tcBorders/>
            <w:shd w:fill="CCEEFF" w:val="clear"/>
            <w:vAlign w:val="bottom"/>
          </w:tcPr>
          <w:p>
            <w:pPr>
              <w:pStyle w:val="TableContents"/>
              <w:spacing w:before="0" w:after="283"/>
              <w:rPr/>
            </w:pPr>
            <w:r>
              <w:rPr/>
              <w:t> </w:t>
            </w:r>
          </w:p>
        </w:tc>
        <w:tc>
          <w:tcPr>
            <w:tcW w:w="1104" w:type="dxa"/>
            <w:tcBorders/>
            <w:shd w:fill="CCEEFF" w:val="clear"/>
            <w:vAlign w:val="bottom"/>
          </w:tcPr>
          <w:p>
            <w:pPr>
              <w:pStyle w:val="TableContents"/>
              <w:spacing w:before="0" w:after="283"/>
              <w:jc w:val="right"/>
              <w:rPr/>
            </w:pPr>
            <w:r>
              <w:rPr/>
              <w:t>6,163,960</w:t>
            </w:r>
          </w:p>
        </w:tc>
        <w:tc>
          <w:tcPr>
            <w:tcW w:w="122" w:type="dxa"/>
            <w:tcBorders/>
            <w:shd w:fill="CCEEFF" w:val="clear"/>
            <w:vAlign w:val="bottom"/>
          </w:tcPr>
          <w:p>
            <w:pPr>
              <w:pStyle w:val="TableContents"/>
              <w:spacing w:before="0" w:after="283"/>
              <w:rPr/>
            </w:pPr>
            <w:r>
              <w:rPr/>
              <w:t> </w:t>
            </w:r>
          </w:p>
        </w:tc>
      </w:tr>
      <w:tr>
        <w:trPr/>
        <w:tc>
          <w:tcPr>
            <w:tcW w:w="6500" w:type="dxa"/>
            <w:tcBorders/>
            <w:shd w:fill="auto" w:val="clear"/>
            <w:vAlign w:val="center"/>
          </w:tcPr>
          <w:p>
            <w:pPr>
              <w:pStyle w:val="TableContents"/>
              <w:spacing w:before="0" w:after="0"/>
              <w:ind w:left="225" w:right="0" w:hanging="225"/>
              <w:rPr/>
            </w:pPr>
            <w:r>
              <w:rPr/>
              <w:t> </w:t>
            </w:r>
          </w:p>
        </w:tc>
        <w:tc>
          <w:tcPr>
            <w:tcW w:w="419"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12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2"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r>
        <w:rPr>
          <w:rFonts w:ascii="Times New Roman;Times;serif" w:hAnsi="Times New Roman;Times;serif"/>
          <w:i/>
          <w:sz w:val="17"/>
        </w:rPr>
        <w:t>Schedule 2.1</w:t>
      </w:r>
      <w:r>
        <w:rPr>
          <w:rFonts w:ascii="Times New Roman;Times;serif" w:hAnsi="Times New Roman;Times;serif"/>
          <w:sz w:val="17"/>
        </w:rPr>
        <w:t xml:space="preserve"> </w:t>
      </w:r>
    </w:p>
    <w:p>
      <w:pPr>
        <w:pStyle w:val="TextBody"/>
        <w:jc w:val="center"/>
        <w:rPr/>
      </w:pPr>
      <w:r>
        <w:rPr/>
        <w:t xml:space="preserve">  </w:t>
      </w:r>
      <w:r>
        <w:br w:type="page"/>
      </w:r>
    </w:p>
    <w:p>
      <w:pPr>
        <w:pStyle w:val="Heading5"/>
        <w:jc w:val="left"/>
        <w:rPr/>
      </w:pPr>
      <w:bookmarkStart w:id="9" w:name="h42186exv5w1.htm"/>
      <w:bookmarkStart w:id="10" w:name="ksh42186exv5w1"/>
      <w:bookmarkEnd w:id="9"/>
      <w:bookmarkEnd w:id="10"/>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5.1</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December 18,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Partners, L.P., a Delaware limited partnership (the Partnership), with respect to certain legal matters in connection with the registration by the Partnership under the Securities Act of 1933, as amended (the Securities Act), of the offer and sale by the Partnership of 6,163,960 units representing limited partner interests in the Partnership (the Units). We have participated in the preparation of the Partnerships registration statement on Form S-3 (Commission File no.: 333-126447) (the Registration Statement), including the prospectus therein (the Prospectus). A prospectus supplement (the Prospectus Supplement) has been filed pursuant to Rule 424(b) promulgated under the Securities Act describing the offer and sale of the Units, which shall constitute a part of the Prospectus. Capitalized terms not defined herein shall have the meanings ascribed to them in the Prospectus. </w:t>
      </w:r>
    </w:p>
    <w:p>
      <w:pPr>
        <w:pStyle w:val="TextBody"/>
        <w:spacing w:before="120" w:after="283"/>
        <w:jc w:val="left"/>
        <w:rPr/>
      </w:pPr>
      <w:r>
        <w:rPr/>
        <w:t>     </w:t>
      </w:r>
      <w:r>
        <w:rPr>
          <w:rFonts w:ascii="Times New Roman;Times;serif" w:hAnsi="Times New Roman;Times;serif"/>
          <w:sz w:val="17"/>
        </w:rPr>
        <w:t xml:space="preserve">In rendering the opinions set forth below, we have examined and relied upon (i) the Registration Statement, including the Prospectus; (ii) the Third Amended and Restated Agreement of Limited Partnership of the Partnership, dated as of June 27, 2001, as amended, (iii) a Common Unit Purchase Agreement, dated December 13, 2006 relating to the offering and sale of the Units (the Purchase Agreement) and (iv) such other certificates, statutes and other instruments and documents as we consider appropriate for purposes of the opinions hereafter expressed. </w:t>
      </w:r>
    </w:p>
    <w:p>
      <w:pPr>
        <w:pStyle w:val="TextBody"/>
        <w:spacing w:before="120" w:after="283"/>
        <w:jc w:val="left"/>
        <w:rPr/>
      </w:pPr>
      <w:r>
        <w:rPr/>
        <w:t>     </w:t>
      </w:r>
      <w:r>
        <w:rPr>
          <w:rFonts w:ascii="Times New Roman;Times;serif" w:hAnsi="Times New Roman;Times;serif"/>
          <w:sz w:val="17"/>
        </w:rPr>
        <w:t xml:space="preserve">In connection with this opinion, we have assumed that all Units will be issued and sold in compliance in the manner stated in the Prospectus and the Purchase Agreement. </w:t>
      </w:r>
    </w:p>
    <w:p>
      <w:pPr>
        <w:pStyle w:val="TextBody"/>
        <w:spacing w:before="120" w:after="283"/>
        <w:jc w:val="left"/>
        <w:rPr/>
      </w:pPr>
      <w:r>
        <w:rPr/>
        <w:t>     </w:t>
      </w:r>
      <w:r>
        <w:rPr>
          <w:rFonts w:ascii="Times New Roman;Times;serif" w:hAnsi="Times New Roman;Times;serif"/>
          <w:sz w:val="17"/>
        </w:rPr>
        <w:t xml:space="preserve">Based upon and subject to the foregoing, we are of the opinion that when the Units have been issued and delivered in accordance with terms of the Purchase Agreement, then the Units will be validly issued, fully paid and non-assessable, except as described in the Prospectus. </w:t>
      </w:r>
    </w:p>
    <w:p>
      <w:pPr>
        <w:pStyle w:val="TextBody"/>
        <w:spacing w:before="120" w:after="283"/>
        <w:jc w:val="left"/>
        <w:rPr/>
      </w:pPr>
      <w:r>
        <w:rPr/>
        <w:t>     </w:t>
      </w:r>
      <w:r>
        <w:rPr>
          <w:rFonts w:ascii="Times New Roman;Times;serif" w:hAnsi="Times New Roman;Times;serif"/>
          <w:sz w:val="17"/>
        </w:rPr>
        <w:t xml:space="preserve">The opinions expressed herein are qualified in the following respects: </w:t>
      </w:r>
    </w:p>
    <w:p>
      <w:pPr>
        <w:pStyle w:val="TextBody"/>
        <w:spacing w:before="120" w:after="283"/>
        <w:jc w:val="left"/>
        <w:rPr/>
      </w:pPr>
      <w:r>
        <w:rPr/>
        <w:t>     </w:t>
      </w:r>
      <w:r>
        <w:rPr>
          <w:rFonts w:ascii="Times New Roman;Times;serif" w:hAnsi="Times New Roman;Times;serif"/>
          <w:sz w:val="17"/>
        </w:rPr>
        <w:t xml:space="preserve">A. We have assumed, without independent verification, that the certificates for the Units will conform to the specimens thereof examined by us and will have been duly countersigned by a transfer agent and duly registered by a registrar of the Units. </w:t>
      </w:r>
    </w:p>
    <w:p>
      <w:pPr>
        <w:pStyle w:val="TextBody"/>
        <w:spacing w:before="120" w:after="283"/>
        <w:jc w:val="left"/>
        <w:rPr/>
      </w:pPr>
      <w:r>
        <w:rPr/>
        <w:t>     </w:t>
      </w:r>
      <w:r>
        <w:rPr>
          <w:rFonts w:ascii="Times New Roman;Times;serif" w:hAnsi="Times New Roman;Times;serif"/>
          <w:sz w:val="17"/>
        </w:rPr>
        <w:t xml:space="preserve">B. 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p>
      <w:pPr>
        <w:pStyle w:val="TextBody"/>
        <w:spacing w:before="120" w:after="283"/>
        <w:jc w:val="left"/>
        <w:rPr/>
      </w:pPr>
      <w:r>
        <w:rPr/>
        <w:t>     </w:t>
      </w:r>
      <w:r>
        <w:rPr>
          <w:rFonts w:ascii="Times New Roman;Times;serif" w:hAnsi="Times New Roman;Times;serif"/>
          <w:sz w:val="17"/>
        </w:rPr>
        <w:t xml:space="preserve">C. This opinion is limited in all respects to federal laws, the Delaware Revised Uniform Limited Partnership Act and the Constitution of the State of Delaware, as interpreted by the courts of the State of Delaware and of the United States. </w:t>
      </w:r>
    </w:p>
    <w:p>
      <w:pPr>
        <w:pStyle w:val="TextBody"/>
        <w:spacing w:before="120" w:after="283"/>
        <w:jc w:val="left"/>
        <w:rPr/>
      </w:pPr>
      <w:r>
        <w:rPr/>
        <w:t>     </w:t>
      </w:r>
      <w:r>
        <w:rPr>
          <w:rFonts w:ascii="Times New Roman;Times;serif" w:hAnsi="Times New Roman;Times;serif"/>
          <w:sz w:val="17"/>
        </w:rPr>
        <w:t xml:space="preserve">We hereby consent to the references to this firm under the captions Tax Considerations and Legal Matters in the Prospectus and to the filing of this opinion as an Exhibit to the Registration Statements. By giving such consent, we do not admit that we are within the category of persons whose consent is required under Section 7 of the Securities Act or the rules and regulations of the Securities and Exchange Commission issued thereunder. </w:t>
      </w:r>
    </w:p>
    <w:tbl>
      <w:tblPr>
        <w:tblW w:w="5000" w:type="pct"/>
        <w:jc w:val="left"/>
        <w:tblInd w:w="0" w:type="dxa"/>
        <w:tblCellMar>
          <w:top w:w="0" w:type="dxa"/>
          <w:left w:w="0" w:type="dxa"/>
          <w:bottom w:w="0" w:type="dxa"/>
          <w:right w:w="0" w:type="dxa"/>
        </w:tblCellMar>
      </w:tblPr>
      <w:tblGrid>
        <w:gridCol w:w="4526"/>
        <w:gridCol w:w="542"/>
        <w:gridCol w:w="256"/>
        <w:gridCol w:w="3426"/>
        <w:gridCol w:w="1455"/>
      </w:tblGrid>
      <w:tr>
        <w:trPr/>
        <w:tc>
          <w:tcPr>
            <w:tcW w:w="4526" w:type="dxa"/>
            <w:tcBorders/>
            <w:shd w:fill="auto" w:val="clear"/>
            <w:vAlign w:val="center"/>
          </w:tcPr>
          <w:p>
            <w:pPr>
              <w:pStyle w:val="TableContents"/>
              <w:spacing w:before="0" w:after="283"/>
              <w:rPr/>
            </w:pPr>
            <w:r>
              <w:rPr/>
              <w:t> </w:t>
            </w:r>
          </w:p>
        </w:tc>
        <w:tc>
          <w:tcPr>
            <w:tcW w:w="542" w:type="dxa"/>
            <w:tcBorders/>
            <w:shd w:fill="auto" w:val="clear"/>
            <w:vAlign w:val="center"/>
          </w:tcPr>
          <w:p>
            <w:pPr>
              <w:pStyle w:val="TableContents"/>
              <w:spacing w:before="0" w:after="283"/>
              <w:rPr/>
            </w:pPr>
            <w:r>
              <w:rPr/>
              <w:t> </w:t>
            </w:r>
          </w:p>
        </w:tc>
        <w:tc>
          <w:tcPr>
            <w:tcW w:w="256" w:type="dxa"/>
            <w:tcBorders/>
            <w:shd w:fill="auto" w:val="clear"/>
            <w:vAlign w:val="center"/>
          </w:tcPr>
          <w:p>
            <w:pPr>
              <w:pStyle w:val="TableContents"/>
              <w:spacing w:before="0" w:after="283"/>
              <w:rPr/>
            </w:pPr>
            <w:r>
              <w:rPr/>
              <w:t> </w:t>
            </w:r>
          </w:p>
        </w:tc>
        <w:tc>
          <w:tcPr>
            <w:tcW w:w="3426" w:type="dxa"/>
            <w:tcBorders/>
            <w:shd w:fill="auto" w:val="clear"/>
            <w:vAlign w:val="center"/>
          </w:tcPr>
          <w:p>
            <w:pPr>
              <w:pStyle w:val="TableContents"/>
              <w:spacing w:before="0" w:after="283"/>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Very truly yours,</w:t>
              <w:b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4526" w:type="dxa"/>
            <w:tcBorders/>
            <w:shd w:fill="auto" w:val="clear"/>
            <w:vAlign w:val="center"/>
          </w:tcPr>
          <w:p>
            <w:pPr>
              <w:pStyle w:val="TableContents"/>
              <w:spacing w:before="0" w:after="283"/>
              <w:jc w:val="left"/>
              <w:rPr/>
            </w:pPr>
            <w:r>
              <w:rPr/>
              <w:t> </w:t>
            </w:r>
          </w:p>
        </w:tc>
        <w:tc>
          <w:tcPr>
            <w:tcW w:w="4224" w:type="dxa"/>
            <w:gridSpan w:val="3"/>
            <w:tcBorders/>
            <w:shd w:fill="auto" w:val="clear"/>
            <w:vAlign w:val="center"/>
          </w:tcPr>
          <w:p>
            <w:pPr>
              <w:pStyle w:val="TableContents"/>
              <w:spacing w:before="0" w:after="283"/>
              <w:jc w:val="left"/>
              <w:rPr/>
            </w:pPr>
            <w:r>
              <w:rPr/>
              <w:t> </w:t>
            </w:r>
          </w:p>
        </w:tc>
        <w:tc>
          <w:tcPr>
            <w:tcW w:w="145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11" w:name="h42186exv8w1.htm"/>
      <w:bookmarkStart w:id="12" w:name="ksh42186exv8w1"/>
      <w:bookmarkEnd w:id="11"/>
      <w:bookmarkEnd w:id="12"/>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8.1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Vinson &amp; Elkins L.L.P.</w:t>
        <w:br/>
        <w:t>1001 Fannin, Suite 2300</w:t>
        <w:br/>
        <w:t xml:space="preserve">Houston, Texas 77002-6760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December 18,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Plains All American Pipeline, L.P.</w:t>
        <w:br/>
        <w:t>333 Clay Street, Suite 1600</w:t>
        <w:br/>
        <w:t xml:space="preserve">Houston, Texas 77002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 PLAINS ALL AMERICAN PIPELINE, L.P. REGISTRATION STATEMENT ON FORM S-3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Ladies and Gentlemen: </w:t>
      </w:r>
    </w:p>
    <w:p>
      <w:pPr>
        <w:pStyle w:val="TextBody"/>
        <w:spacing w:before="120" w:after="283"/>
        <w:jc w:val="left"/>
        <w:rPr/>
      </w:pPr>
      <w:r>
        <w:rPr/>
        <w:t>     </w:t>
      </w:r>
      <w:r>
        <w:rPr>
          <w:rFonts w:ascii="Times New Roman;Times;serif" w:hAnsi="Times New Roman;Times;serif"/>
          <w:sz w:val="17"/>
        </w:rPr>
        <w:t xml:space="preserve">We have acted as counsel for Plains All American Pipeline, L.P., a Delaware limited partnership (the Partnership), with respect to certain legal matters in connection with the offer and sale by the Partnership of units representing limited partner interests in the Partnership. We have also participated in the preparation of a Prospectus Supplement dated December 14, 2006 and the base prospectus (the Prospectus) forming part of the Registration Statement on Form S-3 (the Registration Statement) to which this opinion is an exhibit. </w:t>
      </w:r>
    </w:p>
    <w:p>
      <w:pPr>
        <w:pStyle w:val="TextBody"/>
        <w:spacing w:before="120" w:after="283"/>
        <w:jc w:val="left"/>
        <w:rPr/>
      </w:pPr>
      <w:r>
        <w:rPr/>
        <w:t>     </w:t>
      </w:r>
      <w:r>
        <w:rPr>
          <w:rFonts w:ascii="Times New Roman;Times;serif" w:hAnsi="Times New Roman;Times;serif"/>
          <w:sz w:val="17"/>
        </w:rPr>
        <w:t xml:space="preserve">In connection therewith, we prepared the discussion set forth under the caption Tax Considerations in the Prospectus (the Discussion). Capitalized terms not defined herein shall have the meanings ascribed to them in the Prospectus. </w:t>
      </w:r>
    </w:p>
    <w:p>
      <w:pPr>
        <w:pStyle w:val="TextBody"/>
        <w:spacing w:before="120" w:after="283"/>
        <w:jc w:val="left"/>
        <w:rPr/>
      </w:pPr>
      <w:r>
        <w:rPr/>
        <w:t>     </w:t>
      </w:r>
      <w:r>
        <w:rPr>
          <w:rFonts w:ascii="Times New Roman;Times;serif" w:hAnsi="Times New Roman;Times;serif"/>
          <w:sz w:val="17"/>
        </w:rPr>
        <w:t xml:space="preserve">All statements of legal conclusions contained in the Discussion, unless otherwise noted, are our opinion with respect to the matters set forth therein as of the effective date of the Prospectus in respect of the discussion set forth under the caption Tax Considerations, as qualified by the limitations contained in the Discussion. In addition, we are of the opinion that the Discussion with respect to those matters as to which no legal conclusions are provided is an accurate discussion of such federal income tax matters (except for the representations and statements of fact of the Partnership and its general partner, included in the Discussion, as to which we express no opinion). </w:t>
      </w:r>
    </w:p>
    <w:p>
      <w:pPr>
        <w:pStyle w:val="TextBody"/>
        <w:spacing w:before="120" w:after="283"/>
        <w:jc w:val="left"/>
        <w:rPr/>
      </w:pPr>
      <w:r>
        <w:rPr/>
        <w:t>     </w:t>
      </w:r>
      <w:r>
        <w:rPr>
          <w:rFonts w:ascii="Times New Roman;Times;serif" w:hAnsi="Times New Roman;Times;serif"/>
          <w:sz w:val="17"/>
        </w:rPr>
        <w:t xml:space="preserve">We hereby consent to the filing of this opinion as an exhibit to the Registration Statement and to the use of our name in the Registration Statement. This consent does not constitute an admission that we are experts within the meaning of such term as used in the Securities Act of 1933, as amended, or the rules and regulations of the Securities and Exchange Commission issued thereunder. </w:t>
      </w:r>
    </w:p>
    <w:tbl>
      <w:tblPr>
        <w:tblW w:w="5000" w:type="pct"/>
        <w:jc w:val="left"/>
        <w:tblInd w:w="0" w:type="dxa"/>
        <w:tblCellMar>
          <w:top w:w="0" w:type="dxa"/>
          <w:left w:w="0" w:type="dxa"/>
          <w:bottom w:w="0" w:type="dxa"/>
          <w:right w:w="0" w:type="dxa"/>
        </w:tblCellMar>
      </w:tblPr>
      <w:tblGrid>
        <w:gridCol w:w="4436"/>
        <w:gridCol w:w="555"/>
        <w:gridCol w:w="435"/>
        <w:gridCol w:w="3354"/>
        <w:gridCol w:w="1425"/>
      </w:tblGrid>
      <w:tr>
        <w:trPr/>
        <w:tc>
          <w:tcPr>
            <w:tcW w:w="4436"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435" w:type="dxa"/>
            <w:tcBorders/>
            <w:shd w:fill="auto" w:val="clear"/>
            <w:vAlign w:val="center"/>
          </w:tcPr>
          <w:p>
            <w:pPr>
              <w:pStyle w:val="TableContents"/>
              <w:spacing w:before="0" w:after="283"/>
              <w:rPr/>
            </w:pPr>
            <w:r>
              <w:rPr/>
              <w:t> </w:t>
            </w:r>
          </w:p>
        </w:tc>
        <w:tc>
          <w:tcPr>
            <w:tcW w:w="3354" w:type="dxa"/>
            <w:tcBorders/>
            <w:shd w:fill="auto" w:val="clear"/>
            <w:vAlign w:val="center"/>
          </w:tcPr>
          <w:p>
            <w:pPr>
              <w:pStyle w:val="TableContents"/>
              <w:spacing w:before="0" w:after="283"/>
              <w:rPr/>
            </w:pPr>
            <w:r>
              <w:rPr/>
              <w:t> </w:t>
            </w:r>
          </w:p>
        </w:tc>
        <w:tc>
          <w:tcPr>
            <w:tcW w:w="1425" w:type="dxa"/>
            <w:tcBorders/>
            <w:shd w:fill="auto" w:val="clear"/>
            <w:vAlign w:val="center"/>
          </w:tcPr>
          <w:p>
            <w:pPr>
              <w:pStyle w:val="TableContents"/>
              <w:spacing w:before="0" w:after="283"/>
              <w:rPr/>
            </w:pPr>
            <w:r>
              <w:rPr/>
              <w:t> </w:t>
            </w:r>
          </w:p>
        </w:tc>
      </w:tr>
      <w:tr>
        <w:trPr/>
        <w:tc>
          <w:tcPr>
            <w:tcW w:w="4436" w:type="dxa"/>
            <w:tcBorders/>
            <w:shd w:fill="auto" w:val="clear"/>
          </w:tcPr>
          <w:p>
            <w:pPr>
              <w:pStyle w:val="TableContents"/>
              <w:spacing w:before="0" w:after="283"/>
              <w:jc w:val="left"/>
              <w:rPr/>
            </w:pPr>
            <w:r>
              <w:rPr/>
              <w:t> </w:t>
            </w:r>
          </w:p>
        </w:tc>
        <w:tc>
          <w:tcPr>
            <w:tcW w:w="4344" w:type="dxa"/>
            <w:gridSpan w:val="3"/>
            <w:tcBorders/>
            <w:shd w:fill="auto" w:val="clear"/>
            <w:vAlign w:val="center"/>
          </w:tcPr>
          <w:p>
            <w:pPr>
              <w:pStyle w:val="TableContents"/>
              <w:spacing w:before="0" w:after="283"/>
              <w:jc w:val="left"/>
              <w:rPr/>
            </w:pPr>
            <w:r>
              <w:rPr/>
              <w:t>Very truly yours,</w:t>
              <w:br/>
              <w:t> </w:t>
            </w:r>
          </w:p>
        </w:tc>
        <w:tc>
          <w:tcPr>
            <w:tcW w:w="1425" w:type="dxa"/>
            <w:tcBorders/>
            <w:shd w:fill="auto" w:val="clear"/>
            <w:vAlign w:val="center"/>
          </w:tcPr>
          <w:p>
            <w:pPr>
              <w:pStyle w:val="TableContents"/>
              <w:spacing w:before="0" w:after="283"/>
              <w:rPr/>
            </w:pPr>
            <w:r>
              <w:rPr/>
              <w:t> </w:t>
            </w:r>
          </w:p>
        </w:tc>
      </w:tr>
      <w:tr>
        <w:trPr/>
        <w:tc>
          <w:tcPr>
            <w:tcW w:w="4436" w:type="dxa"/>
            <w:tcBorders/>
            <w:shd w:fill="auto" w:val="clear"/>
            <w:vAlign w:val="center"/>
          </w:tcPr>
          <w:p>
            <w:pPr>
              <w:pStyle w:val="TableContents"/>
              <w:spacing w:before="0" w:after="283"/>
              <w:jc w:val="left"/>
              <w:rPr/>
            </w:pPr>
            <w:r>
              <w:rPr/>
              <w:t> </w:t>
            </w:r>
          </w:p>
        </w:tc>
        <w:tc>
          <w:tcPr>
            <w:tcW w:w="4344" w:type="dxa"/>
            <w:gridSpan w:val="3"/>
            <w:tcBorders>
              <w:bottom w:val="single" w:sz="2" w:space="0" w:color="000000"/>
            </w:tcBorders>
            <w:shd w:fill="auto" w:val="clear"/>
            <w:tcMar>
              <w:bottom w:w="28" w:type="dxa"/>
            </w:tcMar>
            <w:vAlign w:val="center"/>
          </w:tcPr>
          <w:p>
            <w:pPr>
              <w:pStyle w:val="TableContents"/>
              <w:spacing w:before="0" w:after="283"/>
              <w:jc w:val="left"/>
              <w:rPr/>
            </w:pPr>
            <w:r>
              <w:rPr/>
              <w:t>/s/ VINSON &amp; ELKINS L.L.P.  </w:t>
            </w:r>
          </w:p>
        </w:tc>
        <w:tc>
          <w:tcPr>
            <w:tcW w:w="1425" w:type="dxa"/>
            <w:tcBorders/>
            <w:shd w:fill="auto" w:val="clear"/>
            <w:vAlign w:val="center"/>
          </w:tcPr>
          <w:p>
            <w:pPr>
              <w:pStyle w:val="TableContents"/>
              <w:spacing w:before="0" w:after="283"/>
              <w:rPr/>
            </w:pPr>
            <w:r>
              <w:rPr/>
              <w:t> </w:t>
            </w:r>
          </w:p>
        </w:tc>
      </w:tr>
      <w:tr>
        <w:trPr/>
        <w:tc>
          <w:tcPr>
            <w:tcW w:w="4436" w:type="dxa"/>
            <w:tcBorders/>
            <w:shd w:fill="auto" w:val="clear"/>
            <w:vAlign w:val="center"/>
          </w:tcPr>
          <w:p>
            <w:pPr>
              <w:pStyle w:val="TableContents"/>
              <w:spacing w:before="0" w:after="283"/>
              <w:jc w:val="left"/>
              <w:rPr/>
            </w:pPr>
            <w:r>
              <w:rPr/>
              <w:t> </w:t>
            </w:r>
          </w:p>
        </w:tc>
        <w:tc>
          <w:tcPr>
            <w:tcW w:w="4344" w:type="dxa"/>
            <w:gridSpan w:val="3"/>
            <w:tcBorders/>
            <w:shd w:fill="auto" w:val="clear"/>
            <w:vAlign w:val="center"/>
          </w:tcPr>
          <w:p>
            <w:pPr>
              <w:pStyle w:val="TableContents"/>
              <w:spacing w:before="0" w:after="283"/>
              <w:jc w:val="left"/>
              <w:rPr/>
            </w:pPr>
            <w:r>
              <w:rPr/>
              <w:t> </w:t>
            </w:r>
          </w:p>
        </w:tc>
        <w:tc>
          <w:tcPr>
            <w:tcW w:w="1425" w:type="dxa"/>
            <w:tcBorders/>
            <w:shd w:fill="auto" w:val="clear"/>
            <w:vAlign w:val="center"/>
          </w:tcPr>
          <w:p>
            <w:pPr>
              <w:pStyle w:val="TableContents"/>
              <w:spacing w:before="0" w:after="283"/>
              <w:rPr/>
            </w:pPr>
            <w:r>
              <w:rPr/>
              <w:t> </w:t>
            </w:r>
          </w:p>
        </w:tc>
      </w:tr>
      <w:tr>
        <w:trPr/>
        <w:tc>
          <w:tcPr>
            <w:tcW w:w="4436" w:type="dxa"/>
            <w:tcBorders/>
            <w:shd w:fill="auto" w:val="clear"/>
            <w:vAlign w:val="center"/>
          </w:tcPr>
          <w:p>
            <w:pPr>
              <w:pStyle w:val="TableContents"/>
              <w:spacing w:before="0" w:after="283"/>
              <w:jc w:val="left"/>
              <w:rPr/>
            </w:pPr>
            <w:r>
              <w:rPr/>
              <w:t> </w:t>
            </w:r>
          </w:p>
        </w:tc>
        <w:tc>
          <w:tcPr>
            <w:tcW w:w="4344" w:type="dxa"/>
            <w:gridSpan w:val="3"/>
            <w:tcBorders/>
            <w:shd w:fill="auto" w:val="clear"/>
            <w:vAlign w:val="center"/>
          </w:tcPr>
          <w:p>
            <w:pPr>
              <w:pStyle w:val="TableContents"/>
              <w:spacing w:before="0" w:after="283"/>
              <w:jc w:val="left"/>
              <w:rPr/>
            </w:pPr>
            <w:r>
              <w:rPr/>
              <w:t> </w:t>
            </w:r>
          </w:p>
        </w:tc>
        <w:tc>
          <w:tcPr>
            <w:tcW w:w="1425"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42</Pages>
  <Words>10604</Words>
  <CharactersWithSpaces>68332</CharactersWithSpaces>
  <Paragraphs>2363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exv8w1</dc:title>
</cp:coreProperties>
</file>