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213360</wp:posOffset>
            </wp:positionH>
            <wp:positionV relativeFrom="page">
              <wp:posOffset>712470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638810</wp:posOffset>
            </wp:positionV>
            <wp:extent cx="712152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16510"/>
                    </a:xfrm>
                    <a:prstGeom prst="rect">
                      <a:avLst/>
                    </a:prstGeom>
                    <a:noFill/>
                  </pic:spPr>
                </pic:pic>
              </a:graphicData>
            </a:graphic>
          </wp:anchor>
        </w:drawing>
        <w:t>UNITED STATES</w:t>
      </w:r>
    </w:p>
    <w:p>
      <w:pPr>
        <w:spacing w:after="0" w:line="48"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SECURITIES AND EXCHANGE COMMISSION</w:t>
      </w:r>
    </w:p>
    <w:p>
      <w:pPr>
        <w:spacing w:after="0" w:line="18"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Washington, D.C. 20549</w:t>
      </w:r>
    </w:p>
    <w:p>
      <w:pPr>
        <w:spacing w:after="0" w:line="214"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FORM 8-K</w:t>
      </w:r>
    </w:p>
    <w:p>
      <w:pPr>
        <w:spacing w:after="0" w:line="264"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CURRENT REPORT</w:t>
      </w:r>
    </w:p>
    <w:p>
      <w:pPr>
        <w:spacing w:after="0" w:line="28"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 xml:space="preserve">Date of Report (Date of earliest event reported) — </w:t>
      </w:r>
      <w:r>
        <w:rPr>
          <w:rFonts w:ascii="Arial" w:cs="Arial" w:eastAsia="Arial" w:hAnsi="Arial"/>
          <w:sz w:val="17"/>
          <w:szCs w:val="17"/>
          <w:b w:val="1"/>
          <w:bCs w:val="1"/>
          <w:color w:val="auto"/>
        </w:rPr>
        <w:t>November 3, 2023</w:t>
      </w:r>
    </w:p>
    <w:p>
      <w:pPr>
        <w:spacing w:after="0" w:line="234"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Plains GP Holdings, L.P.</w:t>
      </w:r>
    </w:p>
    <w:p>
      <w:pPr>
        <w:spacing w:after="0" w:line="48"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080"/>
          </w:cols>
          <w:pgMar w:left="320" w:top="1274" w:right="499" w:bottom="1440" w:gutter="0" w:footer="0" w:header="0"/>
        </w:sectPr>
      </w:pPr>
    </w:p>
    <w:p>
      <w:pPr>
        <w:spacing w:after="0" w:line="30" w:lineRule="exact"/>
        <w:rPr>
          <w:sz w:val="24"/>
          <w:szCs w:val="24"/>
          <w:color w:val="auto"/>
        </w:rPr>
      </w:pPr>
    </w:p>
    <w:p>
      <w:pPr>
        <w:jc w:val="center"/>
        <w:ind w:left="300"/>
        <w:spacing w:after="0"/>
        <w:rPr>
          <w:sz w:val="20"/>
          <w:szCs w:val="20"/>
          <w:color w:val="auto"/>
        </w:rPr>
      </w:pPr>
      <w:r>
        <w:rPr>
          <w:rFonts w:ascii="Arial" w:cs="Arial" w:eastAsia="Arial" w:hAnsi="Arial"/>
          <w:sz w:val="17"/>
          <w:szCs w:val="17"/>
          <w:b w:val="1"/>
          <w:bCs w:val="1"/>
          <w:color w:val="auto"/>
        </w:rPr>
        <w:t>Delaware</w:t>
      </w:r>
    </w:p>
    <w:p>
      <w:pPr>
        <w:spacing w:after="0" w:line="30" w:lineRule="exact"/>
        <w:rPr>
          <w:sz w:val="24"/>
          <w:szCs w:val="24"/>
          <w:color w:val="auto"/>
        </w:rPr>
      </w:pPr>
    </w:p>
    <w:p>
      <w:pPr>
        <w:jc w:val="center"/>
        <w:ind w:left="300"/>
        <w:spacing w:after="0"/>
        <w:rPr>
          <w:sz w:val="20"/>
          <w:szCs w:val="20"/>
          <w:color w:val="auto"/>
        </w:rPr>
      </w:pPr>
      <w:r>
        <w:rPr>
          <w:rFonts w:ascii="Arial" w:cs="Arial" w:eastAsia="Arial" w:hAnsi="Arial"/>
          <w:sz w:val="15"/>
          <w:szCs w:val="15"/>
          <w:color w:val="auto"/>
        </w:rPr>
        <w:t>(State or other jurisdiction of</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640"/>
        <w:spacing w:after="0"/>
        <w:rPr>
          <w:sz w:val="20"/>
          <w:szCs w:val="20"/>
          <w:color w:val="auto"/>
        </w:rPr>
      </w:pPr>
      <w:r>
        <w:rPr>
          <w:rFonts w:ascii="Arial" w:cs="Arial" w:eastAsia="Arial" w:hAnsi="Arial"/>
          <w:sz w:val="17"/>
          <w:szCs w:val="17"/>
          <w:b w:val="1"/>
          <w:bCs w:val="1"/>
          <w:color w:val="auto"/>
        </w:rPr>
        <w:t>1-36132</w:t>
      </w:r>
    </w:p>
    <w:p>
      <w:pPr>
        <w:spacing w:after="0" w:line="30" w:lineRule="exact"/>
        <w:rPr>
          <w:sz w:val="24"/>
          <w:szCs w:val="24"/>
          <w:color w:val="auto"/>
        </w:rPr>
      </w:pPr>
    </w:p>
    <w:p>
      <w:pPr>
        <w:jc w:val="center"/>
        <w:ind w:right="640"/>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780"/>
        <w:spacing w:after="0"/>
        <w:rPr>
          <w:sz w:val="20"/>
          <w:szCs w:val="20"/>
          <w:color w:val="auto"/>
        </w:rPr>
      </w:pPr>
      <w:r>
        <w:rPr>
          <w:rFonts w:ascii="Arial" w:cs="Arial" w:eastAsia="Arial" w:hAnsi="Arial"/>
          <w:sz w:val="17"/>
          <w:szCs w:val="17"/>
          <w:b w:val="1"/>
          <w:bCs w:val="1"/>
          <w:color w:val="auto"/>
        </w:rPr>
        <w:t>90-1005472</w:t>
      </w:r>
    </w:p>
    <w:p>
      <w:pPr>
        <w:spacing w:after="0" w:line="30"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(IRS Employer Identification No.)</w:t>
      </w:r>
    </w:p>
    <w:p>
      <w:pPr>
        <w:spacing w:after="0" w:line="19" w:lineRule="exact"/>
        <w:rPr>
          <w:sz w:val="24"/>
          <w:szCs w:val="24"/>
          <w:color w:val="auto"/>
        </w:rPr>
      </w:pPr>
    </w:p>
    <w:p>
      <w:pPr>
        <w:sectPr>
          <w:pgSz w:w="11900" w:h="16838" w:orient="portrait"/>
          <w:cols w:equalWidth="0" w:num="3">
            <w:col w:w="3940" w:space="720"/>
            <w:col w:w="2540" w:space="720"/>
            <w:col w:w="3160"/>
          </w:cols>
          <w:pgMar w:left="320" w:top="1274" w:right="499" w:bottom="1440" w:gutter="0" w:footer="0" w:header="0"/>
          <w:type w:val="continuous"/>
        </w:sectPr>
      </w:pPr>
    </w:p>
    <w:p>
      <w:pPr>
        <w:ind w:left="164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080"/>
          </w:cols>
          <w:pgMar w:left="320" w:top="1274" w:right="499" w:bottom="1440" w:gutter="0" w:footer="0" w:header="0"/>
          <w:type w:val="continuous"/>
        </w:sectPr>
      </w:pPr>
    </w:p>
    <w:p>
      <w:pPr>
        <w:spacing w:after="0" w:line="317" w:lineRule="exact"/>
        <w:rPr>
          <w:sz w:val="24"/>
          <w:szCs w:val="24"/>
          <w:color w:val="auto"/>
        </w:rPr>
      </w:pPr>
    </w:p>
    <w:p>
      <w:pPr>
        <w:ind w:left="3800"/>
        <w:spacing w:after="0"/>
        <w:rPr>
          <w:sz w:val="20"/>
          <w:szCs w:val="20"/>
          <w:color w:val="auto"/>
        </w:rPr>
      </w:pPr>
      <w:r>
        <w:rPr>
          <w:rFonts w:ascii="Arial" w:cs="Arial" w:eastAsia="Arial" w:hAnsi="Arial"/>
          <w:sz w:val="17"/>
          <w:szCs w:val="17"/>
          <w:b w:val="1"/>
          <w:bCs w:val="1"/>
          <w:color w:val="auto"/>
        </w:rPr>
        <w:t>333 Clay Street, Suite 1600, Houston, Texas 77002</w:t>
      </w:r>
    </w:p>
    <w:p>
      <w:pPr>
        <w:spacing w:after="0" w:line="30" w:lineRule="exact"/>
        <w:rPr>
          <w:sz w:val="24"/>
          <w:szCs w:val="24"/>
          <w:color w:val="auto"/>
        </w:rPr>
      </w:pPr>
    </w:p>
    <w:p>
      <w:pPr>
        <w:ind w:left="3860"/>
        <w:spacing w:after="0"/>
        <w:rPr>
          <w:sz w:val="20"/>
          <w:szCs w:val="20"/>
          <w:color w:val="auto"/>
        </w:rPr>
      </w:pPr>
      <w:r>
        <w:rPr>
          <w:rFonts w:ascii="Arial" w:cs="Arial" w:eastAsia="Arial" w:hAnsi="Arial"/>
          <w:sz w:val="17"/>
          <w:szCs w:val="17"/>
          <w:color w:val="auto"/>
        </w:rPr>
        <w:t>(Address of principal executive offices) (Zip Code)</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713-646-4100</w:t>
      </w:r>
    </w:p>
    <w:p>
      <w:pPr>
        <w:spacing w:after="0" w:line="3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(Registrant’s telephone number, including area code)</w:t>
      </w:r>
    </w:p>
    <w:p>
      <w:pPr>
        <w:spacing w:after="0" w:line="23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44" w:lineRule="exact"/>
        <w:rPr>
          <w:sz w:val="24"/>
          <w:szCs w:val="24"/>
          <w:color w:val="auto"/>
        </w:rPr>
      </w:pPr>
    </w:p>
    <w:p>
      <w:pPr>
        <w:ind w:right="280"/>
        <w:spacing w:after="0" w:line="283"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85" w:lineRule="exact"/>
        <w:rPr>
          <w:sz w:val="24"/>
          <w:szCs w:val="24"/>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43" w:lineRule="exact"/>
        <w:rPr>
          <w:rFonts w:ascii="MS PGothic" w:cs="MS PGothic" w:eastAsia="MS PGothic" w:hAnsi="MS PGothic"/>
          <w:sz w:val="17"/>
          <w:szCs w:val="17"/>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43" w:lineRule="exact"/>
        <w:rPr>
          <w:rFonts w:ascii="MS PGothic" w:cs="MS PGothic" w:eastAsia="MS PGothic" w:hAnsi="MS PGothic"/>
          <w:sz w:val="17"/>
          <w:szCs w:val="17"/>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43" w:lineRule="exact"/>
        <w:rPr>
          <w:rFonts w:ascii="MS PGothic" w:cs="MS PGothic" w:eastAsia="MS PGothic" w:hAnsi="MS PGothic"/>
          <w:sz w:val="17"/>
          <w:szCs w:val="17"/>
          <w:color w:val="auto"/>
        </w:rPr>
      </w:pPr>
    </w:p>
    <w:p>
      <w:pPr>
        <w:ind w:right="3180" w:firstLine="3"/>
        <w:spacing w:after="0" w:line="559" w:lineRule="auto"/>
        <w:tabs>
          <w:tab w:leader="none" w:pos="203"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Title of each class</w:t>
            </w:r>
          </w:p>
        </w:tc>
        <w:tc>
          <w:tcPr>
            <w:tcW w:w="120" w:type="dxa"/>
            <w:vAlign w:val="bottom"/>
          </w:tcPr>
          <w:p>
            <w:pPr>
              <w:spacing w:after="0"/>
              <w:rPr>
                <w:sz w:val="19"/>
                <w:szCs w:val="19"/>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Trading Symbol(s)</w:t>
            </w:r>
          </w:p>
        </w:tc>
        <w:tc>
          <w:tcPr>
            <w:tcW w:w="100" w:type="dxa"/>
            <w:vAlign w:val="bottom"/>
          </w:tcPr>
          <w:p>
            <w:pPr>
              <w:spacing w:after="0"/>
              <w:rPr>
                <w:sz w:val="19"/>
                <w:szCs w:val="19"/>
                <w:color w:val="auto"/>
              </w:rPr>
            </w:pPr>
          </w:p>
        </w:tc>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Name of each exchange on which registered</w:t>
            </w:r>
          </w:p>
        </w:tc>
      </w:tr>
      <w:tr>
        <w:trPr>
          <w:trHeight w:val="213"/>
        </w:trPr>
        <w:tc>
          <w:tcPr>
            <w:tcW w:w="3460" w:type="dxa"/>
            <w:vAlign w:val="bottom"/>
            <w:gridSpan w:val="2"/>
          </w:tcPr>
          <w:p>
            <w:pPr>
              <w:jc w:val="center"/>
              <w:ind w:right="100"/>
              <w:spacing w:after="0"/>
              <w:rPr>
                <w:sz w:val="20"/>
                <w:szCs w:val="20"/>
                <w:color w:val="auto"/>
              </w:rPr>
            </w:pPr>
            <w:r>
              <w:rPr>
                <w:rFonts w:ascii="Arial" w:cs="Arial" w:eastAsia="Arial" w:hAnsi="Arial"/>
                <w:sz w:val="17"/>
                <w:szCs w:val="17"/>
                <w:color w:val="auto"/>
                <w:w w:val="88"/>
              </w:rPr>
              <w:t>Class A Shares</w:t>
            </w:r>
          </w:p>
        </w:tc>
        <w:tc>
          <w:tcPr>
            <w:tcW w:w="3460" w:type="dxa"/>
            <w:vAlign w:val="bottom"/>
            <w:gridSpan w:val="2"/>
          </w:tcPr>
          <w:p>
            <w:pPr>
              <w:jc w:val="center"/>
              <w:ind w:right="120"/>
              <w:spacing w:after="0"/>
              <w:rPr>
                <w:sz w:val="20"/>
                <w:szCs w:val="20"/>
                <w:color w:val="auto"/>
              </w:rPr>
            </w:pPr>
            <w:r>
              <w:rPr>
                <w:rFonts w:ascii="Arial" w:cs="Arial" w:eastAsia="Arial" w:hAnsi="Arial"/>
                <w:sz w:val="17"/>
                <w:szCs w:val="17"/>
                <w:color w:val="auto"/>
                <w:w w:val="88"/>
              </w:rPr>
              <w:t>PAGP</w:t>
            </w:r>
          </w:p>
        </w:tc>
        <w:tc>
          <w:tcPr>
            <w:tcW w:w="4160" w:type="dxa"/>
            <w:vAlign w:val="bottom"/>
          </w:tcPr>
          <w:p>
            <w:pPr>
              <w:jc w:val="center"/>
              <w:spacing w:after="0"/>
              <w:rPr>
                <w:sz w:val="20"/>
                <w:szCs w:val="20"/>
                <w:color w:val="auto"/>
              </w:rPr>
            </w:pPr>
            <w:r>
              <w:rPr>
                <w:rFonts w:ascii="Arial" w:cs="Arial" w:eastAsia="Arial" w:hAnsi="Arial"/>
                <w:sz w:val="17"/>
                <w:szCs w:val="17"/>
                <w:color w:val="auto"/>
                <w:w w:val="88"/>
              </w:rPr>
              <w:t>Nasdaq</w:t>
            </w:r>
          </w:p>
        </w:tc>
      </w:tr>
    </w:tbl>
    <w:p>
      <w:pPr>
        <w:spacing w:after="0" w:line="297" w:lineRule="exact"/>
        <w:rPr>
          <w:sz w:val="24"/>
          <w:szCs w:val="24"/>
          <w:color w:val="auto"/>
        </w:rPr>
      </w:pPr>
    </w:p>
    <w:p>
      <w:pPr>
        <w:ind w:right="20"/>
        <w:spacing w:after="0" w:line="283"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92" w:lineRule="exact"/>
        <w:rPr>
          <w:sz w:val="24"/>
          <w:szCs w:val="24"/>
          <w:color w:val="auto"/>
        </w:rPr>
      </w:pPr>
    </w:p>
    <w:p>
      <w:pPr>
        <w:ind w:right="40"/>
        <w:spacing w:after="0" w:line="22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939165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205105</wp:posOffset>
            </wp:positionV>
            <wp:extent cx="708914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651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147955</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080"/>
          </w:cols>
          <w:pgMar w:left="320" w:top="1274"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2.02 and Item 7.01. Results of Operations and Financial Condition; Regulation FD Disclosure.</w:t>
      </w:r>
    </w:p>
    <w:p>
      <w:pPr>
        <w:spacing w:after="0" w:line="250" w:lineRule="exact"/>
        <w:rPr>
          <w:sz w:val="20"/>
          <w:szCs w:val="20"/>
          <w:color w:val="auto"/>
        </w:rPr>
      </w:pPr>
    </w:p>
    <w:p>
      <w:pPr>
        <w:ind w:firstLine="172"/>
        <w:spacing w:after="0" w:line="285" w:lineRule="auto"/>
        <w:rPr>
          <w:sz w:val="20"/>
          <w:szCs w:val="20"/>
          <w:color w:val="auto"/>
        </w:rPr>
      </w:pPr>
      <w:r>
        <w:rPr>
          <w:rFonts w:ascii="Arial" w:cs="Arial" w:eastAsia="Arial" w:hAnsi="Arial"/>
          <w:sz w:val="16"/>
          <w:szCs w:val="16"/>
          <w:color w:val="auto"/>
        </w:rPr>
        <w:t>On November 3, 2023, the Registrant issued a press release reporting its third-quarter 2023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 Exhibits.</w:t>
      </w:r>
    </w:p>
    <w:p>
      <w:pPr>
        <w:spacing w:after="0" w:line="21"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11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Exhibit</w:t>
            </w:r>
          </w:p>
        </w:tc>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760" w:type="dxa"/>
            <w:vAlign w:val="bottom"/>
            <w:vMerge w:val="restart"/>
          </w:tcPr>
          <w:p>
            <w:pPr>
              <w:ind w:left="66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04"/>
        </w:trPr>
        <w:tc>
          <w:tcPr>
            <w:tcW w:w="11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Number</w:t>
            </w:r>
          </w:p>
        </w:tc>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4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8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7"/>
                <w:szCs w:val="17"/>
                <w:color w:val="auto"/>
                <w:w w:val="90"/>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440" w:type="dxa"/>
            <w:vAlign w:val="bottom"/>
            <w:tcBorders>
              <w:top w:val="single" w:sz="8" w:color="auto"/>
            </w:tcBorders>
            <w:gridSpan w:val="2"/>
          </w:tcPr>
          <w:p>
            <w:pPr>
              <w:spacing w:after="0" w:line="176" w:lineRule="exact"/>
              <w:rPr>
                <w:sz w:val="20"/>
                <w:szCs w:val="20"/>
                <w:color w:val="auto"/>
              </w:rPr>
            </w:pPr>
            <w:r>
              <w:rPr>
                <w:rFonts w:ascii="Arial" w:cs="Arial" w:eastAsia="Arial" w:hAnsi="Arial"/>
                <w:sz w:val="17"/>
                <w:szCs w:val="17"/>
                <w:color w:val="0000FF"/>
              </w:rPr>
              <w:t>Press Release dated November 3, 2023</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1820" w:hanging="783"/>
        <w:spacing w:after="0"/>
        <w:tabs>
          <w:tab w:leader="none" w:pos="1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Cover Page Interactive Data File (embedded within the Inline XBRL document)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6"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20"/>
          </w:cols>
          <w:pgMar w:left="320" w:top="858" w:right="459" w:bottom="1440" w:gutter="0" w:footer="0" w:header="0"/>
        </w:sectPr>
      </w:pPr>
    </w:p>
    <w:bookmarkStart w:id="2" w:name="page3"/>
    <w:bookmarkEnd w:id="2"/>
    <w:p>
      <w:pPr>
        <w:jc w:val="center"/>
        <w:ind w:right="100"/>
        <w:spacing w:after="0"/>
        <w:rPr>
          <w:sz w:val="20"/>
          <w:szCs w:val="20"/>
          <w:color w:val="auto"/>
        </w:rPr>
      </w:pPr>
      <w:r>
        <w:rPr>
          <w:rFonts w:ascii="Arial" w:cs="Arial" w:eastAsia="Arial" w:hAnsi="Arial"/>
          <w:sz w:val="17"/>
          <w:szCs w:val="17"/>
          <w:b w:val="1"/>
          <w:bCs w:val="1"/>
          <w:color w:val="auto"/>
        </w:rPr>
        <w:t>SIGNATURES</w:t>
      </w:r>
    </w:p>
    <w:p>
      <w:pPr>
        <w:spacing w:after="0" w:line="95" w:lineRule="exact"/>
        <w:rPr>
          <w:sz w:val="20"/>
          <w:szCs w:val="20"/>
          <w:color w:val="auto"/>
        </w:rPr>
      </w:pPr>
    </w:p>
    <w:p>
      <w:pPr>
        <w:ind w:right="820" w:firstLine="620"/>
        <w:spacing w:after="0" w:line="28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82" w:lineRule="exact"/>
        <w:rPr>
          <w:sz w:val="20"/>
          <w:szCs w:val="20"/>
          <w:color w:val="auto"/>
        </w:rPr>
      </w:pPr>
    </w:p>
    <w:tbl>
      <w:tblPr>
        <w:tblLayout w:type="fixed"/>
        <w:tblInd w:w="640" w:type="dxa"/>
        <w:tblCellMar>
          <w:top w:w="0" w:type="dxa"/>
          <w:left w:w="0" w:type="dxa"/>
          <w:bottom w:w="0" w:type="dxa"/>
          <w:right w:w="0" w:type="dxa"/>
        </w:tblCellMar>
      </w:tblPr>
      <w:tr>
        <w:trPr>
          <w:trHeight w:val="219"/>
        </w:trPr>
        <w:tc>
          <w:tcPr>
            <w:tcW w:w="3100" w:type="dxa"/>
            <w:vAlign w:val="bottom"/>
          </w:tcPr>
          <w:p>
            <w:pPr>
              <w:spacing w:after="0"/>
              <w:rPr>
                <w:sz w:val="19"/>
                <w:szCs w:val="19"/>
                <w:color w:val="auto"/>
              </w:rPr>
            </w:pPr>
          </w:p>
        </w:tc>
        <w:tc>
          <w:tcPr>
            <w:tcW w:w="7600" w:type="dxa"/>
            <w:vAlign w:val="bottom"/>
            <w:gridSpan w:val="3"/>
          </w:tcPr>
          <w:p>
            <w:pPr>
              <w:ind w:left="1420"/>
              <w:spacing w:after="0"/>
              <w:rPr>
                <w:sz w:val="20"/>
                <w:szCs w:val="20"/>
                <w:color w:val="auto"/>
              </w:rPr>
            </w:pPr>
            <w:r>
              <w:rPr>
                <w:rFonts w:ascii="Arial" w:cs="Arial" w:eastAsia="Arial" w:hAnsi="Arial"/>
                <w:sz w:val="17"/>
                <w:szCs w:val="17"/>
                <w:color w:val="auto"/>
              </w:rPr>
              <w:t>PLAINS GP HOLDINGS, L.P.</w:t>
            </w:r>
          </w:p>
        </w:tc>
      </w:tr>
      <w:tr>
        <w:trPr>
          <w:trHeight w:val="478"/>
        </w:trPr>
        <w:tc>
          <w:tcPr>
            <w:tcW w:w="3100" w:type="dxa"/>
            <w:vAlign w:val="bottom"/>
          </w:tcPr>
          <w:p>
            <w:pPr>
              <w:spacing w:after="0"/>
              <w:rPr>
                <w:sz w:val="24"/>
                <w:szCs w:val="24"/>
                <w:color w:val="auto"/>
              </w:rPr>
            </w:pPr>
          </w:p>
        </w:tc>
        <w:tc>
          <w:tcPr>
            <w:tcW w:w="1860" w:type="dxa"/>
            <w:vAlign w:val="bottom"/>
          </w:tcPr>
          <w:p>
            <w:pPr>
              <w:ind w:left="1420"/>
              <w:spacing w:after="0"/>
              <w:rPr>
                <w:sz w:val="20"/>
                <w:szCs w:val="20"/>
                <w:color w:val="auto"/>
              </w:rPr>
            </w:pPr>
            <w:r>
              <w:rPr>
                <w:rFonts w:ascii="Arial" w:cs="Arial" w:eastAsia="Arial" w:hAnsi="Arial"/>
                <w:sz w:val="17"/>
                <w:szCs w:val="17"/>
                <w:color w:val="auto"/>
              </w:rPr>
              <w:t>By:</w:t>
            </w:r>
          </w:p>
        </w:tc>
        <w:tc>
          <w:tcPr>
            <w:tcW w:w="5740" w:type="dxa"/>
            <w:vAlign w:val="bottom"/>
            <w:gridSpan w:val="2"/>
          </w:tcPr>
          <w:p>
            <w:pPr>
              <w:ind w:left="20"/>
              <w:spacing w:after="0"/>
              <w:rPr>
                <w:sz w:val="20"/>
                <w:szCs w:val="20"/>
                <w:color w:val="auto"/>
              </w:rPr>
            </w:pPr>
            <w:r>
              <w:rPr>
                <w:rFonts w:ascii="Arial" w:cs="Arial" w:eastAsia="Arial" w:hAnsi="Arial"/>
                <w:sz w:val="17"/>
                <w:szCs w:val="17"/>
                <w:color w:val="auto"/>
              </w:rPr>
              <w:t>PAA GP Holdings LLC, its general partner</w:t>
            </w:r>
          </w:p>
        </w:tc>
      </w:tr>
      <w:tr>
        <w:trPr>
          <w:trHeight w:val="478"/>
        </w:trPr>
        <w:tc>
          <w:tcPr>
            <w:tcW w:w="3100" w:type="dxa"/>
            <w:vAlign w:val="bottom"/>
          </w:tcPr>
          <w:p>
            <w:pPr>
              <w:spacing w:after="0"/>
              <w:rPr>
                <w:sz w:val="20"/>
                <w:szCs w:val="20"/>
                <w:color w:val="auto"/>
              </w:rPr>
            </w:pPr>
            <w:r>
              <w:rPr>
                <w:rFonts w:ascii="Arial" w:cs="Arial" w:eastAsia="Arial" w:hAnsi="Arial"/>
                <w:sz w:val="17"/>
                <w:szCs w:val="17"/>
                <w:color w:val="auto"/>
              </w:rPr>
              <w:t>Date: November 3, 2023</w:t>
            </w:r>
          </w:p>
        </w:tc>
        <w:tc>
          <w:tcPr>
            <w:tcW w:w="1860" w:type="dxa"/>
            <w:vAlign w:val="bottom"/>
          </w:tcPr>
          <w:p>
            <w:pPr>
              <w:ind w:left="1420"/>
              <w:spacing w:after="0"/>
              <w:rPr>
                <w:sz w:val="20"/>
                <w:szCs w:val="20"/>
                <w:color w:val="auto"/>
              </w:rPr>
            </w:pPr>
            <w:r>
              <w:rPr>
                <w:rFonts w:ascii="Arial" w:cs="Arial" w:eastAsia="Arial" w:hAnsi="Arial"/>
                <w:sz w:val="17"/>
                <w:szCs w:val="17"/>
                <w:color w:val="auto"/>
              </w:rPr>
              <w:t>By:</w:t>
            </w:r>
          </w:p>
        </w:tc>
        <w:tc>
          <w:tcPr>
            <w:tcW w:w="574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/s/ Al Swanson</w:t>
            </w:r>
          </w:p>
        </w:tc>
      </w:tr>
      <w:tr>
        <w:trPr>
          <w:trHeight w:val="213"/>
        </w:trPr>
        <w:tc>
          <w:tcPr>
            <w:tcW w:w="3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auto"/>
              </w:rPr>
              <w:t>Name:</w:t>
            </w:r>
          </w:p>
        </w:tc>
        <w:tc>
          <w:tcPr>
            <w:tcW w:w="5100" w:type="dxa"/>
            <w:vAlign w:val="bottom"/>
          </w:tcPr>
          <w:p>
            <w:pPr>
              <w:ind w:left="180"/>
              <w:spacing w:after="0"/>
              <w:rPr>
                <w:sz w:val="20"/>
                <w:szCs w:val="20"/>
                <w:color w:val="auto"/>
              </w:rPr>
            </w:pPr>
            <w:r>
              <w:rPr>
                <w:rFonts w:ascii="Arial" w:cs="Arial" w:eastAsia="Arial" w:hAnsi="Arial"/>
                <w:sz w:val="17"/>
                <w:szCs w:val="17"/>
                <w:color w:val="auto"/>
              </w:rPr>
              <w:t>Al Swanson</w:t>
            </w:r>
          </w:p>
        </w:tc>
      </w:tr>
      <w:tr>
        <w:trPr>
          <w:trHeight w:val="220"/>
        </w:trPr>
        <w:tc>
          <w:tcPr>
            <w:tcW w:w="3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auto"/>
              </w:rPr>
              <w:t>Title:</w:t>
            </w:r>
          </w:p>
        </w:tc>
        <w:tc>
          <w:tcPr>
            <w:tcW w:w="5100" w:type="dxa"/>
            <w:vAlign w:val="bottom"/>
          </w:tcPr>
          <w:p>
            <w:pPr>
              <w:ind w:left="180"/>
              <w:spacing w:after="0"/>
              <w:rPr>
                <w:sz w:val="20"/>
                <w:szCs w:val="20"/>
                <w:color w:val="auto"/>
              </w:rPr>
            </w:pPr>
            <w:r>
              <w:rPr>
                <w:rFonts w:ascii="Arial" w:cs="Arial" w:eastAsia="Arial" w:hAnsi="Arial"/>
                <w:sz w:val="17"/>
                <w:szCs w:val="17"/>
                <w:i w:val="1"/>
                <w:iCs w:val="1"/>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40"/>
          </w:cols>
          <w:pgMar w:left="320" w:top="948"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281305</wp:posOffset>
            </wp:positionV>
            <wp:extent cx="4733925" cy="7467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33925" cy="746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Plains All American Reports Third-Quarter 2023 Results &amp; Raises 2023 Guidance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Announces Capital Allocation Updates &amp; Permian Bolt-On Acquisitions</w:t>
      </w:r>
    </w:p>
    <w:p>
      <w:pPr>
        <w:spacing w:after="0" w:line="21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Houston, TX – November 3, 2023 – Plains All American Pipeline, L.P. (Nasdaq: PAA) and Plains GP Holdings (Nasdaq: PAGP) today reported third-quarter 2023 results and provided updated 2023 guidance as highlighted below. Plains also provided additional information regarding its multi-year capital allocation framework and announced two bolt-on acquisitions in the Permian Basin.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Third-Quarter Results</w:t>
      </w:r>
    </w:p>
    <w:p>
      <w:pPr>
        <w:spacing w:after="0" w:line="30" w:lineRule="exact"/>
        <w:rPr>
          <w:sz w:val="20"/>
          <w:szCs w:val="20"/>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Reported Net income attributable to PAA of $203 million and Net cash provided by operating activities of $85 million.</w:t>
      </w:r>
    </w:p>
    <w:p>
      <w:pPr>
        <w:spacing w:after="0" w:line="231"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Delivered strong results with Adjusted EBITDA attributable to PAA of $662 million.</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2023 Guidance Update</w:t>
      </w:r>
    </w:p>
    <w:p>
      <w:pPr>
        <w:spacing w:after="0" w:line="30" w:lineRule="exact"/>
        <w:rPr>
          <w:sz w:val="20"/>
          <w:szCs w:val="20"/>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Raising guidance for full-year 2023 Adjusted EBITDA attributable to PAA to $2.60 - $2.65 billion from $2.45 - $2.55 billion.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Allocation Updates</w:t>
      </w:r>
    </w:p>
    <w:p>
      <w:pPr>
        <w:spacing w:after="0" w:line="30" w:lineRule="exact"/>
        <w:rPr>
          <w:sz w:val="20"/>
          <w:szCs w:val="20"/>
          <w:color w:val="auto"/>
        </w:rPr>
      </w:pPr>
    </w:p>
    <w:p>
      <w:pPr>
        <w:jc w:val="both"/>
        <w:ind w:left="620" w:right="180" w:hanging="307"/>
        <w:spacing w:after="0" w:line="260"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Management currently intends to recommend to the Board of Directors of PAA GP Holdings LLC (“the Plains Board”) an annualized increase of $0.20 per unit to PAA's and PAGP’s fourth-quarter 2023 distribution payable in February 2024, which would increase the annualized rate from $1.07 to $1.27 per common unit and Class A share, representing a 19% increase.</w:t>
      </w:r>
    </w:p>
    <w:p>
      <w:pPr>
        <w:spacing w:after="0" w:line="204" w:lineRule="exact"/>
        <w:rPr>
          <w:rFonts w:ascii="Arial" w:cs="Arial" w:eastAsia="Arial" w:hAnsi="Arial"/>
          <w:sz w:val="17"/>
          <w:szCs w:val="17"/>
          <w:color w:val="auto"/>
        </w:rPr>
      </w:pPr>
    </w:p>
    <w:p>
      <w:pPr>
        <w:ind w:left="620" w:right="300" w:hanging="307"/>
        <w:spacing w:after="0" w:line="283"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As part of a continued commitment to enhance the balance sheet, management is lowering the long-term leverage ratio target range by 0.5x to 3.25x - 3.75x and expects year-end 2023 leverage to be below 3.5x.</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Permian Bolt-on Acquisitions</w:t>
      </w:r>
    </w:p>
    <w:p>
      <w:pPr>
        <w:spacing w:after="0" w:line="30" w:lineRule="exact"/>
        <w:rPr>
          <w:sz w:val="20"/>
          <w:szCs w:val="20"/>
          <w:color w:val="auto"/>
        </w:rPr>
      </w:pPr>
    </w:p>
    <w:p>
      <w:pPr>
        <w:ind w:left="620" w:right="20" w:hanging="307"/>
        <w:spacing w:after="0" w:line="260"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color w:val="auto"/>
        </w:rPr>
        <w:t>Subsidiaries of Plains Oryx Permian Basin LLC (the “Permian JV”) acquired Rattler Midstream’s Southern Delaware Basin crude oil gathering system and LM Energy’s Northern Delaware Basin Touchdown crude oil gathering system for aggregate cash consideration of approximately $205 million ($135 million net to PAA’s interest in the Permian JV).</w:t>
      </w:r>
    </w:p>
    <w:p>
      <w:pPr>
        <w:spacing w:after="0" w:line="205"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“Today’s announcements include strong quarterly results contributing to an upward revision of our full-year EBITDA guidance. We closed two bolt-on acquisitions that complement our existing portfolio and enhance the service offering of our Permian JV. Our strong performance and positive outlook for our business combined with the contribution from recent bolt-on transactions underpins our intent to recommend to our Board a 19% increase in the annualized distribution rate for the distribution payable in February 2024. We remain committed to operating with a strong balance sheet that can withstand various commodity cycles and consistent with this objective, we are reducing our long-term leverage ratio target range. These steps underscore the confidence we have in our business and reflect the continued focus on execution by our entire team,” said Willie Chiang, Chairman &amp; CEO of Plains. “Recent geopolitical events remind us of the important role we play as a critical provider of infrastructure solutions offering affordable, reliable, and responsibly produced crude oil &amp; NGLs across North America and reinforce our view that we remain well positioned today and going forward.”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54"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auto"/>
        </w:rPr>
        <w:t>Page 2</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Summary Financial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(unaudited)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unit data)</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Nine Months Ended</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83"/>
        </w:trPr>
        <w:tc>
          <w:tcPr>
            <w:tcW w:w="5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6"/>
          </w:tcPr>
          <w:p>
            <w:pPr>
              <w:ind w:left="32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7"/>
              </w:rPr>
              <w:t>September 30,</w:t>
            </w: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GAAP Results</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20"/>
        </w:trPr>
        <w:tc>
          <w:tcPr>
            <w:tcW w:w="51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income attributable to PAA</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19 %</w:t>
            </w:r>
          </w:p>
        </w:tc>
        <w:tc>
          <w:tcPr>
            <w:tcW w:w="0" w:type="dxa"/>
            <w:vAlign w:val="bottom"/>
          </w:tcPr>
          <w:p>
            <w:pPr>
              <w:spacing w:after="0"/>
              <w:rPr>
                <w:sz w:val="1"/>
                <w:szCs w:val="1"/>
                <w:color w:val="auto"/>
              </w:rPr>
            </w:pPr>
          </w:p>
        </w:tc>
      </w:tr>
      <w:tr>
        <w:trPr>
          <w:trHeight w:val="220"/>
        </w:trPr>
        <w:tc>
          <w:tcPr>
            <w:tcW w:w="5160" w:type="dxa"/>
            <w:vAlign w:val="bottom"/>
            <w:gridSpan w:val="3"/>
          </w:tcPr>
          <w:p>
            <w:pPr>
              <w:ind w:left="20"/>
              <w:spacing w:after="0"/>
              <w:rPr>
                <w:sz w:val="20"/>
                <w:szCs w:val="20"/>
                <w:color w:val="auto"/>
              </w:rPr>
            </w:pPr>
            <w:r>
              <w:rPr>
                <w:rFonts w:ascii="Arial" w:cs="Arial" w:eastAsia="Arial" w:hAnsi="Arial"/>
                <w:sz w:val="17"/>
                <w:szCs w:val="17"/>
                <w:color w:val="auto"/>
              </w:rPr>
              <w:t>Diluted net income per common unit</w:t>
            </w:r>
          </w:p>
        </w:tc>
        <w:tc>
          <w:tcPr>
            <w:tcW w:w="220" w:type="dxa"/>
            <w:vAlign w:val="bottom"/>
            <w:gridSpan w:val="2"/>
          </w:tcPr>
          <w:p>
            <w:pPr>
              <w:jc w:val="right"/>
              <w:ind w:right="120"/>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0.20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0.48</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(58)%</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0.89</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17 %</w:t>
            </w:r>
          </w:p>
        </w:tc>
        <w:tc>
          <w:tcPr>
            <w:tcW w:w="0" w:type="dxa"/>
            <w:vAlign w:val="bottom"/>
          </w:tcPr>
          <w:p>
            <w:pPr>
              <w:spacing w:after="0"/>
              <w:rPr>
                <w:sz w:val="1"/>
                <w:szCs w:val="1"/>
                <w:color w:val="auto"/>
              </w:rPr>
            </w:pPr>
          </w:p>
        </w:tc>
      </w:tr>
      <w:tr>
        <w:trPr>
          <w:trHeight w:val="220"/>
        </w:trPr>
        <w:tc>
          <w:tcPr>
            <w:tcW w:w="51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Diluted weighted average common units outstanding</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w:t>
            </w:r>
          </w:p>
        </w:tc>
        <w:tc>
          <w:tcPr>
            <w:tcW w:w="10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20"/>
        </w:trPr>
        <w:tc>
          <w:tcPr>
            <w:tcW w:w="5160" w:type="dxa"/>
            <w:vAlign w:val="bottom"/>
            <w:gridSpan w:val="3"/>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220" w:type="dxa"/>
            <w:vAlign w:val="bottom"/>
            <w:gridSpan w:val="2"/>
          </w:tcPr>
          <w:p>
            <w:pPr>
              <w:jc w:val="right"/>
              <w:ind w:right="120"/>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941</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(91)%</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1,716</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2,074</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20"/>
        </w:trPr>
        <w:tc>
          <w:tcPr>
            <w:tcW w:w="51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Distribution per common unit declared for the period</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0.2675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0.2175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23 %</w:t>
            </w: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0.8025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0.6525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23 %</w:t>
            </w:r>
          </w:p>
        </w:tc>
        <w:tc>
          <w:tcPr>
            <w:tcW w:w="0" w:type="dxa"/>
            <w:vAlign w:val="bottom"/>
          </w:tcPr>
          <w:p>
            <w:pPr>
              <w:spacing w:after="0"/>
              <w:rPr>
                <w:sz w:val="1"/>
                <w:szCs w:val="1"/>
                <w:color w:val="auto"/>
              </w:rPr>
            </w:pPr>
          </w:p>
        </w:tc>
      </w:tr>
      <w:tr>
        <w:trPr>
          <w:trHeight w:val="581"/>
        </w:trPr>
        <w:tc>
          <w:tcPr>
            <w:tcW w:w="5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Nine Months Ended</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87"/>
        </w:trPr>
        <w:tc>
          <w:tcPr>
            <w:tcW w:w="5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6"/>
          </w:tcPr>
          <w:p>
            <w:pPr>
              <w:ind w:left="34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7"/>
              </w:rPr>
              <w:t>September 30,</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100" w:type="dxa"/>
            <w:vAlign w:val="bottom"/>
            <w:tcBorders>
              <w:bottom w:val="single" w:sz="8" w:color="auto"/>
            </w:tcBorders>
            <w:gridSpan w:val="2"/>
          </w:tcPr>
          <w:p>
            <w:pPr>
              <w:ind w:left="20"/>
              <w:spacing w:after="0" w:line="194" w:lineRule="exact"/>
              <w:rPr>
                <w:sz w:val="20"/>
                <w:szCs w:val="20"/>
                <w:color w:val="auto"/>
              </w:rPr>
            </w:pPr>
            <w:r>
              <w:rPr>
                <w:rFonts w:ascii="Arial" w:cs="Arial" w:eastAsia="Arial" w:hAnsi="Arial"/>
                <w:sz w:val="14"/>
                <w:szCs w:val="14"/>
                <w:b w:val="1"/>
                <w:bCs w:val="1"/>
                <w:i w:val="1"/>
                <w:iCs w:val="1"/>
                <w:color w:val="auto"/>
              </w:rPr>
              <w:t xml:space="preserve">Non-GAAP Results </w:t>
            </w:r>
            <w:r>
              <w:rPr>
                <w:rFonts w:ascii="Arial" w:cs="Arial" w:eastAsia="Arial" w:hAnsi="Arial"/>
                <w:sz w:val="17"/>
                <w:szCs w:val="17"/>
                <w:b w:val="1"/>
                <w:bCs w:val="1"/>
                <w:i w:val="1"/>
                <w:iCs w:val="1"/>
                <w:color w:val="auto"/>
                <w:vertAlign w:val="superscript"/>
              </w:rPr>
              <w:t>(1)</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3"/>
        </w:trPr>
        <w:tc>
          <w:tcPr>
            <w:tcW w:w="51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Adjusted net income attributable to PAA</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10 %</w:t>
            </w:r>
          </w:p>
        </w:tc>
        <w:tc>
          <w:tcPr>
            <w:tcW w:w="120" w:type="dxa"/>
            <w:vAlign w:val="bottom"/>
            <w:tcBorders>
              <w:right w:val="single" w:sz="8" w:color="auto"/>
            </w:tcBorders>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11 %</w:t>
            </w:r>
          </w:p>
        </w:tc>
        <w:tc>
          <w:tcPr>
            <w:tcW w:w="0" w:type="dxa"/>
            <w:vAlign w:val="bottom"/>
          </w:tcPr>
          <w:p>
            <w:pPr>
              <w:spacing w:after="0"/>
              <w:rPr>
                <w:sz w:val="1"/>
                <w:szCs w:val="1"/>
                <w:color w:val="auto"/>
              </w:rPr>
            </w:pPr>
          </w:p>
        </w:tc>
      </w:tr>
      <w:tr>
        <w:trPr>
          <w:trHeight w:val="220"/>
        </w:trPr>
        <w:tc>
          <w:tcPr>
            <w:tcW w:w="5160" w:type="dxa"/>
            <w:vAlign w:val="bottom"/>
            <w:gridSpan w:val="3"/>
          </w:tcPr>
          <w:p>
            <w:pPr>
              <w:ind w:left="20"/>
              <w:spacing w:after="0"/>
              <w:rPr>
                <w:sz w:val="20"/>
                <w:szCs w:val="20"/>
                <w:color w:val="auto"/>
              </w:rPr>
            </w:pPr>
            <w:r>
              <w:rPr>
                <w:rFonts w:ascii="Arial" w:cs="Arial" w:eastAsia="Arial" w:hAnsi="Arial"/>
                <w:sz w:val="17"/>
                <w:szCs w:val="17"/>
                <w:color w:val="auto"/>
              </w:rPr>
              <w:t>Diluted adjusted net income per common unit</w:t>
            </w:r>
          </w:p>
        </w:tc>
        <w:tc>
          <w:tcPr>
            <w:tcW w:w="2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0.35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0.33</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6 %</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0.93</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9 %</w:t>
            </w:r>
          </w:p>
        </w:tc>
        <w:tc>
          <w:tcPr>
            <w:tcW w:w="0" w:type="dxa"/>
            <w:vAlign w:val="bottom"/>
          </w:tcPr>
          <w:p>
            <w:pPr>
              <w:spacing w:after="0"/>
              <w:rPr>
                <w:sz w:val="1"/>
                <w:szCs w:val="1"/>
                <w:color w:val="auto"/>
              </w:rPr>
            </w:pPr>
          </w:p>
        </w:tc>
      </w:tr>
      <w:tr>
        <w:trPr>
          <w:trHeight w:val="220"/>
        </w:trPr>
        <w:tc>
          <w:tcPr>
            <w:tcW w:w="51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8 %</w:t>
            </w: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8 %</w:t>
            </w:r>
          </w:p>
        </w:tc>
        <w:tc>
          <w:tcPr>
            <w:tcW w:w="0" w:type="dxa"/>
            <w:vAlign w:val="bottom"/>
          </w:tcPr>
          <w:p>
            <w:pPr>
              <w:spacing w:after="0"/>
              <w:rPr>
                <w:sz w:val="1"/>
                <w:szCs w:val="1"/>
                <w:color w:val="auto"/>
              </w:rPr>
            </w:pPr>
          </w:p>
        </w:tc>
      </w:tr>
      <w:tr>
        <w:trPr>
          <w:trHeight w:val="220"/>
        </w:trPr>
        <w:tc>
          <w:tcPr>
            <w:tcW w:w="5160" w:type="dxa"/>
            <w:vAlign w:val="bottom"/>
            <w:gridSpan w:val="3"/>
          </w:tcPr>
          <w:p>
            <w:pPr>
              <w:ind w:left="20"/>
              <w:spacing w:after="0" w:line="220" w:lineRule="exact"/>
              <w:rPr>
                <w:sz w:val="20"/>
                <w:szCs w:val="20"/>
                <w:color w:val="auto"/>
              </w:rPr>
            </w:pPr>
            <w:r>
              <w:rPr>
                <w:rFonts w:ascii="Arial" w:cs="Arial" w:eastAsia="Arial" w:hAnsi="Arial"/>
                <w:sz w:val="17"/>
                <w:szCs w:val="17"/>
                <w:color w:val="auto"/>
              </w:rPr>
              <w:t xml:space="preserve">Adjusted EBITDA attributable to PAA </w:t>
            </w:r>
            <w:r>
              <w:rPr>
                <w:rFonts w:ascii="Arial" w:cs="Arial" w:eastAsia="Arial" w:hAnsi="Arial"/>
                <w:sz w:val="22"/>
                <w:szCs w:val="22"/>
                <w:color w:val="auto"/>
                <w:vertAlign w:val="superscript"/>
              </w:rPr>
              <w:t>(2)</w:t>
            </w:r>
          </w:p>
        </w:tc>
        <w:tc>
          <w:tcPr>
            <w:tcW w:w="2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662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623</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6 %</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1,974</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1,851</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7 %</w:t>
            </w:r>
          </w:p>
        </w:tc>
        <w:tc>
          <w:tcPr>
            <w:tcW w:w="0" w:type="dxa"/>
            <w:vAlign w:val="bottom"/>
          </w:tcPr>
          <w:p>
            <w:pPr>
              <w:spacing w:after="0"/>
              <w:rPr>
                <w:sz w:val="1"/>
                <w:szCs w:val="1"/>
                <w:color w:val="auto"/>
              </w:rPr>
            </w:pPr>
          </w:p>
        </w:tc>
      </w:tr>
      <w:tr>
        <w:trPr>
          <w:trHeight w:val="220"/>
        </w:trPr>
        <w:tc>
          <w:tcPr>
            <w:tcW w:w="51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Implied DCF per common unit and common unit equivalent</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13 %</w:t>
            </w: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6 %</w:t>
            </w:r>
          </w:p>
        </w:tc>
        <w:tc>
          <w:tcPr>
            <w:tcW w:w="0" w:type="dxa"/>
            <w:vAlign w:val="bottom"/>
          </w:tcPr>
          <w:p>
            <w:pPr>
              <w:spacing w:after="0"/>
              <w:rPr>
                <w:sz w:val="1"/>
                <w:szCs w:val="1"/>
                <w:color w:val="auto"/>
              </w:rPr>
            </w:pPr>
          </w:p>
        </w:tc>
      </w:tr>
      <w:tr>
        <w:trPr>
          <w:trHeight w:val="220"/>
        </w:trPr>
        <w:tc>
          <w:tcPr>
            <w:tcW w:w="5160" w:type="dxa"/>
            <w:vAlign w:val="bottom"/>
            <w:gridSpan w:val="3"/>
          </w:tcPr>
          <w:p>
            <w:pPr>
              <w:ind w:left="20"/>
              <w:spacing w:after="0"/>
              <w:rPr>
                <w:sz w:val="20"/>
                <w:szCs w:val="20"/>
                <w:color w:val="auto"/>
              </w:rPr>
            </w:pPr>
            <w:r>
              <w:rPr>
                <w:rFonts w:ascii="Arial" w:cs="Arial" w:eastAsia="Arial" w:hAnsi="Arial"/>
                <w:sz w:val="17"/>
                <w:szCs w:val="17"/>
                <w:color w:val="auto"/>
              </w:rPr>
              <w:t>Free Cash Flow</w:t>
            </w:r>
          </w:p>
        </w:tc>
        <w:tc>
          <w:tcPr>
            <w:tcW w:w="2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726</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1,088</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1,615</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20"/>
        </w:trPr>
        <w:tc>
          <w:tcPr>
            <w:tcW w:w="51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Free Cash Flow after Distributions</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163830</wp:posOffset>
            </wp:positionV>
            <wp:extent cx="24612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color w:val="auto"/>
        </w:rPr>
        <w:t>** Indicates that variance as a percentage is not meaningful.</w:t>
      </w:r>
    </w:p>
    <w:p>
      <w:pPr>
        <w:spacing w:after="0" w:line="63" w:lineRule="exact"/>
        <w:rPr>
          <w:sz w:val="20"/>
          <w:szCs w:val="20"/>
          <w:color w:val="auto"/>
        </w:rPr>
      </w:pPr>
    </w:p>
    <w:p>
      <w:pPr>
        <w:ind w:left="320" w:right="160" w:hanging="317"/>
        <w:spacing w:after="0" w:line="253" w:lineRule="auto"/>
        <w:tabs>
          <w:tab w:leader="none" w:pos="308"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29" w:lineRule="exact"/>
        <w:rPr>
          <w:rFonts w:ascii="Arial" w:cs="Arial" w:eastAsia="Arial" w:hAnsi="Arial"/>
          <w:sz w:val="21"/>
          <w:szCs w:val="21"/>
          <w:color w:val="auto"/>
          <w:vertAlign w:val="superscript"/>
        </w:rPr>
      </w:pPr>
    </w:p>
    <w:p>
      <w:pPr>
        <w:ind w:left="320" w:right="120" w:hanging="317"/>
        <w:spacing w:after="0" w:line="228" w:lineRule="auto"/>
        <w:tabs>
          <w:tab w:leader="none" w:pos="308"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Excludes amounts attributable to noncontrolling interests in the Plains Oryx Permian Basin LLC joint venture, Cactus II Pipeline LLC (beginning November 2022) and Red River Pipeline LLC.</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auto"/>
        </w:rPr>
        <w:t>Page 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Summary of Selected Financial Data by Segment</w:t>
      </w:r>
      <w:r>
        <w:rPr>
          <w:rFonts w:ascii="Arial" w:cs="Arial" w:eastAsia="Arial" w:hAnsi="Arial"/>
          <w:sz w:val="17"/>
          <w:szCs w:val="17"/>
          <w:b w:val="1"/>
          <w:bCs w:val="1"/>
          <w:color w:val="auto"/>
        </w:rPr>
        <w:t xml:space="preserve"> </w:t>
      </w:r>
      <w:r>
        <w:rPr>
          <w:rFonts w:ascii="Arial" w:cs="Arial" w:eastAsia="Arial" w:hAnsi="Arial"/>
          <w:sz w:val="17"/>
          <w:szCs w:val="17"/>
          <w:color w:val="auto"/>
        </w:rPr>
        <w:t>(unaudited)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8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6"/>
                <w:szCs w:val="16"/>
                <w:b w:val="1"/>
                <w:bCs w:val="1"/>
                <w:color w:val="auto"/>
              </w:rPr>
              <w:t>Segment Adjusted EBITDA</w:t>
            </w:r>
          </w:p>
        </w:tc>
      </w:tr>
      <w:tr>
        <w:trPr>
          <w:trHeight w:val="200"/>
        </w:trPr>
        <w:tc>
          <w:tcPr>
            <w:tcW w:w="7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ind w:left="180"/>
              <w:spacing w:after="0"/>
              <w:rPr>
                <w:sz w:val="20"/>
                <w:szCs w:val="20"/>
                <w:color w:val="auto"/>
              </w:rPr>
            </w:pPr>
            <w:r>
              <w:rPr>
                <w:rFonts w:ascii="Arial" w:cs="Arial" w:eastAsia="Arial" w:hAnsi="Arial"/>
                <w:sz w:val="16"/>
                <w:szCs w:val="16"/>
                <w:b w:val="1"/>
                <w:bCs w:val="1"/>
                <w:color w:val="auto"/>
              </w:rPr>
              <w:t>Crude Oil</w:t>
            </w:r>
          </w:p>
        </w:tc>
        <w:tc>
          <w:tcPr>
            <w:tcW w:w="380" w:type="dxa"/>
            <w:vAlign w:val="bottom"/>
          </w:tcPr>
          <w:p>
            <w:pPr>
              <w:spacing w:after="0"/>
              <w:rPr>
                <w:sz w:val="17"/>
                <w:szCs w:val="17"/>
                <w:color w:val="auto"/>
              </w:rPr>
            </w:pPr>
          </w:p>
        </w:tc>
        <w:tc>
          <w:tcPr>
            <w:tcW w:w="1260" w:type="dxa"/>
            <w:vAlign w:val="bottom"/>
          </w:tcPr>
          <w:p>
            <w:pPr>
              <w:jc w:val="right"/>
              <w:ind w:right="556"/>
              <w:spacing w:after="0"/>
              <w:rPr>
                <w:sz w:val="20"/>
                <w:szCs w:val="20"/>
                <w:color w:val="auto"/>
              </w:rPr>
            </w:pPr>
            <w:r>
              <w:rPr>
                <w:rFonts w:ascii="Arial" w:cs="Arial" w:eastAsia="Arial" w:hAnsi="Arial"/>
                <w:sz w:val="16"/>
                <w:szCs w:val="16"/>
                <w:b w:val="1"/>
                <w:bCs w:val="1"/>
                <w:color w:val="auto"/>
              </w:rPr>
              <w:t>NGL</w:t>
            </w:r>
          </w:p>
        </w:tc>
      </w:tr>
      <w:tr>
        <w:trPr>
          <w:trHeight w:val="240"/>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Three Months Ended September 30, 2023</w:t>
            </w: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553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99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860" w:type="dxa"/>
            <w:vAlign w:val="bottom"/>
          </w:tcPr>
          <w:p>
            <w:pPr>
              <w:ind w:left="20"/>
              <w:spacing w:after="0" w:line="191" w:lineRule="exact"/>
              <w:rPr>
                <w:sz w:val="20"/>
                <w:szCs w:val="20"/>
                <w:color w:val="auto"/>
              </w:rPr>
            </w:pPr>
            <w:r>
              <w:rPr>
                <w:rFonts w:ascii="Arial" w:cs="Arial" w:eastAsia="Arial" w:hAnsi="Arial"/>
                <w:sz w:val="17"/>
                <w:szCs w:val="17"/>
                <w:color w:val="auto"/>
              </w:rPr>
              <w:t>Three Months Ended September 30, 2022</w:t>
            </w:r>
          </w:p>
        </w:tc>
        <w:tc>
          <w:tcPr>
            <w:tcW w:w="300" w:type="dxa"/>
            <w:vAlign w:val="bottom"/>
            <w:tcBorders>
              <w:bottom w:val="single" w:sz="8" w:color="auto"/>
            </w:tcBorders>
          </w:tcPr>
          <w:p>
            <w:pPr>
              <w:jc w:val="right"/>
              <w:ind w:right="114"/>
              <w:spacing w:after="0" w:line="191" w:lineRule="exact"/>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ind w:right="137"/>
              <w:spacing w:after="0" w:line="191" w:lineRule="exact"/>
              <w:rPr>
                <w:sz w:val="20"/>
                <w:szCs w:val="20"/>
                <w:color w:val="auto"/>
              </w:rPr>
            </w:pPr>
            <w:r>
              <w:rPr>
                <w:rFonts w:ascii="Arial" w:cs="Arial" w:eastAsia="Arial" w:hAnsi="Arial"/>
                <w:sz w:val="17"/>
                <w:szCs w:val="17"/>
                <w:color w:val="auto"/>
              </w:rPr>
              <w:t>536</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4"/>
              <w:spacing w:after="0" w:line="191" w:lineRule="exact"/>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ind w:right="116"/>
              <w:spacing w:after="0" w:line="191" w:lineRule="exact"/>
              <w:rPr>
                <w:sz w:val="20"/>
                <w:szCs w:val="20"/>
                <w:color w:val="auto"/>
              </w:rPr>
            </w:pPr>
            <w:r>
              <w:rPr>
                <w:rFonts w:ascii="Arial" w:cs="Arial" w:eastAsia="Arial" w:hAnsi="Arial"/>
                <w:sz w:val="17"/>
                <w:szCs w:val="17"/>
                <w:color w:val="auto"/>
              </w:rPr>
              <w:t>86</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0"/>
        </w:trPr>
        <w:tc>
          <w:tcPr>
            <w:tcW w:w="7860" w:type="dxa"/>
            <w:vAlign w:val="bottom"/>
            <w:tcBorders>
              <w:bottom w:val="single" w:sz="8" w:color="CCEEFF"/>
            </w:tcBorders>
            <w:shd w:val="clear" w:color="auto" w:fill="CCEEFF"/>
          </w:tcPr>
          <w:p>
            <w:pPr>
              <w:ind w:left="20"/>
              <w:spacing w:after="0" w:line="185" w:lineRule="exact"/>
              <w:rPr>
                <w:sz w:val="20"/>
                <w:szCs w:val="20"/>
                <w:color w:val="auto"/>
              </w:rPr>
            </w:pPr>
            <w:r>
              <w:rPr>
                <w:rFonts w:ascii="Arial" w:cs="Arial" w:eastAsia="Arial" w:hAnsi="Arial"/>
                <w:sz w:val="17"/>
                <w:szCs w:val="17"/>
                <w:b w:val="1"/>
                <w:bCs w:val="1"/>
                <w:i w:val="1"/>
                <w:iCs w:val="1"/>
                <w:color w:val="auto"/>
              </w:rPr>
              <w:t>Percentage change in Segment Adjusted EBITDA versus 2022 period</w:t>
            </w:r>
          </w:p>
        </w:tc>
        <w:tc>
          <w:tcPr>
            <w:tcW w:w="3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b w:val="1"/>
                <w:bCs w:val="1"/>
                <w:i w:val="1"/>
                <w:iCs w:val="1"/>
                <w:color w:val="auto"/>
              </w:rPr>
              <w:t>3 %</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b w:val="1"/>
                <w:bCs w:val="1"/>
                <w:i w:val="1"/>
                <w:iCs w:val="1"/>
                <w:color w:val="auto"/>
              </w:rPr>
              <w:t>15 %</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08"/>
        </w:trPr>
        <w:tc>
          <w:tcPr>
            <w:tcW w:w="78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6"/>
                <w:szCs w:val="16"/>
                <w:b w:val="1"/>
                <w:bCs w:val="1"/>
                <w:color w:val="auto"/>
              </w:rPr>
              <w:t>Segment Adjusted EBITDA</w:t>
            </w:r>
          </w:p>
        </w:tc>
      </w:tr>
      <w:tr>
        <w:trPr>
          <w:trHeight w:val="200"/>
        </w:trPr>
        <w:tc>
          <w:tcPr>
            <w:tcW w:w="7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ind w:left="180"/>
              <w:spacing w:after="0"/>
              <w:rPr>
                <w:sz w:val="20"/>
                <w:szCs w:val="20"/>
                <w:color w:val="auto"/>
              </w:rPr>
            </w:pPr>
            <w:r>
              <w:rPr>
                <w:rFonts w:ascii="Arial" w:cs="Arial" w:eastAsia="Arial" w:hAnsi="Arial"/>
                <w:sz w:val="16"/>
                <w:szCs w:val="16"/>
                <w:b w:val="1"/>
                <w:bCs w:val="1"/>
                <w:color w:val="auto"/>
              </w:rPr>
              <w:t>Crude Oil</w:t>
            </w:r>
          </w:p>
        </w:tc>
        <w:tc>
          <w:tcPr>
            <w:tcW w:w="380" w:type="dxa"/>
            <w:vAlign w:val="bottom"/>
          </w:tcPr>
          <w:p>
            <w:pPr>
              <w:spacing w:after="0"/>
              <w:rPr>
                <w:sz w:val="17"/>
                <w:szCs w:val="17"/>
                <w:color w:val="auto"/>
              </w:rPr>
            </w:pPr>
          </w:p>
        </w:tc>
        <w:tc>
          <w:tcPr>
            <w:tcW w:w="1260" w:type="dxa"/>
            <w:vAlign w:val="bottom"/>
          </w:tcPr>
          <w:p>
            <w:pPr>
              <w:jc w:val="right"/>
              <w:ind w:right="556"/>
              <w:spacing w:after="0"/>
              <w:rPr>
                <w:sz w:val="20"/>
                <w:szCs w:val="20"/>
                <w:color w:val="auto"/>
              </w:rPr>
            </w:pPr>
            <w:r>
              <w:rPr>
                <w:rFonts w:ascii="Arial" w:cs="Arial" w:eastAsia="Arial" w:hAnsi="Arial"/>
                <w:sz w:val="16"/>
                <w:szCs w:val="16"/>
                <w:b w:val="1"/>
                <w:bCs w:val="1"/>
                <w:color w:val="auto"/>
              </w:rPr>
              <w:t>NGL</w:t>
            </w:r>
          </w:p>
        </w:tc>
      </w:tr>
      <w:tr>
        <w:trPr>
          <w:trHeight w:val="240"/>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Nine Months Ended September 30, 2023</w:t>
            </w: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1,600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352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860" w:type="dxa"/>
            <w:vAlign w:val="bottom"/>
          </w:tcPr>
          <w:p>
            <w:pPr>
              <w:ind w:left="20"/>
              <w:spacing w:after="0" w:line="191" w:lineRule="exact"/>
              <w:rPr>
                <w:sz w:val="20"/>
                <w:szCs w:val="20"/>
                <w:color w:val="auto"/>
              </w:rPr>
            </w:pPr>
            <w:r>
              <w:rPr>
                <w:rFonts w:ascii="Arial" w:cs="Arial" w:eastAsia="Arial" w:hAnsi="Arial"/>
                <w:sz w:val="17"/>
                <w:szCs w:val="17"/>
                <w:color w:val="auto"/>
              </w:rPr>
              <w:t>Nine Months Ended September 30, 2022</w:t>
            </w:r>
          </w:p>
        </w:tc>
        <w:tc>
          <w:tcPr>
            <w:tcW w:w="300" w:type="dxa"/>
            <w:vAlign w:val="bottom"/>
            <w:tcBorders>
              <w:bottom w:val="single" w:sz="8" w:color="auto"/>
            </w:tcBorders>
          </w:tcPr>
          <w:p>
            <w:pPr>
              <w:jc w:val="right"/>
              <w:ind w:right="114"/>
              <w:spacing w:after="0" w:line="191" w:lineRule="exact"/>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ind w:right="137"/>
              <w:spacing w:after="0" w:line="191" w:lineRule="exact"/>
              <w:rPr>
                <w:sz w:val="20"/>
                <w:szCs w:val="20"/>
                <w:color w:val="auto"/>
              </w:rPr>
            </w:pPr>
            <w:r>
              <w:rPr>
                <w:rFonts w:ascii="Arial" w:cs="Arial" w:eastAsia="Arial" w:hAnsi="Arial"/>
                <w:sz w:val="17"/>
                <w:szCs w:val="17"/>
                <w:color w:val="auto"/>
              </w:rPr>
              <w:t>1,482</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4"/>
              <w:spacing w:after="0" w:line="191" w:lineRule="exact"/>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ind w:right="116"/>
              <w:spacing w:after="0" w:line="191" w:lineRule="exact"/>
              <w:rPr>
                <w:sz w:val="20"/>
                <w:szCs w:val="20"/>
                <w:color w:val="auto"/>
              </w:rPr>
            </w:pPr>
            <w:r>
              <w:rPr>
                <w:rFonts w:ascii="Arial" w:cs="Arial" w:eastAsia="Arial" w:hAnsi="Arial"/>
                <w:sz w:val="17"/>
                <w:szCs w:val="17"/>
                <w:color w:val="auto"/>
              </w:rPr>
              <w:t>367</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Percentage change in Segment Adjusted EBITDA versus 2022 period</w:t>
            </w:r>
          </w:p>
        </w:tc>
        <w:tc>
          <w:tcPr>
            <w:tcW w:w="3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8 %</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ind w:right="340" w:firstLine="620"/>
        <w:spacing w:after="0" w:line="283" w:lineRule="auto"/>
        <w:rPr>
          <w:sz w:val="20"/>
          <w:szCs w:val="20"/>
          <w:color w:val="auto"/>
        </w:rPr>
      </w:pPr>
      <w:r>
        <w:rPr>
          <w:rFonts w:ascii="Arial" w:cs="Arial" w:eastAsia="Arial" w:hAnsi="Arial"/>
          <w:sz w:val="17"/>
          <w:szCs w:val="17"/>
          <w:color w:val="auto"/>
        </w:rPr>
        <w:t>Third-quarter 2023 Crude Oil Segment Adjusted EBITDA increased 3% versus comparable 2022 results primarily due to higher tariff volumes, tariff escalations and contributions from bolt-on acquisitions. These items were partially offset by fewer market based opportunities.</w:t>
      </w:r>
    </w:p>
    <w:p>
      <w:pPr>
        <w:spacing w:after="0" w:line="185" w:lineRule="exact"/>
        <w:rPr>
          <w:sz w:val="20"/>
          <w:szCs w:val="20"/>
          <w:color w:val="auto"/>
        </w:rPr>
      </w:pPr>
    </w:p>
    <w:p>
      <w:pPr>
        <w:ind w:right="160" w:firstLine="620"/>
        <w:spacing w:after="0" w:line="353" w:lineRule="auto"/>
        <w:rPr>
          <w:sz w:val="20"/>
          <w:szCs w:val="20"/>
          <w:color w:val="auto"/>
        </w:rPr>
      </w:pPr>
      <w:r>
        <w:rPr>
          <w:rFonts w:ascii="Arial" w:cs="Arial" w:eastAsia="Arial" w:hAnsi="Arial"/>
          <w:sz w:val="15"/>
          <w:szCs w:val="15"/>
          <w:color w:val="auto"/>
        </w:rPr>
        <w:t>Third-quarter 2023 NGL Segment Adjusted EBITDA increased 15% versus comparable 2022 results primarily due to favorable NGL basis differentials and spot opportunities, partially offset by lower propane sales volumes as a result of deferring sales due to market structure and increased field operating costs.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w:t>
      </w:r>
    </w:p>
    <w:p>
      <w:pPr>
        <w:spacing w:after="0" w:line="250" w:lineRule="exact"/>
        <w:rPr>
          <w:sz w:val="20"/>
          <w:szCs w:val="20"/>
          <w:color w:val="auto"/>
        </w:rPr>
      </w:pPr>
    </w:p>
    <w:p>
      <w:pPr>
        <w:ind w:firstLine="620"/>
        <w:spacing w:after="0" w:line="268" w:lineRule="auto"/>
        <w:rPr>
          <w:sz w:val="20"/>
          <w:szCs w:val="20"/>
          <w:color w:val="auto"/>
        </w:rPr>
      </w:pPr>
      <w:r>
        <w:rPr>
          <w:rFonts w:ascii="Arial" w:cs="Arial" w:eastAsia="Arial" w:hAnsi="Arial"/>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Conference Call and Webcast Instructions</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PAA and PAGP will hold a joint conference call at 9:00 a.m. CT on Friday, November 3, 2023 to discuss third-quarter performance and related items.</w:t>
      </w:r>
    </w:p>
    <w:p>
      <w:pPr>
        <w:spacing w:after="0" w:line="25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To access the internet webcast, please go to https://edge.media-server.com/mmc/p/m7siujui.</w:t>
      </w:r>
    </w:p>
    <w:p>
      <w:pPr>
        <w:spacing w:after="0" w:line="244" w:lineRule="exact"/>
        <w:rPr>
          <w:sz w:val="20"/>
          <w:szCs w:val="20"/>
          <w:color w:val="auto"/>
        </w:rPr>
      </w:pPr>
    </w:p>
    <w:p>
      <w:pPr>
        <w:ind w:right="100" w:firstLine="620"/>
        <w:spacing w:after="0" w:line="292" w:lineRule="auto"/>
        <w:rPr>
          <w:sz w:val="20"/>
          <w:szCs w:val="20"/>
          <w:color w:val="auto"/>
        </w:rPr>
      </w:pPr>
      <w:r>
        <w:rPr>
          <w:rFonts w:ascii="Arial" w:cs="Arial" w:eastAsia="Arial" w:hAnsi="Arial"/>
          <w:sz w:val="16"/>
          <w:szCs w:val="16"/>
          <w:color w:val="auto"/>
        </w:rPr>
        <w:t>Alternatively, the webcast can be accessed on our website (www.plains.com) under Investor Relations (Navigate to: Investor Relations / either “PAA” or “PAGP” / News &amp; Events / Quarterly Earnings). Following the live webcast, an audio replay in MP3 format will be available on our website within two hours after the end of the call and will be accessible for a period of 365 days. Slides will be posted prior to the call at the above referenced website.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Non-GAAP Financial Measures and Selected Items Impacting Comparability</w:t>
      </w:r>
    </w:p>
    <w:p>
      <w:pPr>
        <w:spacing w:after="0" w:line="166" w:lineRule="exact"/>
        <w:rPr>
          <w:sz w:val="20"/>
          <w:szCs w:val="20"/>
          <w:color w:val="auto"/>
        </w:rPr>
      </w:pPr>
    </w:p>
    <w:p>
      <w:pPr>
        <w:ind w:right="200" w:firstLine="620"/>
        <w:spacing w:after="0" w:line="285"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Free Cash Flow and Free Cash Flow after Distributions.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auto"/>
        </w:rPr>
        <w:t>Page 4</w:t>
      </w:r>
    </w:p>
    <w:p>
      <w:pPr>
        <w:spacing w:after="0" w:line="200" w:lineRule="exact"/>
        <w:rPr>
          <w:sz w:val="20"/>
          <w:szCs w:val="20"/>
          <w:color w:val="auto"/>
        </w:rPr>
      </w:pPr>
    </w:p>
    <w:p>
      <w:pPr>
        <w:spacing w:after="0" w:line="225" w:lineRule="exact"/>
        <w:rPr>
          <w:sz w:val="20"/>
          <w:szCs w:val="20"/>
          <w:color w:val="auto"/>
        </w:rPr>
      </w:pPr>
    </w:p>
    <w:p>
      <w:pPr>
        <w:ind w:right="40" w:firstLine="620"/>
        <w:spacing w:after="0" w:line="274" w:lineRule="auto"/>
        <w:rPr>
          <w:sz w:val="20"/>
          <w:szCs w:val="20"/>
          <w:color w:val="auto"/>
        </w:rPr>
      </w:pPr>
      <w:r>
        <w:rPr>
          <w:rFonts w:ascii="Arial" w:cs="Arial" w:eastAsia="Arial" w:hAnsi="Arial"/>
          <w:sz w:val="16"/>
          <w:szCs w:val="16"/>
          <w:color w:val="auto"/>
        </w:rPr>
        <w:t>Adjusted EBITDA is defined as earnings before interest, taxes, depreciation and amortization (including our proportionate share of depreciation and amortization, including write-downs related to cancelled projects and impairments, of unconsolidated entities), gains and losses on asset sales and asset impairments, goodwill impairment losses and gains or losses on and impairments of investments in unconsolidated entities, adjusted for certain selected items impacting comparability. Our definition and calculation of certain non-GAAP financial measures may not be comparable to similarly-titled measures of other companies. Adjusted EBITDA, Adjusted EBITDA attributable to PAA, Implied DCF and certain other non-GAAP financial performance measures are reconciled to Net Income, and Free Cash Flow and Free Cash Flow after Distributions are reconciled to Net Cash Provided by Operating Activities (the most directly comparable measures as reported in accordance with GAAP) for the historical periods presented in the tables attached to this release, and should be viewed in addition to, and not in lieu of, our Condensed Consolidated Financial Statements and accompanying notes. In addition, we encourage you to visit our website at www.plains.com (in particular the section under “Financial Information” entitled “Non-GAAP Reconciliations” within the Investor Relations tab), which presents a reconciliation of our commonly used non-GAAP and supplemental financial measures. We do not reconcile non-GAAP financial measures on a forward-looking basis as it is impractical to do so without unreasonable effort.</w:t>
      </w:r>
    </w:p>
    <w:p>
      <w:pPr>
        <w:spacing w:after="0" w:line="61"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Non-GAAP Financial Performance Measures</w:t>
      </w:r>
    </w:p>
    <w:p>
      <w:pPr>
        <w:spacing w:after="0" w:line="134" w:lineRule="exact"/>
        <w:rPr>
          <w:sz w:val="20"/>
          <w:szCs w:val="20"/>
          <w:color w:val="auto"/>
        </w:rPr>
      </w:pPr>
    </w:p>
    <w:p>
      <w:pPr>
        <w:ind w:firstLine="620"/>
        <w:spacing w:after="0" w:line="291" w:lineRule="auto"/>
        <w:rPr>
          <w:sz w:val="20"/>
          <w:szCs w:val="20"/>
          <w:color w:val="auto"/>
        </w:rPr>
      </w:pPr>
      <w:r>
        <w:rPr>
          <w:rFonts w:ascii="Arial" w:cs="Arial" w:eastAsia="Arial" w:hAnsi="Arial"/>
          <w:sz w:val="15"/>
          <w:szCs w:val="15"/>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293" w:lineRule="exact"/>
        <w:rPr>
          <w:sz w:val="20"/>
          <w:szCs w:val="20"/>
          <w:color w:val="auto"/>
        </w:rPr>
      </w:pPr>
    </w:p>
    <w:p>
      <w:pPr>
        <w:ind w:right="20" w:firstLine="620"/>
        <w:spacing w:after="0" w:line="261" w:lineRule="auto"/>
        <w:rPr>
          <w:sz w:val="20"/>
          <w:szCs w:val="20"/>
          <w:color w:val="auto"/>
        </w:rPr>
      </w:pPr>
      <w:r>
        <w:rPr>
          <w:rFonts w:ascii="Arial" w:cs="Arial" w:eastAsia="Arial" w:hAnsi="Arial"/>
          <w:sz w:val="17"/>
          <w:szCs w:val="17"/>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81"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Non-GAAP Financial Liquidity Measures</w:t>
      </w:r>
    </w:p>
    <w:p>
      <w:pPr>
        <w:spacing w:after="0" w:line="134" w:lineRule="exact"/>
        <w:rPr>
          <w:sz w:val="20"/>
          <w:szCs w:val="20"/>
          <w:color w:val="auto"/>
        </w:rPr>
      </w:pPr>
    </w:p>
    <w:p>
      <w:pPr>
        <w:ind w:right="140" w:firstLine="620"/>
        <w:spacing w:after="0" w:line="259" w:lineRule="auto"/>
        <w:rPr>
          <w:sz w:val="20"/>
          <w:szCs w:val="20"/>
          <w:color w:val="auto"/>
        </w:rPr>
      </w:pPr>
      <w:r>
        <w:rPr>
          <w:rFonts w:ascii="Arial" w:cs="Arial" w:eastAsia="Arial" w:hAnsi="Arial"/>
          <w:sz w:val="17"/>
          <w:szCs w:val="17"/>
          <w:color w:val="auto"/>
        </w:rPr>
        <w:t>Management also uses the non-GAAP financial liquidity measures Free Cash Flow and Free Cash Flow after Distributions to assess the amount of cash that is available for distributions, debt repayments, common equity repurchases and other general partnership purposes. Free Cash Flow is defined as Net Cash Provided by Operating Activities, less Net Cash Provided by/(Used in) Investing Activities, which primarily includes acquisition, investment and maintenance capital expenditures, investments in unconsolidated entities and the impact from the purchase and sale of linefill, net of proceeds from the sales of assets and further impacted by distributions to and contributions from noncontrolling interests. Free Cash Flow is further reduced by cash distributions paid to our preferred and common unitholders to arrive at Free Cash Flow after Distributions.</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auto"/>
        </w:rPr>
        <w:t>Page 5</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CONSOLIDATED STATEMENTS OF OPERATIONS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unit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60" w:type="dxa"/>
            <w:vAlign w:val="bottom"/>
            <w:gridSpan w:val="4"/>
          </w:tcPr>
          <w:p>
            <w:pPr>
              <w:jc w:val="right"/>
              <w:ind w:right="535"/>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87"/>
        </w:trPr>
        <w:tc>
          <w:tcPr>
            <w:tcW w:w="20" w:type="dxa"/>
            <w:vAlign w:val="bottom"/>
            <w:tcBorders>
              <w:bottom w:val="single" w:sz="8" w:color="CCEEFF"/>
            </w:tcBorders>
          </w:tcPr>
          <w:p>
            <w:pPr>
              <w:spacing w:after="0"/>
              <w:rPr>
                <w:sz w:val="16"/>
                <w:szCs w:val="16"/>
                <w:color w:val="auto"/>
              </w:rPr>
            </w:pPr>
          </w:p>
        </w:tc>
        <w:tc>
          <w:tcPr>
            <w:tcW w:w="476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96"/>
              </w:rPr>
              <w:t>2022</w:t>
            </w:r>
          </w:p>
        </w:tc>
      </w:tr>
      <w:tr>
        <w:trPr>
          <w:trHeight w:val="220"/>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12,071</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44,390</w:t>
            </w:r>
          </w:p>
        </w:tc>
      </w:tr>
      <w:tr>
        <w:trPr>
          <w:trHeight w:val="245"/>
        </w:trPr>
        <w:tc>
          <w:tcPr>
            <w:tcW w:w="2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20"/>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COSTS AND EXPENSES</w:t>
            </w:r>
          </w:p>
        </w:tc>
        <w:tc>
          <w:tcPr>
            <w:tcW w:w="1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7"/>
                <w:szCs w:val="17"/>
                <w:color w:val="auto"/>
              </w:rPr>
              <w:t>Purchases and related costs</w:t>
            </w: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11,106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13,071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32,972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41,181</w:t>
            </w:r>
          </w:p>
        </w:tc>
      </w:tr>
      <w:tr>
        <w:trPr>
          <w:trHeight w:val="220"/>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7"/>
                <w:szCs w:val="17"/>
                <w:color w:val="auto"/>
              </w:rPr>
              <w:t>Field operating costs</w:t>
            </w:r>
          </w:p>
        </w:tc>
        <w:tc>
          <w:tcPr>
            <w:tcW w:w="1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971</w:t>
            </w:r>
          </w:p>
        </w:tc>
      </w:tr>
      <w:tr>
        <w:trPr>
          <w:trHeight w:val="22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7"/>
                <w:szCs w:val="17"/>
                <w:color w:val="auto"/>
              </w:rPr>
              <w:t>General and administrative expenses</w:t>
            </w: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243</w:t>
            </w:r>
          </w:p>
        </w:tc>
      </w:tr>
      <w:tr>
        <w:trPr>
          <w:trHeight w:val="220"/>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711</w:t>
            </w:r>
          </w:p>
        </w:tc>
      </w:tr>
      <w:tr>
        <w:trPr>
          <w:trHeight w:val="22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7"/>
                <w:szCs w:val="17"/>
                <w:color w:val="auto"/>
              </w:rPr>
              <w:t>(Gains)/losses on asset sales and asset impairments, net</w:t>
            </w: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costs and expenses</w:t>
            </w:r>
          </w:p>
        </w:tc>
        <w:tc>
          <w:tcPr>
            <w:tcW w:w="15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11,837</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13,710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34,929</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43,060</w:t>
            </w:r>
          </w:p>
        </w:tc>
      </w:tr>
      <w:tr>
        <w:trPr>
          <w:trHeight w:val="245"/>
        </w:trPr>
        <w:tc>
          <w:tcPr>
            <w:tcW w:w="2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20"/>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INCOME</w:t>
            </w:r>
          </w:p>
        </w:tc>
        <w:tc>
          <w:tcPr>
            <w:tcW w:w="1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1,330</w:t>
            </w:r>
          </w:p>
        </w:tc>
      </w:tr>
      <w:tr>
        <w:trPr>
          <w:trHeight w:val="245"/>
        </w:trPr>
        <w:tc>
          <w:tcPr>
            <w:tcW w:w="2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20"/>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INCOME/(EXPENSE)</w:t>
            </w:r>
          </w:p>
        </w:tc>
        <w:tc>
          <w:tcPr>
            <w:tcW w:w="1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7"/>
                <w:szCs w:val="17"/>
                <w:color w:val="auto"/>
              </w:rPr>
              <w:t>Equity earnings in unconsolidated entities</w:t>
            </w: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306</w:t>
            </w:r>
          </w:p>
        </w:tc>
      </w:tr>
      <w:tr>
        <w:trPr>
          <w:trHeight w:val="220"/>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7"/>
                <w:szCs w:val="17"/>
                <w:color w:val="auto"/>
              </w:rPr>
              <w:t>Gain on investment in unconsolidated entities</w:t>
            </w:r>
          </w:p>
        </w:tc>
        <w:tc>
          <w:tcPr>
            <w:tcW w:w="1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7"/>
                <w:szCs w:val="17"/>
                <w:color w:val="auto"/>
              </w:rPr>
              <w:t>Interest expense, net</w:t>
            </w: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center"/>
              <w:ind w:left="315"/>
              <w:spacing w:after="0"/>
              <w:rPr>
                <w:sz w:val="20"/>
                <w:szCs w:val="20"/>
                <w:color w:val="auto"/>
              </w:rPr>
            </w:pPr>
            <w:r>
              <w:rPr>
                <w:rFonts w:ascii="Arial" w:cs="Arial" w:eastAsia="Arial" w:hAnsi="Arial"/>
                <w:sz w:val="17"/>
                <w:szCs w:val="17"/>
                <w:color w:val="auto"/>
                <w:w w:val="92"/>
              </w:rPr>
              <w:t>(99)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(305)</w:t>
            </w:r>
          </w:p>
        </w:tc>
      </w:tr>
      <w:tr>
        <w:trPr>
          <w:trHeight w:val="220"/>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7"/>
                <w:szCs w:val="17"/>
                <w:color w:val="auto"/>
              </w:rPr>
              <w:t>Other income/(expense), net</w:t>
            </w:r>
          </w:p>
        </w:tc>
        <w:tc>
          <w:tcPr>
            <w:tcW w:w="15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center"/>
              <w:ind w:left="315"/>
              <w:spacing w:after="0"/>
              <w:rPr>
                <w:sz w:val="20"/>
                <w:szCs w:val="20"/>
                <w:color w:val="auto"/>
              </w:rPr>
            </w:pPr>
            <w:r>
              <w:rPr>
                <w:rFonts w:ascii="Arial" w:cs="Arial" w:eastAsia="Arial" w:hAnsi="Arial"/>
                <w:sz w:val="17"/>
                <w:szCs w:val="17"/>
                <w:color w:val="auto"/>
                <w:w w:val="92"/>
              </w:rPr>
              <w:t>(82)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w:t>
            </w:r>
          </w:p>
        </w:tc>
      </w:tr>
      <w:tr>
        <w:trPr>
          <w:trHeight w:val="225"/>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0"/>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INCOME BEFORE TAX</w:t>
            </w:r>
          </w:p>
        </w:tc>
        <w:tc>
          <w:tcPr>
            <w:tcW w:w="1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1,095</w:t>
            </w:r>
          </w:p>
        </w:tc>
      </w:tr>
      <w:tr>
        <w:trPr>
          <w:trHeight w:val="22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7"/>
                <w:szCs w:val="17"/>
                <w:color w:val="auto"/>
              </w:rPr>
              <w:t>Current income tax expense</w:t>
            </w: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center"/>
              <w:ind w:left="315"/>
              <w:spacing w:after="0"/>
              <w:rPr>
                <w:sz w:val="20"/>
                <w:szCs w:val="20"/>
                <w:color w:val="auto"/>
              </w:rPr>
            </w:pPr>
            <w:r>
              <w:rPr>
                <w:rFonts w:ascii="Arial" w:cs="Arial" w:eastAsia="Arial" w:hAnsi="Arial"/>
                <w:sz w:val="17"/>
                <w:szCs w:val="17"/>
                <w:color w:val="auto"/>
                <w:w w:val="92"/>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20"/>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 (expense)/benefit</w:t>
            </w:r>
          </w:p>
        </w:tc>
        <w:tc>
          <w:tcPr>
            <w:tcW w:w="15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center"/>
              <w:ind w:left="315"/>
              <w:spacing w:after="0"/>
              <w:rPr>
                <w:sz w:val="20"/>
                <w:szCs w:val="20"/>
                <w:color w:val="auto"/>
              </w:rPr>
            </w:pPr>
            <w:r>
              <w:rPr>
                <w:rFonts w:ascii="Arial" w:cs="Arial" w:eastAsia="Arial" w:hAnsi="Arial"/>
                <w:sz w:val="17"/>
                <w:szCs w:val="17"/>
                <w:color w:val="auto"/>
                <w:w w:val="92"/>
              </w:rPr>
              <w:t>(97)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w:t>
            </w:r>
          </w:p>
        </w:tc>
      </w:tr>
      <w:tr>
        <w:trPr>
          <w:trHeight w:val="225"/>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0"/>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1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918</w:t>
            </w:r>
          </w:p>
        </w:tc>
      </w:tr>
      <w:tr>
        <w:trPr>
          <w:trHeight w:val="220"/>
        </w:trPr>
        <w:tc>
          <w:tcPr>
            <w:tcW w:w="20" w:type="dxa"/>
            <w:vAlign w:val="bottom"/>
            <w:tcBorders>
              <w:bottom w:val="single" w:sz="8" w:color="CCEEFF"/>
            </w:tcBorders>
          </w:tcPr>
          <w:p>
            <w:pPr>
              <w:spacing w:after="0"/>
              <w:rPr>
                <w:sz w:val="19"/>
                <w:szCs w:val="19"/>
                <w:color w:val="auto"/>
              </w:rPr>
            </w:pPr>
          </w:p>
        </w:tc>
        <w:tc>
          <w:tcPr>
            <w:tcW w:w="476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Net income attributable to noncontrolling interests</w:t>
            </w:r>
          </w:p>
        </w:tc>
        <w:tc>
          <w:tcPr>
            <w:tcW w:w="15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315"/>
              <w:spacing w:after="0"/>
              <w:rPr>
                <w:sz w:val="20"/>
                <w:szCs w:val="20"/>
                <w:color w:val="auto"/>
              </w:rPr>
            </w:pPr>
            <w:r>
              <w:rPr>
                <w:rFonts w:ascii="Arial" w:cs="Arial" w:eastAsia="Arial" w:hAnsi="Arial"/>
                <w:sz w:val="17"/>
                <w:szCs w:val="17"/>
                <w:color w:val="auto"/>
                <w:w w:val="92"/>
              </w:rPr>
              <w:t>(58)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w:t>
            </w:r>
          </w:p>
        </w:tc>
      </w:tr>
      <w:tr>
        <w:trPr>
          <w:trHeight w:val="233"/>
        </w:trPr>
        <w:tc>
          <w:tcPr>
            <w:tcW w:w="20" w:type="dxa"/>
            <w:vAlign w:val="bottom"/>
            <w:shd w:val="clear" w:color="auto" w:fill="CCEEFF"/>
          </w:tcPr>
          <w:p>
            <w:pPr>
              <w:spacing w:after="0"/>
              <w:rPr>
                <w:sz w:val="20"/>
                <w:szCs w:val="20"/>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 ATTRIBUTABLE TO PAA</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20"/>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 PER COMMON UNIT:</w:t>
            </w:r>
          </w:p>
        </w:tc>
        <w:tc>
          <w:tcPr>
            <w:tcW w:w="1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4760" w:type="dxa"/>
            <w:vAlign w:val="bottom"/>
          </w:tcPr>
          <w:p>
            <w:pPr>
              <w:ind w:left="120"/>
              <w:spacing w:after="0"/>
              <w:rPr>
                <w:sz w:val="20"/>
                <w:szCs w:val="20"/>
                <w:color w:val="auto"/>
              </w:rPr>
            </w:pPr>
            <w:r>
              <w:rPr>
                <w:rFonts w:ascii="Arial" w:cs="Arial" w:eastAsia="Arial" w:hAnsi="Arial"/>
                <w:sz w:val="17"/>
                <w:szCs w:val="17"/>
                <w:color w:val="auto"/>
                <w:w w:val="93"/>
              </w:rPr>
              <w:t>Net income allocated to common unitholders — Basic and Diluted</w:t>
            </w:r>
          </w:p>
        </w:tc>
        <w:tc>
          <w:tcPr>
            <w:tcW w:w="17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140</w:t>
            </w:r>
          </w:p>
        </w:tc>
        <w:tc>
          <w:tcPr>
            <w:tcW w:w="5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333</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728</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621</w:t>
            </w:r>
          </w:p>
        </w:tc>
      </w:tr>
      <w:tr>
        <w:trPr>
          <w:trHeight w:val="220"/>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7"/>
              </w:rPr>
              <w:t>Basic and diluted weighted average common units outstanding</w:t>
            </w:r>
          </w:p>
        </w:tc>
        <w:tc>
          <w:tcPr>
            <w:tcW w:w="1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w:t>
            </w:r>
          </w:p>
        </w:tc>
      </w:tr>
      <w:tr>
        <w:trPr>
          <w:trHeight w:val="220"/>
        </w:trPr>
        <w:tc>
          <w:tcPr>
            <w:tcW w:w="20" w:type="dxa"/>
            <w:vAlign w:val="bottom"/>
          </w:tcPr>
          <w:p>
            <w:pPr>
              <w:spacing w:after="0"/>
              <w:rPr>
                <w:sz w:val="19"/>
                <w:szCs w:val="19"/>
                <w:color w:val="auto"/>
              </w:rPr>
            </w:pPr>
          </w:p>
        </w:tc>
        <w:tc>
          <w:tcPr>
            <w:tcW w:w="4760" w:type="dxa"/>
            <w:vAlign w:val="bottom"/>
          </w:tcPr>
          <w:p>
            <w:pPr>
              <w:ind w:left="120"/>
              <w:spacing w:after="0"/>
              <w:rPr>
                <w:sz w:val="20"/>
                <w:szCs w:val="20"/>
                <w:color w:val="auto"/>
              </w:rPr>
            </w:pPr>
            <w:r>
              <w:rPr>
                <w:rFonts w:ascii="Arial" w:cs="Arial" w:eastAsia="Arial" w:hAnsi="Arial"/>
                <w:sz w:val="17"/>
                <w:szCs w:val="17"/>
                <w:color w:val="auto"/>
              </w:rPr>
              <w:t>Basic and diluted net income per common unit</w:t>
            </w:r>
          </w:p>
        </w:tc>
        <w:tc>
          <w:tcPr>
            <w:tcW w:w="17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0.20</w:t>
            </w:r>
          </w:p>
        </w:tc>
        <w:tc>
          <w:tcPr>
            <w:tcW w:w="5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0.48</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0.89</w:t>
            </w: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664"/>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780" w:type="dxa"/>
            <w:vAlign w:val="bottom"/>
            <w:gridSpan w:val="2"/>
          </w:tcPr>
          <w:p>
            <w:pPr>
              <w:jc w:val="right"/>
              <w:ind w:right="660"/>
              <w:spacing w:after="0"/>
              <w:rPr>
                <w:sz w:val="20"/>
                <w:szCs w:val="20"/>
                <w:color w:val="auto"/>
              </w:rPr>
            </w:pPr>
            <w:r>
              <w:rPr>
                <w:rFonts w:ascii="Arial" w:cs="Arial" w:eastAsia="Arial" w:hAnsi="Arial"/>
                <w:sz w:val="17"/>
                <w:szCs w:val="17"/>
                <w:color w:val="auto"/>
              </w:rPr>
              <w:t>- more -</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47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2"/>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gridSpan w:val="6"/>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r>
      <w:tr>
        <w:trPr>
          <w:trHeight w:val="316"/>
        </w:trPr>
        <w:tc>
          <w:tcPr>
            <w:tcW w:w="20" w:type="dxa"/>
            <w:vAlign w:val="bottom"/>
          </w:tcPr>
          <w:p>
            <w:pPr>
              <w:spacing w:after="0"/>
              <w:rPr>
                <w:sz w:val="24"/>
                <w:szCs w:val="24"/>
                <w:color w:val="auto"/>
              </w:rPr>
            </w:pPr>
          </w:p>
        </w:tc>
        <w:tc>
          <w:tcPr>
            <w:tcW w:w="4760" w:type="dxa"/>
            <w:vAlign w:val="bottom"/>
          </w:tcPr>
          <w:p>
            <w:pPr>
              <w:ind w:left="1720"/>
              <w:spacing w:after="0"/>
              <w:rPr>
                <w:sz w:val="20"/>
                <w:szCs w:val="20"/>
                <w:color w:val="auto"/>
              </w:rPr>
            </w:pPr>
            <w:r>
              <w:rPr>
                <w:rFonts w:ascii="Arial" w:cs="Arial" w:eastAsia="Arial" w:hAnsi="Arial"/>
                <w:sz w:val="17"/>
                <w:szCs w:val="17"/>
                <w:b w:val="1"/>
                <w:bCs w:val="1"/>
                <w:color w:val="auto"/>
              </w:rPr>
              <w:t>333 Clay Street, Suite 1600</w:t>
            </w:r>
          </w:p>
        </w:tc>
        <w:tc>
          <w:tcPr>
            <w:tcW w:w="17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w w:val="89"/>
              </w:rPr>
              <w:t>Houston, Texas 77002</w:t>
            </w:r>
          </w:p>
        </w:tc>
        <w:tc>
          <w:tcPr>
            <w:tcW w:w="880" w:type="dxa"/>
            <w:vAlign w:val="bottom"/>
          </w:tcPr>
          <w:p>
            <w:pPr>
              <w:spacing w:after="0"/>
              <w:rPr>
                <w:sz w:val="24"/>
                <w:szCs w:val="24"/>
                <w:color w:val="auto"/>
              </w:rPr>
            </w:pPr>
          </w:p>
        </w:tc>
        <w:tc>
          <w:tcPr>
            <w:tcW w:w="2540" w:type="dxa"/>
            <w:vAlign w:val="bottom"/>
            <w:gridSpan w:val="6"/>
          </w:tcPr>
          <w:p>
            <w:pPr>
              <w:jc w:val="center"/>
              <w:ind w:right="256"/>
              <w:spacing w:after="0"/>
              <w:rPr>
                <w:sz w:val="20"/>
                <w:szCs w:val="20"/>
                <w:color w:val="auto"/>
              </w:rPr>
            </w:pPr>
            <w:r>
              <w:rPr>
                <w:rFonts w:ascii="Arial" w:cs="Arial" w:eastAsia="Arial" w:hAnsi="Arial"/>
                <w:sz w:val="17"/>
                <w:szCs w:val="17"/>
                <w:b w:val="1"/>
                <w:bCs w:val="1"/>
                <w:color w:val="auto"/>
                <w:w w:val="92"/>
              </w:rPr>
              <w:t>713-646-4100 / 866-809-1291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auto"/>
        </w:rPr>
        <w:t>Page 6</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CONSOLIDATED BALANCE SHEET DATA</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September 30,</w:t>
            </w:r>
          </w:p>
        </w:tc>
        <w:tc>
          <w:tcPr>
            <w:tcW w:w="140" w:type="dxa"/>
            <w:vAlign w:val="bottom"/>
          </w:tcPr>
          <w:p>
            <w:pPr>
              <w:spacing w:after="0"/>
              <w:rPr>
                <w:sz w:val="14"/>
                <w:szCs w:val="14"/>
                <w:color w:val="auto"/>
              </w:rPr>
            </w:pPr>
          </w:p>
        </w:tc>
        <w:tc>
          <w:tcPr>
            <w:tcW w:w="1060" w:type="dxa"/>
            <w:vAlign w:val="bottom"/>
          </w:tcPr>
          <w:p>
            <w:pPr>
              <w:jc w:val="center"/>
              <w:ind w:right="76"/>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68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17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3"/>
              </w:rPr>
              <w:t>2022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3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940" w:type="dxa"/>
            <w:vAlign w:val="bottom"/>
            <w:gridSpan w:val="3"/>
          </w:tcPr>
          <w:p>
            <w:pPr>
              <w:ind w:left="20"/>
              <w:spacing w:after="0"/>
              <w:rPr>
                <w:sz w:val="20"/>
                <w:szCs w:val="20"/>
                <w:color w:val="auto"/>
              </w:rPr>
            </w:pPr>
            <w:r>
              <w:rPr>
                <w:rFonts w:ascii="Arial" w:cs="Arial" w:eastAsia="Arial" w:hAnsi="Arial"/>
                <w:sz w:val="17"/>
                <w:szCs w:val="17"/>
                <w:color w:val="auto"/>
              </w:rPr>
              <w:t>Current assets (including Cash and cash equivalents of $260 and $401, respectively)</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5,331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5,355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15,250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Arial" w:cs="Arial" w:eastAsia="Arial" w:hAnsi="Arial"/>
                <w:sz w:val="17"/>
                <w:szCs w:val="17"/>
                <w:color w:val="auto"/>
              </w:rPr>
              <w:t>Investments in unconsolidated entities</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2,830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3,084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Intangible assets, net</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Arial" w:cs="Arial" w:eastAsia="Arial" w:hAnsi="Arial"/>
                <w:sz w:val="17"/>
                <w:szCs w:val="17"/>
                <w:color w:val="auto"/>
              </w:rPr>
              <w:t>Linefill</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961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Long-term operating lease right-of-use assets, net</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Arial" w:cs="Arial" w:eastAsia="Arial" w:hAnsi="Arial"/>
                <w:sz w:val="17"/>
                <w:szCs w:val="17"/>
                <w:color w:val="auto"/>
              </w:rPr>
              <w:t>Long-term inventory</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284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long-term assets, net</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Arial" w:cs="Arial" w:eastAsia="Arial" w:hAnsi="Arial"/>
                <w:sz w:val="17"/>
                <w:szCs w:val="17"/>
                <w:color w:val="auto"/>
              </w:rPr>
              <w:t>Total assets</w:t>
            </w:r>
          </w:p>
        </w:tc>
        <w:tc>
          <w:tcPr>
            <w:tcW w:w="232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27,735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27,892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Arial" w:cs="Arial" w:eastAsia="Arial" w:hAnsi="Arial"/>
                <w:sz w:val="17"/>
                <w:szCs w:val="17"/>
                <w:b w:val="1"/>
                <w:bCs w:val="1"/>
                <w:color w:val="auto"/>
              </w:rPr>
              <w:t>LIABILITIES AND PARTNERS’ CAPITAL</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3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Arial" w:cs="Arial" w:eastAsia="Arial" w:hAnsi="Arial"/>
                <w:sz w:val="17"/>
                <w:szCs w:val="17"/>
                <w:color w:val="auto"/>
              </w:rPr>
              <w:t>Senior notes, net</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7,241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7,237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long-term debt, net</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Arial" w:cs="Arial" w:eastAsia="Arial" w:hAnsi="Arial"/>
                <w:sz w:val="17"/>
                <w:szCs w:val="17"/>
                <w:color w:val="auto"/>
              </w:rPr>
              <w:t>Long-term operating lease liabilities</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308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long-term liabilities and deferred credits</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Arial" w:cs="Arial" w:eastAsia="Arial" w:hAnsi="Arial"/>
                <w:sz w:val="17"/>
                <w:szCs w:val="17"/>
                <w:color w:val="auto"/>
              </w:rPr>
              <w:t>Total liabilities</w:t>
            </w:r>
          </w:p>
        </w:tc>
        <w:tc>
          <w:tcPr>
            <w:tcW w:w="2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14,184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14,567</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68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232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Arial" w:cs="Arial" w:eastAsia="Arial" w:hAnsi="Arial"/>
                <w:sz w:val="17"/>
                <w:szCs w:val="17"/>
                <w:color w:val="auto"/>
              </w:rPr>
              <w:t>Partners’ capital excluding noncontrolling interests</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10,285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10,057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Noncontrolling interests</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Total partners’ capital</w:t>
            </w:r>
          </w:p>
        </w:tc>
        <w:tc>
          <w:tcPr>
            <w:tcW w:w="232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13,551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13,325</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Total liabilities and partners’ capital</w:t>
            </w:r>
          </w:p>
        </w:tc>
        <w:tc>
          <w:tcPr>
            <w:tcW w:w="23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27,735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27,892</w:t>
            </w: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DEBT CAPITALIZATION RATIOS</w:t>
            </w:r>
          </w:p>
        </w:tc>
        <w:tc>
          <w:tcPr>
            <w:tcW w:w="2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4640" w:type="dxa"/>
            <w:vAlign w:val="bottom"/>
            <w:gridSpan w:val="3"/>
            <w:vMerge w:val="continue"/>
          </w:tcPr>
          <w:p>
            <w:pPr>
              <w:spacing w:after="0"/>
              <w:rPr>
                <w:sz w:val="24"/>
                <w:szCs w:val="24"/>
                <w:color w:val="auto"/>
              </w:rPr>
            </w:pPr>
          </w:p>
        </w:tc>
        <w:tc>
          <w:tcPr>
            <w:tcW w:w="2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70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(in millions)</w:t>
            </w:r>
          </w:p>
        </w:tc>
        <w:tc>
          <w:tcPr>
            <w:tcW w:w="19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7"/>
              </w:rPr>
              <w:t>September 30,</w:t>
            </w:r>
          </w:p>
        </w:tc>
        <w:tc>
          <w:tcPr>
            <w:tcW w:w="140" w:type="dxa"/>
            <w:vAlign w:val="bottom"/>
          </w:tcPr>
          <w:p>
            <w:pPr>
              <w:spacing w:after="0"/>
              <w:rPr>
                <w:sz w:val="13"/>
                <w:szCs w:val="13"/>
                <w:color w:val="auto"/>
              </w:rPr>
            </w:pPr>
          </w:p>
        </w:tc>
        <w:tc>
          <w:tcPr>
            <w:tcW w:w="1060" w:type="dxa"/>
            <w:vAlign w:val="bottom"/>
          </w:tcPr>
          <w:p>
            <w:pPr>
              <w:jc w:val="center"/>
              <w:ind w:right="76"/>
              <w:spacing w:after="0" w:line="158"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8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17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3"/>
              </w:rPr>
              <w:t>2022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Short-term debt</w:t>
            </w:r>
          </w:p>
        </w:tc>
        <w:tc>
          <w:tcPr>
            <w:tcW w:w="23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Long-term debt</w:t>
            </w:r>
          </w:p>
        </w:tc>
        <w:tc>
          <w:tcPr>
            <w:tcW w:w="23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7,296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7,287</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Total debt</w:t>
            </w:r>
          </w:p>
        </w:tc>
        <w:tc>
          <w:tcPr>
            <w:tcW w:w="23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8,006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23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Partners’ capital excluding noncontrolling interests</w:t>
            </w:r>
          </w:p>
        </w:tc>
        <w:tc>
          <w:tcPr>
            <w:tcW w:w="23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10,285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10,057</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9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7"/>
                <w:szCs w:val="17"/>
                <w:color w:val="auto"/>
              </w:rPr>
              <w:t>Total book capitalization excluding noncontrolling interests (“Total book capitalization”)</w:t>
            </w:r>
          </w:p>
        </w:tc>
        <w:tc>
          <w:tcPr>
            <w:tcW w:w="17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17,581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620" w:type="dxa"/>
            <w:vAlign w:val="bottom"/>
            <w:gridSpan w:val="2"/>
          </w:tcPr>
          <w:p>
            <w:pPr>
              <w:ind w:left="320"/>
              <w:spacing w:after="0" w:line="191" w:lineRule="exact"/>
              <w:rPr>
                <w:sz w:val="20"/>
                <w:szCs w:val="20"/>
                <w:color w:val="auto"/>
              </w:rPr>
            </w:pPr>
            <w:r>
              <w:rPr>
                <w:rFonts w:ascii="Arial" w:cs="Arial" w:eastAsia="Arial" w:hAnsi="Arial"/>
                <w:sz w:val="17"/>
                <w:szCs w:val="17"/>
                <w:color w:val="auto"/>
              </w:rPr>
              <w:t>Total book capitalization, including short-term debt</w:t>
            </w:r>
          </w:p>
        </w:tc>
        <w:tc>
          <w:tcPr>
            <w:tcW w:w="2320" w:type="dxa"/>
            <w:vAlign w:val="bottom"/>
          </w:tcPr>
          <w:p>
            <w:pPr>
              <w:spacing w:after="0"/>
              <w:rPr>
                <w:sz w:val="16"/>
                <w:szCs w:val="16"/>
                <w:color w:val="auto"/>
              </w:rPr>
            </w:pPr>
          </w:p>
        </w:tc>
        <w:tc>
          <w:tcPr>
            <w:tcW w:w="1900" w:type="dxa"/>
            <w:vAlign w:val="bottom"/>
            <w:gridSpan w:val="2"/>
          </w:tcPr>
          <w:p>
            <w:pPr>
              <w:jc w:val="right"/>
              <w:spacing w:after="0" w:line="191"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91" w:lineRule="exact"/>
              <w:rPr>
                <w:sz w:val="20"/>
                <w:szCs w:val="20"/>
                <w:color w:val="auto"/>
              </w:rPr>
            </w:pPr>
            <w:r>
              <w:rPr>
                <w:rFonts w:ascii="Arial" w:cs="Arial" w:eastAsia="Arial" w:hAnsi="Arial"/>
                <w:sz w:val="17"/>
                <w:szCs w:val="17"/>
                <w:color w:val="auto"/>
              </w:rPr>
              <w:t>18,291</w:t>
            </w:r>
          </w:p>
        </w:tc>
        <w:tc>
          <w:tcPr>
            <w:tcW w:w="12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line="191" w:lineRule="exact"/>
              <w:rPr>
                <w:sz w:val="20"/>
                <w:szCs w:val="20"/>
                <w:color w:val="auto"/>
              </w:rPr>
            </w:pPr>
            <w:r>
              <w:rPr>
                <w:rFonts w:ascii="Arial" w:cs="Arial" w:eastAsia="Arial" w:hAnsi="Arial"/>
                <w:sz w:val="17"/>
                <w:szCs w:val="17"/>
                <w:color w:val="auto"/>
              </w:rPr>
              <w:t>18,503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Arial" w:cs="Arial" w:eastAsia="Arial" w:hAnsi="Arial"/>
                <w:sz w:val="17"/>
                <w:szCs w:val="17"/>
                <w:color w:val="auto"/>
              </w:rPr>
              <w:t>Long-term debt-to-total book capitalization</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6"/>
              </w:rPr>
              <w:t>Total debt-to-total book capitalization, including short-term debt</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750"/>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20" w:type="dxa"/>
            <w:vAlign w:val="bottom"/>
          </w:tcPr>
          <w:p>
            <w:pPr>
              <w:jc w:val="center"/>
              <w:ind w:right="274"/>
              <w:spacing w:after="0"/>
              <w:rPr>
                <w:sz w:val="20"/>
                <w:szCs w:val="20"/>
                <w:color w:val="auto"/>
              </w:rPr>
            </w:pPr>
            <w:r>
              <w:rPr>
                <w:rFonts w:ascii="Arial" w:cs="Arial" w:eastAsia="Arial" w:hAnsi="Arial"/>
                <w:sz w:val="17"/>
                <w:szCs w:val="17"/>
                <w:color w:val="auto"/>
                <w:w w:val="94"/>
              </w:rPr>
              <w:t>- more -</w:t>
            </w: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20" w:type="dxa"/>
            <w:vAlign w:val="bottom"/>
            <w:tcBorders>
              <w:bottom w:val="single" w:sz="8" w:color="auto"/>
            </w:tcBorders>
            <w:gridSpan w:val="2"/>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2960" w:type="dxa"/>
            <w:vAlign w:val="bottom"/>
            <w:tcBorders>
              <w:bottom w:val="single" w:sz="8" w:color="auto"/>
            </w:tcBorders>
            <w:gridSpan w:val="3"/>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620" w:type="dxa"/>
            <w:vAlign w:val="bottom"/>
            <w:gridSpan w:val="2"/>
          </w:tcPr>
          <w:p>
            <w:pPr>
              <w:ind w:left="1720"/>
              <w:spacing w:after="0"/>
              <w:rPr>
                <w:sz w:val="20"/>
                <w:szCs w:val="20"/>
                <w:color w:val="auto"/>
              </w:rPr>
            </w:pPr>
            <w:r>
              <w:rPr>
                <w:rFonts w:ascii="Arial" w:cs="Arial" w:eastAsia="Arial" w:hAnsi="Arial"/>
                <w:sz w:val="17"/>
                <w:szCs w:val="17"/>
                <w:b w:val="1"/>
                <w:bCs w:val="1"/>
                <w:color w:val="auto"/>
              </w:rPr>
              <w:t>333 Clay Street, Suite 1600</w:t>
            </w:r>
          </w:p>
        </w:tc>
        <w:tc>
          <w:tcPr>
            <w:tcW w:w="2320" w:type="dxa"/>
            <w:vAlign w:val="bottom"/>
          </w:tcPr>
          <w:p>
            <w:pPr>
              <w:jc w:val="center"/>
              <w:ind w:right="294"/>
              <w:spacing w:after="0"/>
              <w:rPr>
                <w:sz w:val="20"/>
                <w:szCs w:val="20"/>
                <w:color w:val="auto"/>
              </w:rPr>
            </w:pPr>
            <w:r>
              <w:rPr>
                <w:rFonts w:ascii="Arial" w:cs="Arial" w:eastAsia="Arial" w:hAnsi="Arial"/>
                <w:sz w:val="17"/>
                <w:szCs w:val="17"/>
                <w:b w:val="1"/>
                <w:bCs w:val="1"/>
                <w:color w:val="auto"/>
                <w:w w:val="88"/>
              </w:rPr>
              <w:t>Houston, Texas 77002</w:t>
            </w:r>
          </w:p>
        </w:tc>
        <w:tc>
          <w:tcPr>
            <w:tcW w:w="2960" w:type="dxa"/>
            <w:vAlign w:val="bottom"/>
            <w:gridSpan w:val="3"/>
          </w:tcPr>
          <w:p>
            <w:pPr>
              <w:jc w:val="right"/>
              <w:ind w:right="256"/>
              <w:spacing w:after="0"/>
              <w:rPr>
                <w:sz w:val="20"/>
                <w:szCs w:val="20"/>
                <w:color w:val="auto"/>
              </w:rPr>
            </w:pPr>
            <w:r>
              <w:rPr>
                <w:rFonts w:ascii="Arial" w:cs="Arial" w:eastAsia="Arial" w:hAnsi="Arial"/>
                <w:sz w:val="17"/>
                <w:szCs w:val="17"/>
                <w:b w:val="1"/>
                <w:bCs w:val="1"/>
                <w:color w:val="auto"/>
              </w:rPr>
              <w:t>713-646-4100 / 866-809-1291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0"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auto"/>
        </w:rPr>
        <w:t>Page 7</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COMPUTATION OF BASIC AND DILUTED NET INCOME PER COMMON UNIT</w:t>
      </w:r>
      <w:r>
        <w:rPr>
          <w:rFonts w:ascii="Arial" w:cs="Arial" w:eastAsia="Arial" w:hAnsi="Arial"/>
          <w:sz w:val="17"/>
          <w:szCs w:val="17"/>
          <w:b w:val="1"/>
          <w:bCs w:val="1"/>
          <w:color w:val="auto"/>
        </w:rPr>
        <w:t xml:space="preserve"> </w:t>
      </w:r>
      <w:r>
        <w:rPr>
          <w:rFonts w:ascii="Arial" w:cs="Arial" w:eastAsia="Arial" w:hAnsi="Arial"/>
          <w:sz w:val="22"/>
          <w:szCs w:val="22"/>
          <w:b w:val="1"/>
          <w:bCs w:val="1"/>
          <w:color w:val="auto"/>
          <w:vertAlign w:val="superscript"/>
        </w:rPr>
        <w:t>(1)</w:t>
      </w:r>
    </w:p>
    <w:p>
      <w:pPr>
        <w:spacing w:after="0"/>
        <w:rPr>
          <w:sz w:val="20"/>
          <w:szCs w:val="20"/>
          <w:color w:val="auto"/>
        </w:rPr>
      </w:pPr>
      <w:r>
        <w:rPr>
          <w:rFonts w:ascii="Arial" w:cs="Arial" w:eastAsia="Arial" w:hAnsi="Arial"/>
          <w:sz w:val="17"/>
          <w:szCs w:val="17"/>
          <w:color w:val="auto"/>
        </w:rPr>
        <w:t>(in millions, except per unit data)</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80" w:type="dxa"/>
            <w:vAlign w:val="bottom"/>
            <w:gridSpan w:val="4"/>
          </w:tcPr>
          <w:p>
            <w:pPr>
              <w:jc w:val="right"/>
              <w:ind w:right="118"/>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jc w:val="right"/>
              <w:ind w:right="138"/>
              <w:spacing w:after="0"/>
              <w:rPr>
                <w:sz w:val="20"/>
                <w:szCs w:val="20"/>
                <w:color w:val="auto"/>
              </w:rPr>
            </w:pPr>
            <w:r>
              <w:rPr>
                <w:rFonts w:ascii="Arial" w:cs="Arial" w:eastAsia="Arial" w:hAnsi="Arial"/>
                <w:sz w:val="14"/>
                <w:szCs w:val="14"/>
                <w:b w:val="1"/>
                <w:bCs w:val="1"/>
                <w:color w:val="auto"/>
              </w:rPr>
              <w:t>Nine Months Ended</w:t>
            </w:r>
          </w:p>
        </w:tc>
        <w:tc>
          <w:tcPr>
            <w:tcW w:w="420" w:type="dxa"/>
            <w:vAlign w:val="bottom"/>
          </w:tcPr>
          <w:p>
            <w:pPr>
              <w:spacing w:after="0"/>
              <w:rPr>
                <w:sz w:val="14"/>
                <w:szCs w:val="14"/>
                <w:color w:val="auto"/>
              </w:rPr>
            </w:pPr>
          </w:p>
        </w:tc>
      </w:tr>
      <w:tr>
        <w:trPr>
          <w:trHeight w:val="187"/>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38"/>
              <w:spacing w:after="0"/>
              <w:rPr>
                <w:sz w:val="20"/>
                <w:szCs w:val="20"/>
                <w:color w:val="auto"/>
              </w:rPr>
            </w:pPr>
            <w:r>
              <w:rPr>
                <w:rFonts w:ascii="Arial" w:cs="Arial" w:eastAsia="Arial" w:hAnsi="Arial"/>
                <w:sz w:val="14"/>
                <w:szCs w:val="14"/>
                <w:b w:val="1"/>
                <w:bCs w:val="1"/>
                <w:color w:val="auto"/>
                <w:w w:val="89"/>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98"/>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Borders>
              <w:bottom w:val="single" w:sz="8" w:color="auto"/>
            </w:tcBorders>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r>
      <w:tr>
        <w:trPr>
          <w:trHeight w:val="207"/>
        </w:trPr>
        <w:tc>
          <w:tcPr>
            <w:tcW w:w="20" w:type="dxa"/>
            <w:vAlign w:val="bottom"/>
          </w:tcPr>
          <w:p>
            <w:pPr>
              <w:spacing w:after="0"/>
              <w:rPr>
                <w:sz w:val="17"/>
                <w:szCs w:val="17"/>
                <w:color w:val="auto"/>
              </w:rPr>
            </w:pPr>
          </w:p>
        </w:tc>
        <w:tc>
          <w:tcPr>
            <w:tcW w:w="61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Basic and Diluted Net Income per Common Unit</w:t>
            </w: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6180" w:type="dxa"/>
            <w:vAlign w:val="bottom"/>
            <w:gridSpan w:val="2"/>
          </w:tcPr>
          <w:p>
            <w:pPr>
              <w:ind w:left="20"/>
              <w:spacing w:after="0"/>
              <w:rPr>
                <w:sz w:val="20"/>
                <w:szCs w:val="20"/>
                <w:color w:val="auto"/>
              </w:rPr>
            </w:pPr>
            <w:r>
              <w:rPr>
                <w:rFonts w:ascii="Arial" w:cs="Arial" w:eastAsia="Arial" w:hAnsi="Arial"/>
                <w:sz w:val="17"/>
                <w:szCs w:val="17"/>
                <w:color w:val="auto"/>
              </w:rPr>
              <w:t>Net income attributable to PAA</w:t>
            </w:r>
          </w:p>
        </w:tc>
        <w:tc>
          <w:tcPr>
            <w:tcW w:w="780" w:type="dxa"/>
            <w:vAlign w:val="bottom"/>
          </w:tcPr>
          <w:p>
            <w:pPr>
              <w:jc w:val="right"/>
              <w:ind w:right="601"/>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203</w:t>
            </w:r>
          </w:p>
        </w:tc>
        <w:tc>
          <w:tcPr>
            <w:tcW w:w="100" w:type="dxa"/>
            <w:vAlign w:val="bottom"/>
          </w:tcPr>
          <w:p>
            <w:pPr>
              <w:spacing w:after="0"/>
              <w:rPr>
                <w:sz w:val="19"/>
                <w:szCs w:val="19"/>
                <w:color w:val="auto"/>
              </w:rPr>
            </w:pPr>
          </w:p>
        </w:tc>
        <w:tc>
          <w:tcPr>
            <w:tcW w:w="780" w:type="dxa"/>
            <w:vAlign w:val="bottom"/>
          </w:tcPr>
          <w:p>
            <w:pPr>
              <w:jc w:val="right"/>
              <w:ind w:right="598"/>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384</w:t>
            </w:r>
          </w:p>
        </w:tc>
        <w:tc>
          <w:tcPr>
            <w:tcW w:w="100" w:type="dxa"/>
            <w:vAlign w:val="bottom"/>
          </w:tcPr>
          <w:p>
            <w:pPr>
              <w:spacing w:after="0"/>
              <w:rPr>
                <w:sz w:val="19"/>
                <w:szCs w:val="19"/>
                <w:color w:val="auto"/>
              </w:rPr>
            </w:pPr>
          </w:p>
        </w:tc>
        <w:tc>
          <w:tcPr>
            <w:tcW w:w="740" w:type="dxa"/>
            <w:vAlign w:val="bottom"/>
          </w:tcPr>
          <w:p>
            <w:pPr>
              <w:jc w:val="right"/>
              <w:ind w:right="561"/>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918</w:t>
            </w:r>
          </w:p>
        </w:tc>
        <w:tc>
          <w:tcPr>
            <w:tcW w:w="100" w:type="dxa"/>
            <w:vAlign w:val="bottom"/>
          </w:tcPr>
          <w:p>
            <w:pPr>
              <w:spacing w:after="0"/>
              <w:rPr>
                <w:sz w:val="19"/>
                <w:szCs w:val="19"/>
                <w:color w:val="auto"/>
              </w:rPr>
            </w:pPr>
          </w:p>
        </w:tc>
        <w:tc>
          <w:tcPr>
            <w:tcW w:w="760" w:type="dxa"/>
            <w:vAlign w:val="bottom"/>
          </w:tcPr>
          <w:p>
            <w:pPr>
              <w:jc w:val="right"/>
              <w:ind w:right="558"/>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774</w:t>
            </w:r>
          </w:p>
        </w:tc>
      </w:tr>
      <w:tr>
        <w:trPr>
          <w:trHeight w:val="220"/>
        </w:trPr>
        <w:tc>
          <w:tcPr>
            <w:tcW w:w="20" w:type="dxa"/>
            <w:vAlign w:val="bottom"/>
          </w:tcPr>
          <w:p>
            <w:pPr>
              <w:spacing w:after="0"/>
              <w:rPr>
                <w:sz w:val="19"/>
                <w:szCs w:val="19"/>
                <w:color w:val="auto"/>
              </w:rPr>
            </w:pPr>
          </w:p>
        </w:tc>
        <w:tc>
          <w:tcPr>
            <w:tcW w:w="61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Distributions to Series A preferred unitholders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(129)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(112)</w:t>
            </w:r>
          </w:p>
        </w:tc>
      </w:tr>
      <w:tr>
        <w:trPr>
          <w:trHeight w:val="220"/>
        </w:trPr>
        <w:tc>
          <w:tcPr>
            <w:tcW w:w="20" w:type="dxa"/>
            <w:vAlign w:val="bottom"/>
          </w:tcPr>
          <w:p>
            <w:pPr>
              <w:spacing w:after="0"/>
              <w:rPr>
                <w:sz w:val="19"/>
                <w:szCs w:val="19"/>
                <w:color w:val="auto"/>
              </w:rPr>
            </w:pPr>
          </w:p>
        </w:tc>
        <w:tc>
          <w:tcPr>
            <w:tcW w:w="6180" w:type="dxa"/>
            <w:vAlign w:val="bottom"/>
            <w:gridSpan w:val="2"/>
          </w:tcPr>
          <w:p>
            <w:pPr>
              <w:ind w:left="160"/>
              <w:spacing w:after="0"/>
              <w:rPr>
                <w:sz w:val="20"/>
                <w:szCs w:val="20"/>
                <w:color w:val="auto"/>
              </w:rPr>
            </w:pPr>
            <w:r>
              <w:rPr>
                <w:rFonts w:ascii="Arial" w:cs="Arial" w:eastAsia="Arial" w:hAnsi="Arial"/>
                <w:sz w:val="17"/>
                <w:szCs w:val="17"/>
                <w:color w:val="auto"/>
              </w:rPr>
              <w:t>Distributions to Series B preferred unitholders</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20"/>
        </w:trPr>
        <w:tc>
          <w:tcPr>
            <w:tcW w:w="20" w:type="dxa"/>
            <w:vAlign w:val="bottom"/>
          </w:tcPr>
          <w:p>
            <w:pPr>
              <w:spacing w:after="0"/>
              <w:rPr>
                <w:sz w:val="19"/>
                <w:szCs w:val="19"/>
                <w:color w:val="auto"/>
              </w:rPr>
            </w:pPr>
          </w:p>
        </w:tc>
        <w:tc>
          <w:tcPr>
            <w:tcW w:w="61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Amounts allocated to participating securities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20"/>
        </w:trPr>
        <w:tc>
          <w:tcPr>
            <w:tcW w:w="20" w:type="dxa"/>
            <w:vAlign w:val="bottom"/>
          </w:tcPr>
          <w:p>
            <w:pPr>
              <w:spacing w:after="0"/>
              <w:rPr>
                <w:sz w:val="19"/>
                <w:szCs w:val="19"/>
                <w:color w:val="auto"/>
              </w:rPr>
            </w:pPr>
          </w:p>
        </w:tc>
        <w:tc>
          <w:tcPr>
            <w:tcW w:w="6180" w:type="dxa"/>
            <w:vAlign w:val="bottom"/>
            <w:gridSpan w:val="2"/>
          </w:tcPr>
          <w:p>
            <w:pPr>
              <w:ind w:left="160"/>
              <w:spacing w:after="0"/>
              <w:rPr>
                <w:sz w:val="20"/>
                <w:szCs w:val="20"/>
                <w:color w:val="auto"/>
              </w:rPr>
            </w:pPr>
            <w:r>
              <w:rPr>
                <w:rFonts w:ascii="Arial" w:cs="Arial" w:eastAsia="Arial" w:hAnsi="Arial"/>
                <w:sz w:val="17"/>
                <w:szCs w:val="17"/>
                <w:color w:val="auto"/>
              </w:rPr>
              <w:t>Other</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20" w:type="dxa"/>
            <w:vAlign w:val="bottom"/>
          </w:tcPr>
          <w:p>
            <w:pPr>
              <w:spacing w:after="0"/>
              <w:rPr>
                <w:sz w:val="20"/>
                <w:szCs w:val="20"/>
                <w:color w:val="auto"/>
              </w:rPr>
            </w:pPr>
          </w:p>
        </w:tc>
        <w:tc>
          <w:tcPr>
            <w:tcW w:w="61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income allocated to common unitholders</w:t>
            </w:r>
          </w:p>
        </w:tc>
        <w:tc>
          <w:tcPr>
            <w:tcW w:w="780" w:type="dxa"/>
            <w:vAlign w:val="bottom"/>
            <w:tcBorders>
              <w:top w:val="single" w:sz="8" w:color="auto"/>
              <w:bottom w:val="single" w:sz="8" w:color="auto"/>
            </w:tcBorders>
            <w:shd w:val="clear" w:color="auto" w:fill="CCEEFF"/>
          </w:tcPr>
          <w:p>
            <w:pPr>
              <w:jc w:val="right"/>
              <w:ind w:right="601"/>
              <w:spacing w:after="0"/>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ind w:right="598"/>
              <w:spacing w:after="0"/>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ind w:right="561"/>
              <w:spacing w:after="0"/>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558"/>
              <w:spacing w:after="0"/>
              <w:rPr>
                <w:sz w:val="20"/>
                <w:szCs w:val="20"/>
                <w:color w:val="auto"/>
              </w:rPr>
            </w:pPr>
            <w:r>
              <w:rPr>
                <w:rFonts w:ascii="Arial" w:cs="Arial" w:eastAsia="Arial" w:hAnsi="Arial"/>
                <w:sz w:val="17"/>
                <w:szCs w:val="17"/>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621</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20"/>
        </w:trPr>
        <w:tc>
          <w:tcPr>
            <w:tcW w:w="20" w:type="dxa"/>
            <w:vAlign w:val="bottom"/>
          </w:tcPr>
          <w:p>
            <w:pPr>
              <w:spacing w:after="0"/>
              <w:rPr>
                <w:sz w:val="19"/>
                <w:szCs w:val="19"/>
                <w:color w:val="auto"/>
              </w:rPr>
            </w:pPr>
          </w:p>
        </w:tc>
        <w:tc>
          <w:tcPr>
            <w:tcW w:w="618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Basic and diluted weighted average common units outstanding </w:t>
            </w:r>
            <w:r>
              <w:rPr>
                <w:rFonts w:ascii="Arial" w:cs="Arial" w:eastAsia="Arial" w:hAnsi="Arial"/>
                <w:sz w:val="22"/>
                <w:szCs w:val="22"/>
                <w:color w:val="auto"/>
                <w:vertAlign w:val="superscript"/>
              </w:rPr>
              <w:t>(2) (3)</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w:t>
            </w:r>
          </w:p>
        </w:tc>
      </w:tr>
      <w:tr>
        <w:trPr>
          <w:trHeight w:val="245"/>
        </w:trPr>
        <w:tc>
          <w:tcPr>
            <w:tcW w:w="2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45"/>
        </w:trPr>
        <w:tc>
          <w:tcPr>
            <w:tcW w:w="20" w:type="dxa"/>
            <w:vAlign w:val="bottom"/>
          </w:tcPr>
          <w:p>
            <w:pPr>
              <w:spacing w:after="0"/>
              <w:rPr>
                <w:sz w:val="20"/>
                <w:szCs w:val="20"/>
                <w:color w:val="auto"/>
              </w:rPr>
            </w:pPr>
          </w:p>
        </w:tc>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Basic and diluted net income per common unit</w:t>
            </w:r>
          </w:p>
        </w:tc>
        <w:tc>
          <w:tcPr>
            <w:tcW w:w="780" w:type="dxa"/>
            <w:vAlign w:val="bottom"/>
            <w:tcBorders>
              <w:bottom w:val="single" w:sz="8" w:color="auto"/>
            </w:tcBorders>
            <w:shd w:val="clear" w:color="auto" w:fill="CCEEFF"/>
          </w:tcPr>
          <w:p>
            <w:pPr>
              <w:jc w:val="right"/>
              <w:ind w:right="601"/>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0.20</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98"/>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0.48</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61"/>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58"/>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0.89</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20" w:type="dxa"/>
            <w:vAlign w:val="bottom"/>
            <w:tcBorders>
              <w:bottom w:val="single" w:sz="8" w:color="auto"/>
            </w:tcBorders>
          </w:tcPr>
          <w:p>
            <w:pPr>
              <w:spacing w:after="0"/>
              <w:rPr>
                <w:sz w:val="8"/>
                <w:szCs w:val="8"/>
                <w:color w:val="auto"/>
              </w:rPr>
            </w:pPr>
          </w:p>
        </w:tc>
        <w:tc>
          <w:tcPr>
            <w:tcW w:w="3860" w:type="dxa"/>
            <w:vAlign w:val="bottom"/>
            <w:tcBorders>
              <w:bottom w:val="single" w:sz="8" w:color="auto"/>
            </w:tcBorders>
          </w:tcPr>
          <w:p>
            <w:pPr>
              <w:spacing w:after="0"/>
              <w:rPr>
                <w:sz w:val="8"/>
                <w:szCs w:val="8"/>
                <w:color w:val="auto"/>
              </w:rPr>
            </w:pPr>
          </w:p>
        </w:tc>
        <w:tc>
          <w:tcPr>
            <w:tcW w:w="2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r>
    </w:tbl>
    <w:p>
      <w:pPr>
        <w:spacing w:after="0" w:line="130" w:lineRule="exact"/>
        <w:rPr>
          <w:sz w:val="20"/>
          <w:szCs w:val="20"/>
          <w:color w:val="auto"/>
        </w:rPr>
      </w:pPr>
    </w:p>
    <w:p>
      <w:pPr>
        <w:ind w:left="320" w:right="140" w:hanging="317"/>
        <w:spacing w:after="0"/>
        <w:tabs>
          <w:tab w:leader="none" w:pos="308"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We calculate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39" w:lineRule="exact"/>
        <w:rPr>
          <w:rFonts w:ascii="Arial" w:cs="Arial" w:eastAsia="Arial" w:hAnsi="Arial"/>
          <w:sz w:val="22"/>
          <w:szCs w:val="22"/>
          <w:color w:val="auto"/>
          <w:vertAlign w:val="superscript"/>
        </w:rPr>
      </w:pPr>
    </w:p>
    <w:p>
      <w:pPr>
        <w:ind w:left="320" w:right="260" w:hanging="317"/>
        <w:spacing w:after="0" w:line="228" w:lineRule="auto"/>
        <w:tabs>
          <w:tab w:leader="none" w:pos="308"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The possible conversion of our Series A preferred units was excluded from the calculation of diluted net income per common unit for each of the three and nine months ended September 30, 2023 and 2022 as the effect was antidilutive.</w:t>
      </w:r>
    </w:p>
    <w:p>
      <w:pPr>
        <w:spacing w:after="0" w:line="39" w:lineRule="exact"/>
        <w:rPr>
          <w:rFonts w:ascii="Arial" w:cs="Arial" w:eastAsia="Arial" w:hAnsi="Arial"/>
          <w:sz w:val="22"/>
          <w:szCs w:val="22"/>
          <w:color w:val="auto"/>
          <w:vertAlign w:val="superscript"/>
        </w:rPr>
      </w:pPr>
    </w:p>
    <w:p>
      <w:pPr>
        <w:ind w:left="320" w:right="20" w:hanging="317"/>
        <w:spacing w:after="0"/>
        <w:tabs>
          <w:tab w:leader="none" w:pos="308"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auto"/>
        </w:rPr>
        <w:t>Page 8</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CONSOLIDATED CASH FLOW DATA</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11"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Nine Months Ended</w:t>
      </w:r>
    </w:p>
    <w:p>
      <w:pPr>
        <w:jc w:val="center"/>
        <w:ind w:left="8680"/>
        <w:spacing w:after="0"/>
        <w:rPr>
          <w:sz w:val="20"/>
          <w:szCs w:val="20"/>
          <w:color w:val="auto"/>
        </w:rPr>
      </w:pPr>
      <w:r>
        <w:rPr>
          <w:rFonts w:ascii="Arial" w:cs="Arial" w:eastAsia="Arial" w:hAnsi="Arial"/>
          <w:sz w:val="14"/>
          <w:szCs w:val="14"/>
          <w:b w:val="1"/>
          <w:bCs w:val="1"/>
          <w:color w:val="auto"/>
        </w:rPr>
        <w:t>September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7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r>
      <w:tr>
        <w:trPr>
          <w:trHeight w:val="207"/>
        </w:trPr>
        <w:tc>
          <w:tcPr>
            <w:tcW w:w="87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0"/>
        </w:trPr>
        <w:tc>
          <w:tcPr>
            <w:tcW w:w="872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1,103</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918</w:t>
            </w:r>
          </w:p>
        </w:tc>
      </w:tr>
      <w:tr>
        <w:trPr>
          <w:trHeight w:val="220"/>
        </w:trPr>
        <w:tc>
          <w:tcPr>
            <w:tcW w:w="87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Reconciliation of net income to net cash provided by 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8720" w:type="dxa"/>
            <w:vAlign w:val="bottom"/>
          </w:tcPr>
          <w:p>
            <w:pPr>
              <w:ind w:left="120"/>
              <w:spacing w:after="0"/>
              <w:rPr>
                <w:sz w:val="20"/>
                <w:szCs w:val="20"/>
                <w:color w:val="auto"/>
              </w:rPr>
            </w:pPr>
            <w:r>
              <w:rPr>
                <w:rFonts w:ascii="Arial" w:cs="Arial" w:eastAsia="Arial" w:hAnsi="Arial"/>
                <w:sz w:val="17"/>
                <w:szCs w:val="17"/>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711</w:t>
            </w:r>
          </w:p>
        </w:tc>
      </w:tr>
      <w:tr>
        <w:trPr>
          <w:trHeight w:val="220"/>
        </w:trPr>
        <w:tc>
          <w:tcPr>
            <w:tcW w:w="87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Gains on asset sales and asset impairments,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r>
      <w:tr>
        <w:trPr>
          <w:trHeight w:val="220"/>
        </w:trPr>
        <w:tc>
          <w:tcPr>
            <w:tcW w:w="8720" w:type="dxa"/>
            <w:vAlign w:val="bottom"/>
          </w:tcPr>
          <w:p>
            <w:pPr>
              <w:ind w:left="120"/>
              <w:spacing w:after="0"/>
              <w:rPr>
                <w:sz w:val="20"/>
                <w:szCs w:val="20"/>
                <w:color w:val="auto"/>
              </w:rPr>
            </w:pPr>
            <w:r>
              <w:rPr>
                <w:rFonts w:ascii="Arial" w:cs="Arial" w:eastAsia="Arial" w:hAnsi="Arial"/>
                <w:sz w:val="17"/>
                <w:szCs w:val="17"/>
                <w:color w:val="auto"/>
              </w:rPr>
              <w:t>Deferred income tax expense/(benefit)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117</w:t>
            </w:r>
          </w:p>
        </w:tc>
      </w:tr>
      <w:tr>
        <w:trPr>
          <w:trHeight w:val="220"/>
        </w:trPr>
        <w:tc>
          <w:tcPr>
            <w:tcW w:w="87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Equity earnings in unconsolidated entities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w:t>
            </w:r>
          </w:p>
        </w:tc>
      </w:tr>
      <w:tr>
        <w:trPr>
          <w:trHeight w:val="220"/>
        </w:trPr>
        <w:tc>
          <w:tcPr>
            <w:tcW w:w="8720" w:type="dxa"/>
            <w:vAlign w:val="bottom"/>
          </w:tcPr>
          <w:p>
            <w:pPr>
              <w:ind w:left="120"/>
              <w:spacing w:after="0"/>
              <w:rPr>
                <w:sz w:val="20"/>
                <w:szCs w:val="20"/>
                <w:color w:val="auto"/>
              </w:rPr>
            </w:pPr>
            <w:r>
              <w:rPr>
                <w:rFonts w:ascii="Arial" w:cs="Arial" w:eastAsia="Arial" w:hAnsi="Arial"/>
                <w:sz w:val="17"/>
                <w:szCs w:val="17"/>
                <w:color w:val="auto"/>
              </w:rPr>
              <w:t>Distributions on earnings from unconsolidated entities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344</w:t>
            </w:r>
          </w:p>
        </w:tc>
      </w:tr>
      <w:tr>
        <w:trPr>
          <w:trHeight w:val="220"/>
        </w:trPr>
        <w:tc>
          <w:tcPr>
            <w:tcW w:w="87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w:t>
            </w:r>
          </w:p>
        </w:tc>
      </w:tr>
      <w:tr>
        <w:trPr>
          <w:trHeight w:val="220"/>
        </w:trPr>
        <w:tc>
          <w:tcPr>
            <w:tcW w:w="87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Changes in assets and liabilities, net of acquisitions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w:t>
            </w:r>
          </w:p>
        </w:tc>
      </w:tr>
      <w:tr>
        <w:trPr>
          <w:trHeight w:val="213"/>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cash provided by operating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2,074</w:t>
            </w:r>
          </w:p>
        </w:tc>
      </w:tr>
      <w:tr>
        <w:trPr>
          <w:trHeight w:val="207"/>
        </w:trPr>
        <w:tc>
          <w:tcPr>
            <w:tcW w:w="8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87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8720" w:type="dxa"/>
            <w:vAlign w:val="bottom"/>
          </w:tcPr>
          <w:p>
            <w:pPr>
              <w:ind w:left="120"/>
              <w:spacing w:after="0"/>
              <w:rPr>
                <w:sz w:val="20"/>
                <w:szCs w:val="20"/>
                <w:color w:val="auto"/>
              </w:rPr>
            </w:pPr>
            <w:r>
              <w:rPr>
                <w:rFonts w:ascii="Arial" w:cs="Arial" w:eastAsia="Arial" w:hAnsi="Arial"/>
                <w:sz w:val="17"/>
                <w:szCs w:val="17"/>
                <w:color w:val="auto"/>
              </w:rPr>
              <w:t>Net cash used in investing activities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(291)</w:t>
            </w:r>
          </w:p>
        </w:tc>
      </w:tr>
      <w:tr>
        <w:trPr>
          <w:trHeight w:val="207"/>
        </w:trPr>
        <w:tc>
          <w:tcPr>
            <w:tcW w:w="8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0"/>
        </w:trPr>
        <w:tc>
          <w:tcPr>
            <w:tcW w:w="8720" w:type="dxa"/>
            <w:vAlign w:val="bottom"/>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87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cash used in financing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(1,608)</w:t>
            </w:r>
          </w:p>
        </w:tc>
      </w:tr>
      <w:tr>
        <w:trPr>
          <w:trHeight w:val="207"/>
        </w:trPr>
        <w:tc>
          <w:tcPr>
            <w:tcW w:w="8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87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Effect of translation adjustment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07"/>
        </w:trPr>
        <w:tc>
          <w:tcPr>
            <w:tcW w:w="8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8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increase/(decrease) in cash and cash equivalents and restricted cash</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r>
      <w:tr>
        <w:trPr>
          <w:trHeight w:val="207"/>
        </w:trPr>
        <w:tc>
          <w:tcPr>
            <w:tcW w:w="8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8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 and restricted cash,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w:t>
            </w:r>
          </w:p>
        </w:tc>
      </w:tr>
      <w:tr>
        <w:trPr>
          <w:trHeight w:val="213"/>
        </w:trPr>
        <w:tc>
          <w:tcPr>
            <w:tcW w:w="8720" w:type="dxa"/>
            <w:vAlign w:val="bottom"/>
          </w:tcPr>
          <w:p>
            <w:pPr>
              <w:ind w:left="20"/>
              <w:spacing w:after="0"/>
              <w:rPr>
                <w:sz w:val="20"/>
                <w:szCs w:val="20"/>
                <w:color w:val="auto"/>
              </w:rPr>
            </w:pPr>
            <w:r>
              <w:rPr>
                <w:rFonts w:ascii="Arial" w:cs="Arial" w:eastAsia="Arial" w:hAnsi="Arial"/>
                <w:sz w:val="17"/>
                <w:szCs w:val="17"/>
                <w:color w:val="auto"/>
              </w:rPr>
              <w:t>Cash and cash equivalents and restricted cash, end of period</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623</w:t>
            </w:r>
          </w:p>
        </w:tc>
      </w:tr>
      <w:tr>
        <w:trPr>
          <w:trHeight w:val="20"/>
        </w:trPr>
        <w:tc>
          <w:tcPr>
            <w:tcW w:w="8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CAPITAL EXPENDITURES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5"/>
          </w:tcPr>
          <w:p>
            <w:pPr>
              <w:ind w:left="300"/>
              <w:spacing w:after="0"/>
              <w:rPr>
                <w:sz w:val="20"/>
                <w:szCs w:val="20"/>
                <w:color w:val="auto"/>
              </w:rPr>
            </w:pPr>
            <w:r>
              <w:rPr>
                <w:rFonts w:ascii="Arial" w:cs="Arial" w:eastAsia="Arial" w:hAnsi="Arial"/>
                <w:sz w:val="14"/>
                <w:szCs w:val="14"/>
                <w:b w:val="1"/>
                <w:bCs w:val="1"/>
                <w:color w:val="auto"/>
              </w:rPr>
              <w:t xml:space="preserve">Net to PAA </w:t>
            </w:r>
            <w:r>
              <w:rPr>
                <w:rFonts w:ascii="Arial" w:cs="Arial" w:eastAsia="Arial" w:hAnsi="Arial"/>
                <w:sz w:val="8"/>
                <w:szCs w:val="8"/>
                <w:b w:val="1"/>
                <w:bCs w:val="1"/>
                <w:color w:val="auto"/>
              </w:rPr>
              <w:t>(1)</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5"/>
          </w:tcPr>
          <w:p>
            <w:pPr>
              <w:ind w:left="340"/>
              <w:spacing w:after="0"/>
              <w:rPr>
                <w:sz w:val="20"/>
                <w:szCs w:val="20"/>
                <w:color w:val="auto"/>
              </w:rPr>
            </w:pPr>
            <w:r>
              <w:rPr>
                <w:rFonts w:ascii="Arial" w:cs="Arial" w:eastAsia="Arial" w:hAnsi="Arial"/>
                <w:sz w:val="14"/>
                <w:szCs w:val="14"/>
                <w:b w:val="1"/>
                <w:bCs w:val="1"/>
                <w:color w:val="auto"/>
              </w:rPr>
              <w:t>Consolidated</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5"/>
        </w:trPr>
        <w:tc>
          <w:tcPr>
            <w:tcW w:w="3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5"/>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gridSpan w:val="5"/>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gridSpan w:val="5"/>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gridSpan w:val="4"/>
          </w:tcPr>
          <w:p>
            <w:pPr>
              <w:spacing w:after="0"/>
              <w:rPr>
                <w:sz w:val="2"/>
                <w:szCs w:val="2"/>
                <w:color w:val="auto"/>
              </w:rPr>
            </w:pPr>
          </w:p>
        </w:tc>
      </w:tr>
      <w:tr>
        <w:trPr>
          <w:trHeight w:val="126"/>
        </w:trPr>
        <w:tc>
          <w:tcPr>
            <w:tcW w:w="35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80" w:type="dxa"/>
            <w:vAlign w:val="bottom"/>
            <w:tcBorders>
              <w:top w:val="single" w:sz="8" w:color="auto"/>
            </w:tcBorders>
            <w:gridSpan w:val="6"/>
          </w:tcPr>
          <w:p>
            <w:pPr>
              <w:jc w:val="center"/>
              <w:ind w:right="280"/>
              <w:spacing w:after="0" w:line="126" w:lineRule="exact"/>
              <w:rPr>
                <w:sz w:val="20"/>
                <w:szCs w:val="20"/>
                <w:color w:val="auto"/>
              </w:rPr>
            </w:pPr>
            <w:r>
              <w:rPr>
                <w:rFonts w:ascii="Arial" w:cs="Arial" w:eastAsia="Arial" w:hAnsi="Arial"/>
                <w:sz w:val="14"/>
                <w:szCs w:val="14"/>
                <w:b w:val="1"/>
                <w:bCs w:val="1"/>
                <w:color w:val="auto"/>
                <w:w w:val="89"/>
              </w:rPr>
              <w:t>Three Months Ended</w:t>
            </w:r>
          </w:p>
        </w:tc>
        <w:tc>
          <w:tcPr>
            <w:tcW w:w="20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gridSpan w:val="4"/>
          </w:tcPr>
          <w:p>
            <w:pPr>
              <w:jc w:val="center"/>
              <w:ind w:right="117"/>
              <w:spacing w:after="0" w:line="126" w:lineRule="exact"/>
              <w:rPr>
                <w:sz w:val="20"/>
                <w:szCs w:val="20"/>
                <w:color w:val="auto"/>
              </w:rPr>
            </w:pPr>
            <w:r>
              <w:rPr>
                <w:rFonts w:ascii="Arial" w:cs="Arial" w:eastAsia="Arial" w:hAnsi="Arial"/>
                <w:sz w:val="14"/>
                <w:szCs w:val="14"/>
                <w:b w:val="1"/>
                <w:bCs w:val="1"/>
                <w:color w:val="auto"/>
                <w:w w:val="90"/>
              </w:rPr>
              <w:t>Nine Months Ended</w:t>
            </w: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720" w:type="dxa"/>
            <w:vAlign w:val="bottom"/>
            <w:tcBorders>
              <w:top w:val="single" w:sz="8" w:color="auto"/>
            </w:tcBorders>
            <w:gridSpan w:val="5"/>
          </w:tcPr>
          <w:p>
            <w:pPr>
              <w:jc w:val="center"/>
              <w:ind w:right="280"/>
              <w:spacing w:after="0" w:line="126" w:lineRule="exact"/>
              <w:rPr>
                <w:sz w:val="20"/>
                <w:szCs w:val="20"/>
                <w:color w:val="auto"/>
              </w:rPr>
            </w:pPr>
            <w:r>
              <w:rPr>
                <w:rFonts w:ascii="Arial" w:cs="Arial" w:eastAsia="Arial" w:hAnsi="Arial"/>
                <w:sz w:val="14"/>
                <w:szCs w:val="14"/>
                <w:b w:val="1"/>
                <w:bCs w:val="1"/>
                <w:color w:val="auto"/>
                <w:w w:val="89"/>
              </w:rPr>
              <w:t>Three Months Ended</w:t>
            </w:r>
          </w:p>
        </w:tc>
        <w:tc>
          <w:tcPr>
            <w:tcW w:w="20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gridSpan w:val="4"/>
          </w:tcPr>
          <w:p>
            <w:pPr>
              <w:jc w:val="right"/>
              <w:ind w:right="237"/>
              <w:spacing w:after="0" w:line="126" w:lineRule="exact"/>
              <w:rPr>
                <w:sz w:val="20"/>
                <w:szCs w:val="20"/>
                <w:color w:val="auto"/>
              </w:rPr>
            </w:pPr>
            <w:r>
              <w:rPr>
                <w:rFonts w:ascii="Arial" w:cs="Arial" w:eastAsia="Arial" w:hAnsi="Arial"/>
                <w:sz w:val="14"/>
                <w:szCs w:val="14"/>
                <w:b w:val="1"/>
                <w:bCs w:val="1"/>
                <w:color w:val="auto"/>
                <w:w w:val="97"/>
              </w:rPr>
              <w:t>Nine Months Ended</w:t>
            </w:r>
          </w:p>
        </w:tc>
      </w:tr>
      <w:tr>
        <w:trPr>
          <w:trHeight w:val="185"/>
        </w:trPr>
        <w:tc>
          <w:tcPr>
            <w:tcW w:w="3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7"/>
              </w:rPr>
              <w:t>September 30,</w:t>
            </w:r>
          </w:p>
        </w:tc>
        <w:tc>
          <w:tcPr>
            <w:tcW w:w="200" w:type="dxa"/>
            <w:vAlign w:val="bottom"/>
          </w:tcPr>
          <w:p>
            <w:pPr>
              <w:spacing w:after="0"/>
              <w:rPr>
                <w:sz w:val="16"/>
                <w:szCs w:val="16"/>
                <w:color w:val="auto"/>
              </w:rPr>
            </w:pPr>
          </w:p>
        </w:tc>
        <w:tc>
          <w:tcPr>
            <w:tcW w:w="18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7"/>
              </w:rPr>
              <w:t>September 30,</w:t>
            </w:r>
          </w:p>
        </w:tc>
        <w:tc>
          <w:tcPr>
            <w:tcW w:w="180" w:type="dxa"/>
            <w:vAlign w:val="bottom"/>
          </w:tcPr>
          <w:p>
            <w:pPr>
              <w:spacing w:after="0"/>
              <w:rPr>
                <w:sz w:val="16"/>
                <w:szCs w:val="16"/>
                <w:color w:val="auto"/>
              </w:rPr>
            </w:pPr>
          </w:p>
        </w:tc>
        <w:tc>
          <w:tcPr>
            <w:tcW w:w="17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7"/>
              </w:rPr>
              <w:t>September 30,</w:t>
            </w:r>
          </w:p>
        </w:tc>
        <w:tc>
          <w:tcPr>
            <w:tcW w:w="200" w:type="dxa"/>
            <w:vAlign w:val="bottom"/>
          </w:tcPr>
          <w:p>
            <w:pPr>
              <w:spacing w:after="0"/>
              <w:rPr>
                <w:sz w:val="16"/>
                <w:szCs w:val="16"/>
                <w:color w:val="auto"/>
              </w:rPr>
            </w:pPr>
          </w:p>
        </w:tc>
        <w:tc>
          <w:tcPr>
            <w:tcW w:w="1620" w:type="dxa"/>
            <w:vAlign w:val="bottom"/>
            <w:gridSpan w:val="4"/>
          </w:tcPr>
          <w:p>
            <w:pPr>
              <w:jc w:val="right"/>
              <w:ind w:right="397"/>
              <w:spacing w:after="0"/>
              <w:rPr>
                <w:sz w:val="20"/>
                <w:szCs w:val="20"/>
                <w:color w:val="auto"/>
              </w:rPr>
            </w:pPr>
            <w:r>
              <w:rPr>
                <w:rFonts w:ascii="Arial" w:cs="Arial" w:eastAsia="Arial" w:hAnsi="Arial"/>
                <w:sz w:val="14"/>
                <w:szCs w:val="14"/>
                <w:b w:val="1"/>
                <w:bCs w:val="1"/>
                <w:color w:val="auto"/>
              </w:rPr>
              <w:t>September 30,</w:t>
            </w:r>
          </w:p>
        </w:tc>
      </w:tr>
      <w:tr>
        <w:trPr>
          <w:trHeight w:val="185"/>
        </w:trPr>
        <w:tc>
          <w:tcPr>
            <w:tcW w:w="35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gridSpan w:val="2"/>
          </w:tcPr>
          <w:p>
            <w:pPr>
              <w:jc w:val="right"/>
              <w:ind w:right="231"/>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2022</w:t>
            </w:r>
          </w:p>
        </w:tc>
      </w:tr>
      <w:tr>
        <w:trPr>
          <w:trHeight w:val="207"/>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 capital expenditures: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20"/>
        </w:trPr>
        <w:tc>
          <w:tcPr>
            <w:tcW w:w="3580" w:type="dxa"/>
            <w:vAlign w:val="bottom"/>
          </w:tcPr>
          <w:p>
            <w:pPr>
              <w:ind w:left="120"/>
              <w:spacing w:after="0"/>
              <w:rPr>
                <w:sz w:val="20"/>
                <w:szCs w:val="20"/>
                <w:color w:val="auto"/>
              </w:rPr>
            </w:pPr>
            <w:r>
              <w:rPr>
                <w:rFonts w:ascii="Arial" w:cs="Arial" w:eastAsia="Arial" w:hAnsi="Arial"/>
                <w:sz w:val="17"/>
                <w:szCs w:val="17"/>
                <w:color w:val="auto"/>
              </w:rPr>
              <w:t>Crude Oil</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1"/>
              <w:spacing w:after="0"/>
              <w:rPr>
                <w:sz w:val="20"/>
                <w:szCs w:val="20"/>
                <w:color w:val="auto"/>
              </w:rPr>
            </w:pPr>
            <w:r>
              <w:rPr>
                <w:rFonts w:ascii="Arial" w:cs="Arial" w:eastAsia="Arial" w:hAnsi="Arial"/>
                <w:sz w:val="17"/>
                <w:szCs w:val="17"/>
                <w:color w:val="auto"/>
              </w:rPr>
              <w:t>68</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54</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170</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184</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91</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74</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234</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234</w:t>
            </w:r>
          </w:p>
        </w:tc>
      </w:tr>
      <w:tr>
        <w:trPr>
          <w:trHeight w:val="220"/>
        </w:trPr>
        <w:tc>
          <w:tcPr>
            <w:tcW w:w="35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NGL</w:t>
            </w: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ind w:right="11"/>
              <w:spacing w:after="0"/>
              <w:rPr>
                <w:sz w:val="20"/>
                <w:szCs w:val="20"/>
                <w:color w:val="auto"/>
              </w:rPr>
            </w:pPr>
            <w:r>
              <w:rPr>
                <w:rFonts w:ascii="Arial" w:cs="Arial" w:eastAsia="Arial" w:hAnsi="Arial"/>
                <w:sz w:val="17"/>
                <w:szCs w:val="17"/>
                <w:color w:val="auto"/>
              </w:rPr>
              <w:t>12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r>
      <w:tr>
        <w:trPr>
          <w:trHeight w:val="213"/>
        </w:trPr>
        <w:tc>
          <w:tcPr>
            <w:tcW w:w="3580" w:type="dxa"/>
            <w:vAlign w:val="bottom"/>
          </w:tcPr>
          <w:p>
            <w:pPr>
              <w:ind w:left="20"/>
              <w:spacing w:after="0"/>
              <w:rPr>
                <w:sz w:val="20"/>
                <w:szCs w:val="20"/>
                <w:color w:val="auto"/>
              </w:rPr>
            </w:pPr>
            <w:r>
              <w:rPr>
                <w:rFonts w:ascii="Arial" w:cs="Arial" w:eastAsia="Arial" w:hAnsi="Arial"/>
                <w:sz w:val="17"/>
                <w:szCs w:val="17"/>
                <w:color w:val="auto"/>
              </w:rPr>
              <w:t>Total Investment capital expenditures</w:t>
            </w:r>
          </w:p>
        </w:tc>
        <w:tc>
          <w:tcPr>
            <w:tcW w:w="200" w:type="dxa"/>
            <w:vAlign w:val="bottom"/>
          </w:tcPr>
          <w:p>
            <w:pPr>
              <w:spacing w:after="0"/>
              <w:rPr>
                <w:sz w:val="18"/>
                <w:szCs w:val="18"/>
                <w:color w:val="auto"/>
              </w:rPr>
            </w:pPr>
          </w:p>
        </w:tc>
        <w:tc>
          <w:tcPr>
            <w:tcW w:w="660" w:type="dxa"/>
            <w:vAlign w:val="bottom"/>
            <w:gridSpan w:val="2"/>
          </w:tcPr>
          <w:p>
            <w:pPr>
              <w:jc w:val="right"/>
              <w:ind w:right="11"/>
              <w:spacing w:after="0"/>
              <w:rPr>
                <w:sz w:val="20"/>
                <w:szCs w:val="20"/>
                <w:color w:val="auto"/>
              </w:rPr>
            </w:pPr>
            <w:r>
              <w:rPr>
                <w:rFonts w:ascii="Arial" w:cs="Arial" w:eastAsia="Arial" w:hAnsi="Arial"/>
                <w:sz w:val="17"/>
                <w:szCs w:val="17"/>
                <w:color w:val="auto"/>
              </w:rPr>
              <w:t>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212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262</w:t>
            </w:r>
          </w:p>
        </w:tc>
      </w:tr>
      <w:tr>
        <w:trPr>
          <w:trHeight w:val="220"/>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Maintenance capital expenditures</w:t>
            </w: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ind w:right="11"/>
              <w:spacing w:after="0"/>
              <w:rPr>
                <w:sz w:val="20"/>
                <w:szCs w:val="20"/>
                <w:color w:val="auto"/>
              </w:rPr>
            </w:pPr>
            <w:r>
              <w:rPr>
                <w:rFonts w:ascii="Arial" w:cs="Arial" w:eastAsia="Arial" w:hAnsi="Arial"/>
                <w:sz w:val="17"/>
                <w:szCs w:val="17"/>
                <w:color w:val="auto"/>
              </w:rPr>
              <w:t>55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w:t>
            </w:r>
          </w:p>
        </w:tc>
      </w:tr>
      <w:tr>
        <w:trPr>
          <w:trHeight w:val="213"/>
        </w:trPr>
        <w:tc>
          <w:tcPr>
            <w:tcW w:w="358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7"/>
                <w:szCs w:val="17"/>
                <w:color w:val="auto"/>
              </w:rPr>
              <w:t>135</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352</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408</w:t>
            </w:r>
          </w:p>
        </w:tc>
      </w:tr>
      <w:tr>
        <w:trPr>
          <w:trHeight w:val="20"/>
        </w:trPr>
        <w:tc>
          <w:tcPr>
            <w:tcW w:w="3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60"/>
        </w:trPr>
        <w:tc>
          <w:tcPr>
            <w:tcW w:w="35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r>
    </w:tbl>
    <w:p>
      <w:pPr>
        <w:spacing w:after="0" w:line="96" w:lineRule="exact"/>
        <w:rPr>
          <w:sz w:val="20"/>
          <w:szCs w:val="20"/>
          <w:color w:val="auto"/>
        </w:rPr>
      </w:pPr>
    </w:p>
    <w:p>
      <w:pPr>
        <w:ind w:left="300" w:hanging="297"/>
        <w:spacing w:after="0"/>
        <w:tabs>
          <w:tab w:leader="none" w:pos="300"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Excludes expenditures attributable to noncontrolling interests.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auto"/>
        </w:rPr>
        <w:t>Page 9</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NON-GAAP RECONCILIATIONS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unit and ratio data)</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Computation of Basic and Diluted Adjusted Net Income Per Common Unit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 xml:space="preserve"> :</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000" w:type="dxa"/>
            <w:vAlign w:val="bottom"/>
            <w:gridSpan w:val="4"/>
          </w:tcPr>
          <w:p>
            <w:pPr>
              <w:jc w:val="right"/>
              <w:ind w:right="77"/>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gridSpan w:val="4"/>
          </w:tcPr>
          <w:p>
            <w:pPr>
              <w:jc w:val="right"/>
              <w:ind w:right="535"/>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63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77"/>
              <w:spacing w:after="0"/>
              <w:rPr>
                <w:sz w:val="20"/>
                <w:szCs w:val="20"/>
                <w:color w:val="auto"/>
              </w:rPr>
            </w:pPr>
            <w:r>
              <w:rPr>
                <w:rFonts w:ascii="Arial" w:cs="Arial" w:eastAsia="Arial" w:hAnsi="Arial"/>
                <w:sz w:val="14"/>
                <w:szCs w:val="14"/>
                <w:b w:val="1"/>
                <w:bCs w:val="1"/>
                <w:color w:val="auto"/>
                <w:w w:val="89"/>
              </w:rPr>
              <w:t>September 30,</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87"/>
        </w:trPr>
        <w:tc>
          <w:tcPr>
            <w:tcW w:w="63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89"/>
              </w:rPr>
              <w:t>2022</w:t>
            </w:r>
          </w:p>
        </w:tc>
      </w:tr>
      <w:tr>
        <w:trPr>
          <w:trHeight w:val="207"/>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Basic and Diluted Adjusted Net Income per Common Unit</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20"/>
        </w:trPr>
        <w:tc>
          <w:tcPr>
            <w:tcW w:w="6320" w:type="dxa"/>
            <w:vAlign w:val="bottom"/>
          </w:tcPr>
          <w:p>
            <w:pPr>
              <w:ind w:left="20"/>
              <w:spacing w:after="0"/>
              <w:rPr>
                <w:sz w:val="20"/>
                <w:szCs w:val="20"/>
                <w:color w:val="auto"/>
              </w:rPr>
            </w:pPr>
            <w:r>
              <w:rPr>
                <w:rFonts w:ascii="Arial" w:cs="Arial" w:eastAsia="Arial" w:hAnsi="Arial"/>
                <w:sz w:val="17"/>
                <w:szCs w:val="17"/>
                <w:color w:val="auto"/>
              </w:rPr>
              <w:t>Net income attributable to PAA</w:t>
            </w:r>
          </w:p>
        </w:tc>
        <w:tc>
          <w:tcPr>
            <w:tcW w:w="760" w:type="dxa"/>
            <w:vAlign w:val="bottom"/>
          </w:tcPr>
          <w:p>
            <w:pPr>
              <w:jc w:val="right"/>
              <w:ind w:right="580"/>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203</w:t>
            </w:r>
          </w:p>
        </w:tc>
        <w:tc>
          <w:tcPr>
            <w:tcW w:w="100" w:type="dxa"/>
            <w:vAlign w:val="bottom"/>
          </w:tcPr>
          <w:p>
            <w:pPr>
              <w:spacing w:after="0"/>
              <w:rPr>
                <w:sz w:val="19"/>
                <w:szCs w:val="19"/>
                <w:color w:val="auto"/>
              </w:rPr>
            </w:pPr>
          </w:p>
        </w:tc>
        <w:tc>
          <w:tcPr>
            <w:tcW w:w="740" w:type="dxa"/>
            <w:vAlign w:val="bottom"/>
          </w:tcPr>
          <w:p>
            <w:pPr>
              <w:jc w:val="right"/>
              <w:ind w:right="557"/>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384</w:t>
            </w: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918</w:t>
            </w:r>
          </w:p>
        </w:tc>
        <w:tc>
          <w:tcPr>
            <w:tcW w:w="8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774</w:t>
            </w:r>
          </w:p>
        </w:tc>
      </w:tr>
      <w:tr>
        <w:trPr>
          <w:trHeight w:val="220"/>
        </w:trPr>
        <w:tc>
          <w:tcPr>
            <w:tcW w:w="6320" w:type="dxa"/>
            <w:vAlign w:val="bottom"/>
            <w:shd w:val="clear" w:color="auto" w:fill="CCEEFF"/>
          </w:tcPr>
          <w:p>
            <w:pPr>
              <w:ind w:left="180"/>
              <w:spacing w:after="0" w:line="220" w:lineRule="exact"/>
              <w:rPr>
                <w:sz w:val="20"/>
                <w:szCs w:val="20"/>
                <w:color w:val="auto"/>
              </w:rPr>
            </w:pPr>
            <w:r>
              <w:rPr>
                <w:rFonts w:ascii="Arial" w:cs="Arial" w:eastAsia="Arial" w:hAnsi="Arial"/>
                <w:sz w:val="17"/>
                <w:szCs w:val="17"/>
                <w:color w:val="auto"/>
                <w:w w:val="96"/>
              </w:rPr>
              <w:t xml:space="preserve">Selected items impacting comparability - Adjusted net income attributable to PAA </w:t>
            </w:r>
            <w:r>
              <w:rPr>
                <w:rFonts w:ascii="Arial" w:cs="Arial" w:eastAsia="Arial" w:hAnsi="Arial"/>
                <w:sz w:val="22"/>
                <w:szCs w:val="22"/>
                <w:color w:val="auto"/>
                <w:w w:val="96"/>
                <w:vertAlign w:val="superscript"/>
              </w:rPr>
              <w:t>(2)</w:t>
            </w: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(104)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213"/>
        </w:trPr>
        <w:tc>
          <w:tcPr>
            <w:tcW w:w="6320" w:type="dxa"/>
            <w:vAlign w:val="bottom"/>
          </w:tcPr>
          <w:p>
            <w:pPr>
              <w:ind w:left="20"/>
              <w:spacing w:after="0"/>
              <w:rPr>
                <w:sz w:val="20"/>
                <w:szCs w:val="20"/>
                <w:color w:val="auto"/>
              </w:rPr>
            </w:pPr>
            <w:r>
              <w:rPr>
                <w:rFonts w:ascii="Arial" w:cs="Arial" w:eastAsia="Arial" w:hAnsi="Arial"/>
                <w:sz w:val="17"/>
                <w:szCs w:val="17"/>
                <w:color w:val="auto"/>
              </w:rPr>
              <w:t>Adjusted net income attributable to PAA</w:t>
            </w:r>
          </w:p>
        </w:tc>
        <w:tc>
          <w:tcPr>
            <w:tcW w:w="760" w:type="dxa"/>
            <w:vAlign w:val="bottom"/>
          </w:tcPr>
          <w:p>
            <w:pPr>
              <w:jc w:val="right"/>
              <w:ind w:right="580"/>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308</w:t>
            </w:r>
          </w:p>
        </w:tc>
        <w:tc>
          <w:tcPr>
            <w:tcW w:w="100" w:type="dxa"/>
            <w:vAlign w:val="bottom"/>
          </w:tcPr>
          <w:p>
            <w:pPr>
              <w:spacing w:after="0"/>
              <w:rPr>
                <w:sz w:val="18"/>
                <w:szCs w:val="18"/>
                <w:color w:val="auto"/>
              </w:rPr>
            </w:pPr>
          </w:p>
        </w:tc>
        <w:tc>
          <w:tcPr>
            <w:tcW w:w="740" w:type="dxa"/>
            <w:vAlign w:val="bottom"/>
          </w:tcPr>
          <w:p>
            <w:pPr>
              <w:jc w:val="right"/>
              <w:ind w:right="557"/>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280</w:t>
            </w:r>
          </w:p>
        </w:tc>
        <w:tc>
          <w:tcPr>
            <w:tcW w:w="80" w:type="dxa"/>
            <w:vAlign w:val="bottom"/>
          </w:tcPr>
          <w:p>
            <w:pPr>
              <w:spacing w:after="0"/>
              <w:rPr>
                <w:sz w:val="18"/>
                <w:szCs w:val="18"/>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894</w:t>
            </w:r>
          </w:p>
        </w:tc>
        <w:tc>
          <w:tcPr>
            <w:tcW w:w="8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805</w:t>
            </w:r>
          </w:p>
        </w:tc>
      </w:tr>
      <w:tr>
        <w:trPr>
          <w:trHeight w:val="220"/>
        </w:trPr>
        <w:tc>
          <w:tcPr>
            <w:tcW w:w="6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Distributions to Series A preferred unitholders</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r>
      <w:tr>
        <w:trPr>
          <w:trHeight w:val="220"/>
        </w:trPr>
        <w:tc>
          <w:tcPr>
            <w:tcW w:w="6320" w:type="dxa"/>
            <w:vAlign w:val="bottom"/>
          </w:tcPr>
          <w:p>
            <w:pPr>
              <w:ind w:left="180"/>
              <w:spacing w:after="0"/>
              <w:rPr>
                <w:sz w:val="20"/>
                <w:szCs w:val="20"/>
                <w:color w:val="auto"/>
              </w:rPr>
            </w:pPr>
            <w:r>
              <w:rPr>
                <w:rFonts w:ascii="Arial" w:cs="Arial" w:eastAsia="Arial" w:hAnsi="Arial"/>
                <w:sz w:val="17"/>
                <w:szCs w:val="17"/>
                <w:color w:val="auto"/>
              </w:rPr>
              <w:t>Distributions to Series B preferred unitholders</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20"/>
        </w:trPr>
        <w:tc>
          <w:tcPr>
            <w:tcW w:w="6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Amounts allocated to participating securities</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20"/>
        </w:trPr>
        <w:tc>
          <w:tcPr>
            <w:tcW w:w="6320" w:type="dxa"/>
            <w:vAlign w:val="bottom"/>
          </w:tcPr>
          <w:p>
            <w:pPr>
              <w:ind w:left="180"/>
              <w:spacing w:after="0"/>
              <w:rPr>
                <w:sz w:val="20"/>
                <w:szCs w:val="20"/>
                <w:color w:val="auto"/>
              </w:rPr>
            </w:pPr>
            <w:r>
              <w:rPr>
                <w:rFonts w:ascii="Arial" w:cs="Arial" w:eastAsia="Arial" w:hAnsi="Arial"/>
                <w:sz w:val="17"/>
                <w:szCs w:val="17"/>
                <w:color w:val="auto"/>
              </w:rPr>
              <w:t>Other</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6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net income allocated to common unitholders</w:t>
            </w:r>
          </w:p>
        </w:tc>
        <w:tc>
          <w:tcPr>
            <w:tcW w:w="760" w:type="dxa"/>
            <w:vAlign w:val="bottom"/>
            <w:tcBorders>
              <w:top w:val="single" w:sz="8" w:color="auto"/>
              <w:bottom w:val="single" w:sz="8" w:color="auto"/>
            </w:tcBorders>
            <w:shd w:val="clear" w:color="auto" w:fill="CCEEFF"/>
          </w:tcPr>
          <w:p>
            <w:pPr>
              <w:jc w:val="right"/>
              <w:ind w:right="580"/>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ind w:right="557"/>
              <w:spacing w:after="0"/>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652</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20"/>
        </w:trPr>
        <w:tc>
          <w:tcPr>
            <w:tcW w:w="632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Basic and diluted weighted average common units outstanding </w:t>
            </w:r>
            <w:r>
              <w:rPr>
                <w:rFonts w:ascii="Arial" w:cs="Arial" w:eastAsia="Arial" w:hAnsi="Arial"/>
                <w:sz w:val="22"/>
                <w:szCs w:val="22"/>
                <w:color w:val="auto"/>
                <w:vertAlign w:val="superscript"/>
              </w:rPr>
              <w:t>(3) (4)</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w:t>
            </w:r>
          </w:p>
        </w:tc>
      </w:tr>
      <w:tr>
        <w:trPr>
          <w:trHeight w:val="258"/>
        </w:trPr>
        <w:tc>
          <w:tcPr>
            <w:tcW w:w="6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45"/>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and diluted adjusted net income per common unit</w:t>
            </w:r>
          </w:p>
        </w:tc>
        <w:tc>
          <w:tcPr>
            <w:tcW w:w="760" w:type="dxa"/>
            <w:vAlign w:val="bottom"/>
            <w:tcBorders>
              <w:bottom w:val="single" w:sz="8" w:color="auto"/>
            </w:tcBorders>
            <w:shd w:val="clear" w:color="auto" w:fill="CCEEFF"/>
          </w:tcPr>
          <w:p>
            <w:pPr>
              <w:jc w:val="right"/>
              <w:ind w:right="580"/>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0.35</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7"/>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0.33</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0.93</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24612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20" w:right="80" w:hanging="317"/>
        <w:spacing w:after="0" w:line="267" w:lineRule="auto"/>
        <w:tabs>
          <w:tab w:leader="none" w:pos="308"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ind w:left="300" w:hanging="297"/>
        <w:spacing w:after="0"/>
        <w:tabs>
          <w:tab w:leader="none" w:pos="300" w:val="left"/>
        </w:tabs>
        <w:numPr>
          <w:ilvl w:val="0"/>
          <w:numId w:val="10"/>
        </w:numPr>
        <w:rPr>
          <w:rFonts w:ascii="Arial" w:cs="Arial" w:eastAsia="Arial" w:hAnsi="Arial"/>
          <w:sz w:val="20"/>
          <w:szCs w:val="20"/>
          <w:color w:val="auto"/>
          <w:vertAlign w:val="superscript"/>
        </w:rPr>
      </w:pPr>
      <w:r>
        <w:rPr>
          <w:rFonts w:ascii="Arial" w:cs="Arial" w:eastAsia="Arial" w:hAnsi="Arial"/>
          <w:sz w:val="16"/>
          <w:szCs w:val="16"/>
          <w:color w:val="auto"/>
        </w:rPr>
        <w:t>See the “Selected Items Impacting Comparability” table for additional information.</w:t>
      </w:r>
    </w:p>
    <w:p>
      <w:pPr>
        <w:spacing w:after="0" w:line="61" w:lineRule="exact"/>
        <w:rPr>
          <w:rFonts w:ascii="Arial" w:cs="Arial" w:eastAsia="Arial" w:hAnsi="Arial"/>
          <w:sz w:val="20"/>
          <w:szCs w:val="20"/>
          <w:color w:val="auto"/>
          <w:vertAlign w:val="superscript"/>
        </w:rPr>
      </w:pPr>
    </w:p>
    <w:p>
      <w:pPr>
        <w:ind w:left="320" w:right="460" w:hanging="317"/>
        <w:spacing w:after="0" w:line="211" w:lineRule="auto"/>
        <w:tabs>
          <w:tab w:leader="none" w:pos="308" w:val="left"/>
        </w:tabs>
        <w:numPr>
          <w:ilvl w:val="0"/>
          <w:numId w:val="10"/>
        </w:numPr>
        <w:rPr>
          <w:rFonts w:ascii="Arial" w:cs="Arial" w:eastAsia="Arial" w:hAnsi="Arial"/>
          <w:sz w:val="20"/>
          <w:szCs w:val="20"/>
          <w:color w:val="auto"/>
          <w:vertAlign w:val="superscript"/>
        </w:rPr>
      </w:pPr>
      <w:r>
        <w:rPr>
          <w:rFonts w:ascii="Arial" w:cs="Arial" w:eastAsia="Arial" w:hAnsi="Arial"/>
          <w:sz w:val="16"/>
          <w:szCs w:val="16"/>
          <w:color w:val="auto"/>
        </w:rPr>
        <w:t>The possible conversion of our Series A preferred units was excluded from the calculation of diluted adjusted net income per common unit for each of the three and nine months ended September 30, 2023 and 2022 as the effect was antidilutive.</w:t>
      </w:r>
    </w:p>
    <w:p>
      <w:pPr>
        <w:spacing w:after="0" w:line="37" w:lineRule="exact"/>
        <w:rPr>
          <w:rFonts w:ascii="Arial" w:cs="Arial" w:eastAsia="Arial" w:hAnsi="Arial"/>
          <w:sz w:val="20"/>
          <w:szCs w:val="20"/>
          <w:color w:val="auto"/>
          <w:vertAlign w:val="superscript"/>
        </w:rPr>
      </w:pPr>
    </w:p>
    <w:p>
      <w:pPr>
        <w:ind w:left="320" w:hanging="317"/>
        <w:spacing w:after="0" w:line="267" w:lineRule="auto"/>
        <w:tabs>
          <w:tab w:leader="none" w:pos="308"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 Per Common Unit to Adjusted Net Income Per Common Unit Reconciliation:</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9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538"/>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89"/>
              </w:rPr>
              <w:t>September 30,</w:t>
            </w:r>
          </w:p>
        </w:tc>
        <w:tc>
          <w:tcPr>
            <w:tcW w:w="760" w:type="dxa"/>
            <w:vAlign w:val="bottom"/>
            <w:tcBorders>
              <w:bottom w:val="single" w:sz="8" w:color="auto"/>
            </w:tcBorders>
          </w:tcPr>
          <w:p>
            <w:pPr>
              <w:spacing w:after="0"/>
              <w:rPr>
                <w:sz w:val="16"/>
                <w:szCs w:val="16"/>
                <w:color w:val="auto"/>
              </w:rPr>
            </w:pPr>
          </w:p>
        </w:tc>
      </w:tr>
      <w:tr>
        <w:trPr>
          <w:trHeight w:val="185"/>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w w:val="96"/>
              </w:rPr>
              <w:t>2022</w:t>
            </w:r>
          </w:p>
        </w:tc>
      </w:tr>
      <w:tr>
        <w:trPr>
          <w:trHeight w:val="22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Basic and diluted net income per common unit</w:t>
            </w:r>
          </w:p>
        </w:tc>
        <w:tc>
          <w:tcPr>
            <w:tcW w:w="760" w:type="dxa"/>
            <w:vAlign w:val="bottom"/>
            <w:shd w:val="clear" w:color="auto" w:fill="CCEEFF"/>
          </w:tcPr>
          <w:p>
            <w:pPr>
              <w:jc w:val="right"/>
              <w:ind w:right="583"/>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ind w:left="40"/>
              <w:spacing w:after="0"/>
              <w:rPr>
                <w:sz w:val="20"/>
                <w:szCs w:val="20"/>
                <w:color w:val="auto"/>
              </w:rPr>
            </w:pPr>
            <w:r>
              <w:rPr>
                <w:rFonts w:ascii="Arial" w:cs="Arial" w:eastAsia="Arial" w:hAnsi="Arial"/>
                <w:sz w:val="17"/>
                <w:szCs w:val="17"/>
                <w:color w:val="auto"/>
              </w:rPr>
              <w:t>0.20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0.48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ind w:left="520"/>
              <w:spacing w:after="0"/>
              <w:rPr>
                <w:sz w:val="20"/>
                <w:szCs w:val="20"/>
                <w:color w:val="auto"/>
              </w:rPr>
            </w:pPr>
            <w:r>
              <w:rPr>
                <w:rFonts w:ascii="Arial" w:cs="Arial" w:eastAsia="Arial" w:hAnsi="Arial"/>
                <w:sz w:val="17"/>
                <w:szCs w:val="17"/>
                <w:color w:val="auto"/>
              </w:rPr>
              <w:t>1.04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0.89</w:t>
            </w:r>
          </w:p>
        </w:tc>
      </w:tr>
      <w:tr>
        <w:trPr>
          <w:trHeight w:val="220"/>
        </w:trPr>
        <w:tc>
          <w:tcPr>
            <w:tcW w:w="6280" w:type="dxa"/>
            <w:vAlign w:val="bottom"/>
            <w:tcBorders>
              <w:bottom w:val="single" w:sz="8" w:color="CCEEFF"/>
            </w:tcBorders>
            <w:gridSpan w:val="2"/>
          </w:tcPr>
          <w:p>
            <w:pPr>
              <w:ind w:left="20"/>
              <w:spacing w:after="0" w:line="220" w:lineRule="exact"/>
              <w:rPr>
                <w:sz w:val="20"/>
                <w:szCs w:val="20"/>
                <w:color w:val="auto"/>
              </w:rPr>
            </w:pPr>
            <w:r>
              <w:rPr>
                <w:rFonts w:ascii="Arial" w:cs="Arial" w:eastAsia="Arial" w:hAnsi="Arial"/>
                <w:sz w:val="17"/>
                <w:szCs w:val="17"/>
                <w:color w:val="auto"/>
              </w:rPr>
              <w:t xml:space="preserve">Selected items impacting comparability per common unit </w:t>
            </w:r>
            <w:r>
              <w:rPr>
                <w:rFonts w:ascii="Arial" w:cs="Arial" w:eastAsia="Arial" w:hAnsi="Arial"/>
                <w:sz w:val="22"/>
                <w:szCs w:val="22"/>
                <w:color w:val="auto"/>
                <w:vertAlign w:val="superscript"/>
              </w:rPr>
              <w:t>(1)</w:t>
            </w: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0.15</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(0.15)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0.04</w:t>
            </w:r>
          </w:p>
        </w:tc>
      </w:tr>
      <w:tr>
        <w:trPr>
          <w:trHeight w:val="23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Basic and diluted adjusted net income per common unit</w:t>
            </w:r>
          </w:p>
        </w:tc>
        <w:tc>
          <w:tcPr>
            <w:tcW w:w="760" w:type="dxa"/>
            <w:vAlign w:val="bottom"/>
            <w:tcBorders>
              <w:bottom w:val="single" w:sz="8" w:color="auto"/>
            </w:tcBorders>
            <w:shd w:val="clear" w:color="auto" w:fill="CCEEFF"/>
          </w:tcPr>
          <w:p>
            <w:pPr>
              <w:jc w:val="right"/>
              <w:ind w:right="583"/>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0.35</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0.33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7"/>
                <w:szCs w:val="17"/>
                <w:color w:val="auto"/>
              </w:rPr>
              <w:t>1.01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0.93</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14"/>
        </w:trPr>
        <w:tc>
          <w:tcPr>
            <w:tcW w:w="3880" w:type="dxa"/>
            <w:vAlign w:val="bottom"/>
            <w:tcBorders>
              <w:bottom w:val="single" w:sz="8" w:color="auto"/>
            </w:tcBorders>
          </w:tcPr>
          <w:p>
            <w:pPr>
              <w:spacing w:after="0"/>
              <w:rPr>
                <w:sz w:val="9"/>
                <w:szCs w:val="9"/>
                <w:color w:val="auto"/>
              </w:rPr>
            </w:pPr>
          </w:p>
        </w:tc>
        <w:tc>
          <w:tcPr>
            <w:tcW w:w="2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r>
    </w:tbl>
    <w:p>
      <w:pPr>
        <w:spacing w:after="0" w:line="123" w:lineRule="exact"/>
        <w:rPr>
          <w:sz w:val="20"/>
          <w:szCs w:val="20"/>
          <w:color w:val="auto"/>
        </w:rPr>
      </w:pPr>
    </w:p>
    <w:p>
      <w:pPr>
        <w:ind w:left="300" w:hanging="297"/>
        <w:spacing w:after="0"/>
        <w:tabs>
          <w:tab w:leader="none" w:pos="30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See the “Selected Items Impacting Comparability” and the “Computation of Basic and Diluted Adjusted Net Income Per Common Unit” tables for additional information.</w:t>
      </w:r>
    </w:p>
    <w:p>
      <w:pPr>
        <w:spacing w:after="0" w:line="161" w:lineRule="exact"/>
        <w:rPr>
          <w:rFonts w:ascii="Arial" w:cs="Arial" w:eastAsia="Arial" w:hAnsi="Arial"/>
          <w:sz w:val="18"/>
          <w:szCs w:val="18"/>
          <w:color w:val="auto"/>
          <w:vertAlign w:val="superscript"/>
        </w:rPr>
      </w:pPr>
    </w:p>
    <w:p>
      <w:pPr>
        <w:ind w:left="5440" w:hanging="93"/>
        <w:spacing w:after="0"/>
        <w:tabs>
          <w:tab w:leader="none" w:pos="54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auto"/>
        </w:rPr>
        <w:t>Page 10</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 to Adjusted EBITDA attributable to PAA and Implied DCF Reconciliation:</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6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6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87"/>
        </w:trPr>
        <w:tc>
          <w:tcPr>
            <w:tcW w:w="6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89"/>
              </w:rPr>
              <w:t>2022</w:t>
            </w:r>
          </w:p>
        </w:tc>
      </w:tr>
      <w:tr>
        <w:trPr>
          <w:trHeight w:val="220"/>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918</w:t>
            </w:r>
          </w:p>
        </w:tc>
      </w:tr>
      <w:tr>
        <w:trPr>
          <w:trHeight w:val="220"/>
        </w:trPr>
        <w:tc>
          <w:tcPr>
            <w:tcW w:w="6260" w:type="dxa"/>
            <w:vAlign w:val="bottom"/>
          </w:tcPr>
          <w:p>
            <w:pPr>
              <w:ind w:left="120"/>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290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305</w:t>
            </w:r>
          </w:p>
        </w:tc>
      </w:tr>
      <w:tr>
        <w:trPr>
          <w:trHeight w:val="220"/>
        </w:trPr>
        <w:tc>
          <w:tcPr>
            <w:tcW w:w="6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tax expense/(benefit)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r>
      <w:tr>
        <w:trPr>
          <w:trHeight w:val="220"/>
        </w:trPr>
        <w:tc>
          <w:tcPr>
            <w:tcW w:w="626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776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711</w:t>
            </w:r>
          </w:p>
        </w:tc>
      </w:tr>
      <w:tr>
        <w:trPr>
          <w:trHeight w:val="220"/>
        </w:trPr>
        <w:tc>
          <w:tcPr>
            <w:tcW w:w="6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(Gains)/losses on asset sales and asset impairments,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r>
      <w:tr>
        <w:trPr>
          <w:trHeight w:val="220"/>
        </w:trPr>
        <w:tc>
          <w:tcPr>
            <w:tcW w:w="6260" w:type="dxa"/>
            <w:vAlign w:val="bottom"/>
          </w:tcPr>
          <w:p>
            <w:pPr>
              <w:ind w:left="120"/>
              <w:spacing w:after="0"/>
              <w:rPr>
                <w:sz w:val="20"/>
                <w:szCs w:val="20"/>
                <w:color w:val="auto"/>
              </w:rPr>
            </w:pPr>
            <w:r>
              <w:rPr>
                <w:rFonts w:ascii="Arial" w:cs="Arial" w:eastAsia="Arial" w:hAnsi="Arial"/>
                <w:sz w:val="16"/>
                <w:szCs w:val="16"/>
                <w:color w:val="auto"/>
              </w:rPr>
              <w:t>Gain on investment in unconsolidated entities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20"/>
        </w:trPr>
        <w:tc>
          <w:tcPr>
            <w:tcW w:w="6260" w:type="dxa"/>
            <w:vAlign w:val="bottom"/>
            <w:shd w:val="clear" w:color="auto" w:fill="CCEEFF"/>
          </w:tcPr>
          <w:p>
            <w:pPr>
              <w:ind w:left="120"/>
              <w:spacing w:after="0" w:line="220" w:lineRule="exact"/>
              <w:rPr>
                <w:sz w:val="20"/>
                <w:szCs w:val="20"/>
                <w:color w:val="auto"/>
              </w:rPr>
            </w:pPr>
            <w:r>
              <w:rPr>
                <w:rFonts w:ascii="Arial" w:cs="Arial" w:eastAsia="Arial" w:hAnsi="Arial"/>
                <w:sz w:val="16"/>
                <w:szCs w:val="16"/>
                <w:color w:val="auto"/>
              </w:rPr>
              <w:t xml:space="preserve">Depreciation and amortization of unconsolidated entities </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r>
      <w:tr>
        <w:trPr>
          <w:trHeight w:val="220"/>
        </w:trPr>
        <w:tc>
          <w:tcPr>
            <w:tcW w:w="6260" w:type="dxa"/>
            <w:vAlign w:val="bottom"/>
            <w:tcBorders>
              <w:bottom w:val="single" w:sz="8" w:color="CCEEFF"/>
            </w:tcBorders>
          </w:tcPr>
          <w:p>
            <w:pPr>
              <w:ind w:left="120"/>
              <w:spacing w:after="0" w:line="220" w:lineRule="exact"/>
              <w:rPr>
                <w:sz w:val="20"/>
                <w:szCs w:val="20"/>
                <w:color w:val="auto"/>
              </w:rPr>
            </w:pPr>
            <w:r>
              <w:rPr>
                <w:rFonts w:ascii="Arial" w:cs="Arial" w:eastAsia="Arial" w:hAnsi="Arial"/>
                <w:sz w:val="16"/>
                <w:szCs w:val="16"/>
                <w:color w:val="auto"/>
              </w:rPr>
              <w:t xml:space="preserve">Selected items impacting comparability - Adjusted EBITDA </w:t>
            </w:r>
            <w:r>
              <w:rPr>
                <w:rFonts w:ascii="Arial" w:cs="Arial" w:eastAsia="Arial" w:hAnsi="Arial"/>
                <w:sz w:val="21"/>
                <w:szCs w:val="21"/>
                <w:color w:val="auto"/>
                <w:vertAlign w:val="superscript"/>
              </w:rPr>
              <w:t>(2)</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r>
      <w:tr>
        <w:trPr>
          <w:trHeight w:val="213"/>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2,115</w:t>
            </w:r>
          </w:p>
        </w:tc>
      </w:tr>
      <w:tr>
        <w:trPr>
          <w:trHeight w:val="220"/>
        </w:trPr>
        <w:tc>
          <w:tcPr>
            <w:tcW w:w="62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Adjusted EBITDA attributable to noncontrolling interests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w:t>
            </w:r>
          </w:p>
        </w:tc>
      </w:tr>
      <w:tr>
        <w:trPr>
          <w:trHeight w:val="238"/>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 attributable to PAA</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1,851</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6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220"/>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2,115</w:t>
            </w:r>
          </w:p>
        </w:tc>
      </w:tr>
      <w:tr>
        <w:trPr>
          <w:trHeight w:val="220"/>
        </w:trPr>
        <w:tc>
          <w:tcPr>
            <w:tcW w:w="6260" w:type="dxa"/>
            <w:vAlign w:val="bottom"/>
          </w:tcPr>
          <w:p>
            <w:pPr>
              <w:ind w:left="120"/>
              <w:spacing w:after="0" w:line="220" w:lineRule="exact"/>
              <w:rPr>
                <w:sz w:val="20"/>
                <w:szCs w:val="20"/>
                <w:color w:val="auto"/>
              </w:rPr>
            </w:pPr>
            <w:r>
              <w:rPr>
                <w:rFonts w:ascii="Arial" w:cs="Arial" w:eastAsia="Arial" w:hAnsi="Arial"/>
                <w:sz w:val="16"/>
                <w:szCs w:val="16"/>
                <w:color w:val="auto"/>
              </w:rPr>
              <w:t xml:space="preserve">Interest expense, net of certain non-cash items </w:t>
            </w:r>
            <w:r>
              <w:rPr>
                <w:rFonts w:ascii="Arial" w:cs="Arial" w:eastAsia="Arial" w:hAnsi="Arial"/>
                <w:sz w:val="21"/>
                <w:szCs w:val="21"/>
                <w:color w:val="auto"/>
                <w:vertAlign w:val="superscript"/>
              </w:rPr>
              <w:t>(3)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(275)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(295)</w:t>
            </w:r>
          </w:p>
        </w:tc>
      </w:tr>
      <w:tr>
        <w:trPr>
          <w:trHeight w:val="220"/>
        </w:trPr>
        <w:tc>
          <w:tcPr>
            <w:tcW w:w="6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Maintenance capital</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r>
      <w:tr>
        <w:trPr>
          <w:trHeight w:val="220"/>
        </w:trPr>
        <w:tc>
          <w:tcPr>
            <w:tcW w:w="6260" w:type="dxa"/>
            <w:vAlign w:val="bottom"/>
          </w:tcPr>
          <w:p>
            <w:pPr>
              <w:ind w:left="120"/>
              <w:spacing w:after="0" w:line="220" w:lineRule="exact"/>
              <w:rPr>
                <w:sz w:val="20"/>
                <w:szCs w:val="20"/>
                <w:color w:val="auto"/>
              </w:rPr>
            </w:pPr>
            <w:r>
              <w:rPr>
                <w:rFonts w:ascii="Arial" w:cs="Arial" w:eastAsia="Arial" w:hAnsi="Arial"/>
                <w:sz w:val="16"/>
                <w:szCs w:val="16"/>
                <w:color w:val="auto"/>
              </w:rPr>
              <w:t xml:space="preserve">Investment capital of noncontrolling interests </w:t>
            </w:r>
            <w:r>
              <w:rPr>
                <w:rFonts w:ascii="Arial" w:cs="Arial" w:eastAsia="Arial" w:hAnsi="Arial"/>
                <w:sz w:val="21"/>
                <w:szCs w:val="21"/>
                <w:color w:val="auto"/>
                <w:vertAlign w:val="superscript"/>
              </w:rPr>
              <w:t>(4)</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20"/>
        </w:trPr>
        <w:tc>
          <w:tcPr>
            <w:tcW w:w="6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Current income tax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r>
      <w:tr>
        <w:trPr>
          <w:trHeight w:val="220"/>
        </w:trPr>
        <w:tc>
          <w:tcPr>
            <w:tcW w:w="6260" w:type="dxa"/>
            <w:vAlign w:val="bottom"/>
          </w:tcPr>
          <w:p>
            <w:pPr>
              <w:ind w:left="120"/>
              <w:spacing w:after="0" w:line="220" w:lineRule="exact"/>
              <w:rPr>
                <w:sz w:val="20"/>
                <w:szCs w:val="20"/>
                <w:color w:val="auto"/>
              </w:rPr>
            </w:pPr>
            <w:r>
              <w:rPr>
                <w:rFonts w:ascii="Arial" w:cs="Arial" w:eastAsia="Arial" w:hAnsi="Arial"/>
                <w:sz w:val="16"/>
                <w:szCs w:val="16"/>
                <w:color w:val="auto"/>
                <w:w w:val="92"/>
              </w:rPr>
              <w:t xml:space="preserve">Distributions from unconsolidated entities in excess of/(less than) adjusted equity earnings </w:t>
            </w:r>
            <w:r>
              <w:rPr>
                <w:rFonts w:ascii="Arial" w:cs="Arial" w:eastAsia="Arial" w:hAnsi="Arial"/>
                <w:sz w:val="21"/>
                <w:szCs w:val="21"/>
                <w:color w:val="auto"/>
                <w:w w:val="92"/>
                <w:vertAlign w:val="superscript"/>
              </w:rPr>
              <w:t>(5)</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20"/>
        </w:trPr>
        <w:tc>
          <w:tcPr>
            <w:tcW w:w="6260" w:type="dxa"/>
            <w:vAlign w:val="bottom"/>
            <w:shd w:val="clear" w:color="auto" w:fill="CCEEFF"/>
          </w:tcPr>
          <w:p>
            <w:pPr>
              <w:ind w:left="120"/>
              <w:spacing w:after="0" w:line="220" w:lineRule="exact"/>
              <w:rPr>
                <w:sz w:val="20"/>
                <w:szCs w:val="20"/>
                <w:color w:val="auto"/>
              </w:rPr>
            </w:pPr>
            <w:r>
              <w:rPr>
                <w:rFonts w:ascii="Arial" w:cs="Arial" w:eastAsia="Arial" w:hAnsi="Arial"/>
                <w:sz w:val="16"/>
                <w:szCs w:val="16"/>
                <w:color w:val="auto"/>
              </w:rPr>
              <w:t xml:space="preserve">Distributions to noncontrolling interests </w:t>
            </w:r>
            <w:r>
              <w:rPr>
                <w:rFonts w:ascii="Arial" w:cs="Arial" w:eastAsia="Arial" w:hAnsi="Arial"/>
                <w:sz w:val="21"/>
                <w:szCs w:val="21"/>
                <w:color w:val="auto"/>
                <w:vertAlign w:val="superscript"/>
              </w:rPr>
              <w:t>(6)</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w:t>
            </w:r>
          </w:p>
        </w:tc>
      </w:tr>
      <w:tr>
        <w:trPr>
          <w:trHeight w:val="213"/>
        </w:trPr>
        <w:tc>
          <w:tcPr>
            <w:tcW w:w="6260" w:type="dxa"/>
            <w:vAlign w:val="bottom"/>
          </w:tcPr>
          <w:p>
            <w:pPr>
              <w:ind w:left="20"/>
              <w:spacing w:after="0"/>
              <w:rPr>
                <w:sz w:val="20"/>
                <w:szCs w:val="20"/>
                <w:color w:val="auto"/>
              </w:rPr>
            </w:pPr>
            <w:r>
              <w:rPr>
                <w:rFonts w:ascii="Arial" w:cs="Arial" w:eastAsia="Arial" w:hAnsi="Arial"/>
                <w:sz w:val="16"/>
                <w:szCs w:val="16"/>
                <w:color w:val="auto"/>
              </w:rPr>
              <w:t>Implied DCF</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494</w:t>
            </w:r>
          </w:p>
        </w:tc>
        <w:tc>
          <w:tcPr>
            <w:tcW w:w="10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422</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1,423</w:t>
            </w:r>
          </w:p>
        </w:tc>
        <w:tc>
          <w:tcPr>
            <w:tcW w:w="100" w:type="dxa"/>
            <w:vAlign w:val="bottom"/>
          </w:tcPr>
          <w:p>
            <w:pPr>
              <w:spacing w:after="0"/>
              <w:rPr>
                <w:sz w:val="18"/>
                <w:szCs w:val="18"/>
                <w:color w:val="auto"/>
              </w:rPr>
            </w:pP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1,322</w:t>
            </w:r>
          </w:p>
        </w:tc>
      </w:tr>
      <w:tr>
        <w:trPr>
          <w:trHeight w:val="220"/>
        </w:trPr>
        <w:tc>
          <w:tcPr>
            <w:tcW w:w="6260" w:type="dxa"/>
            <w:vAlign w:val="bottom"/>
            <w:shd w:val="clear" w:color="auto" w:fill="CCEEFF"/>
          </w:tcPr>
          <w:p>
            <w:pPr>
              <w:ind w:left="160"/>
              <w:spacing w:after="0" w:line="220" w:lineRule="exact"/>
              <w:rPr>
                <w:sz w:val="20"/>
                <w:szCs w:val="20"/>
                <w:color w:val="auto"/>
              </w:rPr>
            </w:pPr>
            <w:r>
              <w:rPr>
                <w:rFonts w:ascii="Arial" w:cs="Arial" w:eastAsia="Arial" w:hAnsi="Arial"/>
                <w:sz w:val="16"/>
                <w:szCs w:val="16"/>
                <w:color w:val="auto"/>
              </w:rPr>
              <w:t xml:space="preserve">Preferred unit distributions paid </w:t>
            </w:r>
            <w:r>
              <w:rPr>
                <w:rFonts w:ascii="Arial" w:cs="Arial" w:eastAsia="Arial" w:hAnsi="Arial"/>
                <w:sz w:val="21"/>
                <w:szCs w:val="21"/>
                <w:color w:val="auto"/>
                <w:vertAlign w:val="superscript"/>
              </w:rPr>
              <w:t>(6)</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w:t>
            </w:r>
          </w:p>
        </w:tc>
      </w:tr>
      <w:tr>
        <w:trPr>
          <w:trHeight w:val="213"/>
        </w:trPr>
        <w:tc>
          <w:tcPr>
            <w:tcW w:w="6260" w:type="dxa"/>
            <w:vAlign w:val="bottom"/>
          </w:tcPr>
          <w:p>
            <w:pPr>
              <w:ind w:left="20"/>
              <w:spacing w:after="0"/>
              <w:rPr>
                <w:sz w:val="20"/>
                <w:szCs w:val="20"/>
                <w:color w:val="auto"/>
              </w:rPr>
            </w:pPr>
            <w:r>
              <w:rPr>
                <w:rFonts w:ascii="Arial" w:cs="Arial" w:eastAsia="Arial" w:hAnsi="Arial"/>
                <w:sz w:val="16"/>
                <w:szCs w:val="16"/>
                <w:color w:val="auto"/>
              </w:rPr>
              <w:t>Implied DCF Available to Common Unitholders</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1,245</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1,185</w:t>
            </w: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21"/>
        </w:trPr>
        <w:tc>
          <w:tcPr>
            <w:tcW w:w="6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r>
      <w:tr>
        <w:trPr>
          <w:trHeight w:val="220"/>
        </w:trPr>
        <w:tc>
          <w:tcPr>
            <w:tcW w:w="6260" w:type="dxa"/>
            <w:vAlign w:val="bottom"/>
          </w:tcPr>
          <w:p>
            <w:pPr>
              <w:ind w:left="20"/>
              <w:spacing w:after="0"/>
              <w:rPr>
                <w:sz w:val="20"/>
                <w:szCs w:val="20"/>
                <w:color w:val="auto"/>
              </w:rPr>
            </w:pPr>
            <w:r>
              <w:rPr>
                <w:rFonts w:ascii="Arial" w:cs="Arial" w:eastAsia="Arial" w:hAnsi="Arial"/>
                <w:sz w:val="16"/>
                <w:szCs w:val="16"/>
                <w:color w:val="auto"/>
              </w:rPr>
              <w:t>Weighted Average Common Units Outstanding</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699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702</w:t>
            </w:r>
          </w:p>
        </w:tc>
      </w:tr>
      <w:tr>
        <w:trPr>
          <w:trHeight w:val="220"/>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Units and Common Unit Equivalents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773</w:t>
            </w:r>
          </w:p>
        </w:tc>
      </w:tr>
      <w:tr>
        <w:trPr>
          <w:trHeight w:val="207"/>
        </w:trPr>
        <w:tc>
          <w:tcPr>
            <w:tcW w:w="6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0"/>
        </w:trPr>
        <w:tc>
          <w:tcPr>
            <w:tcW w:w="6260" w:type="dxa"/>
            <w:vAlign w:val="bottom"/>
            <w:shd w:val="clear" w:color="auto" w:fill="CCEEFF"/>
          </w:tcPr>
          <w:p>
            <w:pPr>
              <w:ind w:left="20"/>
              <w:spacing w:after="0" w:line="220" w:lineRule="exact"/>
              <w:rPr>
                <w:sz w:val="20"/>
                <w:szCs w:val="20"/>
                <w:color w:val="auto"/>
              </w:rPr>
            </w:pPr>
            <w:r>
              <w:rPr>
                <w:rFonts w:ascii="Arial" w:cs="Arial" w:eastAsia="Arial" w:hAnsi="Arial"/>
                <w:sz w:val="16"/>
                <w:szCs w:val="16"/>
                <w:color w:val="auto"/>
              </w:rPr>
              <w:t xml:space="preserve">Implied DCF per Common Unit </w:t>
            </w:r>
            <w:r>
              <w:rPr>
                <w:rFonts w:ascii="Arial" w:cs="Arial" w:eastAsia="Arial" w:hAnsi="Arial"/>
                <w:sz w:val="21"/>
                <w:szCs w:val="21"/>
                <w:color w:val="auto"/>
                <w:vertAlign w:val="superscript"/>
              </w:rPr>
              <w:t>(7)</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w:t>
            </w:r>
          </w:p>
        </w:tc>
      </w:tr>
      <w:tr>
        <w:trPr>
          <w:trHeight w:val="220"/>
        </w:trPr>
        <w:tc>
          <w:tcPr>
            <w:tcW w:w="6260" w:type="dxa"/>
            <w:vAlign w:val="bottom"/>
          </w:tcPr>
          <w:p>
            <w:pPr>
              <w:ind w:left="20"/>
              <w:spacing w:after="0" w:line="220" w:lineRule="exact"/>
              <w:rPr>
                <w:sz w:val="20"/>
                <w:szCs w:val="20"/>
                <w:color w:val="auto"/>
              </w:rPr>
            </w:pPr>
            <w:r>
              <w:rPr>
                <w:rFonts w:ascii="Arial" w:cs="Arial" w:eastAsia="Arial" w:hAnsi="Arial"/>
                <w:sz w:val="16"/>
                <w:szCs w:val="16"/>
                <w:color w:val="auto"/>
              </w:rPr>
              <w:t xml:space="preserve">Implied DCF per Common Unit and Common Unit Equivalent </w:t>
            </w:r>
            <w:r>
              <w:rPr>
                <w:rFonts w:ascii="Arial" w:cs="Arial" w:eastAsia="Arial" w:hAnsi="Arial"/>
                <w:sz w:val="21"/>
                <w:szCs w:val="21"/>
                <w:color w:val="auto"/>
                <w:vertAlign w:val="superscript"/>
              </w:rPr>
              <w:t>(8)</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0.62</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0.55</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1.78</w:t>
            </w:r>
          </w:p>
        </w:tc>
        <w:tc>
          <w:tcPr>
            <w:tcW w:w="100" w:type="dxa"/>
            <w:vAlign w:val="bottom"/>
          </w:tcPr>
          <w:p>
            <w:pPr>
              <w:spacing w:after="0"/>
              <w:rPr>
                <w:sz w:val="19"/>
                <w:szCs w:val="19"/>
                <w:color w:val="auto"/>
              </w:rPr>
            </w:pP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1.68</w:t>
            </w:r>
          </w:p>
        </w:tc>
      </w:tr>
      <w:tr>
        <w:trPr>
          <w:trHeight w:val="155"/>
        </w:trPr>
        <w:tc>
          <w:tcPr>
            <w:tcW w:w="6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220"/>
        </w:trPr>
        <w:tc>
          <w:tcPr>
            <w:tcW w:w="6260" w:type="dxa"/>
            <w:vAlign w:val="bottom"/>
          </w:tcPr>
          <w:p>
            <w:pPr>
              <w:ind w:left="20"/>
              <w:spacing w:after="0"/>
              <w:rPr>
                <w:sz w:val="20"/>
                <w:szCs w:val="20"/>
                <w:color w:val="auto"/>
              </w:rPr>
            </w:pPr>
            <w:r>
              <w:rPr>
                <w:rFonts w:ascii="Arial" w:cs="Arial" w:eastAsia="Arial" w:hAnsi="Arial"/>
                <w:sz w:val="16"/>
                <w:szCs w:val="16"/>
                <w:color w:val="auto"/>
              </w:rPr>
              <w:t>Cash Distribution Paid per Common Unit</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0.2675</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0.2175</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0.8025</w:t>
            </w:r>
          </w:p>
        </w:tc>
        <w:tc>
          <w:tcPr>
            <w:tcW w:w="100" w:type="dxa"/>
            <w:vAlign w:val="bottom"/>
          </w:tcPr>
          <w:p>
            <w:pPr>
              <w:spacing w:after="0"/>
              <w:rPr>
                <w:sz w:val="19"/>
                <w:szCs w:val="19"/>
                <w:color w:val="auto"/>
              </w:rPr>
            </w:pP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0.6150</w:t>
            </w:r>
          </w:p>
        </w:tc>
      </w:tr>
      <w:tr>
        <w:trPr>
          <w:trHeight w:val="220"/>
        </w:trPr>
        <w:tc>
          <w:tcPr>
            <w:tcW w:w="6260" w:type="dxa"/>
            <w:vAlign w:val="bottom"/>
            <w:shd w:val="clear" w:color="auto" w:fill="CCEEFF"/>
          </w:tcPr>
          <w:p>
            <w:pPr>
              <w:ind w:left="20"/>
              <w:spacing w:after="0" w:line="220" w:lineRule="exact"/>
              <w:rPr>
                <w:sz w:val="20"/>
                <w:szCs w:val="20"/>
                <w:color w:val="auto"/>
              </w:rPr>
            </w:pPr>
            <w:r>
              <w:rPr>
                <w:rFonts w:ascii="Arial" w:cs="Arial" w:eastAsia="Arial" w:hAnsi="Arial"/>
                <w:sz w:val="16"/>
                <w:szCs w:val="16"/>
                <w:color w:val="auto"/>
              </w:rPr>
              <w:t xml:space="preserve">Common Unit Cash Distributions </w:t>
            </w:r>
            <w:r>
              <w:rPr>
                <w:rFonts w:ascii="Arial" w:cs="Arial" w:eastAsia="Arial" w:hAnsi="Arial"/>
                <w:sz w:val="21"/>
                <w:szCs w:val="21"/>
                <w:color w:val="auto"/>
                <w:vertAlign w:val="superscript"/>
              </w:rPr>
              <w:t>(6)</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w:t>
            </w:r>
          </w:p>
        </w:tc>
      </w:tr>
      <w:tr>
        <w:trPr>
          <w:trHeight w:val="220"/>
        </w:trPr>
        <w:tc>
          <w:tcPr>
            <w:tcW w:w="6260" w:type="dxa"/>
            <w:vAlign w:val="bottom"/>
          </w:tcPr>
          <w:p>
            <w:pPr>
              <w:ind w:left="20"/>
              <w:spacing w:after="0"/>
              <w:rPr>
                <w:sz w:val="20"/>
                <w:szCs w:val="20"/>
                <w:color w:val="auto"/>
              </w:rPr>
            </w:pPr>
            <w:r>
              <w:rPr>
                <w:rFonts w:ascii="Arial" w:cs="Arial" w:eastAsia="Arial" w:hAnsi="Arial"/>
                <w:sz w:val="16"/>
                <w:szCs w:val="16"/>
                <w:color w:val="auto"/>
              </w:rPr>
              <w:t>Common Unit Distribution Coverage Ratio</w:t>
            </w:r>
          </w:p>
        </w:tc>
        <w:tc>
          <w:tcPr>
            <w:tcW w:w="260" w:type="dxa"/>
            <w:vAlign w:val="bottom"/>
          </w:tcPr>
          <w:p>
            <w:pPr>
              <w:spacing w:after="0"/>
              <w:rPr>
                <w:sz w:val="19"/>
                <w:szCs w:val="19"/>
                <w:color w:val="auto"/>
              </w:rPr>
            </w:pPr>
          </w:p>
        </w:tc>
        <w:tc>
          <w:tcPr>
            <w:tcW w:w="1000" w:type="dxa"/>
            <w:vAlign w:val="bottom"/>
            <w:gridSpan w:val="2"/>
          </w:tcPr>
          <w:p>
            <w:pPr>
              <w:ind w:left="480"/>
              <w:spacing w:after="0"/>
              <w:rPr>
                <w:sz w:val="20"/>
                <w:szCs w:val="20"/>
                <w:color w:val="auto"/>
              </w:rPr>
            </w:pPr>
            <w:r>
              <w:rPr>
                <w:rFonts w:ascii="Arial" w:cs="Arial" w:eastAsia="Arial" w:hAnsi="Arial"/>
                <w:sz w:val="17"/>
                <w:szCs w:val="17"/>
                <w:color w:val="auto"/>
              </w:rPr>
              <w:t>2.30x</w:t>
            </w:r>
          </w:p>
        </w:tc>
        <w:tc>
          <w:tcPr>
            <w:tcW w:w="400" w:type="dxa"/>
            <w:vAlign w:val="bottom"/>
          </w:tcPr>
          <w:p>
            <w:pPr>
              <w:spacing w:after="0"/>
              <w:rPr>
                <w:sz w:val="19"/>
                <w:szCs w:val="19"/>
                <w:color w:val="auto"/>
              </w:rPr>
            </w:pPr>
          </w:p>
        </w:tc>
        <w:tc>
          <w:tcPr>
            <w:tcW w:w="860" w:type="dxa"/>
            <w:vAlign w:val="bottom"/>
            <w:gridSpan w:val="2"/>
          </w:tcPr>
          <w:p>
            <w:pPr>
              <w:ind w:left="360"/>
              <w:spacing w:after="0"/>
              <w:rPr>
                <w:sz w:val="20"/>
                <w:szCs w:val="20"/>
                <w:color w:val="auto"/>
              </w:rPr>
            </w:pPr>
            <w:r>
              <w:rPr>
                <w:rFonts w:ascii="Arial" w:cs="Arial" w:eastAsia="Arial" w:hAnsi="Arial"/>
                <w:sz w:val="17"/>
                <w:szCs w:val="17"/>
                <w:color w:val="auto"/>
              </w:rPr>
              <w:t>2.53x</w:t>
            </w:r>
          </w:p>
        </w:tc>
        <w:tc>
          <w:tcPr>
            <w:tcW w:w="280" w:type="dxa"/>
            <w:vAlign w:val="bottom"/>
          </w:tcPr>
          <w:p>
            <w:pPr>
              <w:spacing w:after="0"/>
              <w:rPr>
                <w:sz w:val="19"/>
                <w:szCs w:val="19"/>
                <w:color w:val="auto"/>
              </w:rPr>
            </w:pPr>
          </w:p>
        </w:tc>
        <w:tc>
          <w:tcPr>
            <w:tcW w:w="980" w:type="dxa"/>
            <w:vAlign w:val="bottom"/>
            <w:gridSpan w:val="2"/>
          </w:tcPr>
          <w:p>
            <w:pPr>
              <w:ind w:left="480"/>
              <w:spacing w:after="0"/>
              <w:rPr>
                <w:sz w:val="20"/>
                <w:szCs w:val="20"/>
                <w:color w:val="auto"/>
              </w:rPr>
            </w:pPr>
            <w:r>
              <w:rPr>
                <w:rFonts w:ascii="Arial" w:cs="Arial" w:eastAsia="Arial" w:hAnsi="Arial"/>
                <w:sz w:val="17"/>
                <w:szCs w:val="17"/>
                <w:color w:val="auto"/>
              </w:rPr>
              <w:t>2.22x</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2.74x</w:t>
            </w:r>
          </w:p>
        </w:tc>
      </w:tr>
      <w:tr>
        <w:trPr>
          <w:trHeight w:val="155"/>
        </w:trPr>
        <w:tc>
          <w:tcPr>
            <w:tcW w:w="6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220"/>
        </w:trPr>
        <w:tc>
          <w:tcPr>
            <w:tcW w:w="6260" w:type="dxa"/>
            <w:vAlign w:val="bottom"/>
          </w:tcPr>
          <w:p>
            <w:pPr>
              <w:ind w:left="20"/>
              <w:spacing w:after="0"/>
              <w:rPr>
                <w:sz w:val="20"/>
                <w:szCs w:val="20"/>
                <w:color w:val="auto"/>
              </w:rPr>
            </w:pPr>
            <w:r>
              <w:rPr>
                <w:rFonts w:ascii="Arial" w:cs="Arial" w:eastAsia="Arial" w:hAnsi="Arial"/>
                <w:sz w:val="16"/>
                <w:szCs w:val="16"/>
                <w:color w:val="auto"/>
              </w:rPr>
              <w:t>Implied DCF Excess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244</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233</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685</w:t>
            </w:r>
          </w:p>
        </w:tc>
        <w:tc>
          <w:tcPr>
            <w:tcW w:w="100" w:type="dxa"/>
            <w:vAlign w:val="bottom"/>
          </w:tcPr>
          <w:p>
            <w:pPr>
              <w:spacing w:after="0"/>
              <w:rPr>
                <w:sz w:val="19"/>
                <w:szCs w:val="19"/>
                <w:color w:val="auto"/>
              </w:rPr>
            </w:pP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753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24612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199" w:lineRule="exact"/>
        <w:rPr>
          <w:sz w:val="20"/>
          <w:szCs w:val="20"/>
          <w:color w:val="auto"/>
        </w:rPr>
      </w:pPr>
    </w:p>
    <w:p>
      <w:pPr>
        <w:ind w:left="300" w:hanging="297"/>
        <w:spacing w:after="0"/>
        <w:tabs>
          <w:tab w:leader="none" w:pos="300" w:val="left"/>
        </w:tabs>
        <w:numPr>
          <w:ilvl w:val="0"/>
          <w:numId w:val="12"/>
        </w:numPr>
        <w:rPr>
          <w:rFonts w:ascii="Arial" w:cs="Arial" w:eastAsia="Arial" w:hAnsi="Arial"/>
          <w:sz w:val="17"/>
          <w:szCs w:val="17"/>
          <w:color w:val="auto"/>
          <w:vertAlign w:val="superscript"/>
        </w:rPr>
      </w:pPr>
      <w:r>
        <w:rPr>
          <w:rFonts w:ascii="Arial" w:cs="Arial" w:eastAsia="Arial" w:hAnsi="Arial"/>
          <w:sz w:val="13"/>
          <w:szCs w:val="13"/>
          <w:color w:val="auto"/>
        </w:rPr>
        <w:t>Adjustment to exclude our proportionate share of depreciation and amortization expense (including write-downs related to cancelled projects and impairments) of unconsolidated entities.</w:t>
      </w:r>
    </w:p>
    <w:p>
      <w:pPr>
        <w:spacing w:after="0" w:line="31" w:lineRule="exact"/>
        <w:rPr>
          <w:rFonts w:ascii="Arial" w:cs="Arial" w:eastAsia="Arial" w:hAnsi="Arial"/>
          <w:sz w:val="17"/>
          <w:szCs w:val="17"/>
          <w:color w:val="auto"/>
          <w:vertAlign w:val="superscript"/>
        </w:rPr>
      </w:pPr>
    </w:p>
    <w:p>
      <w:pPr>
        <w:ind w:left="300" w:hanging="297"/>
        <w:spacing w:after="0"/>
        <w:tabs>
          <w:tab w:leader="none" w:pos="300" w:val="left"/>
        </w:tabs>
        <w:numPr>
          <w:ilvl w:val="0"/>
          <w:numId w:val="12"/>
        </w:numPr>
        <w:rPr>
          <w:rFonts w:ascii="Arial" w:cs="Arial" w:eastAsia="Arial" w:hAnsi="Arial"/>
          <w:sz w:val="9"/>
          <w:szCs w:val="9"/>
          <w:color w:val="auto"/>
        </w:rPr>
      </w:pPr>
      <w:r>
        <w:rPr>
          <w:rFonts w:ascii="Arial" w:cs="Arial" w:eastAsia="Arial" w:hAnsi="Arial"/>
          <w:sz w:val="14"/>
          <w:szCs w:val="14"/>
          <w:color w:val="auto"/>
        </w:rPr>
        <w:t>See the “Selected Items Impacting Comparability” table for additional information.</w:t>
      </w:r>
    </w:p>
    <w:p>
      <w:pPr>
        <w:spacing w:after="0" w:line="1" w:lineRule="exact"/>
        <w:rPr>
          <w:rFonts w:ascii="Arial" w:cs="Arial" w:eastAsia="Arial" w:hAnsi="Arial"/>
          <w:sz w:val="9"/>
          <w:szCs w:val="9"/>
          <w:color w:val="auto"/>
        </w:rPr>
      </w:pPr>
    </w:p>
    <w:p>
      <w:pPr>
        <w:ind w:left="300" w:hanging="297"/>
        <w:spacing w:after="0"/>
        <w:tabs>
          <w:tab w:leader="none" w:pos="30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Excludes certain non-cash items impacting interest expense such as amortization of debt issuance costs and terminated interest rate swaps.</w:t>
      </w:r>
    </w:p>
    <w:p>
      <w:pPr>
        <w:spacing w:after="0" w:line="30" w:lineRule="exact"/>
        <w:rPr>
          <w:rFonts w:ascii="Arial" w:cs="Arial" w:eastAsia="Arial" w:hAnsi="Arial"/>
          <w:sz w:val="18"/>
          <w:szCs w:val="18"/>
          <w:color w:val="auto"/>
          <w:vertAlign w:val="superscript"/>
        </w:rPr>
      </w:pPr>
    </w:p>
    <w:p>
      <w:pPr>
        <w:ind w:left="300" w:hanging="297"/>
        <w:spacing w:after="0"/>
        <w:tabs>
          <w:tab w:leader="none" w:pos="300" w:val="left"/>
        </w:tabs>
        <w:numPr>
          <w:ilvl w:val="0"/>
          <w:numId w:val="12"/>
        </w:numPr>
        <w:rPr>
          <w:rFonts w:ascii="Arial" w:cs="Arial" w:eastAsia="Arial" w:hAnsi="Arial"/>
          <w:sz w:val="9"/>
          <w:szCs w:val="9"/>
          <w:color w:val="auto"/>
        </w:rPr>
      </w:pPr>
      <w:r>
        <w:rPr>
          <w:rFonts w:ascii="Arial" w:cs="Arial" w:eastAsia="Arial" w:hAnsi="Arial"/>
          <w:sz w:val="14"/>
          <w:szCs w:val="14"/>
          <w:color w:val="auto"/>
        </w:rPr>
        <w:t>Investment capital expenditures attributable to noncontrolling interests that reduce Implied DCF available to PAA common unitholders.</w:t>
      </w:r>
    </w:p>
    <w:p>
      <w:pPr>
        <w:spacing w:after="0" w:line="33" w:lineRule="exact"/>
        <w:rPr>
          <w:rFonts w:ascii="Arial" w:cs="Arial" w:eastAsia="Arial" w:hAnsi="Arial"/>
          <w:sz w:val="9"/>
          <w:szCs w:val="9"/>
          <w:color w:val="auto"/>
        </w:rPr>
      </w:pPr>
    </w:p>
    <w:p>
      <w:pPr>
        <w:ind w:left="320" w:right="40" w:hanging="317"/>
        <w:spacing w:after="0" w:line="223" w:lineRule="auto"/>
        <w:tabs>
          <w:tab w:leader="none" w:pos="308"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Comprised of cash distributions received from unconsolidated entities less equity earnings in unconsolidated entities (adjusted for our proportionate share of depreciation and amortization, including write-downs related to cancelled projects and impairments, and selected items impacting comparability of unconsolidated entities).</w:t>
      </w:r>
    </w:p>
    <w:p>
      <w:pPr>
        <w:ind w:left="300" w:hanging="297"/>
        <w:spacing w:after="0" w:line="224" w:lineRule="auto"/>
        <w:tabs>
          <w:tab w:leader="none" w:pos="30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Cash distributions paid during the period presented.</w:t>
      </w:r>
    </w:p>
    <w:p>
      <w:pPr>
        <w:spacing w:after="0" w:line="31" w:lineRule="exact"/>
        <w:rPr>
          <w:rFonts w:ascii="Arial" w:cs="Arial" w:eastAsia="Arial" w:hAnsi="Arial"/>
          <w:sz w:val="18"/>
          <w:szCs w:val="18"/>
          <w:color w:val="auto"/>
          <w:vertAlign w:val="superscript"/>
        </w:rPr>
      </w:pPr>
    </w:p>
    <w:p>
      <w:pPr>
        <w:ind w:left="300" w:hanging="297"/>
        <w:spacing w:after="0"/>
        <w:tabs>
          <w:tab w:leader="none" w:pos="300" w:val="left"/>
        </w:tabs>
        <w:numPr>
          <w:ilvl w:val="0"/>
          <w:numId w:val="12"/>
        </w:numPr>
        <w:rPr>
          <w:rFonts w:ascii="Arial" w:cs="Arial" w:eastAsia="Arial" w:hAnsi="Arial"/>
          <w:sz w:val="9"/>
          <w:szCs w:val="9"/>
          <w:color w:val="auto"/>
        </w:rPr>
      </w:pPr>
      <w:r>
        <w:rPr>
          <w:rFonts w:ascii="Arial" w:cs="Arial" w:eastAsia="Arial" w:hAnsi="Arial"/>
          <w:sz w:val="14"/>
          <w:szCs w:val="14"/>
          <w:color w:val="auto"/>
        </w:rPr>
        <w:t>Implied DCF Available to Common Unitholders for the period divided by the weighted average common units outstanding for the period.</w:t>
      </w:r>
    </w:p>
    <w:p>
      <w:pPr>
        <w:spacing w:after="0" w:line="33" w:lineRule="exact"/>
        <w:rPr>
          <w:rFonts w:ascii="Arial" w:cs="Arial" w:eastAsia="Arial" w:hAnsi="Arial"/>
          <w:sz w:val="9"/>
          <w:szCs w:val="9"/>
          <w:color w:val="auto"/>
        </w:rPr>
      </w:pPr>
    </w:p>
    <w:p>
      <w:pPr>
        <w:ind w:left="320" w:right="80" w:hanging="317"/>
        <w:spacing w:after="0" w:line="231" w:lineRule="auto"/>
        <w:tabs>
          <w:tab w:leader="none" w:pos="308"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auto"/>
        </w:rPr>
        <w:t>Page 11</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 Per Common Unit to Implied DCF Per Common Unit and Common Unit Equivalent Reconciliation:</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00" w:type="dxa"/>
            <w:vAlign w:val="bottom"/>
            <w:gridSpan w:val="4"/>
          </w:tcPr>
          <w:p>
            <w:pPr>
              <w:jc w:val="right"/>
              <w:ind w:right="77"/>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4"/>
          </w:tcPr>
          <w:p>
            <w:pPr>
              <w:ind w:left="340"/>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87"/>
              </w:rPr>
              <w:t>September 30,</w:t>
            </w:r>
          </w:p>
        </w:tc>
        <w:tc>
          <w:tcPr>
            <w:tcW w:w="760" w:type="dxa"/>
            <w:vAlign w:val="bottom"/>
            <w:tcBorders>
              <w:bottom w:val="single" w:sz="8" w:color="auto"/>
            </w:tcBorders>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22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96"/>
              </w:rPr>
              <w:t>2022</w:t>
            </w:r>
          </w:p>
        </w:tc>
      </w:tr>
      <w:tr>
        <w:trPr>
          <w:trHeight w:val="220"/>
        </w:trPr>
        <w:tc>
          <w:tcPr>
            <w:tcW w:w="20" w:type="dxa"/>
            <w:vAlign w:val="bottom"/>
          </w:tcPr>
          <w:p>
            <w:pPr>
              <w:spacing w:after="0"/>
              <w:rPr>
                <w:sz w:val="19"/>
                <w:szCs w:val="19"/>
                <w:color w:val="auto"/>
              </w:rPr>
            </w:pPr>
          </w:p>
        </w:tc>
        <w:tc>
          <w:tcPr>
            <w:tcW w:w="6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Basic net income per common unit</w:t>
            </w:r>
          </w:p>
        </w:tc>
        <w:tc>
          <w:tcPr>
            <w:tcW w:w="760" w:type="dxa"/>
            <w:vAlign w:val="bottom"/>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0.20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7"/>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0.48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1.04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0.89</w:t>
            </w:r>
          </w:p>
        </w:tc>
      </w:tr>
      <w:tr>
        <w:trPr>
          <w:trHeight w:val="220"/>
        </w:trPr>
        <w:tc>
          <w:tcPr>
            <w:tcW w:w="20" w:type="dxa"/>
            <w:vAlign w:val="bottom"/>
          </w:tcPr>
          <w:p>
            <w:pPr>
              <w:spacing w:after="0"/>
              <w:rPr>
                <w:sz w:val="19"/>
                <w:szCs w:val="19"/>
                <w:color w:val="auto"/>
              </w:rPr>
            </w:pPr>
          </w:p>
        </w:tc>
        <w:tc>
          <w:tcPr>
            <w:tcW w:w="6140" w:type="dxa"/>
            <w:vAlign w:val="bottom"/>
            <w:tcBorders>
              <w:bottom w:val="single" w:sz="8" w:color="CCEEFF"/>
            </w:tcBorders>
            <w:gridSpan w:val="2"/>
          </w:tcPr>
          <w:p>
            <w:pPr>
              <w:ind w:left="20"/>
              <w:spacing w:after="0" w:line="220" w:lineRule="exact"/>
              <w:rPr>
                <w:sz w:val="20"/>
                <w:szCs w:val="20"/>
                <w:color w:val="auto"/>
              </w:rPr>
            </w:pPr>
            <w:r>
              <w:rPr>
                <w:rFonts w:ascii="Arial" w:cs="Arial" w:eastAsia="Arial" w:hAnsi="Arial"/>
                <w:sz w:val="17"/>
                <w:szCs w:val="17"/>
                <w:color w:val="auto"/>
              </w:rPr>
              <w:t xml:space="preserve">Reconciling items per common unit </w:t>
            </w:r>
            <w:r>
              <w:rPr>
                <w:rFonts w:ascii="Arial" w:cs="Arial" w:eastAsia="Arial" w:hAnsi="Arial"/>
                <w:sz w:val="22"/>
                <w:szCs w:val="22"/>
                <w:color w:val="auto"/>
                <w:vertAlign w:val="superscript"/>
              </w:rPr>
              <w:t>(1) (2)</w:t>
            </w: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0.42</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0.07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520"/>
              <w:spacing w:after="0"/>
              <w:rPr>
                <w:sz w:val="20"/>
                <w:szCs w:val="20"/>
                <w:color w:val="auto"/>
              </w:rPr>
            </w:pPr>
            <w:r>
              <w:rPr>
                <w:rFonts w:ascii="Arial" w:cs="Arial" w:eastAsia="Arial" w:hAnsi="Arial"/>
                <w:sz w:val="17"/>
                <w:szCs w:val="17"/>
                <w:color w:val="auto"/>
              </w:rPr>
              <w:t>0.74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0.80</w:t>
            </w:r>
          </w:p>
        </w:tc>
      </w:tr>
      <w:tr>
        <w:trPr>
          <w:trHeight w:val="238"/>
        </w:trPr>
        <w:tc>
          <w:tcPr>
            <w:tcW w:w="20" w:type="dxa"/>
            <w:vAlign w:val="bottom"/>
          </w:tcPr>
          <w:p>
            <w:pPr>
              <w:spacing w:after="0"/>
              <w:rPr>
                <w:sz w:val="20"/>
                <w:szCs w:val="20"/>
                <w:color w:val="auto"/>
              </w:rPr>
            </w:pPr>
          </w:p>
        </w:tc>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Implied DCF per common unit</w:t>
            </w:r>
          </w:p>
        </w:tc>
        <w:tc>
          <w:tcPr>
            <w:tcW w:w="760" w:type="dxa"/>
            <w:vAlign w:val="bottom"/>
            <w:tcBorders>
              <w:bottom w:val="single" w:sz="8" w:color="auto"/>
            </w:tcBorders>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0.62</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7"/>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0.55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7"/>
                <w:szCs w:val="17"/>
                <w:color w:val="auto"/>
              </w:rPr>
              <w:t>1.78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6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Basic net income per common unit</w:t>
            </w:r>
          </w:p>
        </w:tc>
        <w:tc>
          <w:tcPr>
            <w:tcW w:w="760" w:type="dxa"/>
            <w:vAlign w:val="bottom"/>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0.20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7"/>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0.48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1.04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0.89</w:t>
            </w:r>
          </w:p>
        </w:tc>
      </w:tr>
      <w:tr>
        <w:trPr>
          <w:trHeight w:val="220"/>
        </w:trPr>
        <w:tc>
          <w:tcPr>
            <w:tcW w:w="20" w:type="dxa"/>
            <w:vAlign w:val="bottom"/>
          </w:tcPr>
          <w:p>
            <w:pPr>
              <w:spacing w:after="0"/>
              <w:rPr>
                <w:sz w:val="19"/>
                <w:szCs w:val="19"/>
                <w:color w:val="auto"/>
              </w:rPr>
            </w:pPr>
          </w:p>
        </w:tc>
        <w:tc>
          <w:tcPr>
            <w:tcW w:w="6140" w:type="dxa"/>
            <w:vAlign w:val="bottom"/>
            <w:tcBorders>
              <w:bottom w:val="single" w:sz="8" w:color="CCEEFF"/>
            </w:tcBorders>
            <w:gridSpan w:val="2"/>
          </w:tcPr>
          <w:p>
            <w:pPr>
              <w:ind w:left="20"/>
              <w:spacing w:after="0" w:line="220" w:lineRule="exact"/>
              <w:rPr>
                <w:sz w:val="20"/>
                <w:szCs w:val="20"/>
                <w:color w:val="auto"/>
              </w:rPr>
            </w:pPr>
            <w:r>
              <w:rPr>
                <w:rFonts w:ascii="Arial" w:cs="Arial" w:eastAsia="Arial" w:hAnsi="Arial"/>
                <w:sz w:val="17"/>
                <w:szCs w:val="17"/>
                <w:color w:val="auto"/>
              </w:rPr>
              <w:t xml:space="preserve">Reconciling items per common unit and common unit equivalent </w:t>
            </w:r>
            <w:r>
              <w:rPr>
                <w:rFonts w:ascii="Arial" w:cs="Arial" w:eastAsia="Arial" w:hAnsi="Arial"/>
                <w:sz w:val="22"/>
                <w:szCs w:val="22"/>
                <w:color w:val="auto"/>
                <w:vertAlign w:val="superscript"/>
              </w:rPr>
              <w:t>(1) (3)</w:t>
            </w: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0.42</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0.07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520"/>
              <w:spacing w:after="0"/>
              <w:rPr>
                <w:sz w:val="20"/>
                <w:szCs w:val="20"/>
                <w:color w:val="auto"/>
              </w:rPr>
            </w:pPr>
            <w:r>
              <w:rPr>
                <w:rFonts w:ascii="Arial" w:cs="Arial" w:eastAsia="Arial" w:hAnsi="Arial"/>
                <w:sz w:val="17"/>
                <w:szCs w:val="17"/>
                <w:color w:val="auto"/>
              </w:rPr>
              <w:t>0.74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0.79</w:t>
            </w:r>
          </w:p>
        </w:tc>
      </w:tr>
      <w:tr>
        <w:trPr>
          <w:trHeight w:val="238"/>
        </w:trPr>
        <w:tc>
          <w:tcPr>
            <w:tcW w:w="20" w:type="dxa"/>
            <w:vAlign w:val="bottom"/>
          </w:tcPr>
          <w:p>
            <w:pPr>
              <w:spacing w:after="0"/>
              <w:rPr>
                <w:sz w:val="20"/>
                <w:szCs w:val="20"/>
                <w:color w:val="auto"/>
              </w:rPr>
            </w:pPr>
          </w:p>
        </w:tc>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Implied DCF per common unit and common unit equivalent</w:t>
            </w:r>
          </w:p>
        </w:tc>
        <w:tc>
          <w:tcPr>
            <w:tcW w:w="760" w:type="dxa"/>
            <w:vAlign w:val="bottom"/>
            <w:tcBorders>
              <w:bottom w:val="single" w:sz="8" w:color="auto"/>
            </w:tcBorders>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0.62</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7"/>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0.55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7"/>
                <w:szCs w:val="17"/>
                <w:color w:val="auto"/>
              </w:rPr>
              <w:t>1.78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78"/>
        </w:trPr>
        <w:tc>
          <w:tcPr>
            <w:tcW w:w="2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r>
    </w:tbl>
    <w:p>
      <w:pPr>
        <w:spacing w:after="0" w:line="130" w:lineRule="exact"/>
        <w:rPr>
          <w:sz w:val="20"/>
          <w:szCs w:val="20"/>
          <w:color w:val="auto"/>
        </w:rPr>
      </w:pPr>
    </w:p>
    <w:p>
      <w:pPr>
        <w:ind w:left="320" w:right="40" w:hanging="317"/>
        <w:spacing w:after="0" w:line="228" w:lineRule="auto"/>
        <w:tabs>
          <w:tab w:leader="none" w:pos="308" w:val="left"/>
        </w:tabs>
        <w:numPr>
          <w:ilvl w:val="0"/>
          <w:numId w:val="13"/>
        </w:numPr>
        <w:rPr>
          <w:rFonts w:ascii="Arial" w:cs="Arial" w:eastAsia="Arial" w:hAnsi="Arial"/>
          <w:sz w:val="22"/>
          <w:szCs w:val="22"/>
          <w:color w:val="auto"/>
          <w:vertAlign w:val="superscript"/>
        </w:rPr>
      </w:pPr>
      <w:r>
        <w:rPr>
          <w:rFonts w:ascii="Arial" w:cs="Arial" w:eastAsia="Arial" w:hAnsi="Arial"/>
          <w:sz w:val="17"/>
          <w:szCs w:val="17"/>
          <w:color w:val="auto"/>
        </w:rPr>
        <w:t>Represents adjustments to Net Income to calculate Implied DCF Available to Common Unitholders. See the “Net Income to Adjusted EBITDA attributable to PAA and Implied DCF Reconciliation” table for additional information.</w:t>
      </w:r>
    </w:p>
    <w:p>
      <w:pPr>
        <w:spacing w:after="0" w:line="5"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13"/>
        </w:numPr>
        <w:rPr>
          <w:rFonts w:ascii="Arial" w:cs="Arial" w:eastAsia="Arial" w:hAnsi="Arial"/>
          <w:sz w:val="22"/>
          <w:szCs w:val="22"/>
          <w:color w:val="auto"/>
          <w:vertAlign w:val="superscript"/>
        </w:rPr>
      </w:pPr>
      <w:r>
        <w:rPr>
          <w:rFonts w:ascii="Arial" w:cs="Arial" w:eastAsia="Arial" w:hAnsi="Arial"/>
          <w:sz w:val="17"/>
          <w:szCs w:val="17"/>
          <w:color w:val="auto"/>
        </w:rPr>
        <w:t>Based on weighted average common units outstanding for the period of 700 million, 698 million, 699 million and 702 million, respectively.</w:t>
      </w:r>
    </w:p>
    <w:p>
      <w:pPr>
        <w:spacing w:after="0" w:line="52" w:lineRule="exact"/>
        <w:rPr>
          <w:rFonts w:ascii="Arial" w:cs="Arial" w:eastAsia="Arial" w:hAnsi="Arial"/>
          <w:sz w:val="22"/>
          <w:szCs w:val="22"/>
          <w:color w:val="auto"/>
          <w:vertAlign w:val="superscript"/>
        </w:rPr>
      </w:pPr>
    </w:p>
    <w:p>
      <w:pPr>
        <w:ind w:left="320" w:right="120" w:hanging="317"/>
        <w:spacing w:after="0" w:line="220" w:lineRule="auto"/>
        <w:tabs>
          <w:tab w:leader="none" w:pos="308" w:val="left"/>
        </w:tabs>
        <w:numPr>
          <w:ilvl w:val="0"/>
          <w:numId w:val="13"/>
        </w:numPr>
        <w:rPr>
          <w:rFonts w:ascii="Arial" w:cs="Arial" w:eastAsia="Arial" w:hAnsi="Arial"/>
          <w:sz w:val="22"/>
          <w:szCs w:val="22"/>
          <w:color w:val="auto"/>
          <w:vertAlign w:val="superscript"/>
        </w:rPr>
      </w:pPr>
      <w:r>
        <w:rPr>
          <w:rFonts w:ascii="Arial" w:cs="Arial" w:eastAsia="Arial" w:hAnsi="Arial"/>
          <w:sz w:val="17"/>
          <w:szCs w:val="17"/>
          <w:color w:val="auto"/>
        </w:rPr>
        <w:t>Based on weighted average common units outstanding for the period, as well as weighted average Series A preferred units outstanding of 71 million for each of the periods presented.</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Free Cash Flow and Free Cash Flow after Distributions Reconciliation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20" w:type="dxa"/>
            <w:vAlign w:val="bottom"/>
            <w:gridSpan w:val="4"/>
          </w:tcPr>
          <w:p>
            <w:pPr>
              <w:jc w:val="right"/>
              <w:ind w:right="98"/>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98"/>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85"/>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96"/>
              </w:rPr>
              <w:t>2022</w:t>
            </w:r>
          </w:p>
        </w:tc>
      </w:tr>
      <w:tr>
        <w:trPr>
          <w:trHeight w:val="22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740" w:type="dxa"/>
            <w:vAlign w:val="bottom"/>
            <w:shd w:val="clear" w:color="auto" w:fill="CCEEFF"/>
          </w:tcPr>
          <w:p>
            <w:pPr>
              <w:jc w:val="right"/>
              <w:ind w:right="561"/>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8"/>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2,074</w:t>
            </w: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color w:val="auto"/>
                <w:w w:val="96"/>
              </w:rPr>
              <w:t>Adjustments to reconcile Net cash provided by operating activities to Free Cash Flow:</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0"/>
        </w:trPr>
        <w:tc>
          <w:tcPr>
            <w:tcW w:w="6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cash used in investing activities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(438)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(168)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w:t>
            </w:r>
          </w:p>
        </w:tc>
      </w:tr>
      <w:tr>
        <w:trPr>
          <w:trHeight w:val="220"/>
        </w:trPr>
        <w:tc>
          <w:tcPr>
            <w:tcW w:w="6280" w:type="dxa"/>
            <w:vAlign w:val="bottom"/>
            <w:gridSpan w:val="2"/>
          </w:tcPr>
          <w:p>
            <w:pPr>
              <w:ind w:left="120"/>
              <w:spacing w:after="0"/>
              <w:rPr>
                <w:sz w:val="20"/>
                <w:szCs w:val="20"/>
                <w:color w:val="auto"/>
              </w:rPr>
            </w:pPr>
            <w:r>
              <w:rPr>
                <w:rFonts w:ascii="Arial" w:cs="Arial" w:eastAsia="Arial" w:hAnsi="Arial"/>
                <w:sz w:val="17"/>
                <w:szCs w:val="17"/>
                <w:color w:val="auto"/>
              </w:rPr>
              <w:t>Cash contributions from noncontrolling interests</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20"/>
        </w:trPr>
        <w:tc>
          <w:tcPr>
            <w:tcW w:w="6280" w:type="dxa"/>
            <w:vAlign w:val="bottom"/>
            <w:gridSpan w:val="2"/>
            <w:shd w:val="clear" w:color="auto" w:fill="CCEEFF"/>
          </w:tcPr>
          <w:p>
            <w:pPr>
              <w:ind w:left="120"/>
              <w:spacing w:after="0" w:line="220" w:lineRule="exact"/>
              <w:rPr>
                <w:sz w:val="20"/>
                <w:szCs w:val="20"/>
                <w:color w:val="auto"/>
              </w:rPr>
            </w:pPr>
            <w:r>
              <w:rPr>
                <w:rFonts w:ascii="Arial" w:cs="Arial" w:eastAsia="Arial" w:hAnsi="Arial"/>
                <w:sz w:val="17"/>
                <w:szCs w:val="17"/>
                <w:color w:val="auto"/>
              </w:rPr>
              <w:t xml:space="preserve">Cash distributions paid to noncontrolling interests </w:t>
            </w:r>
            <w:r>
              <w:rPr>
                <w:rFonts w:ascii="Arial" w:cs="Arial" w:eastAsia="Arial" w:hAnsi="Arial"/>
                <w:sz w:val="22"/>
                <w:szCs w:val="22"/>
                <w:color w:val="auto"/>
                <w:vertAlign w:val="superscript"/>
              </w:rPr>
              <w:t>(2)</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w:t>
            </w:r>
          </w:p>
        </w:tc>
      </w:tr>
      <w:tr>
        <w:trPr>
          <w:trHeight w:val="213"/>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Free Cash Flow</w:t>
            </w:r>
          </w:p>
        </w:tc>
        <w:tc>
          <w:tcPr>
            <w:tcW w:w="740" w:type="dxa"/>
            <w:vAlign w:val="bottom"/>
          </w:tcPr>
          <w:p>
            <w:pPr>
              <w:jc w:val="right"/>
              <w:ind w:right="561"/>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95"/>
              </w:rPr>
              <w:t>(386)</w:t>
            </w:r>
          </w:p>
        </w:tc>
        <w:tc>
          <w:tcPr>
            <w:tcW w:w="100" w:type="dxa"/>
            <w:vAlign w:val="bottom"/>
          </w:tcPr>
          <w:p>
            <w:pPr>
              <w:spacing w:after="0"/>
              <w:rPr>
                <w:sz w:val="18"/>
                <w:szCs w:val="18"/>
                <w:color w:val="auto"/>
              </w:rPr>
            </w:pPr>
          </w:p>
        </w:tc>
        <w:tc>
          <w:tcPr>
            <w:tcW w:w="760" w:type="dxa"/>
            <w:vAlign w:val="bottom"/>
          </w:tcPr>
          <w:p>
            <w:pPr>
              <w:jc w:val="right"/>
              <w:ind w:right="558"/>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726</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1,088</w:t>
            </w:r>
          </w:p>
        </w:tc>
        <w:tc>
          <w:tcPr>
            <w:tcW w:w="10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1,615</w:t>
            </w:r>
          </w:p>
        </w:tc>
      </w:tr>
      <w:tr>
        <w:trPr>
          <w:trHeight w:val="220"/>
        </w:trPr>
        <w:tc>
          <w:tcPr>
            <w:tcW w:w="6280" w:type="dxa"/>
            <w:vAlign w:val="bottom"/>
            <w:gridSpan w:val="2"/>
            <w:shd w:val="clear" w:color="auto" w:fill="CCEEFF"/>
          </w:tcPr>
          <w:p>
            <w:pPr>
              <w:ind w:left="120"/>
              <w:spacing w:after="0" w:line="220" w:lineRule="exact"/>
              <w:rPr>
                <w:sz w:val="20"/>
                <w:szCs w:val="20"/>
                <w:color w:val="auto"/>
              </w:rPr>
            </w:pPr>
            <w:r>
              <w:rPr>
                <w:rFonts w:ascii="Arial" w:cs="Arial" w:eastAsia="Arial" w:hAnsi="Arial"/>
                <w:sz w:val="17"/>
                <w:szCs w:val="17"/>
                <w:color w:val="auto"/>
              </w:rPr>
              <w:t xml:space="preserve">Cash distributions </w:t>
            </w:r>
            <w:r>
              <w:rPr>
                <w:rFonts w:ascii="Arial" w:cs="Arial" w:eastAsia="Arial" w:hAnsi="Arial"/>
                <w:sz w:val="22"/>
                <w:szCs w:val="22"/>
                <w:color w:val="auto"/>
                <w:vertAlign w:val="superscript"/>
              </w:rPr>
              <w:t>(3)</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(250)</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(189)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(569)</w:t>
            </w:r>
          </w:p>
        </w:tc>
      </w:tr>
      <w:tr>
        <w:trPr>
          <w:trHeight w:val="213"/>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Free Cash Flow after Distributions</w:t>
            </w:r>
          </w:p>
        </w:tc>
        <w:tc>
          <w:tcPr>
            <w:tcW w:w="740" w:type="dxa"/>
            <w:vAlign w:val="bottom"/>
            <w:tcBorders>
              <w:bottom w:val="single" w:sz="8" w:color="auto"/>
            </w:tcBorders>
          </w:tcPr>
          <w:p>
            <w:pPr>
              <w:jc w:val="right"/>
              <w:ind w:right="561"/>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(636)</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ind w:right="558"/>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1,046</w:t>
            </w:r>
          </w:p>
        </w:tc>
      </w:tr>
      <w:tr>
        <w:trPr>
          <w:trHeight w:val="20"/>
        </w:trPr>
        <w:tc>
          <w:tcPr>
            <w:tcW w:w="3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1"/>
        </w:trPr>
        <w:tc>
          <w:tcPr>
            <w:tcW w:w="3880" w:type="dxa"/>
            <w:vAlign w:val="bottom"/>
            <w:tcBorders>
              <w:bottom w:val="single" w:sz="8" w:color="auto"/>
            </w:tcBorders>
          </w:tcPr>
          <w:p>
            <w:pPr>
              <w:spacing w:after="0"/>
              <w:rPr>
                <w:sz w:val="18"/>
                <w:szCs w:val="18"/>
                <w:color w:val="auto"/>
              </w:rPr>
            </w:pPr>
          </w:p>
        </w:tc>
        <w:tc>
          <w:tcPr>
            <w:tcW w:w="2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r>
    </w:tbl>
    <w:p>
      <w:pPr>
        <w:spacing w:after="0" w:line="117" w:lineRule="exact"/>
        <w:rPr>
          <w:sz w:val="20"/>
          <w:szCs w:val="20"/>
          <w:color w:val="auto"/>
        </w:rPr>
      </w:pPr>
    </w:p>
    <w:p>
      <w:pPr>
        <w:ind w:left="320" w:right="320" w:hanging="317"/>
        <w:spacing w:after="0" w:line="228" w:lineRule="auto"/>
        <w:tabs>
          <w:tab w:leader="none" w:pos="308"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Management uses the Non-GAAP financial liquidity measures Free Cash Flow and Free Cash Flow after Distributions to assess the amount of cash that is available for distributions, debt repayments, common equity repurchases and other general partnership purposes.</w:t>
      </w:r>
    </w:p>
    <w:p>
      <w:pPr>
        <w:spacing w:after="0" w:line="5"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Cash distributions paid during the period presented.</w:t>
      </w:r>
    </w:p>
    <w:p>
      <w:pPr>
        <w:spacing w:after="0" w:line="52" w:lineRule="exact"/>
        <w:rPr>
          <w:rFonts w:ascii="Arial" w:cs="Arial" w:eastAsia="Arial" w:hAnsi="Arial"/>
          <w:sz w:val="22"/>
          <w:szCs w:val="22"/>
          <w:color w:val="auto"/>
          <w:vertAlign w:val="superscript"/>
        </w:rPr>
      </w:pPr>
    </w:p>
    <w:p>
      <w:pPr>
        <w:ind w:left="300" w:hanging="297"/>
        <w:spacing w:after="0" w:line="194" w:lineRule="auto"/>
        <w:tabs>
          <w:tab w:leader="none" w:pos="300"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Cash distributions paid to preferred and common unitholders during the period.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auto"/>
        </w:rPr>
        <w:t>Page 12</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SELECTED ITEMS IMPACTING COMPARABILITY</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40" w:type="dxa"/>
            <w:vAlign w:val="bottom"/>
            <w:gridSpan w:val="4"/>
          </w:tcPr>
          <w:p>
            <w:pPr>
              <w:jc w:val="right"/>
              <w:ind w:right="145"/>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4"/>
          </w:tcPr>
          <w:p>
            <w:pPr>
              <w:jc w:val="right"/>
              <w:ind w:right="558"/>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45"/>
              <w:spacing w:after="0"/>
              <w:rPr>
                <w:sz w:val="20"/>
                <w:szCs w:val="20"/>
                <w:color w:val="auto"/>
              </w:rPr>
            </w:pPr>
            <w:r>
              <w:rPr>
                <w:rFonts w:ascii="Arial" w:cs="Arial" w:eastAsia="Arial" w:hAnsi="Arial"/>
                <w:sz w:val="14"/>
                <w:szCs w:val="14"/>
                <w:b w:val="1"/>
                <w:bCs w:val="1"/>
                <w:color w:val="auto"/>
                <w:w w:val="89"/>
              </w:rPr>
              <w:t>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w w:val="96"/>
              </w:rPr>
              <w:t>2022</w:t>
            </w:r>
          </w:p>
        </w:tc>
      </w:tr>
      <w:tr>
        <w:trPr>
          <w:trHeight w:val="207"/>
        </w:trPr>
        <w:tc>
          <w:tcPr>
            <w:tcW w:w="20" w:type="dxa"/>
            <w:vAlign w:val="bottom"/>
          </w:tcPr>
          <w:p>
            <w:pPr>
              <w:spacing w:after="0"/>
              <w:rPr>
                <w:sz w:val="17"/>
                <w:szCs w:val="17"/>
                <w:color w:val="auto"/>
              </w:rPr>
            </w:pPr>
          </w:p>
        </w:tc>
        <w:tc>
          <w:tcPr>
            <w:tcW w:w="626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b w:val="1"/>
                <w:bCs w:val="1"/>
                <w:color w:val="auto"/>
              </w:rPr>
              <w:t xml:space="preserve">Selected Items Impacting Comparability: </w:t>
            </w:r>
            <w:r>
              <w:rPr>
                <w:rFonts w:ascii="Arial" w:cs="Arial" w:eastAsia="Arial" w:hAnsi="Arial"/>
                <w:sz w:val="21"/>
                <w:szCs w:val="21"/>
                <w:b w:val="1"/>
                <w:bCs w:val="1"/>
                <w:color w:val="auto"/>
                <w:vertAlign w:val="superscript"/>
              </w:rPr>
              <w:t>(1)</w:t>
            </w: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6260" w:type="dxa"/>
            <w:vAlign w:val="bottom"/>
            <w:gridSpan w:val="2"/>
          </w:tcPr>
          <w:p>
            <w:pPr>
              <w:ind w:left="20"/>
              <w:spacing w:after="0" w:line="220" w:lineRule="exact"/>
              <w:rPr>
                <w:sz w:val="20"/>
                <w:szCs w:val="20"/>
                <w:color w:val="auto"/>
              </w:rPr>
            </w:pPr>
            <w:r>
              <w:rPr>
                <w:rFonts w:ascii="Arial" w:cs="Arial" w:eastAsia="Arial" w:hAnsi="Arial"/>
                <w:sz w:val="16"/>
                <w:szCs w:val="16"/>
                <w:color w:val="auto"/>
              </w:rPr>
              <w:t xml:space="preserve">Derivative activities and inventory valuation adjustments </w:t>
            </w:r>
            <w:r>
              <w:rPr>
                <w:rFonts w:ascii="Arial" w:cs="Arial" w:eastAsia="Arial" w:hAnsi="Arial"/>
                <w:sz w:val="21"/>
                <w:szCs w:val="21"/>
                <w:color w:val="auto"/>
                <w:vertAlign w:val="superscript"/>
              </w:rPr>
              <w:t>(2)</w:t>
            </w:r>
          </w:p>
        </w:tc>
        <w:tc>
          <w:tcPr>
            <w:tcW w:w="740" w:type="dxa"/>
            <w:vAlign w:val="bottom"/>
          </w:tcPr>
          <w:p>
            <w:pPr>
              <w:jc w:val="right"/>
              <w:ind w:right="586"/>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6"/>
              </w:rPr>
              <w:t>(196)</w:t>
            </w:r>
          </w:p>
        </w:tc>
        <w:tc>
          <w:tcPr>
            <w:tcW w:w="100" w:type="dxa"/>
            <w:vAlign w:val="bottom"/>
          </w:tcPr>
          <w:p>
            <w:pPr>
              <w:spacing w:after="0"/>
              <w:rPr>
                <w:sz w:val="19"/>
                <w:szCs w:val="19"/>
                <w:color w:val="auto"/>
              </w:rPr>
            </w:pPr>
          </w:p>
        </w:tc>
        <w:tc>
          <w:tcPr>
            <w:tcW w:w="780" w:type="dxa"/>
            <w:vAlign w:val="bottom"/>
          </w:tcPr>
          <w:p>
            <w:pPr>
              <w:jc w:val="right"/>
              <w:ind w:right="625"/>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9"/>
                <w:szCs w:val="19"/>
                <w:color w:val="auto"/>
              </w:rPr>
            </w:pPr>
          </w:p>
        </w:tc>
        <w:tc>
          <w:tcPr>
            <w:tcW w:w="260" w:type="dxa"/>
            <w:vAlign w:val="bottom"/>
          </w:tcPr>
          <w:p>
            <w:pPr>
              <w:jc w:val="right"/>
              <w:ind w:right="78"/>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9"/>
                <w:szCs w:val="19"/>
                <w:color w:val="auto"/>
              </w:rPr>
            </w:pPr>
          </w:p>
        </w:tc>
        <w:tc>
          <w:tcPr>
            <w:tcW w:w="400" w:type="dxa"/>
            <w:vAlign w:val="bottom"/>
          </w:tcPr>
          <w:p>
            <w:pPr>
              <w:jc w:val="right"/>
              <w:ind w:right="218"/>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220"/>
        </w:trPr>
        <w:tc>
          <w:tcPr>
            <w:tcW w:w="20" w:type="dxa"/>
            <w:vAlign w:val="bottom"/>
          </w:tcPr>
          <w:p>
            <w:pPr>
              <w:spacing w:after="0"/>
              <w:rPr>
                <w:sz w:val="19"/>
                <w:szCs w:val="19"/>
                <w:color w:val="auto"/>
              </w:rPr>
            </w:pPr>
          </w:p>
        </w:tc>
        <w:tc>
          <w:tcPr>
            <w:tcW w:w="626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6"/>
                <w:szCs w:val="16"/>
                <w:color w:val="auto"/>
              </w:rPr>
              <w:t xml:space="preserve">Long-term inventory costing adjustments </w:t>
            </w:r>
            <w:r>
              <w:rPr>
                <w:rFonts w:ascii="Arial" w:cs="Arial" w:eastAsia="Arial" w:hAnsi="Arial"/>
                <w:sz w:val="21"/>
                <w:szCs w:val="21"/>
                <w:color w:val="auto"/>
                <w:vertAlign w:val="superscript"/>
              </w:rPr>
              <w:t>(3)</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20"/>
        </w:trPr>
        <w:tc>
          <w:tcPr>
            <w:tcW w:w="20" w:type="dxa"/>
            <w:vAlign w:val="bottom"/>
          </w:tcPr>
          <w:p>
            <w:pPr>
              <w:spacing w:after="0"/>
              <w:rPr>
                <w:sz w:val="19"/>
                <w:szCs w:val="19"/>
                <w:color w:val="auto"/>
              </w:rPr>
            </w:pPr>
          </w:p>
        </w:tc>
        <w:tc>
          <w:tcPr>
            <w:tcW w:w="6260" w:type="dxa"/>
            <w:vAlign w:val="bottom"/>
            <w:gridSpan w:val="2"/>
          </w:tcPr>
          <w:p>
            <w:pPr>
              <w:ind w:left="20"/>
              <w:spacing w:after="0" w:line="220" w:lineRule="exact"/>
              <w:rPr>
                <w:sz w:val="20"/>
                <w:szCs w:val="20"/>
                <w:color w:val="auto"/>
              </w:rPr>
            </w:pPr>
            <w:r>
              <w:rPr>
                <w:rFonts w:ascii="Arial" w:cs="Arial" w:eastAsia="Arial" w:hAnsi="Arial"/>
                <w:sz w:val="16"/>
                <w:szCs w:val="16"/>
                <w:color w:val="auto"/>
              </w:rPr>
              <w:t xml:space="preserve">Deficiencies under minimum volume commitments, net </w:t>
            </w:r>
            <w:r>
              <w:rPr>
                <w:rFonts w:ascii="Arial" w:cs="Arial" w:eastAsia="Arial" w:hAnsi="Arial"/>
                <w:sz w:val="21"/>
                <w:szCs w:val="21"/>
                <w:color w:val="auto"/>
                <w:vertAlign w:val="superscript"/>
              </w:rPr>
              <w:t>(4)</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20"/>
        </w:trPr>
        <w:tc>
          <w:tcPr>
            <w:tcW w:w="20" w:type="dxa"/>
            <w:vAlign w:val="bottom"/>
          </w:tcPr>
          <w:p>
            <w:pPr>
              <w:spacing w:after="0"/>
              <w:rPr>
                <w:sz w:val="19"/>
                <w:szCs w:val="19"/>
                <w:color w:val="auto"/>
              </w:rPr>
            </w:pPr>
          </w:p>
        </w:tc>
        <w:tc>
          <w:tcPr>
            <w:tcW w:w="626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6"/>
                <w:szCs w:val="16"/>
                <w:color w:val="auto"/>
              </w:rPr>
              <w:t xml:space="preserve">Equity-indexed compensation expense </w:t>
            </w:r>
            <w:r>
              <w:rPr>
                <w:rFonts w:ascii="Arial" w:cs="Arial" w:eastAsia="Arial" w:hAnsi="Arial"/>
                <w:sz w:val="21"/>
                <w:szCs w:val="21"/>
                <w:color w:val="auto"/>
                <w:vertAlign w:val="superscript"/>
              </w:rPr>
              <w:t>(5)</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20"/>
        </w:trPr>
        <w:tc>
          <w:tcPr>
            <w:tcW w:w="20" w:type="dxa"/>
            <w:vAlign w:val="bottom"/>
          </w:tcPr>
          <w:p>
            <w:pPr>
              <w:spacing w:after="0"/>
              <w:rPr>
                <w:sz w:val="19"/>
                <w:szCs w:val="19"/>
                <w:color w:val="auto"/>
              </w:rPr>
            </w:pPr>
          </w:p>
        </w:tc>
        <w:tc>
          <w:tcPr>
            <w:tcW w:w="6260" w:type="dxa"/>
            <w:vAlign w:val="bottom"/>
            <w:gridSpan w:val="2"/>
          </w:tcPr>
          <w:p>
            <w:pPr>
              <w:ind w:left="20"/>
              <w:spacing w:after="0" w:line="220" w:lineRule="exact"/>
              <w:rPr>
                <w:sz w:val="20"/>
                <w:szCs w:val="20"/>
                <w:color w:val="auto"/>
              </w:rPr>
            </w:pPr>
            <w:r>
              <w:rPr>
                <w:rFonts w:ascii="Arial" w:cs="Arial" w:eastAsia="Arial" w:hAnsi="Arial"/>
                <w:sz w:val="16"/>
                <w:szCs w:val="16"/>
                <w:color w:val="auto"/>
              </w:rPr>
              <w:t xml:space="preserve">Foreign currency revaluation </w:t>
            </w:r>
            <w:r>
              <w:rPr>
                <w:rFonts w:ascii="Arial" w:cs="Arial" w:eastAsia="Arial" w:hAnsi="Arial"/>
                <w:sz w:val="21"/>
                <w:szCs w:val="21"/>
                <w:color w:val="auto"/>
                <w:vertAlign w:val="superscript"/>
              </w:rPr>
              <w:t>(6)</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20"/>
        </w:trPr>
        <w:tc>
          <w:tcPr>
            <w:tcW w:w="20" w:type="dxa"/>
            <w:vAlign w:val="bottom"/>
          </w:tcPr>
          <w:p>
            <w:pPr>
              <w:spacing w:after="0"/>
              <w:rPr>
                <w:sz w:val="19"/>
                <w:szCs w:val="19"/>
                <w:color w:val="auto"/>
              </w:rPr>
            </w:pPr>
          </w:p>
        </w:tc>
        <w:tc>
          <w:tcPr>
            <w:tcW w:w="626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6"/>
                <w:szCs w:val="16"/>
                <w:color w:val="auto"/>
              </w:rPr>
              <w:t xml:space="preserve">Line 901 incident </w:t>
            </w:r>
            <w:r>
              <w:rPr>
                <w:rFonts w:ascii="Arial" w:cs="Arial" w:eastAsia="Arial" w:hAnsi="Arial"/>
                <w:sz w:val="21"/>
                <w:szCs w:val="21"/>
                <w:color w:val="auto"/>
                <w:vertAlign w:val="superscript"/>
              </w:rPr>
              <w:t>(7)</w:t>
            </w:r>
          </w:p>
        </w:tc>
        <w:tc>
          <w:tcPr>
            <w:tcW w:w="7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20"/>
        </w:trPr>
        <w:tc>
          <w:tcPr>
            <w:tcW w:w="20" w:type="dxa"/>
            <w:vAlign w:val="bottom"/>
          </w:tcPr>
          <w:p>
            <w:pPr>
              <w:spacing w:after="0"/>
              <w:rPr>
                <w:sz w:val="19"/>
                <w:szCs w:val="19"/>
                <w:color w:val="auto"/>
              </w:rPr>
            </w:pPr>
          </w:p>
        </w:tc>
        <w:tc>
          <w:tcPr>
            <w:tcW w:w="6260" w:type="dxa"/>
            <w:vAlign w:val="bottom"/>
            <w:gridSpan w:val="2"/>
          </w:tcPr>
          <w:p>
            <w:pPr>
              <w:ind w:left="20"/>
              <w:spacing w:after="0" w:line="220" w:lineRule="exact"/>
              <w:rPr>
                <w:sz w:val="20"/>
                <w:szCs w:val="20"/>
                <w:color w:val="auto"/>
              </w:rPr>
            </w:pPr>
            <w:r>
              <w:rPr>
                <w:rFonts w:ascii="Arial" w:cs="Arial" w:eastAsia="Arial" w:hAnsi="Arial"/>
                <w:sz w:val="16"/>
                <w:szCs w:val="16"/>
                <w:color w:val="auto"/>
              </w:rPr>
              <w:t xml:space="preserve">Transaction-related expenses </w:t>
            </w:r>
            <w:r>
              <w:rPr>
                <w:rFonts w:ascii="Arial" w:cs="Arial" w:eastAsia="Arial" w:hAnsi="Arial"/>
                <w:sz w:val="21"/>
                <w:szCs w:val="21"/>
                <w:color w:val="auto"/>
                <w:vertAlign w:val="superscript"/>
              </w:rPr>
              <w:t>(8)</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20" w:type="dxa"/>
            <w:vAlign w:val="bottom"/>
          </w:tcPr>
          <w:p>
            <w:pPr>
              <w:spacing w:after="0"/>
              <w:rPr>
                <w:sz w:val="18"/>
                <w:szCs w:val="18"/>
                <w:color w:val="auto"/>
              </w:rPr>
            </w:pPr>
          </w:p>
        </w:tc>
        <w:tc>
          <w:tcPr>
            <w:tcW w:w="626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Selected items impacting comparability - Adjusted EBITDA</w:t>
            </w:r>
          </w:p>
        </w:tc>
        <w:tc>
          <w:tcPr>
            <w:tcW w:w="740" w:type="dxa"/>
            <w:vAlign w:val="bottom"/>
            <w:tcBorders>
              <w:top w:val="single" w:sz="8" w:color="auto"/>
            </w:tcBorders>
            <w:shd w:val="clear" w:color="auto" w:fill="CCEEFF"/>
          </w:tcPr>
          <w:p>
            <w:pPr>
              <w:jc w:val="right"/>
              <w:ind w:right="58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(158)</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8"/>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20"/>
        </w:trPr>
        <w:tc>
          <w:tcPr>
            <w:tcW w:w="20" w:type="dxa"/>
            <w:vAlign w:val="bottom"/>
          </w:tcPr>
          <w:p>
            <w:pPr>
              <w:spacing w:after="0"/>
              <w:rPr>
                <w:sz w:val="19"/>
                <w:szCs w:val="19"/>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Derivative activities</w:t>
            </w:r>
          </w:p>
        </w:tc>
        <w:tc>
          <w:tcPr>
            <w:tcW w:w="7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20"/>
        </w:trPr>
        <w:tc>
          <w:tcPr>
            <w:tcW w:w="20" w:type="dxa"/>
            <w:vAlign w:val="bottom"/>
          </w:tcPr>
          <w:p>
            <w:pPr>
              <w:spacing w:after="0"/>
              <w:rPr>
                <w:sz w:val="19"/>
                <w:szCs w:val="19"/>
                <w:color w:val="auto"/>
              </w:rPr>
            </w:pPr>
          </w:p>
        </w:tc>
        <w:tc>
          <w:tcPr>
            <w:tcW w:w="6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Gain on investment in unconsolidated entities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0"/>
        </w:trPr>
        <w:tc>
          <w:tcPr>
            <w:tcW w:w="20" w:type="dxa"/>
            <w:vAlign w:val="bottom"/>
          </w:tcPr>
          <w:p>
            <w:pPr>
              <w:spacing w:after="0"/>
              <w:rPr>
                <w:sz w:val="19"/>
                <w:szCs w:val="19"/>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Gains/(losses) on asset sales and asset impairments, net</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20"/>
        </w:trPr>
        <w:tc>
          <w:tcPr>
            <w:tcW w:w="20" w:type="dxa"/>
            <w:vAlign w:val="bottom"/>
          </w:tcPr>
          <w:p>
            <w:pPr>
              <w:spacing w:after="0"/>
              <w:rPr>
                <w:sz w:val="19"/>
                <w:szCs w:val="19"/>
                <w:color w:val="auto"/>
              </w:rPr>
            </w:pPr>
          </w:p>
        </w:tc>
        <w:tc>
          <w:tcPr>
            <w:tcW w:w="6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Tax effect on selected items impacting comparability</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14"/>
        </w:trPr>
        <w:tc>
          <w:tcPr>
            <w:tcW w:w="20" w:type="dxa"/>
            <w:vAlign w:val="bottom"/>
          </w:tcPr>
          <w:p>
            <w:pPr>
              <w:spacing w:after="0"/>
              <w:rPr>
                <w:sz w:val="18"/>
                <w:szCs w:val="18"/>
                <w:color w:val="auto"/>
              </w:rPr>
            </w:pPr>
          </w:p>
        </w:tc>
        <w:tc>
          <w:tcPr>
            <w:tcW w:w="62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Aggregate selected items impacting noncontrolling interests</w:t>
            </w:r>
          </w:p>
        </w:tc>
        <w:tc>
          <w:tcPr>
            <w:tcW w:w="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44"/>
        </w:trPr>
        <w:tc>
          <w:tcPr>
            <w:tcW w:w="20" w:type="dxa"/>
            <w:vAlign w:val="bottom"/>
          </w:tcPr>
          <w:p>
            <w:pPr>
              <w:spacing w:after="0"/>
              <w:rPr>
                <w:sz w:val="20"/>
                <w:szCs w:val="20"/>
                <w:color w:val="auto"/>
              </w:rPr>
            </w:pPr>
          </w:p>
        </w:tc>
        <w:tc>
          <w:tcPr>
            <w:tcW w:w="6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Selected items impacting comparability - Adjusted net income attributable to PAA</w:t>
            </w:r>
          </w:p>
        </w:tc>
        <w:tc>
          <w:tcPr>
            <w:tcW w:w="740" w:type="dxa"/>
            <w:vAlign w:val="bottom"/>
            <w:tcBorders>
              <w:bottom w:val="single" w:sz="8" w:color="auto"/>
            </w:tcBorders>
            <w:shd w:val="clear" w:color="auto" w:fill="CCEEFF"/>
          </w:tcPr>
          <w:p>
            <w:pPr>
              <w:jc w:val="right"/>
              <w:ind w:right="586"/>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(105)</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20" w:type="dxa"/>
            <w:vAlign w:val="bottom"/>
            <w:tcBorders>
              <w:bottom w:val="single" w:sz="8" w:color="auto"/>
            </w:tcBorders>
          </w:tcPr>
          <w:p>
            <w:pPr>
              <w:spacing w:after="0"/>
              <w:rPr>
                <w:sz w:val="11"/>
                <w:szCs w:val="11"/>
                <w:color w:val="auto"/>
              </w:rPr>
            </w:pPr>
          </w:p>
        </w:tc>
        <w:tc>
          <w:tcPr>
            <w:tcW w:w="3860" w:type="dxa"/>
            <w:vAlign w:val="bottom"/>
            <w:tcBorders>
              <w:bottom w:val="single" w:sz="8" w:color="auto"/>
            </w:tcBorders>
          </w:tcPr>
          <w:p>
            <w:pPr>
              <w:spacing w:after="0"/>
              <w:rPr>
                <w:sz w:val="11"/>
                <w:szCs w:val="11"/>
                <w:color w:val="auto"/>
              </w:rPr>
            </w:pPr>
          </w:p>
        </w:tc>
        <w:tc>
          <w:tcPr>
            <w:tcW w:w="2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r>
    </w:tbl>
    <w:p>
      <w:pPr>
        <w:spacing w:after="0" w:line="80" w:lineRule="exact"/>
        <w:rPr>
          <w:sz w:val="20"/>
          <w:szCs w:val="20"/>
          <w:color w:val="auto"/>
        </w:rPr>
      </w:pPr>
    </w:p>
    <w:p>
      <w:pPr>
        <w:ind w:left="320" w:right="280" w:hanging="317"/>
        <w:spacing w:after="0" w:line="238" w:lineRule="auto"/>
        <w:tabs>
          <w:tab w:leader="none" w:pos="316" w:val="left"/>
        </w:tabs>
        <w:numPr>
          <w:ilvl w:val="0"/>
          <w:numId w:val="15"/>
        </w:numPr>
        <w:rPr>
          <w:rFonts w:ascii="Arial" w:cs="Arial" w:eastAsia="Arial" w:hAnsi="Arial"/>
          <w:sz w:val="16"/>
          <w:szCs w:val="16"/>
          <w:color w:val="auto"/>
          <w:vertAlign w:val="superscript"/>
        </w:rPr>
      </w:pPr>
      <w:r>
        <w:rPr>
          <w:rFonts w:ascii="Arial" w:cs="Arial" w:eastAsia="Arial" w:hAnsi="Arial"/>
          <w:sz w:val="12"/>
          <w:szCs w:val="12"/>
          <w:color w:val="auto"/>
        </w:rPr>
        <w:t>Certain of our non-GAAP financial measures may not be impacted by each of the selected items impacting comparability. See the “Net Income to Adjusted EBITDA attributable to PAA and Implied DCF Reconciliation” and “Computation of Basic and Diluted Adjusted Net Income Per Common Unit” table for additional details on how these selected items impacting comparability affect such measures.</w:t>
      </w:r>
    </w:p>
    <w:p>
      <w:pPr>
        <w:spacing w:after="0" w:line="29" w:lineRule="exact"/>
        <w:rPr>
          <w:rFonts w:ascii="Arial" w:cs="Arial" w:eastAsia="Arial" w:hAnsi="Arial"/>
          <w:sz w:val="16"/>
          <w:szCs w:val="16"/>
          <w:color w:val="auto"/>
          <w:vertAlign w:val="superscript"/>
        </w:rPr>
      </w:pPr>
    </w:p>
    <w:p>
      <w:pPr>
        <w:ind w:left="320" w:right="200" w:hanging="317"/>
        <w:spacing w:after="0" w:line="265" w:lineRule="auto"/>
        <w:tabs>
          <w:tab w:leader="none" w:pos="316" w:val="left"/>
        </w:tabs>
        <w:numPr>
          <w:ilvl w:val="0"/>
          <w:numId w:val="15"/>
        </w:numPr>
        <w:rPr>
          <w:rFonts w:ascii="Arial" w:cs="Arial" w:eastAsia="Arial" w:hAnsi="Arial"/>
          <w:sz w:val="16"/>
          <w:szCs w:val="16"/>
          <w:color w:val="auto"/>
          <w:vertAlign w:val="superscript"/>
        </w:rPr>
      </w:pPr>
      <w:r>
        <w:rPr>
          <w:rFonts w:ascii="Arial" w:cs="Arial" w:eastAsia="Arial" w:hAnsi="Arial"/>
          <w:sz w:val="12"/>
          <w:szCs w:val="12"/>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 investing activities, such as the purchase of linefill, and (ii) purchases of long-term inventory. We also exclude the impact of corresponding inventory valuation adjustments, as applicable. For applicable periods, we excluded gains and losses from the mark-to-market of the embedded derivative associated with the Preferred Distribution Rate Reset Option of our Series A preferred units.</w:t>
      </w:r>
    </w:p>
    <w:p>
      <w:pPr>
        <w:spacing w:after="0" w:line="17" w:lineRule="exact"/>
        <w:rPr>
          <w:rFonts w:ascii="Arial" w:cs="Arial" w:eastAsia="Arial" w:hAnsi="Arial"/>
          <w:sz w:val="16"/>
          <w:szCs w:val="16"/>
          <w:color w:val="auto"/>
          <w:vertAlign w:val="superscript"/>
        </w:rPr>
      </w:pPr>
    </w:p>
    <w:p>
      <w:pPr>
        <w:ind w:left="320" w:right="140" w:hanging="317"/>
        <w:spacing w:after="0" w:line="234" w:lineRule="auto"/>
        <w:tabs>
          <w:tab w:leader="none" w:pos="316" w:val="left"/>
        </w:tabs>
        <w:numPr>
          <w:ilvl w:val="0"/>
          <w:numId w:val="15"/>
        </w:numPr>
        <w:rPr>
          <w:rFonts w:ascii="Arial" w:cs="Arial" w:eastAsia="Arial" w:hAnsi="Arial"/>
          <w:sz w:val="17"/>
          <w:szCs w:val="17"/>
          <w:color w:val="auto"/>
          <w:vertAlign w:val="superscript"/>
        </w:rPr>
      </w:pPr>
      <w:r>
        <w:rPr>
          <w:rFonts w:ascii="Arial" w:cs="Arial" w:eastAsia="Arial" w:hAnsi="Arial"/>
          <w:sz w:val="13"/>
          <w:szCs w:val="13"/>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31" w:lineRule="exact"/>
        <w:rPr>
          <w:rFonts w:ascii="Arial" w:cs="Arial" w:eastAsia="Arial" w:hAnsi="Arial"/>
          <w:sz w:val="17"/>
          <w:szCs w:val="17"/>
          <w:color w:val="auto"/>
          <w:vertAlign w:val="superscript"/>
        </w:rPr>
      </w:pPr>
    </w:p>
    <w:p>
      <w:pPr>
        <w:ind w:left="320" w:right="80" w:hanging="317"/>
        <w:spacing w:after="0" w:line="266" w:lineRule="auto"/>
        <w:tabs>
          <w:tab w:leader="none" w:pos="316" w:val="left"/>
        </w:tabs>
        <w:numPr>
          <w:ilvl w:val="0"/>
          <w:numId w:val="15"/>
        </w:numPr>
        <w:rPr>
          <w:rFonts w:ascii="Arial" w:cs="Arial" w:eastAsia="Arial" w:hAnsi="Arial"/>
          <w:sz w:val="16"/>
          <w:szCs w:val="16"/>
          <w:color w:val="auto"/>
          <w:vertAlign w:val="superscript"/>
        </w:rPr>
      </w:pPr>
      <w:r>
        <w:rPr>
          <w:rFonts w:ascii="Arial" w:cs="Arial" w:eastAsia="Arial" w:hAnsi="Arial"/>
          <w:sz w:val="12"/>
          <w:szCs w:val="12"/>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17" w:lineRule="exact"/>
        <w:rPr>
          <w:rFonts w:ascii="Arial" w:cs="Arial" w:eastAsia="Arial" w:hAnsi="Arial"/>
          <w:sz w:val="16"/>
          <w:szCs w:val="16"/>
          <w:color w:val="auto"/>
          <w:vertAlign w:val="superscript"/>
        </w:rPr>
      </w:pPr>
    </w:p>
    <w:p>
      <w:pPr>
        <w:ind w:left="320" w:right="40" w:hanging="317"/>
        <w:spacing w:after="0" w:line="234" w:lineRule="auto"/>
        <w:tabs>
          <w:tab w:leader="none" w:pos="316" w:val="left"/>
        </w:tabs>
        <w:numPr>
          <w:ilvl w:val="0"/>
          <w:numId w:val="15"/>
        </w:numPr>
        <w:rPr>
          <w:rFonts w:ascii="Arial" w:cs="Arial" w:eastAsia="Arial" w:hAnsi="Arial"/>
          <w:sz w:val="17"/>
          <w:szCs w:val="17"/>
          <w:color w:val="auto"/>
          <w:vertAlign w:val="superscript"/>
        </w:rPr>
      </w:pPr>
      <w:r>
        <w:rPr>
          <w:rFonts w:ascii="Arial" w:cs="Arial" w:eastAsia="Arial" w:hAnsi="Arial"/>
          <w:sz w:val="13"/>
          <w:szCs w:val="13"/>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31" w:lineRule="exact"/>
        <w:rPr>
          <w:rFonts w:ascii="Arial" w:cs="Arial" w:eastAsia="Arial" w:hAnsi="Arial"/>
          <w:sz w:val="17"/>
          <w:szCs w:val="17"/>
          <w:color w:val="auto"/>
          <w:vertAlign w:val="superscript"/>
        </w:rPr>
      </w:pPr>
    </w:p>
    <w:p>
      <w:pPr>
        <w:ind w:left="320" w:right="20" w:hanging="317"/>
        <w:spacing w:after="0" w:line="230" w:lineRule="auto"/>
        <w:tabs>
          <w:tab w:leader="none" w:pos="316" w:val="left"/>
        </w:tabs>
        <w:numPr>
          <w:ilvl w:val="0"/>
          <w:numId w:val="15"/>
        </w:numPr>
        <w:rPr>
          <w:rFonts w:ascii="Arial" w:cs="Arial" w:eastAsia="Arial" w:hAnsi="Arial"/>
          <w:sz w:val="17"/>
          <w:szCs w:val="17"/>
          <w:color w:val="auto"/>
          <w:vertAlign w:val="superscript"/>
        </w:rPr>
      </w:pPr>
      <w:r>
        <w:rPr>
          <w:rFonts w:ascii="Arial" w:cs="Arial" w:eastAsia="Arial" w:hAnsi="Arial"/>
          <w:sz w:val="13"/>
          <w:szCs w:val="13"/>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ind w:left="300" w:hanging="297"/>
        <w:spacing w:after="0" w:line="237" w:lineRule="auto"/>
        <w:tabs>
          <w:tab w:leader="none" w:pos="300" w:val="left"/>
        </w:tabs>
        <w:numPr>
          <w:ilvl w:val="0"/>
          <w:numId w:val="15"/>
        </w:numPr>
        <w:rPr>
          <w:rFonts w:ascii="Arial" w:cs="Arial" w:eastAsia="Arial" w:hAnsi="Arial"/>
          <w:sz w:val="17"/>
          <w:szCs w:val="17"/>
          <w:color w:val="auto"/>
          <w:vertAlign w:val="superscript"/>
        </w:rPr>
      </w:pPr>
      <w:r>
        <w:rPr>
          <w:rFonts w:ascii="Arial" w:cs="Arial" w:eastAsia="Arial" w:hAnsi="Arial"/>
          <w:sz w:val="13"/>
          <w:szCs w:val="13"/>
          <w:color w:val="auto"/>
        </w:rPr>
        <w:t>Includes costs recognized during the period related to the Line 901 incident that occurred in May 2015, net of amounts we believe are probable of recovery from insurance.</w:t>
      </w:r>
    </w:p>
    <w:p>
      <w:pPr>
        <w:spacing w:after="0" w:line="39" w:lineRule="exact"/>
        <w:rPr>
          <w:rFonts w:ascii="Arial" w:cs="Arial" w:eastAsia="Arial" w:hAnsi="Arial"/>
          <w:sz w:val="17"/>
          <w:szCs w:val="17"/>
          <w:color w:val="auto"/>
          <w:vertAlign w:val="superscript"/>
        </w:rPr>
      </w:pPr>
    </w:p>
    <w:p>
      <w:pPr>
        <w:ind w:left="300" w:hanging="297"/>
        <w:spacing w:after="0" w:line="189" w:lineRule="auto"/>
        <w:tabs>
          <w:tab w:leader="none" w:pos="300" w:val="left"/>
        </w:tabs>
        <w:numPr>
          <w:ilvl w:val="0"/>
          <w:numId w:val="15"/>
        </w:numPr>
        <w:rPr>
          <w:rFonts w:ascii="Arial" w:cs="Arial" w:eastAsia="Arial" w:hAnsi="Arial"/>
          <w:sz w:val="17"/>
          <w:szCs w:val="17"/>
          <w:color w:val="auto"/>
          <w:vertAlign w:val="superscript"/>
        </w:rPr>
      </w:pPr>
      <w:r>
        <w:rPr>
          <w:rFonts w:ascii="Arial" w:cs="Arial" w:eastAsia="Arial" w:hAnsi="Arial"/>
          <w:sz w:val="13"/>
          <w:szCs w:val="13"/>
          <w:color w:val="auto"/>
        </w:rPr>
        <w:t>Includes expenses associated with the Rattler Permian Transaction.</w:t>
      </w:r>
    </w:p>
    <w:p>
      <w:pPr>
        <w:spacing w:after="0" w:line="157" w:lineRule="exact"/>
        <w:rPr>
          <w:rFonts w:ascii="Arial" w:cs="Arial" w:eastAsia="Arial" w:hAnsi="Arial"/>
          <w:sz w:val="17"/>
          <w:szCs w:val="17"/>
          <w:color w:val="auto"/>
          <w:vertAlign w:val="superscript"/>
        </w:rPr>
      </w:pPr>
    </w:p>
    <w:p>
      <w:pPr>
        <w:ind w:left="5440" w:hanging="93"/>
        <w:spacing w:after="0"/>
        <w:tabs>
          <w:tab w:leader="none" w:pos="54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auto"/>
        </w:rPr>
        <w:t>Page 13</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SELECTED FINANCIAL DATA BY SEGMENT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0"/>
              </w:rPr>
              <w:t>Three Months Ended</w:t>
            </w:r>
          </w:p>
        </w:tc>
        <w:tc>
          <w:tcPr>
            <w:tcW w:w="180" w:type="dxa"/>
            <w:vAlign w:val="bottom"/>
          </w:tcPr>
          <w:p>
            <w:pPr>
              <w:spacing w:after="0"/>
              <w:rPr>
                <w:sz w:val="14"/>
                <w:szCs w:val="14"/>
                <w:color w:val="auto"/>
              </w:rPr>
            </w:pPr>
          </w:p>
        </w:tc>
        <w:tc>
          <w:tcPr>
            <w:tcW w:w="2240" w:type="dxa"/>
            <w:vAlign w:val="bottom"/>
            <w:gridSpan w:val="4"/>
          </w:tcPr>
          <w:p>
            <w:pPr>
              <w:jc w:val="right"/>
              <w:ind w:right="495"/>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87"/>
              </w:rPr>
              <w:t>September 30, 2023</w:t>
            </w:r>
          </w:p>
        </w:tc>
        <w:tc>
          <w:tcPr>
            <w:tcW w:w="180" w:type="dxa"/>
            <w:vAlign w:val="bottom"/>
          </w:tcPr>
          <w:p>
            <w:pPr>
              <w:spacing w:after="0"/>
              <w:rPr>
                <w:sz w:val="16"/>
                <w:szCs w:val="16"/>
                <w:color w:val="auto"/>
              </w:rPr>
            </w:pPr>
          </w:p>
        </w:tc>
        <w:tc>
          <w:tcPr>
            <w:tcW w:w="2240" w:type="dxa"/>
            <w:vAlign w:val="bottom"/>
            <w:gridSpan w:val="4"/>
          </w:tcPr>
          <w:p>
            <w:pPr>
              <w:jc w:val="right"/>
              <w:ind w:right="555"/>
              <w:spacing w:after="0"/>
              <w:rPr>
                <w:sz w:val="20"/>
                <w:szCs w:val="20"/>
                <w:color w:val="auto"/>
              </w:rPr>
            </w:pPr>
            <w:r>
              <w:rPr>
                <w:rFonts w:ascii="Arial" w:cs="Arial" w:eastAsia="Arial" w:hAnsi="Arial"/>
                <w:sz w:val="14"/>
                <w:szCs w:val="14"/>
                <w:b w:val="1"/>
                <w:bCs w:val="1"/>
                <w:color w:val="auto"/>
              </w:rPr>
              <w:t>September 30, 2022</w:t>
            </w:r>
          </w:p>
        </w:tc>
      </w:tr>
      <w:tr>
        <w:trPr>
          <w:trHeight w:val="192"/>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Crude Oil</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35"/>
              <w:spacing w:after="0"/>
              <w:rPr>
                <w:sz w:val="20"/>
                <w:szCs w:val="20"/>
                <w:color w:val="auto"/>
              </w:rPr>
            </w:pPr>
            <w:r>
              <w:rPr>
                <w:rFonts w:ascii="Arial" w:cs="Arial" w:eastAsia="Arial" w:hAnsi="Arial"/>
                <w:sz w:val="15"/>
                <w:szCs w:val="15"/>
                <w:b w:val="1"/>
                <w:bCs w:val="1"/>
                <w:color w:val="auto"/>
              </w:rPr>
              <w:t>NGL</w:t>
            </w:r>
          </w:p>
        </w:tc>
        <w:tc>
          <w:tcPr>
            <w:tcW w:w="220" w:type="dxa"/>
            <w:vAlign w:val="bottom"/>
            <w:gridSpan w:val="2"/>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Crude Oil</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35"/>
              <w:spacing w:after="0"/>
              <w:rPr>
                <w:sz w:val="20"/>
                <w:szCs w:val="20"/>
                <w:color w:val="auto"/>
              </w:rPr>
            </w:pPr>
            <w:r>
              <w:rPr>
                <w:rFonts w:ascii="Arial" w:cs="Arial" w:eastAsia="Arial" w:hAnsi="Arial"/>
                <w:sz w:val="15"/>
                <w:szCs w:val="15"/>
                <w:b w:val="1"/>
                <w:bCs w:val="1"/>
                <w:color w:val="auto"/>
              </w:rPr>
              <w:t>NGL</w:t>
            </w:r>
          </w:p>
        </w:tc>
      </w:tr>
      <w:tr>
        <w:trPr>
          <w:trHeight w:val="214"/>
        </w:trPr>
        <w:tc>
          <w:tcPr>
            <w:tcW w:w="6180" w:type="dxa"/>
            <w:vAlign w:val="bottom"/>
            <w:tcBorders>
              <w:top w:val="single" w:sz="8" w:color="CCEEFF"/>
            </w:tcBorders>
            <w:gridSpan w:val="2"/>
            <w:shd w:val="clear" w:color="auto" w:fill="CCEEFF"/>
          </w:tcPr>
          <w:p>
            <w:pPr>
              <w:ind w:left="20"/>
              <w:spacing w:after="0" w:line="214" w:lineRule="exact"/>
              <w:rPr>
                <w:sz w:val="20"/>
                <w:szCs w:val="20"/>
                <w:color w:val="auto"/>
              </w:rPr>
            </w:pPr>
            <w:r>
              <w:rPr>
                <w:rFonts w:ascii="Arial" w:cs="Arial" w:eastAsia="Arial" w:hAnsi="Arial"/>
                <w:sz w:val="17"/>
                <w:szCs w:val="17"/>
                <w:color w:val="auto"/>
              </w:rPr>
              <w:t xml:space="preserve">Revenues </w:t>
            </w:r>
            <w:r>
              <w:rPr>
                <w:rFonts w:ascii="Arial" w:cs="Arial" w:eastAsia="Arial" w:hAnsi="Arial"/>
                <w:sz w:val="22"/>
                <w:szCs w:val="22"/>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11,934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13,675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770</w:t>
            </w:r>
          </w:p>
        </w:tc>
      </w:tr>
      <w:tr>
        <w:trPr>
          <w:trHeight w:val="220"/>
        </w:trPr>
        <w:tc>
          <w:tcPr>
            <w:tcW w:w="618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Purchases and related costs </w:t>
            </w:r>
            <w:r>
              <w:rPr>
                <w:rFonts w:ascii="Arial" w:cs="Arial" w:eastAsia="Arial" w:hAnsi="Arial"/>
                <w:sz w:val="22"/>
                <w:szCs w:val="22"/>
                <w:color w:val="auto"/>
                <w:vertAlign w:val="superscript"/>
              </w:rPr>
              <w:t>(1)</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(11,069)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(12,938)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(242)</w:t>
            </w: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Field operating costs </w:t>
            </w:r>
            <w:r>
              <w:rPr>
                <w:rFonts w:ascii="Arial" w:cs="Arial" w:eastAsia="Arial" w:hAnsi="Arial"/>
                <w:sz w:val="22"/>
                <w:szCs w:val="22"/>
                <w:color w:val="auto"/>
                <w:vertAlign w:val="superscript"/>
              </w:rPr>
              <w:t>(2)</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r>
      <w:tr>
        <w:trPr>
          <w:trHeight w:val="220"/>
        </w:trPr>
        <w:tc>
          <w:tcPr>
            <w:tcW w:w="618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Segment general and administrative expenses </w:t>
            </w:r>
            <w:r>
              <w:rPr>
                <w:rFonts w:ascii="Arial" w:cs="Arial" w:eastAsia="Arial" w:hAnsi="Arial"/>
                <w:sz w:val="22"/>
                <w:szCs w:val="22"/>
                <w:color w:val="auto"/>
                <w:vertAlign w:val="superscript"/>
              </w:rPr>
              <w:t>(2) (3)</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20"/>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Equity earnings in unconsolidated entities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38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Adjustments: </w:t>
            </w:r>
            <w:r>
              <w:rPr>
                <w:rFonts w:ascii="Arial" w:cs="Arial" w:eastAsia="Arial" w:hAnsi="Arial"/>
                <w:sz w:val="22"/>
                <w:szCs w:val="22"/>
                <w:color w:val="auto"/>
                <w:vertAlign w:val="superscript"/>
              </w:rPr>
              <w:t>(4)</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0"/>
        </w:trPr>
        <w:tc>
          <w:tcPr>
            <w:tcW w:w="6180" w:type="dxa"/>
            <w:vAlign w:val="bottom"/>
            <w:gridSpan w:val="2"/>
          </w:tcPr>
          <w:p>
            <w:pPr>
              <w:ind w:left="180"/>
              <w:spacing w:after="0"/>
              <w:rPr>
                <w:sz w:val="20"/>
                <w:szCs w:val="20"/>
                <w:color w:val="auto"/>
              </w:rPr>
            </w:pPr>
            <w:r>
              <w:rPr>
                <w:rFonts w:ascii="Arial" w:cs="Arial" w:eastAsia="Arial" w:hAnsi="Arial"/>
                <w:sz w:val="17"/>
                <w:szCs w:val="17"/>
                <w:color w:val="auto"/>
              </w:rPr>
              <w:t>Depreciation and amortization of unconsolidated entities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Derivative activities and inventory valuation adjustments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w:t>
            </w:r>
          </w:p>
        </w:tc>
      </w:tr>
      <w:tr>
        <w:trPr>
          <w:trHeight w:val="220"/>
        </w:trPr>
        <w:tc>
          <w:tcPr>
            <w:tcW w:w="6180" w:type="dxa"/>
            <w:vAlign w:val="bottom"/>
            <w:gridSpan w:val="2"/>
          </w:tcPr>
          <w:p>
            <w:pPr>
              <w:ind w:left="180"/>
              <w:spacing w:after="0"/>
              <w:rPr>
                <w:sz w:val="20"/>
                <w:szCs w:val="20"/>
                <w:color w:val="auto"/>
              </w:rPr>
            </w:pPr>
            <w:r>
              <w:rPr>
                <w:rFonts w:ascii="Arial" w:cs="Arial" w:eastAsia="Arial" w:hAnsi="Arial"/>
                <w:sz w:val="17"/>
                <w:szCs w:val="17"/>
                <w:color w:val="auto"/>
              </w:rPr>
              <w:t>Long-term inventory costing adjustments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20"/>
        </w:trPr>
        <w:tc>
          <w:tcPr>
            <w:tcW w:w="6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Deficiencies under minimum volume commitments, net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80" w:type="dxa"/>
            <w:vAlign w:val="bottom"/>
            <w:gridSpan w:val="2"/>
          </w:tcPr>
          <w:p>
            <w:pPr>
              <w:ind w:left="180"/>
              <w:spacing w:after="0"/>
              <w:rPr>
                <w:sz w:val="20"/>
                <w:szCs w:val="20"/>
                <w:color w:val="auto"/>
              </w:rPr>
            </w:pPr>
            <w:r>
              <w:rPr>
                <w:rFonts w:ascii="Arial" w:cs="Arial" w:eastAsia="Arial" w:hAnsi="Arial"/>
                <w:sz w:val="17"/>
                <w:szCs w:val="17"/>
                <w:color w:val="auto"/>
              </w:rPr>
              <w:t>Equity-indexed compensation expense</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Foreign currency revaluation</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80" w:type="dxa"/>
            <w:vAlign w:val="bottom"/>
            <w:gridSpan w:val="2"/>
          </w:tcPr>
          <w:p>
            <w:pPr>
              <w:ind w:left="180"/>
              <w:spacing w:after="0"/>
              <w:rPr>
                <w:sz w:val="20"/>
                <w:szCs w:val="20"/>
                <w:color w:val="auto"/>
              </w:rPr>
            </w:pPr>
            <w:r>
              <w:rPr>
                <w:rFonts w:ascii="Arial" w:cs="Arial" w:eastAsia="Arial" w:hAnsi="Arial"/>
                <w:sz w:val="17"/>
                <w:szCs w:val="17"/>
                <w:color w:val="auto"/>
              </w:rPr>
              <w:t>Transaction-related expenses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80" w:type="dxa"/>
            <w:vAlign w:val="bottom"/>
            <w:gridSpan w:val="2"/>
            <w:shd w:val="clear" w:color="auto" w:fill="CCEEFF"/>
          </w:tcPr>
          <w:p>
            <w:pPr>
              <w:ind w:left="180"/>
              <w:spacing w:after="0" w:line="220" w:lineRule="exact"/>
              <w:rPr>
                <w:sz w:val="20"/>
                <w:szCs w:val="20"/>
                <w:color w:val="auto"/>
              </w:rPr>
            </w:pPr>
            <w:r>
              <w:rPr>
                <w:rFonts w:ascii="Arial" w:cs="Arial" w:eastAsia="Arial" w:hAnsi="Arial"/>
                <w:sz w:val="17"/>
                <w:szCs w:val="17"/>
                <w:color w:val="auto"/>
              </w:rPr>
              <w:t xml:space="preserve">Adjusted EBITDA attributable to noncontrolling interests </w:t>
            </w:r>
            <w:r>
              <w:rPr>
                <w:rFonts w:ascii="Arial" w:cs="Arial" w:eastAsia="Arial" w:hAnsi="Arial"/>
                <w:sz w:val="22"/>
                <w:szCs w:val="22"/>
                <w:color w:val="auto"/>
                <w:vertAlign w:val="superscript"/>
              </w:rPr>
              <w:t>(5)</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6180" w:type="dxa"/>
            <w:vAlign w:val="bottom"/>
            <w:gridSpan w:val="2"/>
          </w:tcPr>
          <w:p>
            <w:pPr>
              <w:ind w:left="20"/>
              <w:spacing w:after="0"/>
              <w:rPr>
                <w:sz w:val="20"/>
                <w:szCs w:val="20"/>
                <w:color w:val="auto"/>
              </w:rPr>
            </w:pPr>
            <w:r>
              <w:rPr>
                <w:rFonts w:ascii="Arial" w:cs="Arial" w:eastAsia="Arial" w:hAnsi="Arial"/>
                <w:sz w:val="17"/>
                <w:szCs w:val="17"/>
                <w:color w:val="auto"/>
              </w:rPr>
              <w:t>Segment 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553</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99</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536</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86</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4"/>
        </w:trPr>
        <w:tc>
          <w:tcPr>
            <w:tcW w:w="38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60"/>
        </w:trPr>
        <w:tc>
          <w:tcPr>
            <w:tcW w:w="6180" w:type="dxa"/>
            <w:vAlign w:val="bottom"/>
            <w:gridSpan w:val="2"/>
          </w:tcPr>
          <w:p>
            <w:pPr>
              <w:ind w:left="20"/>
              <w:spacing w:after="0"/>
              <w:rPr>
                <w:sz w:val="20"/>
                <w:szCs w:val="20"/>
                <w:color w:val="auto"/>
              </w:rPr>
            </w:pPr>
            <w:r>
              <w:rPr>
                <w:rFonts w:ascii="Arial" w:cs="Arial" w:eastAsia="Arial" w:hAnsi="Arial"/>
                <w:sz w:val="17"/>
                <w:szCs w:val="17"/>
                <w:color w:val="auto"/>
              </w:rPr>
              <w:t>Maintenance capital expenditures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r>
      <w:tr>
        <w:trPr>
          <w:trHeight w:val="147"/>
        </w:trPr>
        <w:tc>
          <w:tcPr>
            <w:tcW w:w="3880" w:type="dxa"/>
            <w:vAlign w:val="bottom"/>
            <w:tcBorders>
              <w:bottom w:val="single" w:sz="8" w:color="auto"/>
            </w:tcBorders>
          </w:tcPr>
          <w:p>
            <w:pPr>
              <w:spacing w:after="0"/>
              <w:rPr>
                <w:sz w:val="12"/>
                <w:szCs w:val="12"/>
                <w:color w:val="auto"/>
              </w:rPr>
            </w:pPr>
          </w:p>
        </w:tc>
        <w:tc>
          <w:tcPr>
            <w:tcW w:w="2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r>
    </w:tbl>
    <w:p>
      <w:pPr>
        <w:spacing w:after="0" w:line="123"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Includes intersegment amounts.</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color w:val="auto"/>
        </w:rPr>
        <w:t>Field operating costs and Segment general and administrative expenses include equity-indexed compensation expense.</w:t>
      </w:r>
    </w:p>
    <w:p>
      <w:pPr>
        <w:spacing w:after="0" w:line="86" w:lineRule="exact"/>
        <w:rPr>
          <w:sz w:val="20"/>
          <w:szCs w:val="20"/>
          <w:color w:val="auto"/>
        </w:rPr>
      </w:pPr>
    </w:p>
    <w:p>
      <w:pPr>
        <w:sectPr>
          <w:pgSz w:w="11900" w:h="16838" w:orient="portrait"/>
          <w:cols w:equalWidth="0" w:num="2">
            <w:col w:w="140" w:space="160"/>
            <w:col w:w="10940"/>
          </w:cols>
          <w:pgMar w:left="320" w:top="360" w:right="339" w:bottom="1440" w:gutter="0" w:footer="0" w:header="0"/>
          <w:type w:val="continuous"/>
        </w:sectPr>
      </w:pPr>
    </w:p>
    <w:p>
      <w:pPr>
        <w:ind w:left="320" w:right="580" w:hanging="317"/>
        <w:spacing w:after="0" w:line="281" w:lineRule="auto"/>
        <w:tabs>
          <w:tab w:leader="none" w:pos="308" w:val="left"/>
        </w:tabs>
        <w:numPr>
          <w:ilvl w:val="0"/>
          <w:numId w:val="16"/>
        </w:numPr>
        <w:rPr>
          <w:rFonts w:ascii="Arial" w:cs="Arial" w:eastAsia="Arial" w:hAnsi="Arial"/>
          <w:sz w:val="19"/>
          <w:szCs w:val="19"/>
          <w:color w:val="auto"/>
          <w:vertAlign w:val="superscript"/>
        </w:rPr>
      </w:pPr>
      <w:r>
        <w:rPr>
          <w:rFonts w:ascii="Arial" w:cs="Arial" w:eastAsia="Arial" w:hAnsi="Arial"/>
          <w:sz w:val="15"/>
          <w:szCs w:val="15"/>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7" w:lineRule="exact"/>
        <w:rPr>
          <w:rFonts w:ascii="Arial" w:cs="Arial" w:eastAsia="Arial" w:hAnsi="Arial"/>
          <w:sz w:val="19"/>
          <w:szCs w:val="19"/>
          <w:color w:val="auto"/>
          <w:vertAlign w:val="superscript"/>
        </w:rPr>
      </w:pPr>
    </w:p>
    <w:p>
      <w:pPr>
        <w:jc w:val="both"/>
        <w:ind w:left="320" w:right="180" w:hanging="317"/>
        <w:spacing w:after="0" w:line="235" w:lineRule="auto"/>
        <w:tabs>
          <w:tab w:leader="none" w:pos="308"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41"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16"/>
        </w:numPr>
        <w:rPr>
          <w:rFonts w:ascii="Arial" w:cs="Arial" w:eastAsia="Arial" w:hAnsi="Arial"/>
          <w:sz w:val="19"/>
          <w:szCs w:val="19"/>
          <w:color w:val="auto"/>
          <w:vertAlign w:val="superscript"/>
        </w:rPr>
      </w:pPr>
      <w:r>
        <w:rPr>
          <w:rFonts w:ascii="Arial" w:cs="Arial" w:eastAsia="Arial" w:hAnsi="Arial"/>
          <w:sz w:val="15"/>
          <w:szCs w:val="15"/>
          <w:color w:val="auto"/>
        </w:rPr>
        <w:t>Reflects amounts attributable to noncontrolling interests in the Permian JV, Cactus II Pipeline LLC (beginning November 2022) and Red River Pipeline LLC.</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7"/>
          <w:szCs w:val="17"/>
          <w:u w:val="single" w:color="auto"/>
          <w:color w:val="auto"/>
        </w:rPr>
        <w:t>Page 14</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SELECTED FINANCIAL DATA BY SEGMENT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6"/>
          </w:tcPr>
          <w:p>
            <w:pPr>
              <w:ind w:left="44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2240" w:type="dxa"/>
            <w:vAlign w:val="bottom"/>
            <w:gridSpan w:val="4"/>
          </w:tcPr>
          <w:p>
            <w:pPr>
              <w:jc w:val="right"/>
              <w:ind w:right="535"/>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6"/>
          </w:tcPr>
          <w:p>
            <w:pPr>
              <w:ind w:left="46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6"/>
                <w:szCs w:val="16"/>
                <w:color w:val="auto"/>
              </w:rPr>
            </w:pPr>
          </w:p>
        </w:tc>
        <w:tc>
          <w:tcPr>
            <w:tcW w:w="2240" w:type="dxa"/>
            <w:vAlign w:val="bottom"/>
            <w:gridSpan w:val="4"/>
          </w:tcPr>
          <w:p>
            <w:pPr>
              <w:jc w:val="right"/>
              <w:ind w:right="555"/>
              <w:spacing w:after="0"/>
              <w:rPr>
                <w:sz w:val="20"/>
                <w:szCs w:val="20"/>
                <w:color w:val="auto"/>
              </w:rPr>
            </w:pPr>
            <w:r>
              <w:rPr>
                <w:rFonts w:ascii="Arial" w:cs="Arial" w:eastAsia="Arial" w:hAnsi="Arial"/>
                <w:sz w:val="14"/>
                <w:szCs w:val="14"/>
                <w:b w:val="1"/>
                <w:bCs w:val="1"/>
                <w:color w:val="auto"/>
              </w:rPr>
              <w:t>September 30, 2022</w:t>
            </w:r>
          </w:p>
        </w:tc>
      </w:tr>
      <w:tr>
        <w:trPr>
          <w:trHeight w:val="192"/>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Crude Oil</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35"/>
              <w:spacing w:after="0"/>
              <w:rPr>
                <w:sz w:val="20"/>
                <w:szCs w:val="20"/>
                <w:color w:val="auto"/>
              </w:rPr>
            </w:pPr>
            <w:r>
              <w:rPr>
                <w:rFonts w:ascii="Arial" w:cs="Arial" w:eastAsia="Arial" w:hAnsi="Arial"/>
                <w:sz w:val="15"/>
                <w:szCs w:val="15"/>
                <w:b w:val="1"/>
                <w:bCs w:val="1"/>
                <w:color w:val="auto"/>
              </w:rPr>
              <w:t>NGL</w:t>
            </w:r>
          </w:p>
        </w:tc>
        <w:tc>
          <w:tcPr>
            <w:tcW w:w="220" w:type="dxa"/>
            <w:vAlign w:val="bottom"/>
            <w:gridSpan w:val="2"/>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Crude Oil</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35"/>
              <w:spacing w:after="0"/>
              <w:rPr>
                <w:sz w:val="20"/>
                <w:szCs w:val="20"/>
                <w:color w:val="auto"/>
              </w:rPr>
            </w:pPr>
            <w:r>
              <w:rPr>
                <w:rFonts w:ascii="Arial" w:cs="Arial" w:eastAsia="Arial" w:hAnsi="Arial"/>
                <w:sz w:val="15"/>
                <w:szCs w:val="15"/>
                <w:b w:val="1"/>
                <w:bCs w:val="1"/>
                <w:color w:val="auto"/>
              </w:rPr>
              <w:t>NGL</w:t>
            </w:r>
          </w:p>
        </w:tc>
      </w:tr>
      <w:tr>
        <w:trPr>
          <w:trHeight w:val="214"/>
        </w:trPr>
        <w:tc>
          <w:tcPr>
            <w:tcW w:w="6180" w:type="dxa"/>
            <w:vAlign w:val="bottom"/>
            <w:tcBorders>
              <w:top w:val="single" w:sz="8" w:color="CCEEFF"/>
            </w:tcBorders>
            <w:gridSpan w:val="2"/>
            <w:shd w:val="clear" w:color="auto" w:fill="CCEEFF"/>
          </w:tcPr>
          <w:p>
            <w:pPr>
              <w:ind w:left="20"/>
              <w:spacing w:after="0" w:line="214" w:lineRule="exact"/>
              <w:rPr>
                <w:sz w:val="20"/>
                <w:szCs w:val="20"/>
                <w:color w:val="auto"/>
              </w:rPr>
            </w:pPr>
            <w:r>
              <w:rPr>
                <w:rFonts w:ascii="Arial" w:cs="Arial" w:eastAsia="Arial" w:hAnsi="Arial"/>
                <w:sz w:val="17"/>
                <w:szCs w:val="17"/>
                <w:color w:val="auto"/>
              </w:rPr>
              <w:t xml:space="preserve">Revenues </w:t>
            </w:r>
            <w:r>
              <w:rPr>
                <w:rFonts w:ascii="Arial" w:cs="Arial" w:eastAsia="Arial" w:hAnsi="Arial"/>
                <w:sz w:val="22"/>
                <w:szCs w:val="22"/>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34,988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1,312</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42,694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2,075</w:t>
            </w:r>
          </w:p>
        </w:tc>
      </w:tr>
      <w:tr>
        <w:trPr>
          <w:trHeight w:val="220"/>
        </w:trPr>
        <w:tc>
          <w:tcPr>
            <w:tcW w:w="618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Purchases and related costs </w:t>
            </w:r>
            <w:r>
              <w:rPr>
                <w:rFonts w:ascii="Arial" w:cs="Arial" w:eastAsia="Arial" w:hAnsi="Arial"/>
                <w:sz w:val="22"/>
                <w:szCs w:val="22"/>
                <w:color w:val="auto"/>
                <w:vertAlign w:val="superscript"/>
              </w:rPr>
              <w:t>(1)</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(32,499)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(759)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(40,495)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(1,065)</w:t>
            </w: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Field operating costs </w:t>
            </w:r>
            <w:r>
              <w:rPr>
                <w:rFonts w:ascii="Arial" w:cs="Arial" w:eastAsia="Arial" w:hAnsi="Arial"/>
                <w:sz w:val="22"/>
                <w:szCs w:val="22"/>
                <w:color w:val="auto"/>
                <w:vertAlign w:val="superscript"/>
              </w:rPr>
              <w:t>(2)</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w:t>
            </w:r>
          </w:p>
        </w:tc>
      </w:tr>
      <w:tr>
        <w:trPr>
          <w:trHeight w:val="220"/>
        </w:trPr>
        <w:tc>
          <w:tcPr>
            <w:tcW w:w="618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Segment general and administrative expenses </w:t>
            </w:r>
            <w:r>
              <w:rPr>
                <w:rFonts w:ascii="Arial" w:cs="Arial" w:eastAsia="Arial" w:hAnsi="Arial"/>
                <w:sz w:val="22"/>
                <w:szCs w:val="22"/>
                <w:color w:val="auto"/>
                <w:vertAlign w:val="superscript"/>
              </w:rPr>
              <w:t>(2) (3)</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20"/>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Equity earnings in unconsolidated entities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38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Adjustments: </w:t>
            </w:r>
            <w:r>
              <w:rPr>
                <w:rFonts w:ascii="Arial" w:cs="Arial" w:eastAsia="Arial" w:hAnsi="Arial"/>
                <w:sz w:val="22"/>
                <w:szCs w:val="22"/>
                <w:color w:val="auto"/>
                <w:vertAlign w:val="superscript"/>
              </w:rPr>
              <w:t>(4)</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0"/>
        </w:trPr>
        <w:tc>
          <w:tcPr>
            <w:tcW w:w="6180" w:type="dxa"/>
            <w:vAlign w:val="bottom"/>
            <w:gridSpan w:val="2"/>
          </w:tcPr>
          <w:p>
            <w:pPr>
              <w:ind w:left="180"/>
              <w:spacing w:after="0"/>
              <w:rPr>
                <w:sz w:val="20"/>
                <w:szCs w:val="20"/>
                <w:color w:val="auto"/>
              </w:rPr>
            </w:pPr>
            <w:r>
              <w:rPr>
                <w:rFonts w:ascii="Arial" w:cs="Arial" w:eastAsia="Arial" w:hAnsi="Arial"/>
                <w:sz w:val="17"/>
                <w:szCs w:val="17"/>
                <w:color w:val="auto"/>
              </w:rPr>
              <w:t>Depreciation and amortization of unconsolidated entities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Derivative activities and inventory valuation adjustments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w:t>
            </w:r>
          </w:p>
        </w:tc>
      </w:tr>
      <w:tr>
        <w:trPr>
          <w:trHeight w:val="220"/>
        </w:trPr>
        <w:tc>
          <w:tcPr>
            <w:tcW w:w="6180" w:type="dxa"/>
            <w:vAlign w:val="bottom"/>
            <w:gridSpan w:val="2"/>
          </w:tcPr>
          <w:p>
            <w:pPr>
              <w:ind w:left="180"/>
              <w:spacing w:after="0"/>
              <w:rPr>
                <w:sz w:val="20"/>
                <w:szCs w:val="20"/>
                <w:color w:val="auto"/>
              </w:rPr>
            </w:pPr>
            <w:r>
              <w:rPr>
                <w:rFonts w:ascii="Arial" w:cs="Arial" w:eastAsia="Arial" w:hAnsi="Arial"/>
                <w:sz w:val="17"/>
                <w:szCs w:val="17"/>
                <w:color w:val="auto"/>
              </w:rPr>
              <w:t>Long-term inventory costing adjustments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20"/>
        </w:trPr>
        <w:tc>
          <w:tcPr>
            <w:tcW w:w="6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Deficiencies under minimum volume commitments, net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80" w:type="dxa"/>
            <w:vAlign w:val="bottom"/>
            <w:gridSpan w:val="2"/>
          </w:tcPr>
          <w:p>
            <w:pPr>
              <w:ind w:left="180"/>
              <w:spacing w:after="0"/>
              <w:rPr>
                <w:sz w:val="20"/>
                <w:szCs w:val="20"/>
                <w:color w:val="auto"/>
              </w:rPr>
            </w:pPr>
            <w:r>
              <w:rPr>
                <w:rFonts w:ascii="Arial" w:cs="Arial" w:eastAsia="Arial" w:hAnsi="Arial"/>
                <w:sz w:val="17"/>
                <w:szCs w:val="17"/>
                <w:color w:val="auto"/>
              </w:rPr>
              <w:t>Equity-indexed compensation expense</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Foreign currency revaluation</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80" w:type="dxa"/>
            <w:vAlign w:val="bottom"/>
            <w:gridSpan w:val="2"/>
          </w:tcPr>
          <w:p>
            <w:pPr>
              <w:ind w:left="180"/>
              <w:spacing w:after="0"/>
              <w:rPr>
                <w:sz w:val="20"/>
                <w:szCs w:val="20"/>
                <w:color w:val="auto"/>
              </w:rPr>
            </w:pPr>
            <w:r>
              <w:rPr>
                <w:rFonts w:ascii="Arial" w:cs="Arial" w:eastAsia="Arial" w:hAnsi="Arial"/>
                <w:sz w:val="17"/>
                <w:szCs w:val="17"/>
                <w:color w:val="auto"/>
              </w:rPr>
              <w:t>Line 901 incident</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Transaction-related expenses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80" w:type="dxa"/>
            <w:vAlign w:val="bottom"/>
            <w:gridSpan w:val="2"/>
          </w:tcPr>
          <w:p>
            <w:pPr>
              <w:ind w:left="180"/>
              <w:spacing w:after="0" w:line="220" w:lineRule="exact"/>
              <w:rPr>
                <w:sz w:val="20"/>
                <w:szCs w:val="20"/>
                <w:color w:val="auto"/>
              </w:rPr>
            </w:pPr>
            <w:r>
              <w:rPr>
                <w:rFonts w:ascii="Arial" w:cs="Arial" w:eastAsia="Arial" w:hAnsi="Arial"/>
                <w:sz w:val="17"/>
                <w:szCs w:val="17"/>
                <w:color w:val="auto"/>
              </w:rPr>
              <w:t xml:space="preserve">Adjusted EBITDA attributable to noncontrolling interests </w:t>
            </w:r>
            <w:r>
              <w:rPr>
                <w:rFonts w:ascii="Arial" w:cs="Arial" w:eastAsia="Arial" w:hAnsi="Arial"/>
                <w:sz w:val="22"/>
                <w:szCs w:val="22"/>
                <w:color w:val="auto"/>
                <w:vertAlign w:val="superscript"/>
              </w:rPr>
              <w:t>(5)</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61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Segment Adjusted EBITDA</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352</w:t>
            </w: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367</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8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45"/>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Maintenance capital expenditures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3880" w:type="dxa"/>
            <w:vAlign w:val="bottom"/>
            <w:tcBorders>
              <w:bottom w:val="single" w:sz="8" w:color="auto"/>
            </w:tcBorders>
          </w:tcPr>
          <w:p>
            <w:pPr>
              <w:spacing w:after="0"/>
              <w:rPr>
                <w:sz w:val="11"/>
                <w:szCs w:val="11"/>
                <w:color w:val="auto"/>
              </w:rPr>
            </w:pPr>
          </w:p>
        </w:tc>
        <w:tc>
          <w:tcPr>
            <w:tcW w:w="2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r>
    </w:tbl>
    <w:p>
      <w:pPr>
        <w:spacing w:after="0" w:line="123"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Includes intersegment amounts.</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color w:val="auto"/>
        </w:rPr>
        <w:t>Field operating costs and Segment general and administrative expenses include equity-indexed compensation expense.</w:t>
      </w:r>
    </w:p>
    <w:p>
      <w:pPr>
        <w:spacing w:after="0" w:line="86" w:lineRule="exact"/>
        <w:rPr>
          <w:sz w:val="20"/>
          <w:szCs w:val="20"/>
          <w:color w:val="auto"/>
        </w:rPr>
      </w:pPr>
    </w:p>
    <w:p>
      <w:pPr>
        <w:sectPr>
          <w:pgSz w:w="11900" w:h="16838" w:orient="portrait"/>
          <w:cols w:equalWidth="0" w:num="2">
            <w:col w:w="140" w:space="160"/>
            <w:col w:w="10940"/>
          </w:cols>
          <w:pgMar w:left="320" w:top="360" w:right="339" w:bottom="1440" w:gutter="0" w:footer="0" w:header="0"/>
          <w:type w:val="continuous"/>
        </w:sectPr>
      </w:pPr>
    </w:p>
    <w:p>
      <w:pPr>
        <w:ind w:left="320" w:right="580" w:hanging="317"/>
        <w:spacing w:after="0" w:line="281" w:lineRule="auto"/>
        <w:tabs>
          <w:tab w:leader="none" w:pos="308" w:val="left"/>
        </w:tabs>
        <w:numPr>
          <w:ilvl w:val="0"/>
          <w:numId w:val="17"/>
        </w:numPr>
        <w:rPr>
          <w:rFonts w:ascii="Arial" w:cs="Arial" w:eastAsia="Arial" w:hAnsi="Arial"/>
          <w:sz w:val="19"/>
          <w:szCs w:val="19"/>
          <w:color w:val="auto"/>
          <w:vertAlign w:val="superscript"/>
        </w:rPr>
      </w:pPr>
      <w:r>
        <w:rPr>
          <w:rFonts w:ascii="Arial" w:cs="Arial" w:eastAsia="Arial" w:hAnsi="Arial"/>
          <w:sz w:val="15"/>
          <w:szCs w:val="15"/>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7" w:lineRule="exact"/>
        <w:rPr>
          <w:rFonts w:ascii="Arial" w:cs="Arial" w:eastAsia="Arial" w:hAnsi="Arial"/>
          <w:sz w:val="19"/>
          <w:szCs w:val="19"/>
          <w:color w:val="auto"/>
          <w:vertAlign w:val="superscript"/>
        </w:rPr>
      </w:pPr>
    </w:p>
    <w:p>
      <w:pPr>
        <w:jc w:val="both"/>
        <w:ind w:left="320" w:right="180" w:hanging="317"/>
        <w:spacing w:after="0" w:line="235" w:lineRule="auto"/>
        <w:tabs>
          <w:tab w:leader="none" w:pos="308"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41"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17"/>
        </w:numPr>
        <w:rPr>
          <w:rFonts w:ascii="Arial" w:cs="Arial" w:eastAsia="Arial" w:hAnsi="Arial"/>
          <w:sz w:val="19"/>
          <w:szCs w:val="19"/>
          <w:color w:val="auto"/>
          <w:vertAlign w:val="superscript"/>
        </w:rPr>
      </w:pPr>
      <w:r>
        <w:rPr>
          <w:rFonts w:ascii="Arial" w:cs="Arial" w:eastAsia="Arial" w:hAnsi="Arial"/>
          <w:sz w:val="15"/>
          <w:szCs w:val="15"/>
          <w:color w:val="auto"/>
        </w:rPr>
        <w:t>Reflects amounts attributable to noncontrolling interests in the Permian JV, Cactus II Pipeline LLC (beginning November 2022) and Red River Pipeline LLC.</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7"/>
          <w:szCs w:val="17"/>
          <w:u w:val="single" w:color="auto"/>
          <w:color w:val="auto"/>
        </w:rPr>
        <w:t>Page 15</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OPERATING DATA BY SEGMENT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5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Three Months Ended</w:t>
            </w:r>
          </w:p>
        </w:tc>
        <w:tc>
          <w:tcPr>
            <w:tcW w:w="2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Nine Months Ended</w:t>
            </w:r>
          </w:p>
        </w:tc>
      </w:tr>
      <w:tr>
        <w:trPr>
          <w:trHeight w:val="187"/>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680" w:type="dxa"/>
            <w:vAlign w:val="bottom"/>
            <w:tcBorders>
              <w:bottom w:val="single" w:sz="8" w:color="auto"/>
            </w:tcBorders>
            <w:gridSpan w:val="3"/>
          </w:tcPr>
          <w:p>
            <w:pPr>
              <w:jc w:val="center"/>
              <w:ind w:left="677"/>
              <w:spacing w:after="0"/>
              <w:rPr>
                <w:sz w:val="20"/>
                <w:szCs w:val="20"/>
                <w:color w:val="auto"/>
              </w:rPr>
            </w:pPr>
            <w:r>
              <w:rPr>
                <w:rFonts w:ascii="Arial" w:cs="Arial" w:eastAsia="Arial" w:hAnsi="Arial"/>
                <w:sz w:val="14"/>
                <w:szCs w:val="14"/>
                <w:b w:val="1"/>
                <w:bCs w:val="1"/>
                <w:color w:val="auto"/>
                <w:w w:val="87"/>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bottom w:val="single" w:sz="8" w:color="auto"/>
            </w:tcBorders>
            <w:gridSpan w:val="3"/>
          </w:tcPr>
          <w:p>
            <w:pPr>
              <w:jc w:val="center"/>
              <w:ind w:left="677"/>
              <w:spacing w:after="0"/>
              <w:rPr>
                <w:sz w:val="20"/>
                <w:szCs w:val="20"/>
                <w:color w:val="auto"/>
              </w:rPr>
            </w:pPr>
            <w:r>
              <w:rPr>
                <w:rFonts w:ascii="Arial" w:cs="Arial" w:eastAsia="Arial" w:hAnsi="Arial"/>
                <w:sz w:val="14"/>
                <w:szCs w:val="14"/>
                <w:b w:val="1"/>
                <w:bCs w:val="1"/>
                <w:color w:val="auto"/>
                <w:w w:val="89"/>
              </w:rPr>
              <w:t>September 30,</w:t>
            </w:r>
          </w:p>
        </w:tc>
        <w:tc>
          <w:tcPr>
            <w:tcW w:w="76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96"/>
              </w:rPr>
              <w:t>2022</w:t>
            </w:r>
          </w:p>
        </w:tc>
      </w:tr>
      <w:tr>
        <w:trPr>
          <w:trHeight w:val="207"/>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Crude Oil Segment Volumes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0"/>
        </w:trPr>
        <w:tc>
          <w:tcPr>
            <w:tcW w:w="6280" w:type="dxa"/>
            <w:vAlign w:val="bottom"/>
            <w:gridSpan w:val="2"/>
          </w:tcPr>
          <w:p>
            <w:pPr>
              <w:ind w:left="120"/>
              <w:spacing w:after="0" w:line="220" w:lineRule="exact"/>
              <w:rPr>
                <w:sz w:val="20"/>
                <w:szCs w:val="20"/>
                <w:color w:val="auto"/>
              </w:rPr>
            </w:pPr>
            <w:r>
              <w:rPr>
                <w:rFonts w:ascii="Arial" w:cs="Arial" w:eastAsia="Arial" w:hAnsi="Arial"/>
                <w:sz w:val="17"/>
                <w:szCs w:val="17"/>
                <w:color w:val="auto"/>
              </w:rPr>
              <w:t xml:space="preserve">Crude oil pipeline tariff volumes (by region) </w:t>
            </w:r>
            <w:r>
              <w:rPr>
                <w:rFonts w:ascii="Arial" w:cs="Arial" w:eastAsia="Arial" w:hAnsi="Arial"/>
                <w:sz w:val="22"/>
                <w:szCs w:val="22"/>
                <w:color w:val="auto"/>
                <w:vertAlign w:val="superscript"/>
              </w:rPr>
              <w:t>(1)</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0"/>
        </w:trPr>
        <w:tc>
          <w:tcPr>
            <w:tcW w:w="6280" w:type="dxa"/>
            <w:vAlign w:val="bottom"/>
            <w:gridSpan w:val="2"/>
            <w:shd w:val="clear" w:color="auto" w:fill="CCEEFF"/>
          </w:tcPr>
          <w:p>
            <w:pPr>
              <w:ind w:left="220"/>
              <w:spacing w:after="0" w:line="220" w:lineRule="exact"/>
              <w:rPr>
                <w:sz w:val="20"/>
                <w:szCs w:val="20"/>
                <w:color w:val="auto"/>
              </w:rPr>
            </w:pPr>
            <w:r>
              <w:rPr>
                <w:rFonts w:ascii="Arial" w:cs="Arial" w:eastAsia="Arial" w:hAnsi="Arial"/>
                <w:sz w:val="17"/>
                <w:szCs w:val="17"/>
                <w:color w:val="auto"/>
              </w:rPr>
              <w:t xml:space="preserve">Permian Basin </w:t>
            </w:r>
            <w:r>
              <w:rPr>
                <w:rFonts w:ascii="Arial" w:cs="Arial" w:eastAsia="Arial" w:hAnsi="Arial"/>
                <w:sz w:val="22"/>
                <w:szCs w:val="22"/>
                <w:color w:val="auto"/>
                <w:vertAlign w:val="superscript"/>
              </w:rPr>
              <w:t>(2)</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5,450</w:t>
            </w:r>
          </w:p>
        </w:tc>
      </w:tr>
      <w:tr>
        <w:trPr>
          <w:trHeight w:val="220"/>
        </w:trPr>
        <w:tc>
          <w:tcPr>
            <w:tcW w:w="6280" w:type="dxa"/>
            <w:vAlign w:val="bottom"/>
            <w:gridSpan w:val="2"/>
          </w:tcPr>
          <w:p>
            <w:pPr>
              <w:ind w:left="220"/>
              <w:spacing w:after="0" w:line="220" w:lineRule="exact"/>
              <w:rPr>
                <w:sz w:val="20"/>
                <w:szCs w:val="20"/>
                <w:color w:val="auto"/>
              </w:rPr>
            </w:pPr>
            <w:r>
              <w:rPr>
                <w:rFonts w:ascii="Arial" w:cs="Arial" w:eastAsia="Arial" w:hAnsi="Arial"/>
                <w:sz w:val="17"/>
                <w:szCs w:val="17"/>
                <w:color w:val="auto"/>
              </w:rPr>
              <w:t xml:space="preserve">South Texas / Eagle Ford </w:t>
            </w:r>
            <w:r>
              <w:rPr>
                <w:rFonts w:ascii="Arial" w:cs="Arial" w:eastAsia="Arial" w:hAnsi="Arial"/>
                <w:sz w:val="22"/>
                <w:szCs w:val="22"/>
                <w:color w:val="auto"/>
                <w:vertAlign w:val="superscript"/>
              </w:rPr>
              <w:t>(2)</w:t>
            </w:r>
          </w:p>
        </w:tc>
        <w:tc>
          <w:tcPr>
            <w:tcW w:w="1160" w:type="dxa"/>
            <w:vAlign w:val="bottom"/>
          </w:tcPr>
          <w:p>
            <w:pPr>
              <w:jc w:val="right"/>
              <w:spacing w:after="0"/>
              <w:rPr>
                <w:sz w:val="20"/>
                <w:szCs w:val="20"/>
                <w:color w:val="auto"/>
              </w:rPr>
            </w:pPr>
            <w:r>
              <w:rPr>
                <w:rFonts w:ascii="Arial" w:cs="Arial" w:eastAsia="Arial" w:hAnsi="Arial"/>
                <w:sz w:val="17"/>
                <w:szCs w:val="17"/>
                <w:color w:val="auto"/>
              </w:rPr>
              <w:t>421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344</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349</w:t>
            </w:r>
          </w:p>
        </w:tc>
      </w:tr>
      <w:tr>
        <w:trPr>
          <w:trHeight w:val="220"/>
        </w:trPr>
        <w:tc>
          <w:tcPr>
            <w:tcW w:w="6280" w:type="dxa"/>
            <w:vAlign w:val="bottom"/>
            <w:gridSpan w:val="2"/>
            <w:shd w:val="clear" w:color="auto" w:fill="CCEEFF"/>
          </w:tcPr>
          <w:p>
            <w:pPr>
              <w:ind w:left="220"/>
              <w:spacing w:after="0" w:line="220" w:lineRule="exact"/>
              <w:rPr>
                <w:sz w:val="20"/>
                <w:szCs w:val="20"/>
                <w:color w:val="auto"/>
              </w:rPr>
            </w:pPr>
            <w:r>
              <w:rPr>
                <w:rFonts w:ascii="Arial" w:cs="Arial" w:eastAsia="Arial" w:hAnsi="Arial"/>
                <w:sz w:val="17"/>
                <w:szCs w:val="17"/>
                <w:color w:val="auto"/>
              </w:rPr>
              <w:t xml:space="preserve">Mid-Continent </w:t>
            </w:r>
            <w:r>
              <w:rPr>
                <w:rFonts w:ascii="Arial" w:cs="Arial" w:eastAsia="Arial" w:hAnsi="Arial"/>
                <w:sz w:val="22"/>
                <w:szCs w:val="22"/>
                <w:color w:val="auto"/>
                <w:vertAlign w:val="superscript"/>
              </w:rPr>
              <w:t>(2)</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w:t>
            </w:r>
          </w:p>
        </w:tc>
      </w:tr>
      <w:tr>
        <w:trPr>
          <w:trHeight w:val="220"/>
        </w:trPr>
        <w:tc>
          <w:tcPr>
            <w:tcW w:w="6280" w:type="dxa"/>
            <w:vAlign w:val="bottom"/>
            <w:gridSpan w:val="2"/>
          </w:tcPr>
          <w:p>
            <w:pPr>
              <w:ind w:left="220"/>
              <w:spacing w:after="0"/>
              <w:rPr>
                <w:sz w:val="20"/>
                <w:szCs w:val="20"/>
                <w:color w:val="auto"/>
              </w:rPr>
            </w:pPr>
            <w:r>
              <w:rPr>
                <w:rFonts w:ascii="Arial" w:cs="Arial" w:eastAsia="Arial" w:hAnsi="Arial"/>
                <w:sz w:val="17"/>
                <w:szCs w:val="17"/>
                <w:color w:val="auto"/>
              </w:rPr>
              <w:t>Gulf Coast</w:t>
            </w:r>
          </w:p>
        </w:tc>
        <w:tc>
          <w:tcPr>
            <w:tcW w:w="1160" w:type="dxa"/>
            <w:vAlign w:val="bottom"/>
          </w:tcPr>
          <w:p>
            <w:pPr>
              <w:jc w:val="right"/>
              <w:spacing w:after="0"/>
              <w:rPr>
                <w:sz w:val="20"/>
                <w:szCs w:val="20"/>
                <w:color w:val="auto"/>
              </w:rPr>
            </w:pPr>
            <w:r>
              <w:rPr>
                <w:rFonts w:ascii="Arial" w:cs="Arial" w:eastAsia="Arial" w:hAnsi="Arial"/>
                <w:sz w:val="17"/>
                <w:szCs w:val="17"/>
                <w:color w:val="auto"/>
              </w:rPr>
              <w:t>272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252</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216</w:t>
            </w:r>
          </w:p>
        </w:tc>
      </w:tr>
      <w:tr>
        <w:trPr>
          <w:trHeight w:val="220"/>
        </w:trPr>
        <w:tc>
          <w:tcPr>
            <w:tcW w:w="6280" w:type="dxa"/>
            <w:vAlign w:val="bottom"/>
            <w:gridSpan w:val="2"/>
            <w:shd w:val="clear" w:color="auto" w:fill="CCEEFF"/>
          </w:tcPr>
          <w:p>
            <w:pPr>
              <w:ind w:left="220"/>
              <w:spacing w:after="0" w:line="220" w:lineRule="exact"/>
              <w:rPr>
                <w:sz w:val="20"/>
                <w:szCs w:val="20"/>
                <w:color w:val="auto"/>
              </w:rPr>
            </w:pPr>
            <w:r>
              <w:rPr>
                <w:rFonts w:ascii="Arial" w:cs="Arial" w:eastAsia="Arial" w:hAnsi="Arial"/>
                <w:sz w:val="17"/>
                <w:szCs w:val="17"/>
                <w:color w:val="auto"/>
              </w:rPr>
              <w:t xml:space="preserve">Rocky Mountain </w:t>
            </w:r>
            <w:r>
              <w:rPr>
                <w:rFonts w:ascii="Arial" w:cs="Arial" w:eastAsia="Arial" w:hAnsi="Arial"/>
                <w:sz w:val="22"/>
                <w:szCs w:val="22"/>
                <w:color w:val="auto"/>
                <w:vertAlign w:val="superscript"/>
              </w:rPr>
              <w:t>(2)</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w:t>
            </w:r>
          </w:p>
        </w:tc>
      </w:tr>
      <w:tr>
        <w:trPr>
          <w:trHeight w:val="220"/>
        </w:trPr>
        <w:tc>
          <w:tcPr>
            <w:tcW w:w="6280" w:type="dxa"/>
            <w:vAlign w:val="bottom"/>
            <w:gridSpan w:val="2"/>
          </w:tcPr>
          <w:p>
            <w:pPr>
              <w:ind w:left="220"/>
              <w:spacing w:after="0"/>
              <w:rPr>
                <w:sz w:val="20"/>
                <w:szCs w:val="20"/>
                <w:color w:val="auto"/>
              </w:rPr>
            </w:pPr>
            <w:r>
              <w:rPr>
                <w:rFonts w:ascii="Arial" w:cs="Arial" w:eastAsia="Arial" w:hAnsi="Arial"/>
                <w:sz w:val="17"/>
                <w:szCs w:val="17"/>
                <w:color w:val="auto"/>
              </w:rPr>
              <w:t>Western</w:t>
            </w:r>
          </w:p>
        </w:tc>
        <w:tc>
          <w:tcPr>
            <w:tcW w:w="1160" w:type="dxa"/>
            <w:vAlign w:val="bottom"/>
          </w:tcPr>
          <w:p>
            <w:pPr>
              <w:jc w:val="right"/>
              <w:spacing w:after="0"/>
              <w:rPr>
                <w:sz w:val="20"/>
                <w:szCs w:val="20"/>
                <w:color w:val="auto"/>
              </w:rPr>
            </w:pPr>
            <w:r>
              <w:rPr>
                <w:rFonts w:ascii="Arial" w:cs="Arial" w:eastAsia="Arial" w:hAnsi="Arial"/>
                <w:sz w:val="17"/>
                <w:szCs w:val="17"/>
                <w:color w:val="auto"/>
              </w:rPr>
              <w:t>228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209</w:t>
            </w:r>
          </w:p>
        </w:tc>
      </w:tr>
      <w:tr>
        <w:trPr>
          <w:trHeight w:val="220"/>
        </w:trPr>
        <w:tc>
          <w:tcPr>
            <w:tcW w:w="62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Canada</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w:t>
            </w:r>
          </w:p>
        </w:tc>
      </w:tr>
      <w:tr>
        <w:trPr>
          <w:trHeight w:val="213"/>
        </w:trPr>
        <w:tc>
          <w:tcPr>
            <w:tcW w:w="6280" w:type="dxa"/>
            <w:vAlign w:val="bottom"/>
            <w:gridSpan w:val="2"/>
          </w:tcPr>
          <w:p>
            <w:pPr>
              <w:ind w:left="120"/>
              <w:spacing w:after="0" w:line="212" w:lineRule="exact"/>
              <w:rPr>
                <w:sz w:val="20"/>
                <w:szCs w:val="20"/>
                <w:color w:val="auto"/>
              </w:rPr>
            </w:pPr>
            <w:r>
              <w:rPr>
                <w:rFonts w:ascii="Arial" w:cs="Arial" w:eastAsia="Arial" w:hAnsi="Arial"/>
                <w:sz w:val="17"/>
                <w:szCs w:val="17"/>
                <w:color w:val="auto"/>
              </w:rPr>
              <w:t xml:space="preserve">Total crude oil pipeline tariff volumes </w:t>
            </w:r>
            <w:r>
              <w:rPr>
                <w:rFonts w:ascii="Arial" w:cs="Arial" w:eastAsia="Arial" w:hAnsi="Arial"/>
                <w:sz w:val="22"/>
                <w:szCs w:val="22"/>
                <w:color w:val="auto"/>
                <w:vertAlign w:val="superscript"/>
              </w:rPr>
              <w:t>(1) (2)</w:t>
            </w:r>
          </w:p>
        </w:tc>
        <w:tc>
          <w:tcPr>
            <w:tcW w:w="1160" w:type="dxa"/>
            <w:vAlign w:val="bottom"/>
          </w:tcPr>
          <w:p>
            <w:pPr>
              <w:jc w:val="right"/>
              <w:spacing w:after="0"/>
              <w:rPr>
                <w:sz w:val="20"/>
                <w:szCs w:val="20"/>
                <w:color w:val="auto"/>
              </w:rPr>
            </w:pPr>
            <w:r>
              <w:rPr>
                <w:rFonts w:ascii="Arial" w:cs="Arial" w:eastAsia="Arial" w:hAnsi="Arial"/>
                <w:sz w:val="17"/>
                <w:szCs w:val="17"/>
                <w:color w:val="auto"/>
              </w:rPr>
              <w:t>8,259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7,581</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8,310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7,387</w:t>
            </w:r>
          </w:p>
        </w:tc>
      </w:tr>
      <w:tr>
        <w:trPr>
          <w:trHeight w:val="245"/>
        </w:trPr>
        <w:tc>
          <w:tcPr>
            <w:tcW w:w="388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20"/>
        </w:trPr>
        <w:tc>
          <w:tcPr>
            <w:tcW w:w="6280" w:type="dxa"/>
            <w:vAlign w:val="bottom"/>
            <w:gridSpan w:val="2"/>
          </w:tcPr>
          <w:p>
            <w:pPr>
              <w:ind w:left="120"/>
              <w:spacing w:after="0" w:line="220" w:lineRule="exact"/>
              <w:rPr>
                <w:sz w:val="20"/>
                <w:szCs w:val="20"/>
                <w:color w:val="auto"/>
              </w:rPr>
            </w:pPr>
            <w:r>
              <w:rPr>
                <w:rFonts w:ascii="Arial" w:cs="Arial" w:eastAsia="Arial" w:hAnsi="Arial"/>
                <w:sz w:val="17"/>
                <w:szCs w:val="17"/>
                <w:color w:val="auto"/>
              </w:rPr>
              <w:t xml:space="preserve">Commercial crude oil storage capacity </w:t>
            </w:r>
            <w:r>
              <w:rPr>
                <w:rFonts w:ascii="Arial" w:cs="Arial" w:eastAsia="Arial" w:hAnsi="Arial"/>
                <w:sz w:val="22"/>
                <w:szCs w:val="22"/>
                <w:color w:val="auto"/>
                <w:vertAlign w:val="superscript"/>
              </w:rPr>
              <w:t>(2) (3)</w:t>
            </w:r>
          </w:p>
        </w:tc>
        <w:tc>
          <w:tcPr>
            <w:tcW w:w="116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45"/>
        </w:trPr>
        <w:tc>
          <w:tcPr>
            <w:tcW w:w="388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20"/>
        </w:trPr>
        <w:tc>
          <w:tcPr>
            <w:tcW w:w="6280" w:type="dxa"/>
            <w:vAlign w:val="bottom"/>
            <w:gridSpan w:val="2"/>
          </w:tcPr>
          <w:p>
            <w:pPr>
              <w:ind w:left="120"/>
              <w:spacing w:after="0" w:line="220" w:lineRule="exact"/>
              <w:rPr>
                <w:sz w:val="20"/>
                <w:szCs w:val="20"/>
                <w:color w:val="auto"/>
              </w:rPr>
            </w:pPr>
            <w:r>
              <w:rPr>
                <w:rFonts w:ascii="Arial" w:cs="Arial" w:eastAsia="Arial" w:hAnsi="Arial"/>
                <w:sz w:val="17"/>
                <w:szCs w:val="17"/>
                <w:color w:val="auto"/>
              </w:rPr>
              <w:t xml:space="preserve">Crude oil lease gathering purchases </w:t>
            </w:r>
            <w:r>
              <w:rPr>
                <w:rFonts w:ascii="Arial" w:cs="Arial" w:eastAsia="Arial" w:hAnsi="Arial"/>
                <w:sz w:val="22"/>
                <w:szCs w:val="22"/>
                <w:color w:val="auto"/>
                <w:vertAlign w:val="superscript"/>
              </w:rPr>
              <w:t>(1)</w:t>
            </w:r>
          </w:p>
        </w:tc>
        <w:tc>
          <w:tcPr>
            <w:tcW w:w="1160" w:type="dxa"/>
            <w:vAlign w:val="bottom"/>
          </w:tcPr>
          <w:p>
            <w:pPr>
              <w:jc w:val="right"/>
              <w:spacing w:after="0"/>
              <w:rPr>
                <w:sz w:val="20"/>
                <w:szCs w:val="20"/>
                <w:color w:val="auto"/>
              </w:rPr>
            </w:pPr>
            <w:r>
              <w:rPr>
                <w:rFonts w:ascii="Arial" w:cs="Arial" w:eastAsia="Arial" w:hAnsi="Arial"/>
                <w:sz w:val="17"/>
                <w:szCs w:val="17"/>
                <w:color w:val="auto"/>
              </w:rPr>
              <w:t>1,455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1,390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1,373</w:t>
            </w:r>
          </w:p>
        </w:tc>
      </w:tr>
      <w:tr>
        <w:trPr>
          <w:trHeight w:val="245"/>
        </w:trPr>
        <w:tc>
          <w:tcPr>
            <w:tcW w:w="388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20"/>
        </w:trPr>
        <w:tc>
          <w:tcPr>
            <w:tcW w:w="6280" w:type="dxa"/>
            <w:vAlign w:val="bottom"/>
            <w:gridSpan w:val="2"/>
          </w:tcPr>
          <w:p>
            <w:pPr>
              <w:ind w:left="20"/>
              <w:spacing w:after="0" w:line="220" w:lineRule="exact"/>
              <w:rPr>
                <w:sz w:val="20"/>
                <w:szCs w:val="20"/>
                <w:color w:val="auto"/>
              </w:rPr>
            </w:pPr>
            <w:r>
              <w:rPr>
                <w:rFonts w:ascii="Arial" w:cs="Arial" w:eastAsia="Arial" w:hAnsi="Arial"/>
                <w:sz w:val="17"/>
                <w:szCs w:val="17"/>
                <w:b w:val="1"/>
                <w:bCs w:val="1"/>
                <w:color w:val="auto"/>
              </w:rPr>
              <w:t xml:space="preserve">NGL Segment Volumes </w:t>
            </w:r>
            <w:r>
              <w:rPr>
                <w:rFonts w:ascii="Arial" w:cs="Arial" w:eastAsia="Arial" w:hAnsi="Arial"/>
                <w:sz w:val="22"/>
                <w:szCs w:val="22"/>
                <w:color w:val="auto"/>
                <w:vertAlign w:val="superscript"/>
              </w:rPr>
              <w:t>(1)</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0"/>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NGL fractionation</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r>
      <w:tr>
        <w:trPr>
          <w:trHeight w:val="220"/>
        </w:trPr>
        <w:tc>
          <w:tcPr>
            <w:tcW w:w="6280" w:type="dxa"/>
            <w:vAlign w:val="bottom"/>
            <w:gridSpan w:val="2"/>
          </w:tcPr>
          <w:p>
            <w:pPr>
              <w:ind w:left="180"/>
              <w:spacing w:after="0"/>
              <w:rPr>
                <w:sz w:val="20"/>
                <w:szCs w:val="20"/>
                <w:color w:val="auto"/>
              </w:rPr>
            </w:pPr>
            <w:r>
              <w:rPr>
                <w:rFonts w:ascii="Arial" w:cs="Arial" w:eastAsia="Arial" w:hAnsi="Arial"/>
                <w:sz w:val="17"/>
                <w:szCs w:val="17"/>
                <w:color w:val="auto"/>
              </w:rPr>
              <w:t>NGL pipeline tariff volumes</w:t>
            </w:r>
          </w:p>
        </w:tc>
        <w:tc>
          <w:tcPr>
            <w:tcW w:w="1160" w:type="dxa"/>
            <w:vAlign w:val="bottom"/>
          </w:tcPr>
          <w:p>
            <w:pPr>
              <w:jc w:val="right"/>
              <w:spacing w:after="0"/>
              <w:rPr>
                <w:sz w:val="20"/>
                <w:szCs w:val="20"/>
                <w:color w:val="auto"/>
              </w:rPr>
            </w:pPr>
            <w:r>
              <w:rPr>
                <w:rFonts w:ascii="Arial" w:cs="Arial" w:eastAsia="Arial" w:hAnsi="Arial"/>
                <w:sz w:val="17"/>
                <w:szCs w:val="17"/>
                <w:color w:val="auto"/>
              </w:rPr>
              <w:t>193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182</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182</w:t>
            </w:r>
          </w:p>
        </w:tc>
      </w:tr>
      <w:tr>
        <w:trPr>
          <w:trHeight w:val="220"/>
        </w:trPr>
        <w:tc>
          <w:tcPr>
            <w:tcW w:w="6280" w:type="dxa"/>
            <w:vAlign w:val="bottom"/>
            <w:gridSpan w:val="2"/>
            <w:shd w:val="clear" w:color="auto" w:fill="CCEEFF"/>
          </w:tcPr>
          <w:p>
            <w:pPr>
              <w:ind w:left="180"/>
              <w:spacing w:after="0" w:line="220" w:lineRule="exact"/>
              <w:rPr>
                <w:sz w:val="20"/>
                <w:szCs w:val="20"/>
                <w:color w:val="auto"/>
              </w:rPr>
            </w:pPr>
            <w:r>
              <w:rPr>
                <w:rFonts w:ascii="Arial" w:cs="Arial" w:eastAsia="Arial" w:hAnsi="Arial"/>
                <w:sz w:val="17"/>
                <w:szCs w:val="17"/>
                <w:color w:val="auto"/>
              </w:rPr>
              <w:t xml:space="preserve">Propane and butane sales </w:t>
            </w:r>
            <w:r>
              <w:rPr>
                <w:rFonts w:ascii="Arial" w:cs="Arial" w:eastAsia="Arial" w:hAnsi="Arial"/>
                <w:sz w:val="22"/>
                <w:szCs w:val="22"/>
                <w:color w:val="auto"/>
                <w:vertAlign w:val="superscript"/>
              </w:rPr>
              <w:t>(4)</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r>
      <w:tr>
        <w:trPr>
          <w:trHeight w:val="155"/>
        </w:trPr>
        <w:tc>
          <w:tcPr>
            <w:tcW w:w="3880" w:type="dxa"/>
            <w:vAlign w:val="bottom"/>
            <w:tcBorders>
              <w:bottom w:val="single" w:sz="8" w:color="auto"/>
            </w:tcBorders>
          </w:tcPr>
          <w:p>
            <w:pPr>
              <w:spacing w:after="0"/>
              <w:rPr>
                <w:sz w:val="13"/>
                <w:szCs w:val="13"/>
                <w:color w:val="auto"/>
              </w:rPr>
            </w:pPr>
          </w:p>
        </w:tc>
        <w:tc>
          <w:tcPr>
            <w:tcW w:w="2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r>
    </w:tbl>
    <w:p>
      <w:pPr>
        <w:spacing w:after="0" w:line="130" w:lineRule="exact"/>
        <w:rPr>
          <w:sz w:val="20"/>
          <w:szCs w:val="20"/>
          <w:color w:val="auto"/>
        </w:rPr>
      </w:pPr>
    </w:p>
    <w:p>
      <w:pPr>
        <w:ind w:left="320" w:right="320" w:hanging="317"/>
        <w:spacing w:after="0" w:line="253" w:lineRule="auto"/>
        <w:tabs>
          <w:tab w:leader="none" w:pos="308"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Average volumes in thousands of barrels per day calculated as the total volumes (attributable to our interest for assets owned by unconsolidated entities or through undivided joint interests) for the period divided by the number of days in the period. Volumes associated with assets acquired during the period represent total volumes for the number of days we actually owned the assets divided by the number of days in the period.</w:t>
      </w:r>
    </w:p>
    <w:p>
      <w:pPr>
        <w:sectPr>
          <w:pgSz w:w="11900" w:h="16838" w:orient="portrait"/>
          <w:cols w:equalWidth="0" w:num="1">
            <w:col w:w="11240"/>
          </w:cols>
          <w:pgMar w:left="320" w:top="360" w:right="339" w:bottom="144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Includes volumes (attributable to our interest) from assets owned by unconsolidated entities.</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color w:val="auto"/>
        </w:rPr>
        <w:t>Average monthly capacity in millions of barrels calculated as total volumes for the period divided by the number of months in the period.</w:t>
      </w:r>
    </w:p>
    <w:p>
      <w:pPr>
        <w:spacing w:after="0" w:line="86" w:lineRule="exact"/>
        <w:rPr>
          <w:sz w:val="20"/>
          <w:szCs w:val="20"/>
          <w:color w:val="auto"/>
        </w:rPr>
      </w:pPr>
    </w:p>
    <w:p>
      <w:pPr>
        <w:sectPr>
          <w:pgSz w:w="11900" w:h="16838" w:orient="portrait"/>
          <w:cols w:equalWidth="0" w:num="2">
            <w:col w:w="140" w:space="160"/>
            <w:col w:w="10940"/>
          </w:cols>
          <w:pgMar w:left="320" w:top="360" w:right="339" w:bottom="1440" w:gutter="0" w:footer="0" w:header="0"/>
          <w:type w:val="continuous"/>
        </w:sectPr>
      </w:pPr>
    </w:p>
    <w:p>
      <w:pPr>
        <w:ind w:left="320" w:right="200" w:hanging="317"/>
        <w:spacing w:after="0"/>
        <w:tabs>
          <w:tab w:leader="none" w:pos="308"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During the fourth quarter of 2022, we modified our reported sales volumes to include only propane and butane sales. Prior to the fourth quarter of 2022, our reported sales volumes included other NGL products, primarily ethane, that represented a significant portion of our total NGL sales volumes but did not contribute significantly to Segment Adjusted EBITDA. Sales volumes for earlier periods presented herein have been recast to include only propane and butane.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7"/>
          <w:szCs w:val="17"/>
          <w:u w:val="single" w:color="auto"/>
          <w:color w:val="auto"/>
        </w:rPr>
        <w:t>Page 16</w:t>
      </w: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NON-GAAP SEGMENT RECONCILIATIONS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Adjusted EBITDA to Adjusted EBITDA attributable to PAA Reconciliation:</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20" w:type="dxa"/>
            <w:vAlign w:val="bottom"/>
            <w:gridSpan w:val="4"/>
          </w:tcPr>
          <w:p>
            <w:pPr>
              <w:jc w:val="right"/>
              <w:ind w:right="118"/>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gridSpan w:val="4"/>
          </w:tcPr>
          <w:p>
            <w:pPr>
              <w:jc w:val="right"/>
              <w:ind w:right="517"/>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18"/>
              <w:spacing w:after="0"/>
              <w:rPr>
                <w:sz w:val="20"/>
                <w:szCs w:val="20"/>
                <w:color w:val="auto"/>
              </w:rPr>
            </w:pPr>
            <w:r>
              <w:rPr>
                <w:rFonts w:ascii="Arial" w:cs="Arial" w:eastAsia="Arial" w:hAnsi="Arial"/>
                <w:sz w:val="14"/>
                <w:szCs w:val="14"/>
                <w:b w:val="1"/>
                <w:bCs w:val="1"/>
                <w:color w:val="auto"/>
                <w:w w:val="89"/>
              </w:rPr>
              <w:t>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3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w w:val="96"/>
              </w:rPr>
              <w:t>2022</w:t>
            </w:r>
          </w:p>
        </w:tc>
      </w:tr>
      <w:tr>
        <w:trPr>
          <w:trHeight w:val="220"/>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Crude Oil Segment Adjusted EBITDA</w:t>
            </w:r>
          </w:p>
        </w:tc>
        <w:tc>
          <w:tcPr>
            <w:tcW w:w="740" w:type="dxa"/>
            <w:vAlign w:val="bottom"/>
            <w:shd w:val="clear" w:color="auto" w:fill="CCEEFF"/>
          </w:tcPr>
          <w:p>
            <w:pPr>
              <w:jc w:val="right"/>
              <w:ind w:right="561"/>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8"/>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1,482</w:t>
            </w:r>
          </w:p>
        </w:tc>
      </w:tr>
      <w:tr>
        <w:trPr>
          <w:trHeight w:val="220"/>
        </w:trPr>
        <w:tc>
          <w:tcPr>
            <w:tcW w:w="61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NGL Segment Adjusted EBITDA</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367</w:t>
            </w:r>
          </w:p>
        </w:tc>
      </w:tr>
      <w:tr>
        <w:trPr>
          <w:trHeight w:val="213"/>
        </w:trPr>
        <w:tc>
          <w:tcPr>
            <w:tcW w:w="61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Segment Adjusted EBITDA</w:t>
            </w:r>
          </w:p>
        </w:tc>
        <w:tc>
          <w:tcPr>
            <w:tcW w:w="740" w:type="dxa"/>
            <w:vAlign w:val="bottom"/>
            <w:shd w:val="clear" w:color="auto" w:fill="CCEEFF"/>
          </w:tcPr>
          <w:p>
            <w:pPr>
              <w:jc w:val="right"/>
              <w:ind w:right="561"/>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652</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8"/>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1,849</w:t>
            </w:r>
          </w:p>
        </w:tc>
      </w:tr>
      <w:tr>
        <w:trPr>
          <w:trHeight w:val="220"/>
        </w:trPr>
        <w:tc>
          <w:tcPr>
            <w:tcW w:w="6180" w:type="dxa"/>
            <w:vAlign w:val="bottom"/>
            <w:tcBorders>
              <w:bottom w:val="single" w:sz="8" w:color="CCEEFF"/>
            </w:tcBorders>
            <w:gridSpan w:val="2"/>
          </w:tcPr>
          <w:p>
            <w:pPr>
              <w:ind w:left="20"/>
              <w:spacing w:after="0" w:line="220" w:lineRule="exact"/>
              <w:rPr>
                <w:sz w:val="20"/>
                <w:szCs w:val="20"/>
                <w:color w:val="auto"/>
              </w:rPr>
            </w:pPr>
            <w:r>
              <w:rPr>
                <w:rFonts w:ascii="Arial" w:cs="Arial" w:eastAsia="Arial" w:hAnsi="Arial"/>
                <w:sz w:val="17"/>
                <w:szCs w:val="17"/>
                <w:color w:val="auto"/>
              </w:rPr>
              <w:t xml:space="preserve">Adjusted other income/(expense), net </w:t>
            </w:r>
            <w:r>
              <w:rPr>
                <w:rFonts w:ascii="Arial" w:cs="Arial" w:eastAsia="Arial" w:hAnsi="Arial"/>
                <w:sz w:val="22"/>
                <w:szCs w:val="22"/>
                <w:color w:val="auto"/>
                <w:vertAlign w:val="superscript"/>
              </w:rPr>
              <w:t>(1)</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r>
      <w:tr>
        <w:trPr>
          <w:trHeight w:val="238"/>
        </w:trPr>
        <w:tc>
          <w:tcPr>
            <w:tcW w:w="6180" w:type="dxa"/>
            <w:vAlign w:val="bottom"/>
            <w:tcBorders>
              <w:bottom w:val="single" w:sz="8" w:color="CCEEFF"/>
            </w:tcBorders>
            <w:gridSpan w:val="2"/>
            <w:shd w:val="clear" w:color="auto" w:fill="CCEEFF"/>
          </w:tcPr>
          <w:p>
            <w:pPr>
              <w:ind w:left="120"/>
              <w:spacing w:after="0" w:line="212" w:lineRule="exact"/>
              <w:rPr>
                <w:sz w:val="20"/>
                <w:szCs w:val="20"/>
                <w:color w:val="auto"/>
              </w:rPr>
            </w:pPr>
            <w:r>
              <w:rPr>
                <w:rFonts w:ascii="Arial" w:cs="Arial" w:eastAsia="Arial" w:hAnsi="Arial"/>
                <w:sz w:val="17"/>
                <w:szCs w:val="17"/>
                <w:color w:val="auto"/>
              </w:rPr>
              <w:t xml:space="preserve">Adjusted EBITDA attributable to PAA </w:t>
            </w:r>
            <w:r>
              <w:rPr>
                <w:rFonts w:ascii="Arial" w:cs="Arial" w:eastAsia="Arial" w:hAnsi="Arial"/>
                <w:sz w:val="22"/>
                <w:szCs w:val="22"/>
                <w:color w:val="auto"/>
                <w:vertAlign w:val="superscript"/>
              </w:rPr>
              <w:t>(2)</w:t>
            </w:r>
          </w:p>
        </w:tc>
        <w:tc>
          <w:tcPr>
            <w:tcW w:w="740" w:type="dxa"/>
            <w:vAlign w:val="bottom"/>
            <w:tcBorders>
              <w:bottom w:val="single" w:sz="8" w:color="auto"/>
            </w:tcBorders>
            <w:shd w:val="clear" w:color="auto" w:fill="CCEEFF"/>
          </w:tcPr>
          <w:p>
            <w:pPr>
              <w:jc w:val="right"/>
              <w:ind w:right="561"/>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662</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78"/>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78"/>
        </w:trPr>
        <w:tc>
          <w:tcPr>
            <w:tcW w:w="3880" w:type="dxa"/>
            <w:vAlign w:val="bottom"/>
            <w:tcBorders>
              <w:bottom w:val="single" w:sz="8" w:color="auto"/>
            </w:tcBorders>
          </w:tcPr>
          <w:p>
            <w:pPr>
              <w:spacing w:after="0"/>
              <w:rPr>
                <w:sz w:val="15"/>
                <w:szCs w:val="15"/>
                <w:color w:val="auto"/>
              </w:rPr>
            </w:pPr>
          </w:p>
        </w:tc>
        <w:tc>
          <w:tcPr>
            <w:tcW w:w="2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r>
    </w:tbl>
    <w:p>
      <w:pPr>
        <w:spacing w:after="0" w:line="130" w:lineRule="exact"/>
        <w:rPr>
          <w:sz w:val="20"/>
          <w:szCs w:val="20"/>
          <w:color w:val="auto"/>
        </w:rPr>
      </w:pPr>
    </w:p>
    <w:p>
      <w:pPr>
        <w:jc w:val="both"/>
        <w:ind w:left="320" w:right="300" w:hanging="317"/>
        <w:spacing w:after="0" w:line="235" w:lineRule="auto"/>
        <w:tabs>
          <w:tab w:leader="none" w:pos="308" w:val="left"/>
        </w:tabs>
        <w:numPr>
          <w:ilvl w:val="0"/>
          <w:numId w:val="20"/>
        </w:numPr>
        <w:rPr>
          <w:rFonts w:ascii="Arial" w:cs="Arial" w:eastAsia="Arial" w:hAnsi="Arial"/>
          <w:sz w:val="22"/>
          <w:szCs w:val="22"/>
          <w:color w:val="auto"/>
          <w:vertAlign w:val="superscript"/>
        </w:rPr>
      </w:pPr>
      <w:r>
        <w:rPr>
          <w:rFonts w:ascii="Arial" w:cs="Arial" w:eastAsia="Arial" w:hAnsi="Arial"/>
          <w:sz w:val="17"/>
          <w:szCs w:val="17"/>
          <w:color w:val="auto"/>
        </w:rPr>
        <w:t>Represents “Other income/(expense), net” as reported on our Condensed Consolidated Statements of Operations, excluding other income/(expense), net attributable to noncontrolling interests, adjusted for selected items impacting comparability. See the “Selected Items Impacting Comparability” table for additional information.</w:t>
      </w:r>
    </w:p>
    <w:p>
      <w:pPr>
        <w:spacing w:after="0" w:line="7"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20"/>
        </w:numPr>
        <w:rPr>
          <w:rFonts w:ascii="Arial" w:cs="Arial" w:eastAsia="Arial" w:hAnsi="Arial"/>
          <w:sz w:val="22"/>
          <w:szCs w:val="22"/>
          <w:color w:val="auto"/>
          <w:vertAlign w:val="superscript"/>
        </w:rPr>
      </w:pPr>
      <w:r>
        <w:rPr>
          <w:rFonts w:ascii="Arial" w:cs="Arial" w:eastAsia="Arial" w:hAnsi="Arial"/>
          <w:sz w:val="17"/>
          <w:szCs w:val="17"/>
          <w:color w:val="auto"/>
        </w:rPr>
        <w:t>See the “Net Income to Adjusted EBITDA attributable to PAA and Implied DCF Reconciliation” table for reconciliation to Net Income.</w:t>
      </w:r>
    </w:p>
    <w:p>
      <w:pPr>
        <w:spacing w:after="0" w:line="200" w:lineRule="exact"/>
        <w:rPr>
          <w:sz w:val="20"/>
          <w:szCs w:val="20"/>
          <w:color w:val="auto"/>
        </w:rPr>
      </w:pPr>
    </w:p>
    <w:p>
      <w:pPr>
        <w:spacing w:after="0" w:line="24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080"/>
          </w:cols>
          <w:pgMar w:left="320" w:top="360" w:right="49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auto"/>
        </w:rPr>
        <w:t>Page 17</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CONSOLIDATING STATEMENTS OF OPERATIONS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Three Months Ended</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Three Months Ended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7"/>
        </w:trPr>
        <w:tc>
          <w:tcPr>
            <w:tcW w:w="3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7"/>
              </w:rPr>
              <w:t>September 30, 2023</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7"/>
              </w:rPr>
              <w:t>September 30, 2022</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79"/>
        </w:trPr>
        <w:tc>
          <w:tcPr>
            <w:tcW w:w="3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Consolidating</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Consolidating</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9"/>
        </w:trPr>
        <w:tc>
          <w:tcPr>
            <w:tcW w:w="33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374"/>
              <w:spacing w:after="0"/>
              <w:rPr>
                <w:sz w:val="20"/>
                <w:szCs w:val="20"/>
                <w:color w:val="auto"/>
              </w:rPr>
            </w:pPr>
            <w:r>
              <w:rPr>
                <w:rFonts w:ascii="Arial" w:cs="Arial" w:eastAsia="Arial" w:hAnsi="Arial"/>
                <w:sz w:val="14"/>
                <w:szCs w:val="14"/>
                <w:b w:val="1"/>
                <w:bCs w:val="1"/>
                <w:color w:val="auto"/>
              </w:rPr>
              <w:t>PAA</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7"/>
              </w:rPr>
              <w:t xml:space="preserve">Adjustments </w:t>
            </w:r>
            <w:r>
              <w:rPr>
                <w:rFonts w:ascii="Arial" w:cs="Arial" w:eastAsia="Arial" w:hAnsi="Arial"/>
                <w:sz w:val="17"/>
                <w:szCs w:val="17"/>
                <w:b w:val="1"/>
                <w:bCs w:val="1"/>
                <w:color w:val="auto"/>
                <w:w w:val="87"/>
                <w:vertAlign w:val="superscript"/>
              </w:rPr>
              <w:t>(1)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PAGP</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PAA</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7"/>
              </w:rPr>
              <w:t xml:space="preserve">Adjustments </w:t>
            </w:r>
            <w:r>
              <w:rPr>
                <w:rFonts w:ascii="Arial" w:cs="Arial" w:eastAsia="Arial" w:hAnsi="Arial"/>
                <w:sz w:val="17"/>
                <w:szCs w:val="17"/>
                <w:b w:val="1"/>
                <w:bCs w:val="1"/>
                <w:color w:val="auto"/>
                <w:w w:val="87"/>
                <w:vertAlign w:val="superscript"/>
              </w:rPr>
              <w:t>(1)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PAGP</w:t>
            </w:r>
          </w:p>
        </w:tc>
      </w:tr>
      <w:tr>
        <w:trPr>
          <w:trHeight w:val="213"/>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12,071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12,071</w:t>
            </w:r>
          </w:p>
        </w:tc>
        <w:tc>
          <w:tcPr>
            <w:tcW w:w="120" w:type="dxa"/>
            <w:vAlign w:val="bottom"/>
            <w:tcBorders>
              <w:right w:val="single" w:sz="8" w:color="auto"/>
            </w:tcBorders>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14,336</w:t>
            </w: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COSTS AND EXPENSES</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3380" w:type="dxa"/>
            <w:vAlign w:val="bottom"/>
          </w:tcPr>
          <w:p>
            <w:pPr>
              <w:ind w:left="20"/>
              <w:spacing w:after="0"/>
              <w:rPr>
                <w:sz w:val="20"/>
                <w:szCs w:val="20"/>
                <w:color w:val="auto"/>
              </w:rPr>
            </w:pPr>
            <w:r>
              <w:rPr>
                <w:rFonts w:ascii="Arial" w:cs="Arial" w:eastAsia="Arial" w:hAnsi="Arial"/>
                <w:sz w:val="17"/>
                <w:szCs w:val="17"/>
                <w:color w:val="auto"/>
              </w:rPr>
              <w:t>Purchases and related costs</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11,106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11,106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13,071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13,071</w:t>
            </w: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Field operating costs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w:t>
            </w:r>
          </w:p>
        </w:tc>
      </w:tr>
      <w:tr>
        <w:trPr>
          <w:trHeight w:val="220"/>
        </w:trPr>
        <w:tc>
          <w:tcPr>
            <w:tcW w:w="3380" w:type="dxa"/>
            <w:vAlign w:val="bottom"/>
          </w:tcPr>
          <w:p>
            <w:pPr>
              <w:ind w:left="20"/>
              <w:spacing w:after="0"/>
              <w:rPr>
                <w:sz w:val="20"/>
                <w:szCs w:val="20"/>
                <w:color w:val="auto"/>
              </w:rPr>
            </w:pPr>
            <w:r>
              <w:rPr>
                <w:rFonts w:ascii="Arial" w:cs="Arial" w:eastAsia="Arial" w:hAnsi="Arial"/>
                <w:sz w:val="17"/>
                <w:szCs w:val="17"/>
                <w:color w:val="auto"/>
              </w:rPr>
              <w:t>General and administrative expenses</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84</w:t>
            </w: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w:t>
            </w:r>
          </w:p>
        </w:tc>
      </w:tr>
      <w:tr>
        <w:trPr>
          <w:trHeight w:val="168"/>
        </w:trPr>
        <w:tc>
          <w:tcPr>
            <w:tcW w:w="3380" w:type="dxa"/>
            <w:vAlign w:val="bottom"/>
          </w:tcPr>
          <w:p>
            <w:pPr>
              <w:ind w:left="20"/>
              <w:spacing w:after="0" w:line="168" w:lineRule="exact"/>
              <w:rPr>
                <w:sz w:val="20"/>
                <w:szCs w:val="20"/>
                <w:color w:val="auto"/>
              </w:rPr>
            </w:pPr>
            <w:r>
              <w:rPr>
                <w:rFonts w:ascii="Arial" w:cs="Arial" w:eastAsia="Arial" w:hAnsi="Arial"/>
                <w:sz w:val="17"/>
                <w:szCs w:val="17"/>
                <w:color w:val="auto"/>
              </w:rPr>
              <w:t>(Gains)/losses on asset sales and asset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2"/>
        </w:trPr>
        <w:tc>
          <w:tcPr>
            <w:tcW w:w="3380" w:type="dxa"/>
            <w:vAlign w:val="bottom"/>
          </w:tcPr>
          <w:p>
            <w:pPr>
              <w:ind w:left="180"/>
              <w:spacing w:after="0"/>
              <w:rPr>
                <w:sz w:val="20"/>
                <w:szCs w:val="20"/>
                <w:color w:val="auto"/>
              </w:rPr>
            </w:pPr>
            <w:r>
              <w:rPr>
                <w:rFonts w:ascii="Arial" w:cs="Arial" w:eastAsia="Arial" w:hAnsi="Arial"/>
                <w:sz w:val="17"/>
                <w:szCs w:val="17"/>
                <w:color w:val="auto"/>
              </w:rPr>
              <w:t>impairments, net</w:t>
            </w:r>
          </w:p>
        </w:tc>
        <w:tc>
          <w:tcPr>
            <w:tcW w:w="2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33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costs and expenses</w:t>
            </w: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11,837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11,839</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13,710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13,712</w:t>
            </w: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624</w:t>
            </w: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INCOME/(EXPENSE)</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3380" w:type="dxa"/>
            <w:vAlign w:val="bottom"/>
          </w:tcPr>
          <w:p>
            <w:pPr>
              <w:ind w:left="20"/>
              <w:spacing w:after="0"/>
              <w:rPr>
                <w:sz w:val="20"/>
                <w:szCs w:val="20"/>
                <w:color w:val="auto"/>
              </w:rPr>
            </w:pPr>
            <w:r>
              <w:rPr>
                <w:rFonts w:ascii="Arial" w:cs="Arial" w:eastAsia="Arial" w:hAnsi="Arial"/>
                <w:sz w:val="17"/>
                <w:szCs w:val="17"/>
                <w:color w:val="auto"/>
              </w:rPr>
              <w:t>Equity earnings in unconsolidated entities</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105</w:t>
            </w: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7"/>
              </w:rPr>
              <w:t>Gain on investment in unconsolidated entities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0"/>
        </w:trPr>
        <w:tc>
          <w:tcPr>
            <w:tcW w:w="3380" w:type="dxa"/>
            <w:vAlign w:val="bottom"/>
          </w:tcPr>
          <w:p>
            <w:pPr>
              <w:ind w:left="20"/>
              <w:spacing w:after="0"/>
              <w:rPr>
                <w:sz w:val="20"/>
                <w:szCs w:val="20"/>
                <w:color w:val="auto"/>
              </w:rPr>
            </w:pPr>
            <w:r>
              <w:rPr>
                <w:rFonts w:ascii="Arial" w:cs="Arial" w:eastAsia="Arial" w:hAnsi="Arial"/>
                <w:sz w:val="17"/>
                <w:szCs w:val="17"/>
                <w:color w:val="auto"/>
              </w:rPr>
              <w:t>Interest expense, net</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income/(expense), net</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r>
      <w:tr>
        <w:trPr>
          <w:trHeight w:val="187"/>
        </w:trPr>
        <w:tc>
          <w:tcPr>
            <w:tcW w:w="33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BEFORE TAX</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549</w:t>
            </w:r>
          </w:p>
        </w:tc>
      </w:tr>
      <w:tr>
        <w:trPr>
          <w:trHeight w:val="220"/>
        </w:trPr>
        <w:tc>
          <w:tcPr>
            <w:tcW w:w="3380" w:type="dxa"/>
            <w:vAlign w:val="bottom"/>
          </w:tcPr>
          <w:p>
            <w:pPr>
              <w:ind w:left="20"/>
              <w:spacing w:after="0"/>
              <w:rPr>
                <w:sz w:val="20"/>
                <w:szCs w:val="20"/>
                <w:color w:val="auto"/>
              </w:rPr>
            </w:pPr>
            <w:r>
              <w:rPr>
                <w:rFonts w:ascii="Arial" w:cs="Arial" w:eastAsia="Arial" w:hAnsi="Arial"/>
                <w:sz w:val="17"/>
                <w:szCs w:val="17"/>
                <w:color w:val="auto"/>
              </w:rPr>
              <w:t>Current income tax expense</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 (expense)/benefit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w:t>
            </w:r>
          </w:p>
        </w:tc>
      </w:tr>
      <w:tr>
        <w:trPr>
          <w:trHeight w:val="187"/>
        </w:trPr>
        <w:tc>
          <w:tcPr>
            <w:tcW w:w="3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w:t>
            </w:r>
          </w:p>
        </w:tc>
      </w:tr>
      <w:tr>
        <w:trPr>
          <w:trHeight w:val="168"/>
        </w:trPr>
        <w:tc>
          <w:tcPr>
            <w:tcW w:w="3380" w:type="dxa"/>
            <w:vAlign w:val="bottom"/>
          </w:tcPr>
          <w:p>
            <w:pPr>
              <w:ind w:left="180"/>
              <w:spacing w:after="0" w:line="168" w:lineRule="exact"/>
              <w:rPr>
                <w:sz w:val="20"/>
                <w:szCs w:val="20"/>
                <w:color w:val="auto"/>
              </w:rPr>
            </w:pPr>
            <w:r>
              <w:rPr>
                <w:rFonts w:ascii="Arial" w:cs="Arial" w:eastAsia="Arial" w:hAnsi="Arial"/>
                <w:sz w:val="17"/>
                <w:szCs w:val="17"/>
                <w:color w:val="auto"/>
              </w:rPr>
              <w:t>Net income attributable to noncontrolling</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2"/>
        </w:trPr>
        <w:tc>
          <w:tcPr>
            <w:tcW w:w="33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interests</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(76)</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w:t>
            </w:r>
          </w:p>
        </w:tc>
        <w:tc>
          <w:tcPr>
            <w:tcW w:w="12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(349)</w:t>
            </w:r>
          </w:p>
        </w:tc>
      </w:tr>
      <w:tr>
        <w:trPr>
          <w:trHeight w:val="233"/>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 xml:space="preserve">NET INCOME ATTRIBUTABLE TO PAGP </w:t>
            </w:r>
            <w:r>
              <w:rPr>
                <w:rFonts w:ascii="Arial" w:cs="Arial" w:eastAsia="Arial" w:hAnsi="Arial"/>
                <w:sz w:val="17"/>
                <w:szCs w:val="17"/>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20" w:type="dxa"/>
            <w:vAlign w:val="bottom"/>
            <w:tcBorders>
              <w:right w:val="single" w:sz="8" w:color="auto"/>
            </w:tcBorders>
            <w:shd w:val="clear" w:color="auto" w:fill="CCEEFF"/>
          </w:tcPr>
          <w:p>
            <w:pPr>
              <w:spacing w:after="0"/>
              <w:rPr>
                <w:sz w:val="20"/>
                <w:szCs w:val="20"/>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53"/>
        </w:trPr>
        <w:tc>
          <w:tcPr>
            <w:tcW w:w="3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20"/>
        </w:trPr>
        <w:tc>
          <w:tcPr>
            <w:tcW w:w="456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w w:val="94"/>
              </w:rPr>
              <w:t>Basic and diluted weighted average Class A shares outstanding</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5"/>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3"/>
              </w:rPr>
              <w:t>Basic and diluted net income per Class A share</w:t>
            </w:r>
          </w:p>
        </w:tc>
        <w:tc>
          <w:tcPr>
            <w:tcW w:w="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0.15</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0.36</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33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r>
    </w:tbl>
    <w:p>
      <w:pPr>
        <w:spacing w:after="0" w:line="96" w:lineRule="exact"/>
        <w:rPr>
          <w:sz w:val="20"/>
          <w:szCs w:val="20"/>
          <w:color w:val="auto"/>
        </w:rPr>
      </w:pPr>
    </w:p>
    <w:p>
      <w:pPr>
        <w:ind w:left="300" w:hanging="297"/>
        <w:spacing w:after="0"/>
        <w:tabs>
          <w:tab w:leader="none" w:pos="300" w:val="left"/>
        </w:tabs>
        <w:numPr>
          <w:ilvl w:val="0"/>
          <w:numId w:val="21"/>
        </w:numPr>
        <w:rPr>
          <w:rFonts w:ascii="Arial" w:cs="Arial" w:eastAsia="Arial" w:hAnsi="Arial"/>
          <w:sz w:val="22"/>
          <w:szCs w:val="22"/>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auto"/>
        </w:rPr>
        <w:t>Page 18</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CONSOLIDATING STATEMENTS OF OPERATIONS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Nine Months Ended</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Nine Months Ended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7"/>
        </w:trPr>
        <w:tc>
          <w:tcPr>
            <w:tcW w:w="3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7"/>
              </w:rPr>
              <w:t>September 30, 2023</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7"/>
              </w:rPr>
              <w:t>September 30, 2022</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79"/>
        </w:trPr>
        <w:tc>
          <w:tcPr>
            <w:tcW w:w="3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Consolidating</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Consolidating</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9"/>
        </w:trPr>
        <w:tc>
          <w:tcPr>
            <w:tcW w:w="33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PAA</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PAGP</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PAA</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PAGP</w:t>
            </w:r>
          </w:p>
        </w:tc>
      </w:tr>
      <w:tr>
        <w:trPr>
          <w:trHeight w:val="213"/>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36,014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36,014</w:t>
            </w:r>
          </w:p>
        </w:tc>
        <w:tc>
          <w:tcPr>
            <w:tcW w:w="120" w:type="dxa"/>
            <w:vAlign w:val="bottom"/>
            <w:tcBorders>
              <w:right w:val="single" w:sz="8" w:color="auto"/>
            </w:tcBorders>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44,390</w:t>
            </w: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COSTS AND EXPENSES</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3380" w:type="dxa"/>
            <w:vAlign w:val="bottom"/>
          </w:tcPr>
          <w:p>
            <w:pPr>
              <w:ind w:left="20"/>
              <w:spacing w:after="0"/>
              <w:rPr>
                <w:sz w:val="20"/>
                <w:szCs w:val="20"/>
                <w:color w:val="auto"/>
              </w:rPr>
            </w:pPr>
            <w:r>
              <w:rPr>
                <w:rFonts w:ascii="Arial" w:cs="Arial" w:eastAsia="Arial" w:hAnsi="Arial"/>
                <w:sz w:val="17"/>
                <w:szCs w:val="17"/>
                <w:color w:val="auto"/>
              </w:rPr>
              <w:t>Purchases and related costs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32,972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32,972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41,181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41,181</w:t>
            </w: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Field operating costs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971</w:t>
            </w:r>
          </w:p>
        </w:tc>
      </w:tr>
      <w:tr>
        <w:trPr>
          <w:trHeight w:val="220"/>
        </w:trPr>
        <w:tc>
          <w:tcPr>
            <w:tcW w:w="3380" w:type="dxa"/>
            <w:vAlign w:val="bottom"/>
          </w:tcPr>
          <w:p>
            <w:pPr>
              <w:ind w:left="20"/>
              <w:spacing w:after="0"/>
              <w:rPr>
                <w:sz w:val="20"/>
                <w:szCs w:val="20"/>
                <w:color w:val="auto"/>
              </w:rPr>
            </w:pPr>
            <w:r>
              <w:rPr>
                <w:rFonts w:ascii="Arial" w:cs="Arial" w:eastAsia="Arial" w:hAnsi="Arial"/>
                <w:sz w:val="17"/>
                <w:szCs w:val="17"/>
                <w:color w:val="auto"/>
              </w:rPr>
              <w:t>General and administrative expenses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263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247</w:t>
            </w: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w:t>
            </w:r>
          </w:p>
        </w:tc>
      </w:tr>
      <w:tr>
        <w:trPr>
          <w:trHeight w:val="168"/>
        </w:trPr>
        <w:tc>
          <w:tcPr>
            <w:tcW w:w="3380" w:type="dxa"/>
            <w:vAlign w:val="bottom"/>
          </w:tcPr>
          <w:p>
            <w:pPr>
              <w:ind w:left="20"/>
              <w:spacing w:after="0" w:line="168" w:lineRule="exact"/>
              <w:rPr>
                <w:sz w:val="20"/>
                <w:szCs w:val="20"/>
                <w:color w:val="auto"/>
              </w:rPr>
            </w:pPr>
            <w:r>
              <w:rPr>
                <w:rFonts w:ascii="Arial" w:cs="Arial" w:eastAsia="Arial" w:hAnsi="Arial"/>
                <w:sz w:val="17"/>
                <w:szCs w:val="17"/>
                <w:color w:val="auto"/>
              </w:rPr>
              <w:t>(Gains)/losses on asset sales and asset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2"/>
        </w:trPr>
        <w:tc>
          <w:tcPr>
            <w:tcW w:w="3380" w:type="dxa"/>
            <w:vAlign w:val="bottom"/>
          </w:tcPr>
          <w:p>
            <w:pPr>
              <w:ind w:left="180"/>
              <w:spacing w:after="0"/>
              <w:rPr>
                <w:sz w:val="20"/>
                <w:szCs w:val="20"/>
                <w:color w:val="auto"/>
              </w:rPr>
            </w:pPr>
            <w:r>
              <w:rPr>
                <w:rFonts w:ascii="Arial" w:cs="Arial" w:eastAsia="Arial" w:hAnsi="Arial"/>
                <w:sz w:val="17"/>
                <w:szCs w:val="17"/>
                <w:color w:val="auto"/>
              </w:rPr>
              <w:t>impairments, net</w:t>
            </w:r>
          </w:p>
        </w:tc>
        <w:tc>
          <w:tcPr>
            <w:tcW w:w="2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(144)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(144)</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13"/>
        </w:trPr>
        <w:tc>
          <w:tcPr>
            <w:tcW w:w="33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costs and expenses</w:t>
            </w: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34,929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34,936</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43,060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43,066</w:t>
            </w: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1,324</w:t>
            </w:r>
          </w:p>
        </w:tc>
      </w:tr>
      <w:tr>
        <w:trPr>
          <w:trHeight w:val="258"/>
        </w:trPr>
        <w:tc>
          <w:tcPr>
            <w:tcW w:w="3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INCOME/(EXPENSE)</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3380" w:type="dxa"/>
            <w:vAlign w:val="bottom"/>
          </w:tcPr>
          <w:p>
            <w:pPr>
              <w:ind w:left="20"/>
              <w:spacing w:after="0"/>
              <w:rPr>
                <w:sz w:val="20"/>
                <w:szCs w:val="20"/>
                <w:color w:val="auto"/>
              </w:rPr>
            </w:pPr>
            <w:r>
              <w:rPr>
                <w:rFonts w:ascii="Arial" w:cs="Arial" w:eastAsia="Arial" w:hAnsi="Arial"/>
                <w:sz w:val="17"/>
                <w:szCs w:val="17"/>
                <w:color w:val="auto"/>
              </w:rPr>
              <w:t>Equity earnings in unconsolidated entities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277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277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306</w:t>
            </w: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7"/>
              </w:rPr>
              <w:t>Gain on investment in unconsolidated entities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0"/>
        </w:trPr>
        <w:tc>
          <w:tcPr>
            <w:tcW w:w="3380" w:type="dxa"/>
            <w:vAlign w:val="bottom"/>
          </w:tcPr>
          <w:p>
            <w:pPr>
              <w:ind w:left="20"/>
              <w:spacing w:after="0"/>
              <w:rPr>
                <w:sz w:val="20"/>
                <w:szCs w:val="20"/>
                <w:color w:val="auto"/>
              </w:rPr>
            </w:pPr>
            <w:r>
              <w:rPr>
                <w:rFonts w:ascii="Arial" w:cs="Arial" w:eastAsia="Arial" w:hAnsi="Arial"/>
                <w:sz w:val="17"/>
                <w:szCs w:val="17"/>
                <w:color w:val="auto"/>
              </w:rPr>
              <w:t>Interest expense, net</w:t>
            </w: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(290)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(290)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(305)</w:t>
            </w: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income/(expense), net</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w:t>
            </w:r>
          </w:p>
        </w:tc>
      </w:tr>
      <w:tr>
        <w:trPr>
          <w:trHeight w:val="187"/>
        </w:trPr>
        <w:tc>
          <w:tcPr>
            <w:tcW w:w="33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BEFORE TAX</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1,089</w:t>
            </w:r>
          </w:p>
        </w:tc>
      </w:tr>
      <w:tr>
        <w:trPr>
          <w:trHeight w:val="220"/>
        </w:trPr>
        <w:tc>
          <w:tcPr>
            <w:tcW w:w="3380" w:type="dxa"/>
            <w:vAlign w:val="bottom"/>
          </w:tcPr>
          <w:p>
            <w:pPr>
              <w:ind w:left="20"/>
              <w:spacing w:after="0"/>
              <w:rPr>
                <w:sz w:val="20"/>
                <w:szCs w:val="20"/>
                <w:color w:val="auto"/>
              </w:rPr>
            </w:pPr>
            <w:r>
              <w:rPr>
                <w:rFonts w:ascii="Arial" w:cs="Arial" w:eastAsia="Arial" w:hAnsi="Arial"/>
                <w:sz w:val="17"/>
                <w:szCs w:val="17"/>
                <w:color w:val="auto"/>
              </w:rPr>
              <w:t>Current income tax expense</w:t>
            </w: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 (expense)/benefit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w:t>
            </w:r>
          </w:p>
        </w:tc>
      </w:tr>
      <w:tr>
        <w:trPr>
          <w:trHeight w:val="187"/>
        </w:trPr>
        <w:tc>
          <w:tcPr>
            <w:tcW w:w="3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868</w:t>
            </w:r>
          </w:p>
        </w:tc>
      </w:tr>
      <w:tr>
        <w:trPr>
          <w:trHeight w:val="168"/>
        </w:trPr>
        <w:tc>
          <w:tcPr>
            <w:tcW w:w="3380" w:type="dxa"/>
            <w:vAlign w:val="bottom"/>
          </w:tcPr>
          <w:p>
            <w:pPr>
              <w:ind w:left="180"/>
              <w:spacing w:after="0" w:line="168" w:lineRule="exact"/>
              <w:rPr>
                <w:sz w:val="20"/>
                <w:szCs w:val="20"/>
                <w:color w:val="auto"/>
              </w:rPr>
            </w:pPr>
            <w:r>
              <w:rPr>
                <w:rFonts w:ascii="Arial" w:cs="Arial" w:eastAsia="Arial" w:hAnsi="Arial"/>
                <w:sz w:val="17"/>
                <w:szCs w:val="17"/>
                <w:color w:val="auto"/>
              </w:rPr>
              <w:t>Net income attributable to noncontrolling</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2"/>
        </w:trPr>
        <w:tc>
          <w:tcPr>
            <w:tcW w:w="33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interests</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(185)</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(713)</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(898)</w:t>
            </w:r>
          </w:p>
        </w:tc>
        <w:tc>
          <w:tcPr>
            <w:tcW w:w="12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(600)</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(744)</w:t>
            </w:r>
          </w:p>
        </w:tc>
      </w:tr>
      <w:tr>
        <w:trPr>
          <w:trHeight w:val="233"/>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 xml:space="preserve">NET INCOME ATTRIBUTABLE TO PAGP </w:t>
            </w:r>
            <w:r>
              <w:rPr>
                <w:rFonts w:ascii="Arial" w:cs="Arial" w:eastAsia="Arial" w:hAnsi="Arial"/>
                <w:sz w:val="17"/>
                <w:szCs w:val="17"/>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918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20" w:type="dxa"/>
            <w:vAlign w:val="bottom"/>
            <w:tcBorders>
              <w:right w:val="single" w:sz="8" w:color="auto"/>
            </w:tcBorders>
            <w:shd w:val="clear" w:color="auto" w:fill="CCEEFF"/>
          </w:tcPr>
          <w:p>
            <w:pPr>
              <w:spacing w:after="0"/>
              <w:rPr>
                <w:sz w:val="20"/>
                <w:szCs w:val="20"/>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53"/>
        </w:trPr>
        <w:tc>
          <w:tcPr>
            <w:tcW w:w="3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20"/>
        </w:trPr>
        <w:tc>
          <w:tcPr>
            <w:tcW w:w="466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w w:val="96"/>
              </w:rPr>
              <w:t>Basic and diluted weighted average Class A shares outstanding</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5"/>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3"/>
              </w:rPr>
              <w:t>Basic and diluted net income per Class A share</w:t>
            </w:r>
          </w:p>
        </w:tc>
        <w:tc>
          <w:tcPr>
            <w:tcW w:w="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0.75</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0.64</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33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r>
    </w:tbl>
    <w:p>
      <w:pPr>
        <w:spacing w:after="0" w:line="96" w:lineRule="exact"/>
        <w:rPr>
          <w:sz w:val="20"/>
          <w:szCs w:val="20"/>
          <w:color w:val="auto"/>
        </w:rPr>
      </w:pPr>
    </w:p>
    <w:p>
      <w:pPr>
        <w:ind w:left="300" w:hanging="297"/>
        <w:spacing w:after="0"/>
        <w:tabs>
          <w:tab w:leader="none" w:pos="300" w:val="left"/>
        </w:tabs>
        <w:numPr>
          <w:ilvl w:val="0"/>
          <w:numId w:val="22"/>
        </w:numPr>
        <w:rPr>
          <w:rFonts w:ascii="Arial" w:cs="Arial" w:eastAsia="Arial" w:hAnsi="Arial"/>
          <w:sz w:val="22"/>
          <w:szCs w:val="22"/>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auto"/>
        </w:rPr>
        <w:t>Page 19</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CONSOLIDATING BALANCE SHEET DATA</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September 30, 2023</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December 31, 2022</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
        </w:trPr>
        <w:tc>
          <w:tcPr>
            <w:tcW w:w="3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72"/>
        </w:trPr>
        <w:tc>
          <w:tcPr>
            <w:tcW w:w="3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Consolidating</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Consolidating</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9"/>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ind w:left="18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 xml:space="preserve">Adjustments </w:t>
            </w:r>
            <w:r>
              <w:rPr>
                <w:rFonts w:ascii="Arial" w:cs="Arial" w:eastAsia="Arial" w:hAnsi="Arial"/>
                <w:sz w:val="17"/>
                <w:szCs w:val="17"/>
                <w:b w:val="1"/>
                <w:bCs w:val="1"/>
                <w:color w:val="auto"/>
                <w:w w:val="85"/>
                <w:vertAlign w:val="superscript"/>
              </w:rPr>
              <w:t>(1)</w:t>
            </w:r>
          </w:p>
        </w:tc>
        <w:tc>
          <w:tcPr>
            <w:tcW w:w="240" w:type="dxa"/>
            <w:vAlign w:val="bottom"/>
          </w:tcPr>
          <w:p>
            <w:pPr>
              <w:spacing w:after="0"/>
              <w:rPr>
                <w:sz w:val="18"/>
                <w:szCs w:val="18"/>
                <w:color w:val="auto"/>
              </w:rPr>
            </w:pPr>
          </w:p>
        </w:tc>
        <w:tc>
          <w:tcPr>
            <w:tcW w:w="1140" w:type="dxa"/>
            <w:vAlign w:val="bottom"/>
            <w:gridSpan w:val="3"/>
          </w:tcPr>
          <w:p>
            <w:pPr>
              <w:ind w:left="160"/>
              <w:spacing w:after="0"/>
              <w:rPr>
                <w:sz w:val="20"/>
                <w:szCs w:val="20"/>
                <w:color w:val="auto"/>
              </w:rPr>
            </w:pPr>
            <w:r>
              <w:rPr>
                <w:rFonts w:ascii="Arial" w:cs="Arial" w:eastAsia="Arial" w:hAnsi="Arial"/>
                <w:sz w:val="14"/>
                <w:szCs w:val="14"/>
                <w:b w:val="1"/>
                <w:bCs w:val="1"/>
                <w:color w:val="auto"/>
              </w:rPr>
              <w:t>PAGP</w:t>
            </w:r>
          </w:p>
        </w:tc>
        <w:tc>
          <w:tcPr>
            <w:tcW w:w="2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 xml:space="preserve">Adjustments </w:t>
            </w:r>
            <w:r>
              <w:rPr>
                <w:rFonts w:ascii="Arial" w:cs="Arial" w:eastAsia="Arial" w:hAnsi="Arial"/>
                <w:sz w:val="17"/>
                <w:szCs w:val="17"/>
                <w:b w:val="1"/>
                <w:bCs w:val="1"/>
                <w:color w:val="auto"/>
                <w:w w:val="87"/>
                <w:vertAlign w:val="superscript"/>
              </w:rPr>
              <w:t>(1)</w:t>
            </w:r>
          </w:p>
        </w:tc>
        <w:tc>
          <w:tcPr>
            <w:tcW w:w="260" w:type="dxa"/>
            <w:vAlign w:val="bottom"/>
          </w:tcPr>
          <w:p>
            <w:pPr>
              <w:spacing w:after="0"/>
              <w:rPr>
                <w:sz w:val="18"/>
                <w:szCs w:val="18"/>
                <w:color w:val="auto"/>
              </w:rPr>
            </w:pPr>
          </w:p>
        </w:tc>
        <w:tc>
          <w:tcPr>
            <w:tcW w:w="920" w:type="dxa"/>
            <w:vAlign w:val="bottom"/>
          </w:tcPr>
          <w:p>
            <w:pPr>
              <w:jc w:val="right"/>
              <w:ind w:right="315"/>
              <w:spacing w:after="0"/>
              <w:rPr>
                <w:sz w:val="20"/>
                <w:szCs w:val="20"/>
                <w:color w:val="auto"/>
              </w:rPr>
            </w:pPr>
            <w:r>
              <w:rPr>
                <w:rFonts w:ascii="Arial" w:cs="Arial" w:eastAsia="Arial" w:hAnsi="Arial"/>
                <w:sz w:val="14"/>
                <w:szCs w:val="14"/>
                <w:b w:val="1"/>
                <w:bCs w:val="1"/>
                <w:color w:val="auto"/>
              </w:rPr>
              <w:t>PAGP</w:t>
            </w:r>
          </w:p>
        </w:tc>
      </w:tr>
      <w:tr>
        <w:trPr>
          <w:trHeight w:val="200"/>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20"/>
        </w:trPr>
        <w:tc>
          <w:tcPr>
            <w:tcW w:w="336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5,331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5,333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5,355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5,358</w:t>
            </w:r>
          </w:p>
        </w:tc>
      </w:tr>
      <w:tr>
        <w:trPr>
          <w:trHeight w:val="220"/>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15,589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15,590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15,253</w:t>
            </w:r>
          </w:p>
        </w:tc>
      </w:tr>
      <w:tr>
        <w:trPr>
          <w:trHeight w:val="220"/>
        </w:trPr>
        <w:tc>
          <w:tcPr>
            <w:tcW w:w="3360" w:type="dxa"/>
            <w:vAlign w:val="bottom"/>
          </w:tcPr>
          <w:p>
            <w:pPr>
              <w:ind w:left="20"/>
              <w:spacing w:after="0"/>
              <w:rPr>
                <w:sz w:val="20"/>
                <w:szCs w:val="20"/>
                <w:color w:val="auto"/>
              </w:rPr>
            </w:pPr>
            <w:r>
              <w:rPr>
                <w:rFonts w:ascii="Arial" w:cs="Arial" w:eastAsia="Arial" w:hAnsi="Arial"/>
                <w:sz w:val="17"/>
                <w:szCs w:val="17"/>
                <w:color w:val="auto"/>
              </w:rPr>
              <w:t>Investments in unconsolidated entities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2,830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2,830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3,084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3,084</w:t>
            </w:r>
          </w:p>
        </w:tc>
      </w:tr>
      <w:tr>
        <w:trPr>
          <w:trHeight w:val="220"/>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2,145</w:t>
            </w:r>
          </w:p>
        </w:tc>
      </w:tr>
      <w:tr>
        <w:trPr>
          <w:trHeight w:val="220"/>
        </w:trPr>
        <w:tc>
          <w:tcPr>
            <w:tcW w:w="3360" w:type="dxa"/>
            <w:vAlign w:val="bottom"/>
          </w:tcPr>
          <w:p>
            <w:pPr>
              <w:ind w:left="20"/>
              <w:spacing w:after="0"/>
              <w:rPr>
                <w:sz w:val="20"/>
                <w:szCs w:val="20"/>
                <w:color w:val="auto"/>
              </w:rPr>
            </w:pPr>
            <w:r>
              <w:rPr>
                <w:rFonts w:ascii="Arial" w:cs="Arial" w:eastAsia="Arial" w:hAnsi="Arial"/>
                <w:sz w:val="17"/>
                <w:szCs w:val="17"/>
                <w:color w:val="auto"/>
              </w:rPr>
              <w:t>Deferred tax asset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1,259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1,309</w:t>
            </w:r>
          </w:p>
        </w:tc>
      </w:tr>
      <w:tr>
        <w:trPr>
          <w:trHeight w:val="220"/>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Linefill</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961</w:t>
            </w:r>
          </w:p>
        </w:tc>
      </w:tr>
      <w:tr>
        <w:trPr>
          <w:trHeight w:val="168"/>
        </w:trPr>
        <w:tc>
          <w:tcPr>
            <w:tcW w:w="3360" w:type="dxa"/>
            <w:vAlign w:val="bottom"/>
          </w:tcPr>
          <w:p>
            <w:pPr>
              <w:ind w:left="20"/>
              <w:spacing w:after="0" w:line="168" w:lineRule="exact"/>
              <w:rPr>
                <w:sz w:val="20"/>
                <w:szCs w:val="20"/>
                <w:color w:val="auto"/>
              </w:rPr>
            </w:pPr>
            <w:r>
              <w:rPr>
                <w:rFonts w:ascii="Arial" w:cs="Arial" w:eastAsia="Arial" w:hAnsi="Arial"/>
                <w:sz w:val="17"/>
                <w:szCs w:val="17"/>
                <w:color w:val="auto"/>
                <w:w w:val="95"/>
              </w:rPr>
              <w:t>Long-term operating lease right-of-use assets,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2"/>
        </w:trPr>
        <w:tc>
          <w:tcPr>
            <w:tcW w:w="3360" w:type="dxa"/>
            <w:vAlign w:val="bottom"/>
          </w:tcPr>
          <w:p>
            <w:pPr>
              <w:ind w:left="180"/>
              <w:spacing w:after="0"/>
              <w:rPr>
                <w:sz w:val="20"/>
                <w:szCs w:val="20"/>
                <w:color w:val="auto"/>
              </w:rPr>
            </w:pPr>
            <w:r>
              <w:rPr>
                <w:rFonts w:ascii="Arial" w:cs="Arial" w:eastAsia="Arial" w:hAnsi="Arial"/>
                <w:sz w:val="17"/>
                <w:szCs w:val="17"/>
                <w:color w:val="auto"/>
              </w:rPr>
              <w:t>net</w:t>
            </w:r>
          </w:p>
        </w:tc>
        <w:tc>
          <w:tcPr>
            <w:tcW w:w="2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315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315</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349</w:t>
            </w:r>
          </w:p>
        </w:tc>
      </w:tr>
      <w:tr>
        <w:trPr>
          <w:trHeight w:val="220"/>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inventory</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w:t>
            </w:r>
          </w:p>
        </w:tc>
      </w:tr>
      <w:tr>
        <w:trPr>
          <w:trHeight w:val="220"/>
        </w:trPr>
        <w:tc>
          <w:tcPr>
            <w:tcW w:w="3360" w:type="dxa"/>
            <w:vAlign w:val="bottom"/>
          </w:tcPr>
          <w:p>
            <w:pPr>
              <w:ind w:left="20"/>
              <w:spacing w:after="0"/>
              <w:rPr>
                <w:sz w:val="20"/>
                <w:szCs w:val="20"/>
                <w:color w:val="auto"/>
              </w:rPr>
            </w:pPr>
            <w:r>
              <w:rPr>
                <w:rFonts w:ascii="Arial" w:cs="Arial" w:eastAsia="Arial" w:hAnsi="Arial"/>
                <w:sz w:val="17"/>
                <w:szCs w:val="17"/>
                <w:color w:val="auto"/>
              </w:rPr>
              <w:t>Other long-term assets,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417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417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464</w:t>
            </w:r>
          </w:p>
        </w:tc>
      </w:tr>
      <w:tr>
        <w:trPr>
          <w:trHeight w:val="238"/>
        </w:trPr>
        <w:tc>
          <w:tcPr>
            <w:tcW w:w="3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assets</w:t>
            </w: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27,735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28,997</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29,207</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AND PARTNERS’ CAPITAL</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336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5,606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5,608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5,891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5,893</w:t>
            </w:r>
          </w:p>
        </w:tc>
      </w:tr>
      <w:tr>
        <w:trPr>
          <w:trHeight w:val="220"/>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notes,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7,241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7,237</w:t>
            </w:r>
          </w:p>
        </w:tc>
      </w:tr>
      <w:tr>
        <w:trPr>
          <w:trHeight w:val="220"/>
        </w:trPr>
        <w:tc>
          <w:tcPr>
            <w:tcW w:w="3360" w:type="dxa"/>
            <w:vAlign w:val="bottom"/>
          </w:tcPr>
          <w:p>
            <w:pPr>
              <w:ind w:left="20"/>
              <w:spacing w:after="0"/>
              <w:rPr>
                <w:sz w:val="20"/>
                <w:szCs w:val="20"/>
                <w:color w:val="auto"/>
              </w:rPr>
            </w:pPr>
            <w:r>
              <w:rPr>
                <w:rFonts w:ascii="Arial" w:cs="Arial" w:eastAsia="Arial" w:hAnsi="Arial"/>
                <w:sz w:val="17"/>
                <w:szCs w:val="17"/>
                <w:color w:val="auto"/>
              </w:rPr>
              <w:t>Other long-term debt,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20"/>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operating lease liabilities</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w:t>
            </w:r>
          </w:p>
        </w:tc>
      </w:tr>
      <w:tr>
        <w:trPr>
          <w:trHeight w:val="220"/>
        </w:trPr>
        <w:tc>
          <w:tcPr>
            <w:tcW w:w="3360" w:type="dxa"/>
            <w:vAlign w:val="bottom"/>
          </w:tcPr>
          <w:p>
            <w:pPr>
              <w:ind w:left="20"/>
              <w:spacing w:after="0"/>
              <w:rPr>
                <w:sz w:val="20"/>
                <w:szCs w:val="20"/>
                <w:color w:val="auto"/>
              </w:rPr>
            </w:pPr>
            <w:r>
              <w:rPr>
                <w:rFonts w:ascii="Arial" w:cs="Arial" w:eastAsia="Arial" w:hAnsi="Arial"/>
                <w:sz w:val="17"/>
                <w:szCs w:val="17"/>
                <w:color w:val="auto"/>
                <w:w w:val="96"/>
              </w:rPr>
              <w:t>Other long-term liabilities and deferred credits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1,002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1,002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1,081</w:t>
            </w:r>
          </w:p>
        </w:tc>
      </w:tr>
      <w:tr>
        <w:trPr>
          <w:trHeight w:val="213"/>
        </w:trPr>
        <w:tc>
          <w:tcPr>
            <w:tcW w:w="33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liabilities</w:t>
            </w: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14,184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14,186</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14,567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14,569</w:t>
            </w:r>
          </w:p>
        </w:tc>
      </w:tr>
      <w:tr>
        <w:trPr>
          <w:trHeight w:val="258"/>
        </w:trPr>
        <w:tc>
          <w:tcPr>
            <w:tcW w:w="3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168"/>
        </w:trPr>
        <w:tc>
          <w:tcPr>
            <w:tcW w:w="33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Partners’ capital excluding noncontrolling</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2"/>
        </w:trPr>
        <w:tc>
          <w:tcPr>
            <w:tcW w:w="3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interests</w:t>
            </w:r>
          </w:p>
        </w:tc>
        <w:tc>
          <w:tcPr>
            <w:tcW w:w="2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10,285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(8,754)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1,531</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10,057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(8,533)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1,524</w:t>
            </w:r>
          </w:p>
        </w:tc>
      </w:tr>
      <w:tr>
        <w:trPr>
          <w:trHeight w:val="220"/>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Noncontrolling interests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3,266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10,014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13,280</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3,268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13,114</w:t>
            </w:r>
          </w:p>
        </w:tc>
      </w:tr>
      <w:tr>
        <w:trPr>
          <w:trHeight w:val="213"/>
        </w:trPr>
        <w:tc>
          <w:tcPr>
            <w:tcW w:w="3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partners’ capital</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13,551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14,811</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13,325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14,638</w:t>
            </w:r>
          </w:p>
        </w:tc>
      </w:tr>
      <w:tr>
        <w:trPr>
          <w:trHeight w:val="253"/>
        </w:trPr>
        <w:tc>
          <w:tcPr>
            <w:tcW w:w="3360" w:type="dxa"/>
            <w:vAlign w:val="bottom"/>
          </w:tcPr>
          <w:p>
            <w:pPr>
              <w:ind w:left="340"/>
              <w:spacing w:after="0"/>
              <w:rPr>
                <w:sz w:val="20"/>
                <w:szCs w:val="20"/>
                <w:color w:val="auto"/>
              </w:rPr>
            </w:pPr>
            <w:r>
              <w:rPr>
                <w:rFonts w:ascii="Arial" w:cs="Arial" w:eastAsia="Arial" w:hAnsi="Arial"/>
                <w:sz w:val="17"/>
                <w:szCs w:val="17"/>
                <w:color w:val="auto"/>
              </w:rPr>
              <w:t>Total liabilities and partners’ capital</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27,735</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1,262</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28,997</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27,892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1,315</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29,207</w:t>
            </w:r>
          </w:p>
        </w:tc>
      </w:tr>
      <w:tr>
        <w:trPr>
          <w:trHeight w:val="147"/>
        </w:trPr>
        <w:tc>
          <w:tcPr>
            <w:tcW w:w="3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r>
    </w:tbl>
    <w:p>
      <w:pPr>
        <w:spacing w:after="0" w:line="96" w:lineRule="exact"/>
        <w:rPr>
          <w:sz w:val="20"/>
          <w:szCs w:val="20"/>
          <w:color w:val="auto"/>
        </w:rPr>
      </w:pPr>
    </w:p>
    <w:p>
      <w:pPr>
        <w:ind w:left="300" w:hanging="297"/>
        <w:spacing w:after="0"/>
        <w:tabs>
          <w:tab w:leader="none" w:pos="300" w:val="left"/>
        </w:tabs>
        <w:numPr>
          <w:ilvl w:val="0"/>
          <w:numId w:val="23"/>
        </w:numPr>
        <w:rPr>
          <w:rFonts w:ascii="Arial" w:cs="Arial" w:eastAsia="Arial" w:hAnsi="Arial"/>
          <w:sz w:val="22"/>
          <w:szCs w:val="22"/>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auto"/>
        </w:rPr>
        <w:t>Page 20</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ind w:right="4880"/>
        <w:spacing w:after="0" w:line="290" w:lineRule="auto"/>
        <w:rPr>
          <w:sz w:val="20"/>
          <w:szCs w:val="20"/>
          <w:color w:val="auto"/>
        </w:rPr>
      </w:pPr>
      <w:r>
        <w:rPr>
          <w:rFonts w:ascii="Arial" w:cs="Arial" w:eastAsia="Arial" w:hAnsi="Arial"/>
          <w:sz w:val="17"/>
          <w:szCs w:val="17"/>
          <w:b w:val="1"/>
          <w:bCs w:val="1"/>
          <w:u w:val="single" w:color="auto"/>
          <w:color w:val="auto"/>
        </w:rPr>
        <w:t xml:space="preserve">COMPUTATION OF BASIC AND DILUTED NET INCOME PER CLASS A SHARE </w:t>
      </w:r>
      <w:r>
        <w:rPr>
          <w:rFonts w:ascii="Arial" w:cs="Arial" w:eastAsia="Arial" w:hAnsi="Arial"/>
          <w:sz w:val="17"/>
          <w:szCs w:val="17"/>
          <w:color w:val="auto"/>
        </w:rPr>
        <w:t>(in millions, except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2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538"/>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60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3"/>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87"/>
        </w:trPr>
        <w:tc>
          <w:tcPr>
            <w:tcW w:w="60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w w:val="96"/>
              </w:rPr>
              <w:t>2022</w:t>
            </w:r>
          </w:p>
        </w:tc>
      </w:tr>
      <w:tr>
        <w:trPr>
          <w:trHeight w:val="207"/>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Basic and Diluted Net Income per Class A Share</w:t>
            </w: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0"/>
        </w:trPr>
        <w:tc>
          <w:tcPr>
            <w:tcW w:w="6080" w:type="dxa"/>
            <w:vAlign w:val="bottom"/>
          </w:tcPr>
          <w:p>
            <w:pPr>
              <w:ind w:left="140"/>
              <w:spacing w:after="0"/>
              <w:rPr>
                <w:sz w:val="20"/>
                <w:szCs w:val="20"/>
                <w:color w:val="auto"/>
              </w:rPr>
            </w:pPr>
            <w:r>
              <w:rPr>
                <w:rFonts w:ascii="Arial" w:cs="Arial" w:eastAsia="Arial" w:hAnsi="Arial"/>
                <w:sz w:val="17"/>
                <w:szCs w:val="17"/>
                <w:color w:val="auto"/>
              </w:rPr>
              <w:t>Net income attributable to PAGP</w:t>
            </w:r>
          </w:p>
        </w:tc>
        <w:tc>
          <w:tcPr>
            <w:tcW w:w="820" w:type="dxa"/>
            <w:vAlign w:val="bottom"/>
          </w:tcPr>
          <w:p>
            <w:pPr>
              <w:jc w:val="right"/>
              <w:ind w:right="643"/>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9"/>
                <w:szCs w:val="19"/>
                <w:color w:val="auto"/>
              </w:rPr>
            </w:pPr>
          </w:p>
        </w:tc>
        <w:tc>
          <w:tcPr>
            <w:tcW w:w="840" w:type="dxa"/>
            <w:vAlign w:val="bottom"/>
          </w:tcPr>
          <w:p>
            <w:pPr>
              <w:jc w:val="right"/>
              <w:ind w:right="660"/>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3"/>
              <w:spacing w:after="0"/>
              <w:rPr>
                <w:sz w:val="20"/>
                <w:szCs w:val="20"/>
                <w:color w:val="auto"/>
              </w:rPr>
            </w:pPr>
            <w:r>
              <w:rPr>
                <w:rFonts w:ascii="Arial" w:cs="Arial" w:eastAsia="Arial" w:hAnsi="Arial"/>
                <w:sz w:val="17"/>
                <w:szCs w:val="17"/>
                <w:color w:val="auto"/>
              </w:rPr>
              <w:t>146</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124</w:t>
            </w:r>
          </w:p>
        </w:tc>
      </w:tr>
      <w:tr>
        <w:trPr>
          <w:trHeight w:val="220"/>
        </w:trPr>
        <w:tc>
          <w:tcPr>
            <w:tcW w:w="6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Basic and diluted weighted average Class A shares outstanding</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195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r>
      <w:tr>
        <w:trPr>
          <w:trHeight w:val="245"/>
        </w:trPr>
        <w:tc>
          <w:tcPr>
            <w:tcW w:w="60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45"/>
        </w:trPr>
        <w:tc>
          <w:tcPr>
            <w:tcW w:w="6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Basic and diluted net income per Class A share</w:t>
            </w:r>
          </w:p>
        </w:tc>
        <w:tc>
          <w:tcPr>
            <w:tcW w:w="820" w:type="dxa"/>
            <w:vAlign w:val="bottom"/>
            <w:tcBorders>
              <w:bottom w:val="single" w:sz="8" w:color="auto"/>
            </w:tcBorders>
            <w:shd w:val="clear" w:color="auto" w:fill="CCEEFF"/>
          </w:tcPr>
          <w:p>
            <w:pPr>
              <w:jc w:val="right"/>
              <w:ind w:right="643"/>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0.15</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60"/>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0.75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0.64</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Forward-Looking Statements</w:t>
      </w:r>
    </w:p>
    <w:p>
      <w:pPr>
        <w:spacing w:after="0" w:line="296" w:lineRule="exact"/>
        <w:rPr>
          <w:sz w:val="20"/>
          <w:szCs w:val="20"/>
          <w:color w:val="auto"/>
        </w:rPr>
      </w:pPr>
    </w:p>
    <w:p>
      <w:pPr>
        <w:jc w:val="both"/>
        <w:ind w:right="360" w:firstLine="620"/>
        <w:spacing w:after="0" w:line="268" w:lineRule="auto"/>
        <w:rPr>
          <w:sz w:val="20"/>
          <w:szCs w:val="20"/>
          <w:color w:val="auto"/>
        </w:rPr>
      </w:pPr>
      <w:r>
        <w:rPr>
          <w:rFonts w:ascii="Arial" w:cs="Arial" w:eastAsia="Arial" w:hAnsi="Arial"/>
          <w:sz w:val="17"/>
          <w:szCs w:val="17"/>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237" w:lineRule="exact"/>
        <w:rPr>
          <w:sz w:val="20"/>
          <w:szCs w:val="20"/>
          <w:color w:val="auto"/>
        </w:rPr>
      </w:pPr>
    </w:p>
    <w:p>
      <w:pPr>
        <w:ind w:left="620" w:right="20" w:hanging="307"/>
        <w:spacing w:after="0" w:line="249" w:lineRule="auto"/>
        <w:tabs>
          <w:tab w:leader="none" w:pos="615" w:val="left"/>
        </w:tabs>
        <w:numPr>
          <w:ilvl w:val="0"/>
          <w:numId w:val="24"/>
        </w:numPr>
        <w:rPr>
          <w:rFonts w:ascii="Arial" w:cs="Arial" w:eastAsia="Arial" w:hAnsi="Arial"/>
          <w:sz w:val="21"/>
          <w:szCs w:val="21"/>
          <w:color w:val="auto"/>
        </w:rPr>
      </w:pPr>
      <w:r>
        <w:rPr>
          <w:rFonts w:ascii="Arial" w:cs="Arial" w:eastAsia="Arial" w:hAnsi="Arial"/>
          <w:sz w:val="17"/>
          <w:szCs w:val="17"/>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123" w:lineRule="exact"/>
        <w:rPr>
          <w:rFonts w:ascii="Arial" w:cs="Arial" w:eastAsia="Arial" w:hAnsi="Arial"/>
          <w:sz w:val="21"/>
          <w:szCs w:val="21"/>
          <w:color w:val="auto"/>
        </w:rPr>
      </w:pPr>
    </w:p>
    <w:p>
      <w:pPr>
        <w:ind w:left="620" w:right="140" w:hanging="307"/>
        <w:spacing w:after="0" w:line="248" w:lineRule="auto"/>
        <w:tabs>
          <w:tab w:leader="none" w:pos="615" w:val="left"/>
        </w:tabs>
        <w:numPr>
          <w:ilvl w:val="0"/>
          <w:numId w:val="24"/>
        </w:numPr>
        <w:rPr>
          <w:rFonts w:ascii="Arial" w:cs="Arial" w:eastAsia="Arial" w:hAnsi="Arial"/>
          <w:sz w:val="21"/>
          <w:szCs w:val="21"/>
          <w:color w:val="auto"/>
        </w:rPr>
      </w:pPr>
      <w:r>
        <w:rPr>
          <w:rFonts w:ascii="Arial" w:cs="Arial" w:eastAsia="Arial" w:hAnsi="Arial"/>
          <w:sz w:val="17"/>
          <w:szCs w:val="17"/>
          <w:color w:val="auto"/>
        </w:rPr>
        <w:t>declines in global crude oil demand and crude oil prices (whether due to pandemics or other factors) or other factors that correspondingly lead to a significant reduction of North American crude oil and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earn or the commercial opportunities that might otherwise be available to us;</w:t>
      </w:r>
    </w:p>
    <w:p>
      <w:pPr>
        <w:spacing w:after="0" w:line="123" w:lineRule="exact"/>
        <w:rPr>
          <w:rFonts w:ascii="Arial" w:cs="Arial" w:eastAsia="Arial" w:hAnsi="Arial"/>
          <w:sz w:val="21"/>
          <w:szCs w:val="21"/>
          <w:color w:val="auto"/>
        </w:rPr>
      </w:pPr>
    </w:p>
    <w:p>
      <w:pPr>
        <w:ind w:left="620" w:right="480" w:hanging="307"/>
        <w:spacing w:after="0" w:line="234" w:lineRule="auto"/>
        <w:tabs>
          <w:tab w:leader="none" w:pos="615" w:val="left"/>
        </w:tabs>
        <w:numPr>
          <w:ilvl w:val="0"/>
          <w:numId w:val="24"/>
        </w:numPr>
        <w:rPr>
          <w:rFonts w:ascii="Arial" w:cs="Arial" w:eastAsia="Arial" w:hAnsi="Arial"/>
          <w:sz w:val="21"/>
          <w:szCs w:val="21"/>
          <w:color w:val="auto"/>
        </w:rPr>
      </w:pPr>
      <w:r>
        <w:rPr>
          <w:rFonts w:ascii="Arial" w:cs="Arial" w:eastAsia="Arial" w:hAnsi="Arial"/>
          <w:sz w:val="17"/>
          <w:szCs w:val="17"/>
          <w:color w:val="auto"/>
        </w:rPr>
        <w:t>fluctuations in refinery capacity in areas supplied by our mainlines and other factors affecting demand for various grades of crude oil and NGL and resulting changes in pricing conditions or transportation throughput requirements;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4"/>
        </w:numPr>
        <w:rPr>
          <w:rFonts w:ascii="Arial" w:cs="Arial" w:eastAsia="Arial" w:hAnsi="Arial"/>
          <w:sz w:val="21"/>
          <w:szCs w:val="21"/>
          <w:color w:val="auto"/>
        </w:rPr>
      </w:pPr>
      <w:r>
        <w:rPr>
          <w:rFonts w:ascii="Arial" w:cs="Arial" w:eastAsia="Arial" w:hAnsi="Arial"/>
          <w:sz w:val="17"/>
          <w:szCs w:val="17"/>
          <w:color w:val="auto"/>
        </w:rPr>
        <w:t>unanticipated changes in crude oil and NGL market structure, grade differentials and volatility (or lack thereof);</w:t>
      </w:r>
    </w:p>
    <w:p>
      <w:pPr>
        <w:spacing w:after="0" w:line="129" w:lineRule="exact"/>
        <w:rPr>
          <w:rFonts w:ascii="Arial" w:cs="Arial" w:eastAsia="Arial" w:hAnsi="Arial"/>
          <w:sz w:val="21"/>
          <w:szCs w:val="21"/>
          <w:color w:val="auto"/>
        </w:rPr>
      </w:pPr>
    </w:p>
    <w:p>
      <w:pPr>
        <w:ind w:left="620" w:hanging="307"/>
        <w:spacing w:after="0"/>
        <w:tabs>
          <w:tab w:leader="none" w:pos="615" w:val="left"/>
        </w:tabs>
        <w:numPr>
          <w:ilvl w:val="0"/>
          <w:numId w:val="24"/>
        </w:numPr>
        <w:rPr>
          <w:rFonts w:ascii="Arial" w:cs="Arial" w:eastAsia="Arial" w:hAnsi="Arial"/>
          <w:sz w:val="21"/>
          <w:szCs w:val="21"/>
          <w:color w:val="auto"/>
        </w:rPr>
      </w:pPr>
      <w:r>
        <w:rPr>
          <w:rFonts w:ascii="Arial" w:cs="Arial" w:eastAsia="Arial" w:hAnsi="Arial"/>
          <w:sz w:val="17"/>
          <w:szCs w:val="17"/>
          <w:color w:val="auto"/>
        </w:rPr>
        <w:t>the effects of competition and capacity overbuild in areas where we operate, including downward pressure on rates and margins, contract renewal risk and the risk of loss of business to other midstream operators who are willing or under pressure to aggressively reduce transportation rates in order to capture or preserve customers;</w:t>
      </w:r>
    </w:p>
    <w:p>
      <w:pPr>
        <w:spacing w:after="0" w:line="129" w:lineRule="exact"/>
        <w:rPr>
          <w:rFonts w:ascii="Arial" w:cs="Arial" w:eastAsia="Arial" w:hAnsi="Arial"/>
          <w:sz w:val="21"/>
          <w:szCs w:val="21"/>
          <w:color w:val="auto"/>
        </w:rPr>
      </w:pPr>
    </w:p>
    <w:p>
      <w:pPr>
        <w:ind w:left="620" w:right="240" w:hanging="307"/>
        <w:spacing w:after="0" w:line="234" w:lineRule="auto"/>
        <w:tabs>
          <w:tab w:leader="none" w:pos="615" w:val="left"/>
        </w:tabs>
        <w:numPr>
          <w:ilvl w:val="0"/>
          <w:numId w:val="24"/>
        </w:numPr>
        <w:rPr>
          <w:rFonts w:ascii="Arial" w:cs="Arial" w:eastAsia="Arial" w:hAnsi="Arial"/>
          <w:sz w:val="21"/>
          <w:szCs w:val="21"/>
          <w:color w:val="auto"/>
        </w:rPr>
      </w:pPr>
      <w:r>
        <w:rPr>
          <w:rFonts w:ascii="Arial" w:cs="Arial" w:eastAsia="Arial" w:hAnsi="Arial"/>
          <w:sz w:val="17"/>
          <w:szCs w:val="17"/>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4"/>
        </w:numPr>
        <w:rPr>
          <w:rFonts w:ascii="Arial" w:cs="Arial" w:eastAsia="Arial" w:hAnsi="Arial"/>
          <w:sz w:val="21"/>
          <w:szCs w:val="21"/>
          <w:color w:val="auto"/>
        </w:rPr>
      </w:pPr>
      <w:r>
        <w:rPr>
          <w:rFonts w:ascii="Arial" w:cs="Arial" w:eastAsia="Arial" w:hAnsi="Arial"/>
          <w:sz w:val="17"/>
          <w:szCs w:val="17"/>
          <w:color w:val="auto"/>
        </w:rPr>
        <w:t>environmental liabilities, litigation or other events that are not covered by an indemnity, insurance or existing reserves;</w:t>
      </w:r>
    </w:p>
    <w:p>
      <w:pPr>
        <w:spacing w:after="0" w:line="142" w:lineRule="exact"/>
        <w:rPr>
          <w:rFonts w:ascii="Arial" w:cs="Arial" w:eastAsia="Arial" w:hAnsi="Arial"/>
          <w:sz w:val="21"/>
          <w:szCs w:val="21"/>
          <w:color w:val="auto"/>
        </w:rPr>
      </w:pPr>
    </w:p>
    <w:p>
      <w:pPr>
        <w:ind w:left="620" w:right="360" w:hanging="307"/>
        <w:spacing w:after="0" w:line="234" w:lineRule="auto"/>
        <w:tabs>
          <w:tab w:leader="none" w:pos="615" w:val="left"/>
        </w:tabs>
        <w:numPr>
          <w:ilvl w:val="0"/>
          <w:numId w:val="24"/>
        </w:numPr>
        <w:rPr>
          <w:rFonts w:ascii="Arial" w:cs="Arial" w:eastAsia="Arial" w:hAnsi="Arial"/>
          <w:sz w:val="21"/>
          <w:szCs w:val="21"/>
          <w:color w:val="auto"/>
        </w:rPr>
      </w:pPr>
      <w:r>
        <w:rPr>
          <w:rFonts w:ascii="Arial" w:cs="Arial" w:eastAsia="Arial" w:hAnsi="Arial"/>
          <w:sz w:val="17"/>
          <w:szCs w:val="17"/>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auto"/>
        </w:rPr>
        <w:t>Page 21</w:t>
      </w:r>
    </w:p>
    <w:p>
      <w:pPr>
        <w:spacing w:after="0" w:line="200" w:lineRule="exact"/>
        <w:rPr>
          <w:sz w:val="20"/>
          <w:szCs w:val="20"/>
          <w:color w:val="auto"/>
        </w:rPr>
      </w:pPr>
    </w:p>
    <w:p>
      <w:pPr>
        <w:spacing w:after="0" w:line="241" w:lineRule="exact"/>
        <w:rPr>
          <w:sz w:val="20"/>
          <w:szCs w:val="20"/>
          <w:color w:val="auto"/>
        </w:rPr>
      </w:pPr>
    </w:p>
    <w:p>
      <w:pPr>
        <w:ind w:left="620" w:hanging="307"/>
        <w:spacing w:after="0"/>
        <w:tabs>
          <w:tab w:leader="none" w:pos="620" w:val="left"/>
        </w:tabs>
        <w:numPr>
          <w:ilvl w:val="0"/>
          <w:numId w:val="25"/>
        </w:numPr>
        <w:rPr>
          <w:rFonts w:ascii="Arial" w:cs="Arial" w:eastAsia="Arial" w:hAnsi="Arial"/>
          <w:sz w:val="21"/>
          <w:szCs w:val="21"/>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129" w:lineRule="exact"/>
        <w:rPr>
          <w:rFonts w:ascii="Arial" w:cs="Arial" w:eastAsia="Arial" w:hAnsi="Arial"/>
          <w:sz w:val="21"/>
          <w:szCs w:val="21"/>
          <w:color w:val="auto"/>
        </w:rPr>
      </w:pPr>
    </w:p>
    <w:p>
      <w:pPr>
        <w:ind w:left="620" w:hanging="307"/>
        <w:spacing w:after="0" w:line="244" w:lineRule="auto"/>
        <w:tabs>
          <w:tab w:leader="none" w:pos="615" w:val="left"/>
        </w:tabs>
        <w:numPr>
          <w:ilvl w:val="0"/>
          <w:numId w:val="25"/>
        </w:numPr>
        <w:rPr>
          <w:rFonts w:ascii="Arial" w:cs="Arial" w:eastAsia="Arial" w:hAnsi="Arial"/>
          <w:sz w:val="21"/>
          <w:szCs w:val="21"/>
          <w:color w:val="auto"/>
        </w:rPr>
      </w:pPr>
      <w:r>
        <w:rPr>
          <w:rFonts w:ascii="Arial" w:cs="Arial" w:eastAsia="Arial" w:hAnsi="Arial"/>
          <w:sz w:val="17"/>
          <w:szCs w:val="17"/>
          <w:color w:val="auto"/>
        </w:rPr>
        <w:t>the impact of current and future laws, rulings, governmental regulations, executive orders, trade policies, accounting standards and statements, and related interpretations, including legislation, executive orders or regulatory initiatives that prohibit, restrict or regulate hydraulic fracturing or that prohibit the development of oil and gas resources and the related infrastructure on lands dedicated to or served by our pipelines or that negatively impact our ability to develop, operate or repair midstream assets;</w:t>
      </w:r>
    </w:p>
    <w:p>
      <w:pPr>
        <w:spacing w:after="0" w:line="105" w:lineRule="exact"/>
        <w:rPr>
          <w:rFonts w:ascii="Arial" w:cs="Arial" w:eastAsia="Arial" w:hAnsi="Arial"/>
          <w:sz w:val="21"/>
          <w:szCs w:val="21"/>
          <w:color w:val="auto"/>
        </w:rPr>
      </w:pPr>
    </w:p>
    <w:p>
      <w:pPr>
        <w:ind w:left="620" w:hanging="307"/>
        <w:spacing w:after="0"/>
        <w:tabs>
          <w:tab w:leader="none" w:pos="620" w:val="left"/>
        </w:tabs>
        <w:numPr>
          <w:ilvl w:val="0"/>
          <w:numId w:val="25"/>
        </w:numPr>
        <w:rPr>
          <w:rFonts w:ascii="Arial" w:cs="Arial" w:eastAsia="Arial" w:hAnsi="Arial"/>
          <w:sz w:val="21"/>
          <w:szCs w:val="21"/>
          <w:color w:val="auto"/>
        </w:rPr>
      </w:pPr>
      <w:r>
        <w:rPr>
          <w:rFonts w:ascii="Arial" w:cs="Arial" w:eastAsia="Arial" w:hAnsi="Arial"/>
          <w:sz w:val="17"/>
          <w:szCs w:val="17"/>
          <w:color w:val="auto"/>
        </w:rPr>
        <w:t>loss of key personnel and inability to attract and retain new talent;</w:t>
      </w:r>
    </w:p>
    <w:p>
      <w:pPr>
        <w:spacing w:after="0" w:line="142" w:lineRule="exact"/>
        <w:rPr>
          <w:rFonts w:ascii="Arial" w:cs="Arial" w:eastAsia="Arial" w:hAnsi="Arial"/>
          <w:sz w:val="21"/>
          <w:szCs w:val="21"/>
          <w:color w:val="auto"/>
        </w:rPr>
      </w:pPr>
    </w:p>
    <w:p>
      <w:pPr>
        <w:ind w:left="620" w:right="420" w:hanging="307"/>
        <w:spacing w:after="0" w:line="234" w:lineRule="auto"/>
        <w:tabs>
          <w:tab w:leader="none" w:pos="615" w:val="left"/>
        </w:tabs>
        <w:numPr>
          <w:ilvl w:val="0"/>
          <w:numId w:val="25"/>
        </w:numPr>
        <w:rPr>
          <w:rFonts w:ascii="Arial" w:cs="Arial" w:eastAsia="Arial" w:hAnsi="Arial"/>
          <w:sz w:val="21"/>
          <w:szCs w:val="21"/>
          <w:color w:val="auto"/>
        </w:rPr>
      </w:pPr>
      <w:r>
        <w:rPr>
          <w:rFonts w:ascii="Arial" w:cs="Arial" w:eastAsia="Arial" w:hAnsi="Arial"/>
          <w:sz w:val="17"/>
          <w:szCs w:val="17"/>
          <w:color w:val="auto"/>
        </w:rPr>
        <w:t>disruptions to futures markets for crude oil, NGL and other petroleum products, which may impair our ability to execute our commercial or hedging strategies;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5"/>
        </w:numPr>
        <w:rPr>
          <w:rFonts w:ascii="Arial" w:cs="Arial" w:eastAsia="Arial" w:hAnsi="Arial"/>
          <w:sz w:val="21"/>
          <w:szCs w:val="21"/>
          <w:color w:val="auto"/>
        </w:rPr>
      </w:pPr>
      <w:r>
        <w:rPr>
          <w:rFonts w:ascii="Arial" w:cs="Arial" w:eastAsia="Arial" w:hAnsi="Arial"/>
          <w:sz w:val="17"/>
          <w:szCs w:val="17"/>
          <w:color w:val="auto"/>
        </w:rPr>
        <w:t>the effectiveness of our risk management activities;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5"/>
        </w:numPr>
        <w:rPr>
          <w:rFonts w:ascii="Arial" w:cs="Arial" w:eastAsia="Arial" w:hAnsi="Arial"/>
          <w:sz w:val="21"/>
          <w:szCs w:val="21"/>
          <w:color w:val="auto"/>
        </w:rPr>
      </w:pPr>
      <w:r>
        <w:rPr>
          <w:rFonts w:ascii="Arial" w:cs="Arial" w:eastAsia="Arial" w:hAnsi="Arial"/>
          <w:sz w:val="17"/>
          <w:szCs w:val="17"/>
          <w:color w:val="auto"/>
        </w:rPr>
        <w:t>shortages or cost increases of supplies, materials or labor;</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5"/>
        </w:numPr>
        <w:rPr>
          <w:rFonts w:ascii="Arial" w:cs="Arial" w:eastAsia="Arial" w:hAnsi="Arial"/>
          <w:sz w:val="21"/>
          <w:szCs w:val="21"/>
          <w:color w:val="auto"/>
        </w:rPr>
      </w:pPr>
      <w:r>
        <w:rPr>
          <w:rFonts w:ascii="Arial" w:cs="Arial" w:eastAsia="Arial" w:hAnsi="Arial"/>
          <w:sz w:val="17"/>
          <w:szCs w:val="17"/>
          <w:color w:val="auto"/>
        </w:rPr>
        <w:t>maintenance of our credit rating and ability to receive open credit from our suppliers and trade counterparties;</w:t>
      </w:r>
    </w:p>
    <w:p>
      <w:pPr>
        <w:spacing w:after="0" w:line="129" w:lineRule="exact"/>
        <w:rPr>
          <w:rFonts w:ascii="Arial" w:cs="Arial" w:eastAsia="Arial" w:hAnsi="Arial"/>
          <w:sz w:val="21"/>
          <w:szCs w:val="21"/>
          <w:color w:val="auto"/>
        </w:rPr>
      </w:pPr>
    </w:p>
    <w:p>
      <w:pPr>
        <w:ind w:left="620" w:hanging="307"/>
        <w:spacing w:after="0" w:line="242" w:lineRule="auto"/>
        <w:tabs>
          <w:tab w:leader="none" w:pos="615" w:val="left"/>
        </w:tabs>
        <w:numPr>
          <w:ilvl w:val="0"/>
          <w:numId w:val="25"/>
        </w:numPr>
        <w:rPr>
          <w:rFonts w:ascii="Arial" w:cs="Arial" w:eastAsia="Arial" w:hAnsi="Arial"/>
          <w:sz w:val="21"/>
          <w:szCs w:val="21"/>
          <w:color w:val="auto"/>
        </w:rPr>
      </w:pPr>
      <w:r>
        <w:rPr>
          <w:rFonts w:ascii="Arial" w:cs="Arial" w:eastAsia="Arial" w:hAnsi="Arial"/>
          <w:sz w:val="17"/>
          <w:szCs w:val="17"/>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105" w:lineRule="exact"/>
        <w:rPr>
          <w:rFonts w:ascii="Arial" w:cs="Arial" w:eastAsia="Arial" w:hAnsi="Arial"/>
          <w:sz w:val="21"/>
          <w:szCs w:val="21"/>
          <w:color w:val="auto"/>
        </w:rPr>
      </w:pPr>
    </w:p>
    <w:p>
      <w:pPr>
        <w:ind w:left="620" w:hanging="307"/>
        <w:spacing w:after="0"/>
        <w:tabs>
          <w:tab w:leader="none" w:pos="620" w:val="left"/>
        </w:tabs>
        <w:numPr>
          <w:ilvl w:val="0"/>
          <w:numId w:val="25"/>
        </w:numPr>
        <w:rPr>
          <w:rFonts w:ascii="Arial" w:cs="Arial" w:eastAsia="Arial" w:hAnsi="Arial"/>
          <w:sz w:val="21"/>
          <w:szCs w:val="21"/>
          <w:color w:val="auto"/>
        </w:rPr>
      </w:pPr>
      <w:r>
        <w:rPr>
          <w:rFonts w:ascii="Arial" w:cs="Arial" w:eastAsia="Arial" w:hAnsi="Arial"/>
          <w:sz w:val="17"/>
          <w:szCs w:val="17"/>
          <w:color w:val="auto"/>
        </w:rPr>
        <w:t>the availability of, and our ability to consummate, divestitures, joint ventures, acquisitions or other strategic opportunities;</w:t>
      </w:r>
    </w:p>
    <w:p>
      <w:pPr>
        <w:spacing w:after="0" w:line="129" w:lineRule="exact"/>
        <w:rPr>
          <w:rFonts w:ascii="Arial" w:cs="Arial" w:eastAsia="Arial" w:hAnsi="Arial"/>
          <w:sz w:val="21"/>
          <w:szCs w:val="21"/>
          <w:color w:val="auto"/>
        </w:rPr>
      </w:pPr>
    </w:p>
    <w:p>
      <w:pPr>
        <w:ind w:left="620" w:right="20" w:hanging="307"/>
        <w:spacing w:after="0" w:line="263" w:lineRule="auto"/>
        <w:tabs>
          <w:tab w:leader="none" w:pos="615" w:val="left"/>
        </w:tabs>
        <w:numPr>
          <w:ilvl w:val="0"/>
          <w:numId w:val="25"/>
        </w:numPr>
        <w:rPr>
          <w:rFonts w:ascii="Arial" w:cs="Arial" w:eastAsia="Arial" w:hAnsi="Arial"/>
          <w:sz w:val="20"/>
          <w:szCs w:val="20"/>
          <w:color w:val="auto"/>
        </w:rPr>
      </w:pPr>
      <w:r>
        <w:rPr>
          <w:rFonts w:ascii="Arial" w:cs="Arial" w:eastAsia="Arial" w:hAnsi="Arial"/>
          <w:sz w:val="16"/>
          <w:szCs w:val="16"/>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112" w:lineRule="exact"/>
        <w:rPr>
          <w:rFonts w:ascii="Arial" w:cs="Arial" w:eastAsia="Arial" w:hAnsi="Arial"/>
          <w:sz w:val="20"/>
          <w:szCs w:val="20"/>
          <w:color w:val="auto"/>
        </w:rPr>
      </w:pPr>
    </w:p>
    <w:p>
      <w:pPr>
        <w:jc w:val="both"/>
        <w:ind w:left="620" w:right="120" w:hanging="307"/>
        <w:spacing w:after="0" w:line="305" w:lineRule="auto"/>
        <w:tabs>
          <w:tab w:leader="none" w:pos="615" w:val="left"/>
        </w:tabs>
        <w:numPr>
          <w:ilvl w:val="0"/>
          <w:numId w:val="25"/>
        </w:numPr>
        <w:rPr>
          <w:rFonts w:ascii="Arial" w:cs="Arial" w:eastAsia="Arial" w:hAnsi="Arial"/>
          <w:sz w:val="18"/>
          <w:szCs w:val="18"/>
          <w:color w:val="auto"/>
        </w:rPr>
      </w:pPr>
      <w:r>
        <w:rPr>
          <w:rFonts w:ascii="Arial" w:cs="Arial" w:eastAsia="Arial" w:hAnsi="Arial"/>
          <w:sz w:val="15"/>
          <w:szCs w:val="15"/>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51" w:lineRule="exact"/>
        <w:rPr>
          <w:rFonts w:ascii="Arial" w:cs="Arial" w:eastAsia="Arial" w:hAnsi="Arial"/>
          <w:sz w:val="18"/>
          <w:szCs w:val="18"/>
          <w:color w:val="auto"/>
        </w:rPr>
      </w:pPr>
    </w:p>
    <w:p>
      <w:pPr>
        <w:ind w:left="620" w:hanging="307"/>
        <w:spacing w:after="0"/>
        <w:tabs>
          <w:tab w:leader="none" w:pos="620" w:val="left"/>
        </w:tabs>
        <w:numPr>
          <w:ilvl w:val="0"/>
          <w:numId w:val="25"/>
        </w:numPr>
        <w:rPr>
          <w:rFonts w:ascii="Arial" w:cs="Arial" w:eastAsia="Arial" w:hAnsi="Arial"/>
          <w:sz w:val="21"/>
          <w:szCs w:val="21"/>
          <w:color w:val="auto"/>
        </w:rPr>
      </w:pPr>
      <w:r>
        <w:rPr>
          <w:rFonts w:ascii="Arial" w:cs="Arial" w:eastAsia="Arial" w:hAnsi="Arial"/>
          <w:sz w:val="17"/>
          <w:szCs w:val="17"/>
          <w:color w:val="auto"/>
        </w:rPr>
        <w:t>the incurrence of costs and expenses related to unexpected or unplanned capital expenditures, third-party claims or other factors;</w:t>
      </w:r>
    </w:p>
    <w:p>
      <w:pPr>
        <w:spacing w:after="0" w:line="129" w:lineRule="exact"/>
        <w:rPr>
          <w:rFonts w:ascii="Arial" w:cs="Arial" w:eastAsia="Arial" w:hAnsi="Arial"/>
          <w:sz w:val="21"/>
          <w:szCs w:val="21"/>
          <w:color w:val="auto"/>
        </w:rPr>
      </w:pPr>
    </w:p>
    <w:p>
      <w:pPr>
        <w:ind w:left="620" w:right="100" w:hanging="307"/>
        <w:spacing w:after="0" w:line="234" w:lineRule="auto"/>
        <w:tabs>
          <w:tab w:leader="none" w:pos="615" w:val="left"/>
        </w:tabs>
        <w:numPr>
          <w:ilvl w:val="0"/>
          <w:numId w:val="25"/>
        </w:numPr>
        <w:rPr>
          <w:rFonts w:ascii="Arial" w:cs="Arial" w:eastAsia="Arial" w:hAnsi="Arial"/>
          <w:sz w:val="21"/>
          <w:szCs w:val="21"/>
          <w:color w:val="auto"/>
        </w:rPr>
      </w:pPr>
      <w:r>
        <w:rPr>
          <w:rFonts w:ascii="Arial" w:cs="Arial" w:eastAsia="Arial" w:hAnsi="Arial"/>
          <w:sz w:val="17"/>
          <w:szCs w:val="17"/>
          <w:color w:val="auto"/>
        </w:rPr>
        <w:t>failure to implement or capitalize, or delays in implementing or capitalizing, on investment capital projects, whether due to permitting delays, permitting withdrawals or other factors;</w:t>
      </w:r>
    </w:p>
    <w:p>
      <w:pPr>
        <w:spacing w:after="0" w:line="129" w:lineRule="exact"/>
        <w:rPr>
          <w:rFonts w:ascii="Arial" w:cs="Arial" w:eastAsia="Arial" w:hAnsi="Arial"/>
          <w:sz w:val="21"/>
          <w:szCs w:val="21"/>
          <w:color w:val="auto"/>
        </w:rPr>
      </w:pPr>
    </w:p>
    <w:p>
      <w:pPr>
        <w:ind w:left="620" w:right="300" w:hanging="307"/>
        <w:spacing w:after="0" w:line="272" w:lineRule="auto"/>
        <w:tabs>
          <w:tab w:leader="none" w:pos="615" w:val="left"/>
        </w:tabs>
        <w:numPr>
          <w:ilvl w:val="0"/>
          <w:numId w:val="25"/>
        </w:numPr>
        <w:rPr>
          <w:rFonts w:ascii="Arial" w:cs="Arial" w:eastAsia="Arial" w:hAnsi="Arial"/>
          <w:sz w:val="20"/>
          <w:szCs w:val="20"/>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acquisitions, investment capital projects, working capital requirements and the repayment or refinancing of indebtedness;</w:t>
      </w:r>
    </w:p>
    <w:p>
      <w:pPr>
        <w:spacing w:after="0" w:line="77" w:lineRule="exact"/>
        <w:rPr>
          <w:rFonts w:ascii="Arial" w:cs="Arial" w:eastAsia="Arial" w:hAnsi="Arial"/>
          <w:sz w:val="20"/>
          <w:szCs w:val="20"/>
          <w:color w:val="auto"/>
        </w:rPr>
      </w:pPr>
    </w:p>
    <w:p>
      <w:pPr>
        <w:ind w:left="620" w:hanging="307"/>
        <w:spacing w:after="0"/>
        <w:tabs>
          <w:tab w:leader="none" w:pos="620" w:val="left"/>
        </w:tabs>
        <w:numPr>
          <w:ilvl w:val="0"/>
          <w:numId w:val="25"/>
        </w:numPr>
        <w:rPr>
          <w:rFonts w:ascii="Arial" w:cs="Arial" w:eastAsia="Arial" w:hAnsi="Arial"/>
          <w:sz w:val="21"/>
          <w:szCs w:val="21"/>
          <w:color w:val="auto"/>
        </w:rPr>
      </w:pPr>
      <w:r>
        <w:rPr>
          <w:rFonts w:ascii="Arial" w:cs="Arial" w:eastAsia="Arial" w:hAnsi="Arial"/>
          <w:sz w:val="17"/>
          <w:szCs w:val="17"/>
          <w:color w:val="auto"/>
        </w:rPr>
        <w:t>the amplification of other risks caused by volatile financial markets, capital constraints, liquidity concerns and inflation;</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5"/>
        </w:numPr>
        <w:rPr>
          <w:rFonts w:ascii="Arial" w:cs="Arial" w:eastAsia="Arial" w:hAnsi="Arial"/>
          <w:sz w:val="21"/>
          <w:szCs w:val="21"/>
          <w:color w:val="auto"/>
        </w:rPr>
      </w:pPr>
      <w:r>
        <w:rPr>
          <w:rFonts w:ascii="Arial" w:cs="Arial" w:eastAsia="Arial" w:hAnsi="Arial"/>
          <w:sz w:val="17"/>
          <w:szCs w:val="17"/>
          <w:color w:val="auto"/>
        </w:rPr>
        <w:t>the use or availability of third-party assets upon which our operations depend and over which we have little or no control;</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5"/>
        </w:numPr>
        <w:rPr>
          <w:rFonts w:ascii="Arial" w:cs="Arial" w:eastAsia="Arial" w:hAnsi="Arial"/>
          <w:sz w:val="21"/>
          <w:szCs w:val="21"/>
          <w:color w:val="auto"/>
        </w:rPr>
      </w:pPr>
      <w:r>
        <w:rPr>
          <w:rFonts w:ascii="Arial" w:cs="Arial" w:eastAsia="Arial" w:hAnsi="Arial"/>
          <w:sz w:val="17"/>
          <w:szCs w:val="17"/>
          <w:color w:val="auto"/>
        </w:rPr>
        <w:t>the currency exchange rate of the Canadian dollar to the United States dollar;</w:t>
      </w:r>
    </w:p>
    <w:p>
      <w:pPr>
        <w:spacing w:after="0" w:line="129" w:lineRule="exact"/>
        <w:rPr>
          <w:rFonts w:ascii="Arial" w:cs="Arial" w:eastAsia="Arial" w:hAnsi="Arial"/>
          <w:sz w:val="21"/>
          <w:szCs w:val="21"/>
          <w:color w:val="auto"/>
        </w:rPr>
      </w:pPr>
    </w:p>
    <w:p>
      <w:pPr>
        <w:ind w:left="620" w:right="640" w:hanging="307"/>
        <w:spacing w:after="0" w:line="234" w:lineRule="auto"/>
        <w:tabs>
          <w:tab w:leader="none" w:pos="615" w:val="left"/>
        </w:tabs>
        <w:numPr>
          <w:ilvl w:val="0"/>
          <w:numId w:val="25"/>
        </w:numPr>
        <w:rPr>
          <w:rFonts w:ascii="Arial" w:cs="Arial" w:eastAsia="Arial" w:hAnsi="Arial"/>
          <w:sz w:val="21"/>
          <w:szCs w:val="21"/>
          <w:color w:val="auto"/>
        </w:rPr>
      </w:pPr>
      <w:r>
        <w:rPr>
          <w:rFonts w:ascii="Arial" w:cs="Arial" w:eastAsia="Arial" w:hAnsi="Arial"/>
          <w:sz w:val="17"/>
          <w:szCs w:val="17"/>
          <w:color w:val="auto"/>
        </w:rPr>
        <w:t>inability to recognize current revenue attributable to deficiency payments received from customers who fail to ship or move more than minimum contracted volumes until the related credits expire or are used;</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auto"/>
        </w:rPr>
        <w:t>Page 22</w:t>
      </w:r>
    </w:p>
    <w:p>
      <w:pPr>
        <w:spacing w:after="0" w:line="200" w:lineRule="exact"/>
        <w:rPr>
          <w:sz w:val="20"/>
          <w:szCs w:val="20"/>
          <w:color w:val="auto"/>
        </w:rPr>
      </w:pPr>
    </w:p>
    <w:p>
      <w:pPr>
        <w:spacing w:after="0" w:line="241" w:lineRule="exact"/>
        <w:rPr>
          <w:sz w:val="20"/>
          <w:szCs w:val="20"/>
          <w:color w:val="auto"/>
        </w:rPr>
      </w:pPr>
    </w:p>
    <w:p>
      <w:pPr>
        <w:ind w:left="620" w:hanging="307"/>
        <w:spacing w:after="0"/>
        <w:tabs>
          <w:tab w:leader="none" w:pos="620" w:val="left"/>
        </w:tabs>
        <w:numPr>
          <w:ilvl w:val="0"/>
          <w:numId w:val="26"/>
        </w:numPr>
        <w:rPr>
          <w:rFonts w:ascii="Arial" w:cs="Arial" w:eastAsia="Arial" w:hAnsi="Arial"/>
          <w:sz w:val="21"/>
          <w:szCs w:val="21"/>
          <w:color w:val="auto"/>
        </w:rPr>
      </w:pPr>
      <w:r>
        <w:rPr>
          <w:rFonts w:ascii="Arial" w:cs="Arial" w:eastAsia="Arial" w:hAnsi="Arial"/>
          <w:sz w:val="17"/>
          <w:szCs w:val="17"/>
          <w:color w:val="auto"/>
        </w:rPr>
        <w:t>significant under-utilization of our assets and facilities;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6"/>
        </w:numPr>
        <w:rPr>
          <w:rFonts w:ascii="Arial" w:cs="Arial" w:eastAsia="Arial" w:hAnsi="Arial"/>
          <w:sz w:val="21"/>
          <w:szCs w:val="21"/>
          <w:color w:val="auto"/>
        </w:rPr>
      </w:pPr>
      <w:r>
        <w:rPr>
          <w:rFonts w:ascii="Arial" w:cs="Arial" w:eastAsia="Arial" w:hAnsi="Arial"/>
          <w:sz w:val="17"/>
          <w:szCs w:val="17"/>
          <w:color w:val="auto"/>
        </w:rPr>
        <w:t>increased costs, or lack of availability, of insurance;</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6"/>
        </w:numPr>
        <w:rPr>
          <w:rFonts w:ascii="Arial" w:cs="Arial" w:eastAsia="Arial" w:hAnsi="Arial"/>
          <w:sz w:val="21"/>
          <w:szCs w:val="21"/>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120" w:lineRule="exact"/>
        <w:rPr>
          <w:rFonts w:ascii="Arial" w:cs="Arial" w:eastAsia="Arial" w:hAnsi="Arial"/>
          <w:sz w:val="21"/>
          <w:szCs w:val="21"/>
          <w:color w:val="auto"/>
        </w:rPr>
      </w:pPr>
    </w:p>
    <w:p>
      <w:pPr>
        <w:ind w:left="620" w:hanging="307"/>
        <w:spacing w:after="0"/>
        <w:tabs>
          <w:tab w:leader="none" w:pos="620" w:val="left"/>
        </w:tabs>
        <w:numPr>
          <w:ilvl w:val="0"/>
          <w:numId w:val="26"/>
        </w:numPr>
        <w:rPr>
          <w:rFonts w:ascii="Arial" w:cs="Arial" w:eastAsia="Arial" w:hAnsi="Arial"/>
          <w:sz w:val="21"/>
          <w:szCs w:val="21"/>
          <w:color w:val="auto"/>
        </w:rPr>
      </w:pPr>
      <w:r>
        <w:rPr>
          <w:rFonts w:ascii="Arial" w:cs="Arial" w:eastAsia="Arial" w:hAnsi="Arial"/>
          <w:sz w:val="17"/>
          <w:szCs w:val="17"/>
          <w:color w:val="auto"/>
        </w:rPr>
        <w:t>risks related to the development and operation of our assets; and</w:t>
      </w:r>
    </w:p>
    <w:p>
      <w:pPr>
        <w:spacing w:after="0" w:line="129" w:lineRule="exact"/>
        <w:rPr>
          <w:rFonts w:ascii="Arial" w:cs="Arial" w:eastAsia="Arial" w:hAnsi="Arial"/>
          <w:sz w:val="21"/>
          <w:szCs w:val="21"/>
          <w:color w:val="auto"/>
        </w:rPr>
      </w:pPr>
    </w:p>
    <w:p>
      <w:pPr>
        <w:ind w:left="620" w:right="60" w:hanging="307"/>
        <w:spacing w:after="0" w:line="255" w:lineRule="auto"/>
        <w:tabs>
          <w:tab w:leader="none" w:pos="615" w:val="left"/>
        </w:tabs>
        <w:numPr>
          <w:ilvl w:val="0"/>
          <w:numId w:val="26"/>
        </w:numPr>
        <w:rPr>
          <w:rFonts w:ascii="Arial" w:cs="Arial" w:eastAsia="Arial" w:hAnsi="Arial"/>
          <w:sz w:val="20"/>
          <w:szCs w:val="20"/>
          <w:color w:val="auto"/>
        </w:rPr>
      </w:pPr>
      <w:r>
        <w:rPr>
          <w:rFonts w:ascii="Arial" w:cs="Arial" w:eastAsia="Arial" w:hAnsi="Arial"/>
          <w:sz w:val="16"/>
          <w:szCs w:val="16"/>
          <w:color w:val="auto"/>
        </w:rPr>
        <w:t>other factors and uncertainties inherent in the transportation, storage, terminalling and marketing of crude oil, as well as in the processing, transportation, fractionation, storage and marketing of NGL as discussed in the Partnerships’ filings with the Securities and Exchange Commission.</w:t>
      </w: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About Plains:</w:t>
      </w:r>
    </w:p>
    <w:p>
      <w:pPr>
        <w:spacing w:after="0" w:line="296" w:lineRule="exact"/>
        <w:rPr>
          <w:sz w:val="20"/>
          <w:szCs w:val="20"/>
          <w:color w:val="auto"/>
        </w:rPr>
      </w:pPr>
    </w:p>
    <w:p>
      <w:pPr>
        <w:ind w:right="160" w:firstLine="620"/>
        <w:spacing w:after="0" w:line="285" w:lineRule="auto"/>
        <w:rPr>
          <w:sz w:val="20"/>
          <w:szCs w:val="20"/>
          <w:color w:val="auto"/>
        </w:rPr>
      </w:pPr>
      <w:r>
        <w:rPr>
          <w:rFonts w:ascii="Arial" w:cs="Arial" w:eastAsia="Arial" w:hAnsi="Arial"/>
          <w:sz w:val="16"/>
          <w:szCs w:val="16"/>
          <w:color w:val="auto"/>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approximately 8 million barrels per day of crude oil and NGL.</w:t>
      </w:r>
    </w:p>
    <w:p>
      <w:pPr>
        <w:spacing w:after="0" w:line="186" w:lineRule="exact"/>
        <w:rPr>
          <w:sz w:val="20"/>
          <w:szCs w:val="20"/>
          <w:color w:val="auto"/>
        </w:rPr>
      </w:pPr>
    </w:p>
    <w:p>
      <w:pPr>
        <w:ind w:firstLine="620"/>
        <w:spacing w:after="0" w:line="283" w:lineRule="auto"/>
        <w:rPr>
          <w:sz w:val="20"/>
          <w:szCs w:val="20"/>
          <w:color w:val="auto"/>
        </w:rPr>
      </w:pPr>
      <w:r>
        <w:rPr>
          <w:rFonts w:ascii="Arial" w:cs="Arial" w:eastAsia="Arial" w:hAnsi="Arial"/>
          <w:sz w:val="17"/>
          <w:szCs w:val="17"/>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PAA and PAGP are headquartered in Houston, Texas. For more information, please visit www.plains.com.</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Contacts</w:t>
      </w:r>
      <w:r>
        <w:rPr>
          <w:rFonts w:ascii="Arial" w:cs="Arial" w:eastAsia="Arial" w:hAnsi="Arial"/>
          <w:sz w:val="17"/>
          <w:szCs w:val="17"/>
          <w:color w:val="auto"/>
        </w:rPr>
        <w: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Blake Fernandez</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Vice President, Investor Relations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(866) 809-1291</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7"/>
          <w:szCs w:val="17"/>
          <w:color w:val="auto"/>
        </w:rPr>
        <w:t>Michael Gladstein</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Director, Investor Relations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(866) 809-1291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31750</wp:posOffset>
            </wp:positionV>
            <wp:extent cx="7121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40"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sectPr>
      <w:pgSz w:w="11900" w:h="16838" w:orient="portrait"/>
      <w:cols w:equalWidth="0" w:num="1">
        <w:col w:w="11220"/>
      </w:cols>
      <w:pgMar w:left="320" w:top="36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104"/>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lvl w:ilvl="1">
      <w:lvlJc w:val="left"/>
      <w:lvlText w:val="-"/>
      <w:numFmt w:val="bullet"/>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lvl w:ilvl="1">
      <w:lvlJc w:val="left"/>
      <w:lvlText w:val="-"/>
      <w:numFmt w:val="bullet"/>
      <w:start w:val="1"/>
    </w:lvl>
  </w:abstractNum>
  <w:abstractNum w:abstractNumId="15">
    <w:nsid w:val="628C895D"/>
    <w:multiLevelType w:val="hybridMultilevel"/>
    <w:lvl w:ilvl="0">
      <w:lvlJc w:val="left"/>
      <w:lvlText w:val="(%1)"/>
      <w:numFmt w:val="decimal"/>
      <w:start w:val="3"/>
    </w:lvl>
  </w:abstractNum>
  <w:abstractNum w:abstractNumId="16">
    <w:nsid w:val="333AB105"/>
    <w:multiLevelType w:val="hybridMultilevel"/>
    <w:lvl w:ilvl="0">
      <w:lvlJc w:val="left"/>
      <w:lvlText w:val="(%1)"/>
      <w:numFmt w:val="decimal"/>
      <w:start w:val="3"/>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4"/>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2023-11-03T07:40:14Z</dcterms:created>
  <dcterms:modified xsi:type="dcterms:W3CDTF">2023-11-03T07:40:14Z</dcterms:modified>
</cp:coreProperties>
</file>