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rPr/>
      </w:pPr>
      <w:bookmarkStart w:id="0" w:name="d627091d8k.htm"/>
      <w:bookmarkStart w:id="1" w:name="ksd627091d8k"/>
      <w:bookmarkEnd w:id="0"/>
      <w:bookmarkEnd w:id="1"/>
      <w:r>
        <w:rPr/>
        <w:t> </w:t>
      </w:r>
    </w:p>
    <w:p>
      <w:pPr>
        <w:pStyle w:val="TextBody"/>
        <w:pBdr>
          <w:bottom w:val="single" w:sz="2" w:space="1" w:color="000000"/>
        </w:pBdr>
        <w:spacing w:lineRule="atLeast" w:line="141" w:before="0" w:after="40"/>
        <w:rPr/>
      </w:pPr>
      <w:r>
        <w:rPr/>
        <w:t> </w:t>
      </w:r>
    </w:p>
    <w:p>
      <w:pPr>
        <w:pStyle w:val="TextBody"/>
        <w:spacing w:before="8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0"/>
        </w:rPr>
      </w:pPr>
      <w:r>
        <w:rPr>
          <w:rFonts w:ascii="Times New Roman" w:hAnsi="Times New Roman"/>
          <w:b/>
          <w:sz w:val="30"/>
        </w:rPr>
        <w:t xml:space="preserve">FORM 8-K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CURRENT REPORT </w:t>
      </w:r>
    </w:p>
    <w:p>
      <w:pPr>
        <w:pStyle w:val="TextBody"/>
        <w:spacing w:before="0" w:after="0"/>
        <w:jc w:val="center"/>
        <w:rPr>
          <w:rFonts w:ascii="Times New Roman" w:hAnsi="Times New Roman"/>
          <w:b/>
          <w:sz w:val="20"/>
        </w:rPr>
      </w:pPr>
      <w:r>
        <w:rPr>
          <w:rFonts w:ascii="Times New Roman" w:hAnsi="Times New Roman"/>
          <w:b/>
          <w:sz w:val="20"/>
        </w:rPr>
        <w:t xml:space="preserve">Pursuant to Section 13 or 15(d) </w:t>
      </w:r>
    </w:p>
    <w:p>
      <w:pPr>
        <w:pStyle w:val="TextBody"/>
        <w:spacing w:before="0" w:after="0"/>
        <w:jc w:val="center"/>
        <w:rPr>
          <w:rFonts w:ascii="Times New Roman" w:hAnsi="Times New Roman"/>
          <w:b/>
          <w:sz w:val="20"/>
        </w:rPr>
      </w:pPr>
      <w:r>
        <w:rPr>
          <w:rFonts w:ascii="Times New Roman" w:hAnsi="Times New Roman"/>
          <w:b/>
          <w:sz w:val="20"/>
        </w:rPr>
        <w:t xml:space="preserve">of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Date of Report (Date of earliest event reported)  November 12, 2013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0"/>
        </w:rPr>
      </w:pPr>
      <w:r>
        <w:rPr>
          <w:rFonts w:ascii="Times New Roman" w:hAnsi="Times New Roman"/>
          <w:b/>
          <w:sz w:val="40"/>
        </w:rPr>
        <w:t xml:space="preserve">Plains GP Holdings, L.P.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b/>
              </w:rPr>
            </w:pPr>
            <w:r>
              <w:rPr>
                <w:b/>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0"/>
              <w:jc w:val="center"/>
              <w:rPr>
                <w:rFonts w:ascii="Times New Roman" w:hAnsi="Times New Roman"/>
                <w:b/>
                <w:sz w:val="17"/>
              </w:rPr>
            </w:pPr>
            <w:r>
              <w:rPr>
                <w:rFonts w:ascii="Times New Roman" w:hAnsi="Times New Roman"/>
                <w:b/>
                <w:sz w:val="17"/>
              </w:rPr>
              <w:t>001-36132</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0"/>
              <w:jc w:val="center"/>
              <w:rPr>
                <w:rFonts w:ascii="Times New Roman" w:hAnsi="Times New Roman"/>
                <w:b/>
                <w:sz w:val="17"/>
              </w:rPr>
            </w:pPr>
            <w:r>
              <w:rPr>
                <w:rFonts w:ascii="Times New Roman" w:hAnsi="Times New Roman"/>
                <w:b/>
                <w:sz w:val="17"/>
              </w:rPr>
              <w:t>90-1005472</w:t>
            </w:r>
          </w:p>
        </w:tc>
      </w:tr>
      <w:tr>
        <w:trPr/>
        <w:tc>
          <w:tcPr>
            <w:tcW w:w="3469"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(State or other jurisdiction</w:t>
            </w:r>
          </w:p>
          <w:p>
            <w:pPr>
              <w:pStyle w:val="TableContents"/>
              <w:spacing w:before="0" w:after="20"/>
              <w:jc w:val="center"/>
              <w:rPr>
                <w:rFonts w:ascii="Times New Roman" w:hAnsi="Times New Roman"/>
                <w:b/>
                <w:sz w:val="13"/>
              </w:rPr>
            </w:pPr>
            <w:r>
              <w:rPr>
                <w:rFonts w:ascii="Times New Roman" w:hAnsi="Times New Roman"/>
                <w:b/>
                <w:sz w:val="13"/>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(Commission</w:t>
            </w:r>
          </w:p>
          <w:p>
            <w:pPr>
              <w:pStyle w:val="TableContents"/>
              <w:spacing w:before="0" w:after="20"/>
              <w:jc w:val="center"/>
              <w:rPr>
                <w:rFonts w:ascii="Times New Roman" w:hAnsi="Times New Roman"/>
                <w:b/>
                <w:sz w:val="13"/>
              </w:rPr>
            </w:pPr>
            <w:r>
              <w:rPr>
                <w:rFonts w:ascii="Times New Roman" w:hAnsi="Times New Roman"/>
                <w:b/>
                <w:sz w:val="13"/>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(IRS Employer</w:t>
            </w:r>
          </w:p>
          <w:p>
            <w:pPr>
              <w:pStyle w:val="TableContents"/>
              <w:spacing w:before="0" w:after="20"/>
              <w:jc w:val="center"/>
              <w:rPr>
                <w:rFonts w:ascii="Times New Roman" w:hAnsi="Times New Roman"/>
                <w:b/>
                <w:sz w:val="13"/>
              </w:rPr>
            </w:pPr>
            <w:r>
              <w:rPr>
                <w:rFonts w:ascii="Times New Roman" w:hAnsi="Times New Roman"/>
                <w:b/>
                <w:sz w:val="13"/>
              </w:rPr>
              <w:t>Identification No.)</w:t>
            </w:r>
          </w:p>
        </w:tc>
      </w:tr>
    </w:tbl>
    <w:p>
      <w:pPr>
        <w:pStyle w:val="TextBody"/>
        <w:spacing w:before="240" w:after="0"/>
        <w:jc w:val="center"/>
        <w:rPr>
          <w:rFonts w:ascii="Times New Roman" w:hAnsi="Times New Roman"/>
          <w:b/>
          <w:sz w:val="17"/>
        </w:rPr>
      </w:pPr>
      <w:r>
        <w:rPr>
          <w:rFonts w:ascii="Times New Roman" w:hAnsi="Times New Roman"/>
          <w:b/>
          <w:sz w:val="17"/>
        </w:rPr>
        <w:t xml:space="preserve">333 Clay Street, Suite 1600, Houston, Texas 77002 </w:t>
      </w:r>
    </w:p>
    <w:p>
      <w:pPr>
        <w:pStyle w:val="TextBody"/>
        <w:spacing w:before="0" w:after="0"/>
        <w:jc w:val="center"/>
        <w:rPr>
          <w:rFonts w:ascii="Times New Roman" w:hAnsi="Times New Roman"/>
          <w:b/>
          <w:sz w:val="13"/>
        </w:rPr>
      </w:pPr>
      <w:r>
        <w:rPr>
          <w:rFonts w:ascii="Times New Roman" w:hAnsi="Times New Roman"/>
          <w:b/>
          <w:sz w:val="13"/>
        </w:rPr>
        <w:t xml:space="preserve">(Address of principal executive offices) (Zip Code) </w:t>
      </w:r>
    </w:p>
    <w:p>
      <w:pPr>
        <w:pStyle w:val="TextBody"/>
        <w:spacing w:before="240" w:after="0"/>
        <w:jc w:val="center"/>
        <w:rPr>
          <w:rFonts w:ascii="Times New Roman" w:hAnsi="Times New Roman"/>
          <w:b/>
          <w:sz w:val="17"/>
        </w:rPr>
      </w:pPr>
      <w:r>
        <w:rPr>
          <w:rFonts w:ascii="Times New Roman" w:hAnsi="Times New Roman"/>
          <w:b/>
          <w:sz w:val="17"/>
        </w:rPr>
        <w:t xml:space="preserve">713-646-4100 </w:t>
      </w:r>
    </w:p>
    <w:p>
      <w:pPr>
        <w:pStyle w:val="TextBody"/>
        <w:spacing w:before="0" w:after="0"/>
        <w:jc w:val="center"/>
        <w:rPr>
          <w:rFonts w:ascii="Times New Roman" w:hAnsi="Times New Roman"/>
          <w:b/>
          <w:sz w:val="13"/>
        </w:rPr>
      </w:pPr>
      <w:r>
        <w:rPr>
          <w:rFonts w:ascii="Times New Roman" w:hAnsi="Times New Roman"/>
          <w:b/>
          <w:sz w:val="13"/>
        </w:rPr>
        <w:t xml:space="preserve">(Registrants telephone number, including area code) </w:t>
      </w:r>
    </w:p>
    <w:p>
      <w:pPr>
        <w:pStyle w:val="TextBody"/>
        <w:spacing w:before="240" w:after="0"/>
        <w:jc w:val="center"/>
        <w:rPr>
          <w:rFonts w:ascii="Times New Roman" w:hAnsi="Times New Roman"/>
          <w:b/>
          <w:sz w:val="13"/>
        </w:rPr>
      </w:pPr>
      <w:r>
        <w:rPr>
          <w:rFonts w:ascii="Times New Roman" w:hAnsi="Times New Roman"/>
          <w:b/>
          <w:sz w:val="13"/>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pPr>
            <w:r>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b/>
              </w:rPr>
            </w:pPr>
            <w:r>
              <w:rPr>
                <w:b/>
              </w:rPr>
              <w:t>Item 7.01.</w:t>
            </w:r>
          </w:p>
        </w:tc>
        <w:tc>
          <w:tcPr>
            <w:tcW w:w="9186" w:type="dxa"/>
            <w:tcBorders/>
            <w:shd w:fill="auto" w:val="clear"/>
          </w:tcPr>
          <w:p>
            <w:pPr>
              <w:pStyle w:val="TableContents"/>
              <w:spacing w:before="0" w:after="283"/>
              <w:jc w:val="left"/>
              <w:rPr>
                <w:b/>
              </w:rPr>
            </w:pPr>
            <w:r>
              <w:rPr>
                <w:b/>
              </w:rPr>
              <w:t xml:space="preserve">Regulation FD Disclosure </w:t>
            </w:r>
          </w:p>
        </w:tc>
      </w:tr>
    </w:tbl>
    <w:p>
      <w:pPr>
        <w:pStyle w:val="TextBody"/>
        <w:spacing w:before="120" w:after="0"/>
        <w:rPr>
          <w:rFonts w:ascii="Times New Roman" w:hAnsi="Times New Roman"/>
          <w:sz w:val="17"/>
        </w:rPr>
      </w:pPr>
      <w:r>
        <w:rPr>
          <w:rFonts w:ascii="Times New Roman" w:hAnsi="Times New Roman"/>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spacing w:before="240" w:after="0"/>
        <w:rPr>
          <w:rFonts w:ascii="Times New Roman" w:hAnsi="Times New Roman"/>
          <w:sz w:val="17"/>
        </w:rPr>
      </w:pPr>
      <w:r>
        <w:rPr>
          <w:rFonts w:ascii="Times New Roman" w:hAnsi="Times New Roman"/>
          <w:sz w:val="17"/>
        </w:rPr>
        <w:t xml:space="preserve">Representatives of Plains All American Pipeline, L.P. (PAA) and Plains GP Holdings, L.P. (PAGP) intend to make a presentation and meet with members of the financial community at the Jefferies 2013 Global Energy Conference to be held in Houston, Texas on Tuesday, November 12, 2013. Such presentation will give an overview of PAA and PAGP, including strategic positioning, organic growth activities, financial growth strategy and related matters. On the morning of November 12, 2013, the prepared presentation materials will be made available for viewing at </w:t>
      </w:r>
      <w:r>
        <w:rPr>
          <w:rFonts w:ascii="Times New Roman" w:hAnsi="Times New Roman"/>
          <w:sz w:val="17"/>
          <w:u w:val="single"/>
        </w:rPr>
        <w:t>www.plainsallamerican.com</w:t>
      </w:r>
      <w:r>
        <w:rPr>
          <w:rFonts w:ascii="Times New Roman" w:hAnsi="Times New Roman"/>
          <w:sz w:val="17"/>
        </w:rPr>
        <w:t xml:space="preserve"> under the Investor Relations tab. The presentation will also be webcast live beginning at approximately 1:00 p.m. CST and will be available for a period of approximately 90 days following the event at the following weblink: </w:t>
      </w:r>
      <w:r>
        <w:rPr>
          <w:rFonts w:ascii="Times New Roman" w:hAnsi="Times New Roman"/>
          <w:sz w:val="17"/>
          <w:u w:val="single"/>
        </w:rPr>
        <w:t>http://wsw.com/webcast/jeff79/PAA</w:t>
      </w:r>
      <w:r>
        <w:rPr>
          <w:rFonts w:ascii="Times New Roman" w:hAnsi="Times New Roman"/>
          <w:sz w:val="17"/>
        </w:rPr>
        <w:t xml:space="preserve">. Neither PAA nor PAGP undertake to update the information as posted on their website; however, they may post additional information included in future press releases, Forms 8-K, and periodic Exchange Act reports.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79"/>
        <w:gridCol w:w="116"/>
        <w:gridCol w:w="380"/>
        <w:gridCol w:w="116"/>
        <w:gridCol w:w="307"/>
        <w:gridCol w:w="116"/>
        <w:gridCol w:w="4691"/>
      </w:tblGrid>
      <w:tr>
        <w:trPr/>
        <w:tc>
          <w:tcPr>
            <w:tcW w:w="447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4691" w:type="dxa"/>
            <w:tcBorders/>
            <w:shd w:fill="auto" w:val="clear"/>
            <w:vAlign w:val="center"/>
          </w:tcPr>
          <w:p>
            <w:pPr>
              <w:pStyle w:val="TableContents"/>
              <w:spacing w:before="0" w:after="283"/>
              <w:rPr>
                <w:sz w:val="4"/>
                <w:szCs w:val="4"/>
              </w:rPr>
            </w:pPr>
            <w:r>
              <w:rPr>
                <w:sz w:val="4"/>
                <w:szCs w:val="4"/>
              </w:rPr>
            </w:r>
          </w:p>
        </w:tc>
      </w:tr>
      <w:tr>
        <w:trPr/>
        <w:tc>
          <w:tcPr>
            <w:tcW w:w="4479"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5114" w:type="dxa"/>
            <w:gridSpan w:val="3"/>
            <w:tcBorders/>
            <w:shd w:fill="auto" w:val="clear"/>
          </w:tcPr>
          <w:p>
            <w:pPr>
              <w:pStyle w:val="TableContents"/>
              <w:spacing w:before="0" w:after="283"/>
              <w:rPr/>
            </w:pPr>
            <w:r>
              <w:rPr/>
              <w:t>PLAINS GP HOLDINGS, L.P.</w:t>
            </w:r>
          </w:p>
        </w:tc>
      </w:tr>
      <w:tr>
        <w:trPr>
          <w:trHeight w:val="240" w:hRule="atLeast"/>
        </w:trPr>
        <w:tc>
          <w:tcPr>
            <w:tcW w:w="4479" w:type="dxa"/>
            <w:tcBorders/>
            <w:shd w:fill="auto" w:val="clear"/>
            <w:vAlign w:val="center"/>
          </w:tcPr>
          <w:p>
            <w:pPr>
              <w:pStyle w:val="TableContents"/>
              <w:spacing w:before="0" w:after="283"/>
              <w:rPr>
                <w:sz w:val="4"/>
                <w:szCs w:val="4"/>
              </w:rPr>
            </w:pPr>
            <w:r>
              <w:rPr>
                <w:sz w:val="4"/>
                <w:szCs w:val="4"/>
              </w:rPr>
            </w:r>
          </w:p>
        </w:tc>
        <w:tc>
          <w:tcPr>
            <w:tcW w:w="496" w:type="dxa"/>
            <w:gridSpan w:val="2"/>
            <w:tcBorders/>
            <w:shd w:fill="auto" w:val="clear"/>
            <w:vAlign w:val="center"/>
          </w:tcPr>
          <w:p>
            <w:pPr>
              <w:pStyle w:val="TableContents"/>
              <w:spacing w:before="0" w:after="283"/>
              <w:rPr>
                <w:sz w:val="4"/>
                <w:szCs w:val="4"/>
              </w:rPr>
            </w:pPr>
            <w:r>
              <w:rPr>
                <w:sz w:val="4"/>
                <w:szCs w:val="4"/>
              </w:rPr>
            </w:r>
          </w:p>
        </w:tc>
        <w:tc>
          <w:tcPr>
            <w:tcW w:w="423" w:type="dxa"/>
            <w:gridSpan w:val="2"/>
            <w:tcBorders/>
            <w:shd w:fill="auto" w:val="clear"/>
            <w:vAlign w:val="center"/>
          </w:tcPr>
          <w:p>
            <w:pPr>
              <w:pStyle w:val="TableContents"/>
              <w:spacing w:before="0" w:after="283"/>
              <w:rPr>
                <w:sz w:val="4"/>
                <w:szCs w:val="4"/>
              </w:rPr>
            </w:pPr>
            <w:r>
              <w:rPr>
                <w:sz w:val="4"/>
                <w:szCs w:val="4"/>
              </w:rPr>
            </w:r>
          </w:p>
        </w:tc>
        <w:tc>
          <w:tcPr>
            <w:tcW w:w="4807" w:type="dxa"/>
            <w:gridSpan w:val="2"/>
            <w:tcBorders/>
            <w:shd w:fill="auto" w:val="clear"/>
            <w:vAlign w:val="center"/>
          </w:tcPr>
          <w:p>
            <w:pPr>
              <w:pStyle w:val="TableContents"/>
              <w:spacing w:before="0" w:after="283"/>
              <w:rPr>
                <w:sz w:val="4"/>
                <w:szCs w:val="4"/>
              </w:rPr>
            </w:pPr>
            <w:r>
              <w:rPr>
                <w:sz w:val="4"/>
                <w:szCs w:val="4"/>
              </w:rPr>
            </w:r>
          </w:p>
        </w:tc>
      </w:tr>
      <w:tr>
        <w:trPr/>
        <w:tc>
          <w:tcPr>
            <w:tcW w:w="4479" w:type="dxa"/>
            <w:tcBorders/>
            <w:shd w:fill="auto" w:val="clear"/>
          </w:tcPr>
          <w:p>
            <w:pPr>
              <w:pStyle w:val="TableContents"/>
              <w:spacing w:before="0" w:after="283"/>
              <w:rPr/>
            </w:pPr>
            <w:r>
              <w:rPr/>
              <w:t>Date: November 12, 2013</w:t>
            </w:r>
          </w:p>
        </w:tc>
        <w:tc>
          <w:tcPr>
            <w:tcW w:w="116"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rPr/>
            </w:pPr>
            <w:r>
              <w:rPr/>
              <w:t>By:</w:t>
            </w:r>
          </w:p>
        </w:tc>
        <w:tc>
          <w:tcPr>
            <w:tcW w:w="116" w:type="dxa"/>
            <w:tcBorders/>
            <w:shd w:fill="auto" w:val="clear"/>
            <w:vAlign w:val="bottom"/>
          </w:tcPr>
          <w:p>
            <w:pPr>
              <w:pStyle w:val="TableContents"/>
              <w:spacing w:before="0" w:after="283"/>
              <w:rPr/>
            </w:pPr>
            <w:r>
              <w:rPr/>
              <w:t> </w:t>
            </w:r>
          </w:p>
        </w:tc>
        <w:tc>
          <w:tcPr>
            <w:tcW w:w="4691" w:type="dxa"/>
            <w:tcBorders/>
            <w:shd w:fill="auto" w:val="clear"/>
          </w:tcPr>
          <w:p>
            <w:pPr>
              <w:pStyle w:val="TableContents"/>
              <w:spacing w:before="0" w:after="283"/>
              <w:rPr/>
            </w:pPr>
            <w:r>
              <w:rPr/>
              <w:t>PAA GP HOLDINGS LLC, its general partner</w:t>
            </w:r>
          </w:p>
        </w:tc>
      </w:tr>
      <w:tr>
        <w:trPr>
          <w:trHeight w:val="240" w:hRule="atLeast"/>
        </w:trPr>
        <w:tc>
          <w:tcPr>
            <w:tcW w:w="4479" w:type="dxa"/>
            <w:tcBorders/>
            <w:shd w:fill="auto" w:val="clear"/>
            <w:vAlign w:val="center"/>
          </w:tcPr>
          <w:p>
            <w:pPr>
              <w:pStyle w:val="TableContents"/>
              <w:spacing w:before="0" w:after="283"/>
              <w:rPr>
                <w:sz w:val="4"/>
                <w:szCs w:val="4"/>
              </w:rPr>
            </w:pPr>
            <w:r>
              <w:rPr>
                <w:sz w:val="4"/>
                <w:szCs w:val="4"/>
              </w:rPr>
            </w:r>
          </w:p>
        </w:tc>
        <w:tc>
          <w:tcPr>
            <w:tcW w:w="496" w:type="dxa"/>
            <w:gridSpan w:val="2"/>
            <w:tcBorders/>
            <w:shd w:fill="auto" w:val="clear"/>
            <w:vAlign w:val="center"/>
          </w:tcPr>
          <w:p>
            <w:pPr>
              <w:pStyle w:val="TableContents"/>
              <w:spacing w:before="0" w:after="283"/>
              <w:rPr>
                <w:sz w:val="4"/>
                <w:szCs w:val="4"/>
              </w:rPr>
            </w:pPr>
            <w:r>
              <w:rPr>
                <w:sz w:val="4"/>
                <w:szCs w:val="4"/>
              </w:rPr>
            </w:r>
          </w:p>
        </w:tc>
        <w:tc>
          <w:tcPr>
            <w:tcW w:w="423" w:type="dxa"/>
            <w:gridSpan w:val="2"/>
            <w:tcBorders/>
            <w:shd w:fill="auto" w:val="clear"/>
            <w:vAlign w:val="center"/>
          </w:tcPr>
          <w:p>
            <w:pPr>
              <w:pStyle w:val="TableContents"/>
              <w:spacing w:before="0" w:after="283"/>
              <w:rPr>
                <w:sz w:val="4"/>
                <w:szCs w:val="4"/>
              </w:rPr>
            </w:pPr>
            <w:r>
              <w:rPr>
                <w:sz w:val="4"/>
                <w:szCs w:val="4"/>
              </w:rPr>
            </w:r>
          </w:p>
        </w:tc>
        <w:tc>
          <w:tcPr>
            <w:tcW w:w="4807" w:type="dxa"/>
            <w:gridSpan w:val="2"/>
            <w:tcBorders/>
            <w:shd w:fill="auto" w:val="clear"/>
            <w:vAlign w:val="center"/>
          </w:tcPr>
          <w:p>
            <w:pPr>
              <w:pStyle w:val="TableContents"/>
              <w:spacing w:before="0" w:after="283"/>
              <w:rPr>
                <w:sz w:val="4"/>
                <w:szCs w:val="4"/>
              </w:rPr>
            </w:pPr>
            <w:r>
              <w:rPr>
                <w:sz w:val="4"/>
                <w:szCs w:val="4"/>
              </w:rPr>
            </w:r>
          </w:p>
        </w:tc>
      </w:tr>
      <w:tr>
        <w:trPr/>
        <w:tc>
          <w:tcPr>
            <w:tcW w:w="4479"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rPr/>
            </w:pPr>
            <w:r>
              <w:rPr/>
              <w:t>By:</w:t>
            </w:r>
          </w:p>
        </w:tc>
        <w:tc>
          <w:tcPr>
            <w:tcW w:w="116" w:type="dxa"/>
            <w:tcBorders>
              <w:bottom w:val="single" w:sz="2" w:space="0" w:color="000000"/>
            </w:tcBorders>
            <w:shd w:fill="auto" w:val="clear"/>
            <w:tcMar>
              <w:bottom w:w="28" w:type="dxa"/>
            </w:tcMar>
            <w:vAlign w:val="bottom"/>
          </w:tcPr>
          <w:p>
            <w:pPr>
              <w:pStyle w:val="TableContents"/>
              <w:spacing w:before="0" w:after="283"/>
              <w:rPr/>
            </w:pPr>
            <w:r>
              <w:rPr/>
              <w:t> </w:t>
            </w:r>
          </w:p>
        </w:tc>
        <w:tc>
          <w:tcPr>
            <w:tcW w:w="4691" w:type="dxa"/>
            <w:tcBorders>
              <w:bottom w:val="single" w:sz="2" w:space="0" w:color="000000"/>
            </w:tcBorders>
            <w:shd w:fill="auto" w:val="clear"/>
            <w:tcMar>
              <w:bottom w:w="28" w:type="dxa"/>
            </w:tcMar>
          </w:tcPr>
          <w:p>
            <w:pPr>
              <w:pStyle w:val="TableContents"/>
              <w:spacing w:before="0" w:after="283"/>
              <w:rPr/>
            </w:pPr>
            <w:r>
              <w:rPr/>
              <w:t>/s/ Richard McGee</w:t>
            </w:r>
          </w:p>
        </w:tc>
      </w:tr>
      <w:tr>
        <w:trPr/>
        <w:tc>
          <w:tcPr>
            <w:tcW w:w="4479"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4691" w:type="dxa"/>
            <w:tcBorders/>
            <w:shd w:fill="auto" w:val="clear"/>
          </w:tcPr>
          <w:p>
            <w:pPr>
              <w:pStyle w:val="TableContents"/>
              <w:spacing w:before="0" w:after="0"/>
              <w:rPr>
                <w:rFonts w:ascii="Times New Roman" w:hAnsi="Times New Roman"/>
                <w:sz w:val="17"/>
              </w:rPr>
            </w:pPr>
            <w:r>
              <w:rPr>
                <w:rFonts w:ascii="Times New Roman" w:hAnsi="Times New Roman"/>
                <w:sz w:val="17"/>
              </w:rPr>
              <w:t>Name:   Richard McGee</w:t>
            </w:r>
          </w:p>
          <w:p>
            <w:pPr>
              <w:pStyle w:val="TableContents"/>
              <w:spacing w:before="0" w:after="20"/>
              <w:rPr>
                <w:rFonts w:ascii="Times New Roman" w:hAnsi="Times New Roman"/>
                <w:sz w:val="17"/>
              </w:rPr>
            </w:pPr>
            <w:r>
              <w:rPr>
                <w:rFonts w:ascii="Times New Roman" w:hAnsi="Times New Roman"/>
                <w:sz w:val="17"/>
              </w:rPr>
              <w:t>Title:     Executive Vice President</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480</Words>
  <CharactersWithSpaces>3117</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