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193675</wp:posOffset>
            </wp:positionH>
            <wp:positionV relativeFrom="paragraph">
              <wp:posOffset>255270</wp:posOffset>
            </wp:positionV>
            <wp:extent cx="6877685"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877685" cy="17145"/>
                    </a:xfrm>
                    <a:prstGeom prst="rect">
                      <a:avLst/>
                    </a:prstGeom>
                    <a:noFill/>
                  </pic:spPr>
                </pic:pic>
              </a:graphicData>
            </a:graphic>
          </wp:anchor>
        </w:drawing>
      </w:r>
    </w:p>
    <w:p>
      <w:pPr>
        <w:spacing w:after="0" w:line="200" w:lineRule="exact"/>
        <w:rPr>
          <w:sz w:val="24"/>
          <w:szCs w:val="24"/>
          <w:color w:val="auto"/>
        </w:rPr>
      </w:pPr>
    </w:p>
    <w:p>
      <w:pPr>
        <w:spacing w:after="0" w:line="316"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193675</wp:posOffset>
            </wp:positionH>
            <wp:positionV relativeFrom="paragraph">
              <wp:posOffset>-224155</wp:posOffset>
            </wp:positionV>
            <wp:extent cx="687768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877685" cy="8890"/>
                    </a:xfrm>
                    <a:prstGeom prst="rect">
                      <a:avLst/>
                    </a:prstGeom>
                    <a:noFill/>
                  </pic:spPr>
                </pic:pic>
              </a:graphicData>
            </a:graphic>
          </wp:anchor>
        </w:drawing>
      </w:r>
    </w:p>
    <w:p>
      <w:pPr>
        <w:spacing w:after="0" w:line="26"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Washington, D.C. 20549</w:t>
      </w:r>
    </w:p>
    <w:p>
      <w:pPr>
        <w:spacing w:after="0" w:line="7" w:lineRule="exact"/>
        <w:rPr>
          <w:sz w:val="24"/>
          <w:szCs w:val="24"/>
          <w:color w:val="auto"/>
        </w:rPr>
      </w:pPr>
    </w:p>
    <w:p>
      <w:pPr>
        <w:ind w:left="2840"/>
        <w:spacing w:after="0"/>
        <w:rPr>
          <w:sz w:val="20"/>
          <w:szCs w:val="20"/>
          <w:color w:val="auto"/>
        </w:rPr>
      </w:pPr>
      <w:r>
        <w:rPr>
          <w:rFonts w:ascii="Arial" w:cs="Arial" w:eastAsia="Arial" w:hAnsi="Arial"/>
          <w:sz w:val="18"/>
          <w:szCs w:val="18"/>
          <w:color w:val="auto"/>
        </w:rPr>
        <w:t>________________________________________________________________</w:t>
      </w:r>
    </w:p>
    <w:p>
      <w:pPr>
        <w:spacing w:after="0" w:line="9"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FORM 10-Q</w:t>
      </w:r>
    </w:p>
    <w:p>
      <w:pPr>
        <w:spacing w:after="0" w:line="11" w:lineRule="exact"/>
        <w:rPr>
          <w:sz w:val="24"/>
          <w:szCs w:val="24"/>
          <w:color w:val="auto"/>
        </w:rPr>
      </w:pPr>
    </w:p>
    <w:p>
      <w:pPr>
        <w:ind w:left="2840"/>
        <w:spacing w:after="0"/>
        <w:rPr>
          <w:sz w:val="20"/>
          <w:szCs w:val="20"/>
          <w:color w:val="auto"/>
        </w:rPr>
      </w:pPr>
      <w:r>
        <w:rPr>
          <w:rFonts w:ascii="Arial" w:cs="Arial" w:eastAsia="Arial" w:hAnsi="Arial"/>
          <w:sz w:val="9"/>
          <w:szCs w:val="9"/>
          <w:b w:val="1"/>
          <w:bCs w:val="1"/>
          <w:color w:val="auto"/>
        </w:rPr>
        <w:t>________________________________________________________________________________________________________________________________</w:t>
      </w:r>
    </w:p>
    <w:p>
      <w:pPr>
        <w:spacing w:after="0" w:line="200" w:lineRule="exact"/>
        <w:rPr>
          <w:sz w:val="24"/>
          <w:szCs w:val="24"/>
          <w:color w:val="auto"/>
        </w:rPr>
      </w:pPr>
    </w:p>
    <w:p>
      <w:pPr>
        <w:ind w:left="300" w:hanging="292"/>
        <w:spacing w:after="0"/>
        <w:tabs>
          <w:tab w:leader="none" w:pos="300" w:val="left"/>
        </w:tabs>
        <w:numPr>
          <w:ilvl w:val="0"/>
          <w:numId w:val="1"/>
        </w:numPr>
        <w:rPr>
          <w:rFonts w:ascii="MS PGothic" w:cs="MS PGothic" w:eastAsia="MS PGothic" w:hAnsi="MS PGothic"/>
          <w:sz w:val="21"/>
          <w:szCs w:val="21"/>
          <w:color w:val="auto"/>
        </w:rPr>
      </w:pPr>
      <w:r>
        <w:rPr>
          <w:rFonts w:ascii="Arial" w:cs="Arial" w:eastAsia="Arial" w:hAnsi="Arial"/>
          <w:sz w:val="21"/>
          <w:szCs w:val="21"/>
          <w:b w:val="1"/>
          <w:bCs w:val="1"/>
          <w:color w:val="auto"/>
        </w:rPr>
        <w:t>QUARTERLY REPORT PURSUANT TO SECTION 13 OR 15(d) OF THE SECURITIES EXCHANGE ACT OF 1934</w:t>
      </w:r>
    </w:p>
    <w:p>
      <w:pPr>
        <w:spacing w:after="0" w:line="205"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For the quarterly period ended June 30, 2018</w:t>
      </w:r>
    </w:p>
    <w:p>
      <w:pPr>
        <w:spacing w:after="0" w:line="158"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OR</w:t>
      </w:r>
    </w:p>
    <w:p>
      <w:pPr>
        <w:spacing w:after="0" w:line="157" w:lineRule="exact"/>
        <w:rPr>
          <w:sz w:val="24"/>
          <w:szCs w:val="24"/>
          <w:color w:val="auto"/>
        </w:rPr>
      </w:pPr>
    </w:p>
    <w:p>
      <w:pPr>
        <w:ind w:left="260" w:hanging="252"/>
        <w:spacing w:after="0"/>
        <w:tabs>
          <w:tab w:leader="none" w:pos="260" w:val="left"/>
        </w:tabs>
        <w:numPr>
          <w:ilvl w:val="0"/>
          <w:numId w:val="2"/>
        </w:numPr>
        <w:rPr>
          <w:rFonts w:ascii="Arial" w:cs="Arial" w:eastAsia="Arial" w:hAnsi="Arial"/>
          <w:sz w:val="21"/>
          <w:szCs w:val="21"/>
          <w:color w:val="auto"/>
        </w:rPr>
      </w:pPr>
      <w:r>
        <w:rPr>
          <w:rFonts w:ascii="Arial" w:cs="Arial" w:eastAsia="Arial" w:hAnsi="Arial"/>
          <w:sz w:val="21"/>
          <w:szCs w:val="21"/>
          <w:b w:val="1"/>
          <w:bCs w:val="1"/>
          <w:color w:val="auto"/>
        </w:rPr>
        <w:t>TRANSITION REPORT PURSUANT TO SECTION 13 OR 15(d) OF THE SECURITIES EXCHANGE ACT OF 1934</w:t>
      </w:r>
    </w:p>
    <w:p>
      <w:pPr>
        <w:spacing w:after="0" w:line="205"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Commission File Number: 1-36132</w:t>
      </w:r>
    </w:p>
    <w:p>
      <w:pPr>
        <w:spacing w:after="0" w:line="27" w:lineRule="exact"/>
        <w:rPr>
          <w:sz w:val="24"/>
          <w:szCs w:val="24"/>
          <w:color w:val="auto"/>
        </w:rPr>
      </w:pPr>
    </w:p>
    <w:p>
      <w:pPr>
        <w:ind w:left="2840"/>
        <w:spacing w:after="0"/>
        <w:rPr>
          <w:sz w:val="20"/>
          <w:szCs w:val="20"/>
          <w:color w:val="auto"/>
        </w:rPr>
      </w:pPr>
      <w:r>
        <w:rPr>
          <w:rFonts w:ascii="Arial" w:cs="Arial" w:eastAsia="Arial" w:hAnsi="Arial"/>
          <w:sz w:val="18"/>
          <w:szCs w:val="18"/>
          <w:color w:val="auto"/>
        </w:rPr>
        <w:t>________________________________________________________________</w:t>
      </w:r>
    </w:p>
    <w:p>
      <w:pPr>
        <w:spacing w:after="0" w:line="130"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PLAINS GP HOLDINGS, L.P.</w:t>
      </w:r>
    </w:p>
    <w:p>
      <w:pPr>
        <w:spacing w:after="0" w:line="40"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(Exact name of registrant as specified in its charter)</w:t>
      </w:r>
    </w:p>
    <w:p>
      <w:pPr>
        <w:spacing w:after="0" w:line="151" w:lineRule="exact"/>
        <w:rPr>
          <w:sz w:val="24"/>
          <w:szCs w:val="24"/>
          <w:color w:val="auto"/>
        </w:rPr>
      </w:pPr>
    </w:p>
    <w:tbl>
      <w:tblPr>
        <w:tblLayout w:type="fixed"/>
        <w:tblInd w:w="940" w:type="dxa"/>
        <w:tblCellMar>
          <w:top w:w="0" w:type="dxa"/>
          <w:left w:w="0" w:type="dxa"/>
          <w:bottom w:w="0" w:type="dxa"/>
          <w:right w:w="0" w:type="dxa"/>
        </w:tblCellMar>
      </w:tblPr>
      <w:tr>
        <w:trPr>
          <w:trHeight w:val="234"/>
        </w:trPr>
        <w:tc>
          <w:tcPr>
            <w:tcW w:w="6700" w:type="dxa"/>
            <w:vAlign w:val="bottom"/>
          </w:tcPr>
          <w:p>
            <w:pPr>
              <w:jc w:val="center"/>
              <w:ind w:right="3273"/>
              <w:spacing w:after="0"/>
              <w:rPr>
                <w:sz w:val="20"/>
                <w:szCs w:val="20"/>
                <w:color w:val="auto"/>
              </w:rPr>
            </w:pPr>
            <w:r>
              <w:rPr>
                <w:rFonts w:ascii="Arial" w:cs="Arial" w:eastAsia="Arial" w:hAnsi="Arial"/>
                <w:sz w:val="18"/>
                <w:szCs w:val="18"/>
                <w:b w:val="1"/>
                <w:bCs w:val="1"/>
                <w:color w:val="auto"/>
                <w:w w:val="93"/>
              </w:rPr>
              <w:t>Delaware</w:t>
            </w:r>
          </w:p>
        </w:tc>
        <w:tc>
          <w:tcPr>
            <w:tcW w:w="1200" w:type="dxa"/>
            <w:vAlign w:val="bottom"/>
          </w:tcPr>
          <w:p>
            <w:pPr>
              <w:jc w:val="right"/>
              <w:ind w:right="75"/>
              <w:spacing w:after="0"/>
              <w:rPr>
                <w:sz w:val="20"/>
                <w:szCs w:val="20"/>
                <w:color w:val="auto"/>
              </w:rPr>
            </w:pPr>
            <w:r>
              <w:rPr>
                <w:rFonts w:ascii="Arial" w:cs="Arial" w:eastAsia="Arial" w:hAnsi="Arial"/>
                <w:sz w:val="18"/>
                <w:szCs w:val="18"/>
                <w:b w:val="1"/>
                <w:bCs w:val="1"/>
                <w:color w:val="auto"/>
              </w:rPr>
              <w:t>90-1005472</w:t>
            </w:r>
          </w:p>
        </w:tc>
      </w:tr>
      <w:tr>
        <w:trPr>
          <w:trHeight w:val="251"/>
        </w:trPr>
        <w:tc>
          <w:tcPr>
            <w:tcW w:w="6700" w:type="dxa"/>
            <w:vAlign w:val="bottom"/>
          </w:tcPr>
          <w:p>
            <w:pPr>
              <w:jc w:val="center"/>
              <w:ind w:right="3293"/>
              <w:spacing w:after="0"/>
              <w:rPr>
                <w:sz w:val="20"/>
                <w:szCs w:val="20"/>
                <w:color w:val="auto"/>
              </w:rPr>
            </w:pPr>
            <w:r>
              <w:rPr>
                <w:rFonts w:ascii="Arial" w:cs="Arial" w:eastAsia="Arial" w:hAnsi="Arial"/>
                <w:sz w:val="16"/>
                <w:szCs w:val="16"/>
                <w:color w:val="auto"/>
                <w:w w:val="93"/>
              </w:rPr>
              <w:t>(State or other jurisdiction of</w:t>
            </w:r>
          </w:p>
        </w:tc>
        <w:tc>
          <w:tcPr>
            <w:tcW w:w="1200" w:type="dxa"/>
            <w:vAlign w:val="bottom"/>
          </w:tcPr>
          <w:p>
            <w:pPr>
              <w:jc w:val="center"/>
              <w:spacing w:after="0"/>
              <w:rPr>
                <w:sz w:val="20"/>
                <w:szCs w:val="20"/>
                <w:color w:val="auto"/>
              </w:rPr>
            </w:pPr>
            <w:r>
              <w:rPr>
                <w:rFonts w:ascii="Arial" w:cs="Arial" w:eastAsia="Arial" w:hAnsi="Arial"/>
                <w:sz w:val="16"/>
                <w:szCs w:val="16"/>
                <w:color w:val="auto"/>
                <w:w w:val="93"/>
              </w:rPr>
              <w:t>(I.R.S. Employer</w:t>
            </w:r>
          </w:p>
        </w:tc>
      </w:tr>
      <w:tr>
        <w:trPr>
          <w:trHeight w:val="257"/>
        </w:trPr>
        <w:tc>
          <w:tcPr>
            <w:tcW w:w="6700" w:type="dxa"/>
            <w:vAlign w:val="bottom"/>
          </w:tcPr>
          <w:p>
            <w:pPr>
              <w:jc w:val="center"/>
              <w:ind w:right="3273"/>
              <w:spacing w:after="0"/>
              <w:rPr>
                <w:sz w:val="20"/>
                <w:szCs w:val="20"/>
                <w:color w:val="auto"/>
              </w:rPr>
            </w:pPr>
            <w:r>
              <w:rPr>
                <w:rFonts w:ascii="Arial" w:cs="Arial" w:eastAsia="Arial" w:hAnsi="Arial"/>
                <w:sz w:val="16"/>
                <w:szCs w:val="16"/>
                <w:color w:val="auto"/>
                <w:w w:val="93"/>
              </w:rPr>
              <w:t>incorporation or organization)</w:t>
            </w:r>
          </w:p>
        </w:tc>
        <w:tc>
          <w:tcPr>
            <w:tcW w:w="1200" w:type="dxa"/>
            <w:vAlign w:val="bottom"/>
          </w:tcPr>
          <w:p>
            <w:pPr>
              <w:jc w:val="center"/>
              <w:spacing w:after="0"/>
              <w:rPr>
                <w:sz w:val="20"/>
                <w:szCs w:val="20"/>
                <w:color w:val="auto"/>
              </w:rPr>
            </w:pPr>
            <w:r>
              <w:rPr>
                <w:rFonts w:ascii="Arial" w:cs="Arial" w:eastAsia="Arial" w:hAnsi="Arial"/>
                <w:sz w:val="16"/>
                <w:szCs w:val="16"/>
                <w:color w:val="auto"/>
                <w:w w:val="96"/>
              </w:rPr>
              <w:t>Identification No.)</w:t>
            </w:r>
          </w:p>
        </w:tc>
      </w:tr>
      <w:tr>
        <w:trPr>
          <w:trHeight w:val="411"/>
        </w:trPr>
        <w:tc>
          <w:tcPr>
            <w:tcW w:w="6700" w:type="dxa"/>
            <w:vAlign w:val="bottom"/>
          </w:tcPr>
          <w:p>
            <w:pPr>
              <w:jc w:val="center"/>
              <w:ind w:right="3273"/>
              <w:spacing w:after="0"/>
              <w:rPr>
                <w:sz w:val="20"/>
                <w:szCs w:val="20"/>
                <w:color w:val="auto"/>
              </w:rPr>
            </w:pPr>
            <w:r>
              <w:rPr>
                <w:rFonts w:ascii="Arial" w:cs="Arial" w:eastAsia="Arial" w:hAnsi="Arial"/>
                <w:sz w:val="18"/>
                <w:szCs w:val="18"/>
                <w:b w:val="1"/>
                <w:bCs w:val="1"/>
                <w:color w:val="auto"/>
                <w:w w:val="89"/>
              </w:rPr>
              <w:t>333 Clay Street, Suite 1600, Houston, Texas</w:t>
            </w:r>
          </w:p>
        </w:tc>
        <w:tc>
          <w:tcPr>
            <w:tcW w:w="1200" w:type="dxa"/>
            <w:vAlign w:val="bottom"/>
          </w:tcPr>
          <w:p>
            <w:pPr>
              <w:jc w:val="right"/>
              <w:ind w:right="275"/>
              <w:spacing w:after="0"/>
              <w:rPr>
                <w:sz w:val="20"/>
                <w:szCs w:val="20"/>
                <w:color w:val="auto"/>
              </w:rPr>
            </w:pPr>
            <w:r>
              <w:rPr>
                <w:rFonts w:ascii="Arial" w:cs="Arial" w:eastAsia="Arial" w:hAnsi="Arial"/>
                <w:sz w:val="18"/>
                <w:szCs w:val="18"/>
                <w:b w:val="1"/>
                <w:bCs w:val="1"/>
                <w:color w:val="auto"/>
              </w:rPr>
              <w:t>77002</w:t>
            </w:r>
          </w:p>
        </w:tc>
      </w:tr>
      <w:tr>
        <w:trPr>
          <w:trHeight w:val="251"/>
        </w:trPr>
        <w:tc>
          <w:tcPr>
            <w:tcW w:w="6700" w:type="dxa"/>
            <w:vAlign w:val="bottom"/>
          </w:tcPr>
          <w:p>
            <w:pPr>
              <w:jc w:val="center"/>
              <w:ind w:right="3273"/>
              <w:spacing w:after="0"/>
              <w:rPr>
                <w:sz w:val="20"/>
                <w:szCs w:val="20"/>
                <w:color w:val="auto"/>
              </w:rPr>
            </w:pPr>
            <w:r>
              <w:rPr>
                <w:rFonts w:ascii="Arial" w:cs="Arial" w:eastAsia="Arial" w:hAnsi="Arial"/>
                <w:sz w:val="16"/>
                <w:szCs w:val="16"/>
                <w:color w:val="auto"/>
                <w:w w:val="94"/>
              </w:rPr>
              <w:t>(Address of principal executive offices)</w:t>
            </w:r>
          </w:p>
        </w:tc>
        <w:tc>
          <w:tcPr>
            <w:tcW w:w="1200" w:type="dxa"/>
            <w:vAlign w:val="bottom"/>
          </w:tcPr>
          <w:p>
            <w:pPr>
              <w:jc w:val="center"/>
              <w:spacing w:after="0"/>
              <w:rPr>
                <w:sz w:val="20"/>
                <w:szCs w:val="20"/>
                <w:color w:val="auto"/>
              </w:rPr>
            </w:pPr>
            <w:r>
              <w:rPr>
                <w:rFonts w:ascii="Arial" w:cs="Arial" w:eastAsia="Arial" w:hAnsi="Arial"/>
                <w:sz w:val="16"/>
                <w:szCs w:val="16"/>
                <w:color w:val="auto"/>
                <w:w w:val="95"/>
              </w:rPr>
              <w:t>(Zip Code)</w:t>
            </w:r>
          </w:p>
        </w:tc>
      </w:tr>
      <w:tr>
        <w:trPr>
          <w:trHeight w:val="437"/>
        </w:trPr>
        <w:tc>
          <w:tcPr>
            <w:tcW w:w="6700" w:type="dxa"/>
            <w:vAlign w:val="bottom"/>
          </w:tcPr>
          <w:p>
            <w:pPr>
              <w:jc w:val="right"/>
              <w:ind w:right="1273"/>
              <w:spacing w:after="0"/>
              <w:rPr>
                <w:sz w:val="20"/>
                <w:szCs w:val="20"/>
                <w:color w:val="auto"/>
              </w:rPr>
            </w:pPr>
            <w:r>
              <w:rPr>
                <w:rFonts w:ascii="Arial" w:cs="Arial" w:eastAsia="Arial" w:hAnsi="Arial"/>
                <w:sz w:val="18"/>
                <w:szCs w:val="18"/>
                <w:b w:val="1"/>
                <w:bCs w:val="1"/>
                <w:color w:val="auto"/>
              </w:rPr>
              <w:t>(713) 646-4100</w:t>
            </w:r>
          </w:p>
        </w:tc>
        <w:tc>
          <w:tcPr>
            <w:tcW w:w="1200" w:type="dxa"/>
            <w:vAlign w:val="bottom"/>
          </w:tcPr>
          <w:p>
            <w:pPr>
              <w:spacing w:after="0"/>
              <w:rPr>
                <w:sz w:val="24"/>
                <w:szCs w:val="24"/>
                <w:color w:val="auto"/>
              </w:rPr>
            </w:pPr>
          </w:p>
        </w:tc>
      </w:tr>
      <w:tr>
        <w:trPr>
          <w:trHeight w:val="216"/>
        </w:trPr>
        <w:tc>
          <w:tcPr>
            <w:tcW w:w="6700" w:type="dxa"/>
            <w:vAlign w:val="bottom"/>
          </w:tcPr>
          <w:p>
            <w:pPr>
              <w:ind w:left="2860"/>
              <w:spacing w:after="0"/>
              <w:rPr>
                <w:sz w:val="20"/>
                <w:szCs w:val="20"/>
                <w:color w:val="auto"/>
              </w:rPr>
            </w:pPr>
            <w:r>
              <w:rPr>
                <w:rFonts w:ascii="Arial" w:cs="Arial" w:eastAsia="Arial" w:hAnsi="Arial"/>
                <w:sz w:val="18"/>
                <w:szCs w:val="18"/>
                <w:color w:val="auto"/>
                <w:w w:val="90"/>
              </w:rPr>
              <w:t>(Registrant’s telephone number, including area code)</w:t>
            </w:r>
          </w:p>
        </w:tc>
        <w:tc>
          <w:tcPr>
            <w:tcW w:w="1200" w:type="dxa"/>
            <w:vAlign w:val="bottom"/>
          </w:tcPr>
          <w:p>
            <w:pPr>
              <w:spacing w:after="0"/>
              <w:rPr>
                <w:sz w:val="18"/>
                <w:szCs w:val="18"/>
                <w:color w:val="auto"/>
              </w:rPr>
            </w:pPr>
          </w:p>
        </w:tc>
      </w:tr>
      <w:tr>
        <w:trPr>
          <w:trHeight w:val="230"/>
        </w:trPr>
        <w:tc>
          <w:tcPr>
            <w:tcW w:w="7900" w:type="dxa"/>
            <w:vAlign w:val="bottom"/>
            <w:gridSpan w:val="2"/>
          </w:tcPr>
          <w:p>
            <w:pPr>
              <w:jc w:val="right"/>
              <w:ind w:right="155"/>
              <w:spacing w:after="0"/>
              <w:rPr>
                <w:sz w:val="20"/>
                <w:szCs w:val="20"/>
                <w:color w:val="auto"/>
              </w:rPr>
            </w:pPr>
            <w:r>
              <w:rPr>
                <w:rFonts w:ascii="Arial" w:cs="Arial" w:eastAsia="Arial" w:hAnsi="Arial"/>
                <w:sz w:val="18"/>
                <w:szCs w:val="18"/>
                <w:color w:val="auto"/>
              </w:rPr>
              <w:t>________________________________________________________________</w:t>
            </w:r>
          </w:p>
        </w:tc>
      </w:tr>
    </w:tbl>
    <w:p>
      <w:pPr>
        <w:spacing w:after="0" w:line="107" w:lineRule="exact"/>
        <w:rPr>
          <w:sz w:val="24"/>
          <w:szCs w:val="24"/>
          <w:color w:val="auto"/>
        </w:rPr>
      </w:pPr>
    </w:p>
    <w:p>
      <w:pPr>
        <w:ind w:right="60" w:firstLine="324"/>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MS PGothic" w:cs="MS PGothic" w:eastAsia="MS PGothic" w:hAnsi="MS PGothic"/>
          <w:sz w:val="18"/>
          <w:szCs w:val="18"/>
          <w:color w:val="auto"/>
        </w:rPr>
        <w:t>☒</w:t>
      </w:r>
      <w:r>
        <w:rPr>
          <w:rFonts w:ascii="Arial" w:cs="Arial" w:eastAsia="Arial" w:hAnsi="Arial"/>
          <w:sz w:val="18"/>
          <w:szCs w:val="18"/>
          <w:color w:val="auto"/>
        </w:rPr>
        <w:t xml:space="preserve"> Yes o No</w:t>
      </w:r>
    </w:p>
    <w:p>
      <w:pPr>
        <w:spacing w:after="0" w:line="76" w:lineRule="exact"/>
        <w:rPr>
          <w:sz w:val="24"/>
          <w:szCs w:val="24"/>
          <w:color w:val="auto"/>
        </w:rPr>
      </w:pPr>
    </w:p>
    <w:p>
      <w:pPr>
        <w:ind w:firstLine="369"/>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 </w:t>
      </w:r>
      <w:r>
        <w:rPr>
          <w:rFonts w:ascii="MS PGothic" w:cs="MS PGothic" w:eastAsia="MS PGothic" w:hAnsi="MS PGothic"/>
          <w:sz w:val="18"/>
          <w:szCs w:val="18"/>
          <w:color w:val="auto"/>
        </w:rPr>
        <w:t>☒</w:t>
      </w:r>
      <w:r>
        <w:rPr>
          <w:rFonts w:ascii="Arial" w:cs="Arial" w:eastAsia="Arial" w:hAnsi="Arial"/>
          <w:sz w:val="18"/>
          <w:szCs w:val="18"/>
          <w:color w:val="auto"/>
        </w:rPr>
        <w:t xml:space="preserve"> Yes o No</w:t>
      </w:r>
    </w:p>
    <w:p>
      <w:pPr>
        <w:spacing w:after="0" w:line="76" w:lineRule="exact"/>
        <w:rPr>
          <w:sz w:val="24"/>
          <w:szCs w:val="24"/>
          <w:color w:val="auto"/>
        </w:rPr>
      </w:pPr>
    </w:p>
    <w:p>
      <w:pPr>
        <w:ind w:firstLine="324"/>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 (Check one):</w:t>
      </w:r>
    </w:p>
    <w:p>
      <w:pPr>
        <w:spacing w:after="0" w:line="95" w:lineRule="exact"/>
        <w:rPr>
          <w:sz w:val="24"/>
          <w:szCs w:val="24"/>
          <w:color w:val="auto"/>
        </w:rPr>
      </w:pPr>
    </w:p>
    <w:tbl>
      <w:tblPr>
        <w:tblLayout w:type="fixed"/>
        <w:tblInd w:w="940" w:type="dxa"/>
        <w:tblCellMar>
          <w:top w:w="0" w:type="dxa"/>
          <w:left w:w="0" w:type="dxa"/>
          <w:bottom w:w="0" w:type="dxa"/>
          <w:right w:w="0" w:type="dxa"/>
        </w:tblCellMar>
      </w:tblPr>
      <w:tr>
        <w:trPr>
          <w:trHeight w:val="283"/>
        </w:trPr>
        <w:tc>
          <w:tcPr>
            <w:tcW w:w="4800" w:type="dxa"/>
            <w:vAlign w:val="bottom"/>
          </w:tcPr>
          <w:p>
            <w:pPr>
              <w:jc w:val="center"/>
              <w:ind w:right="1370"/>
              <w:spacing w:after="0" w:line="207" w:lineRule="exact"/>
              <w:rPr>
                <w:sz w:val="20"/>
                <w:szCs w:val="20"/>
                <w:color w:val="auto"/>
              </w:rPr>
            </w:pPr>
            <w:r>
              <w:rPr>
                <w:rFonts w:ascii="Arial" w:cs="Arial" w:eastAsia="Arial" w:hAnsi="Arial"/>
                <w:sz w:val="18"/>
                <w:szCs w:val="18"/>
                <w:color w:val="auto"/>
                <w:w w:val="90"/>
              </w:rPr>
              <w:t xml:space="preserve">Large accelerated filer </w:t>
            </w:r>
            <w:r>
              <w:rPr>
                <w:rFonts w:ascii="MS PGothic" w:cs="MS PGothic" w:eastAsia="MS PGothic" w:hAnsi="MS PGothic"/>
                <w:sz w:val="18"/>
                <w:szCs w:val="18"/>
                <w:color w:val="auto"/>
                <w:w w:val="90"/>
              </w:rPr>
              <w:t>☒</w:t>
            </w:r>
          </w:p>
        </w:tc>
        <w:tc>
          <w:tcPr>
            <w:tcW w:w="3540" w:type="dxa"/>
            <w:vAlign w:val="bottom"/>
          </w:tcPr>
          <w:p>
            <w:pPr>
              <w:jc w:val="center"/>
              <w:ind w:left="1350"/>
              <w:spacing w:after="0"/>
              <w:rPr>
                <w:sz w:val="20"/>
                <w:szCs w:val="20"/>
                <w:color w:val="auto"/>
              </w:rPr>
            </w:pPr>
            <w:r>
              <w:rPr>
                <w:rFonts w:ascii="Arial" w:cs="Arial" w:eastAsia="Arial" w:hAnsi="Arial"/>
                <w:sz w:val="18"/>
                <w:szCs w:val="18"/>
                <w:color w:val="auto"/>
                <w:w w:val="92"/>
              </w:rPr>
              <w:t>Accelerated filer o</w:t>
            </w:r>
          </w:p>
        </w:tc>
      </w:tr>
      <w:tr>
        <w:trPr>
          <w:trHeight w:val="520"/>
        </w:trPr>
        <w:tc>
          <w:tcPr>
            <w:tcW w:w="4800" w:type="dxa"/>
            <w:vAlign w:val="bottom"/>
          </w:tcPr>
          <w:p>
            <w:pPr>
              <w:jc w:val="center"/>
              <w:ind w:right="1370"/>
              <w:spacing w:after="0"/>
              <w:rPr>
                <w:sz w:val="20"/>
                <w:szCs w:val="20"/>
                <w:color w:val="auto"/>
              </w:rPr>
            </w:pPr>
            <w:r>
              <w:rPr>
                <w:rFonts w:ascii="Arial" w:cs="Arial" w:eastAsia="Arial" w:hAnsi="Arial"/>
                <w:sz w:val="18"/>
                <w:szCs w:val="18"/>
                <w:color w:val="auto"/>
                <w:w w:val="91"/>
              </w:rPr>
              <w:t>Non-accelerated filer o</w:t>
            </w:r>
          </w:p>
        </w:tc>
        <w:tc>
          <w:tcPr>
            <w:tcW w:w="3540" w:type="dxa"/>
            <w:vAlign w:val="bottom"/>
          </w:tcPr>
          <w:p>
            <w:pPr>
              <w:jc w:val="center"/>
              <w:ind w:left="1350"/>
              <w:spacing w:after="0"/>
              <w:rPr>
                <w:sz w:val="20"/>
                <w:szCs w:val="20"/>
                <w:color w:val="auto"/>
              </w:rPr>
            </w:pPr>
            <w:r>
              <w:rPr>
                <w:rFonts w:ascii="Arial" w:cs="Arial" w:eastAsia="Arial" w:hAnsi="Arial"/>
                <w:sz w:val="18"/>
                <w:szCs w:val="18"/>
                <w:color w:val="auto"/>
                <w:w w:val="91"/>
              </w:rPr>
              <w:t>Smaller reporting company o</w:t>
            </w:r>
          </w:p>
        </w:tc>
      </w:tr>
      <w:tr>
        <w:trPr>
          <w:trHeight w:val="392"/>
        </w:trPr>
        <w:tc>
          <w:tcPr>
            <w:tcW w:w="4800" w:type="dxa"/>
            <w:vAlign w:val="bottom"/>
          </w:tcPr>
          <w:p>
            <w:pPr>
              <w:jc w:val="center"/>
              <w:ind w:right="1370"/>
              <w:spacing w:after="0"/>
              <w:rPr>
                <w:sz w:val="20"/>
                <w:szCs w:val="20"/>
                <w:color w:val="auto"/>
              </w:rPr>
            </w:pPr>
            <w:r>
              <w:rPr>
                <w:rFonts w:ascii="Arial" w:cs="Arial" w:eastAsia="Arial" w:hAnsi="Arial"/>
                <w:sz w:val="18"/>
                <w:szCs w:val="18"/>
                <w:color w:val="auto"/>
                <w:w w:val="91"/>
              </w:rPr>
              <w:t>(Do not check if a smaller reporting company)</w:t>
            </w:r>
          </w:p>
        </w:tc>
        <w:tc>
          <w:tcPr>
            <w:tcW w:w="3540" w:type="dxa"/>
            <w:vAlign w:val="bottom"/>
          </w:tcPr>
          <w:p>
            <w:pPr>
              <w:jc w:val="center"/>
              <w:ind w:left="1350"/>
              <w:spacing w:after="0"/>
              <w:rPr>
                <w:sz w:val="20"/>
                <w:szCs w:val="20"/>
                <w:color w:val="auto"/>
              </w:rPr>
            </w:pPr>
            <w:r>
              <w:rPr>
                <w:rFonts w:ascii="Arial" w:cs="Arial" w:eastAsia="Arial" w:hAnsi="Arial"/>
                <w:sz w:val="18"/>
                <w:szCs w:val="18"/>
                <w:color w:val="auto"/>
                <w:w w:val="91"/>
              </w:rPr>
              <w:t>Emerging growth company o</w:t>
            </w:r>
          </w:p>
        </w:tc>
      </w:tr>
    </w:tbl>
    <w:p>
      <w:pPr>
        <w:spacing w:after="0" w:line="67" w:lineRule="exact"/>
        <w:rPr>
          <w:sz w:val="24"/>
          <w:szCs w:val="24"/>
          <w:color w:val="auto"/>
        </w:rPr>
      </w:pPr>
    </w:p>
    <w:p>
      <w:pPr>
        <w:ind w:right="300" w:firstLine="351"/>
        <w:spacing w:after="0" w:line="309"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2" w:lineRule="exact"/>
        <w:rPr>
          <w:sz w:val="24"/>
          <w:szCs w:val="24"/>
          <w:color w:val="auto"/>
        </w:rPr>
      </w:pPr>
    </w:p>
    <w:p>
      <w:pPr>
        <w:ind w:right="2200"/>
        <w:spacing w:after="0" w:line="294"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o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As of July 31, 2018, there were 157,954,130 Class A Shares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193675</wp:posOffset>
            </wp:positionH>
            <wp:positionV relativeFrom="paragraph">
              <wp:posOffset>248920</wp:posOffset>
            </wp:positionV>
            <wp:extent cx="687768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877685" cy="17145"/>
                    </a:xfrm>
                    <a:prstGeom prst="rect">
                      <a:avLst/>
                    </a:prstGeom>
                    <a:noFill/>
                  </pic:spPr>
                </pic:pic>
              </a:graphicData>
            </a:graphic>
          </wp:anchor>
        </w:drawing>
        <w:drawing>
          <wp:anchor simplePos="0" relativeHeight="251657728" behindDoc="1" locked="0" layoutInCell="0" allowOverlap="1">
            <wp:simplePos x="0" y="0"/>
            <wp:positionH relativeFrom="column">
              <wp:posOffset>193675</wp:posOffset>
            </wp:positionH>
            <wp:positionV relativeFrom="paragraph">
              <wp:posOffset>163195</wp:posOffset>
            </wp:positionV>
            <wp:extent cx="687768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877685" cy="8890"/>
                    </a:xfrm>
                    <a:prstGeom prst="rect">
                      <a:avLst/>
                    </a:prstGeom>
                    <a:noFill/>
                  </pic:spPr>
                </pic:pic>
              </a:graphicData>
            </a:graphic>
          </wp:anchor>
        </w:drawing>
      </w:r>
    </w:p>
    <w:p>
      <w:pPr>
        <w:sectPr>
          <w:pgSz w:w="11900" w:h="16838" w:orient="portrait"/>
          <w:cols w:equalWidth="0" w:num="1">
            <w:col w:w="11380"/>
          </w:cols>
          <w:pgMar w:left="240" w:top="233" w:right="279" w:bottom="1440" w:gutter="0" w:footer="0" w:header="0"/>
        </w:sectPr>
      </w:pPr>
    </w:p>
    <w:bookmarkStart w:id="1" w:name="page2"/>
    <w:bookmarkEnd w:id="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PLAINS GP HOLDINGS, L.P.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148"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Borders>
              <w:bottom w:val="single" w:sz="8" w:color="auto"/>
            </w:tcBorders>
            <w:gridSpan w:val="4"/>
          </w:tcPr>
          <w:p>
            <w:pPr>
              <w:ind w:left="480"/>
              <w:spacing w:after="0"/>
              <w:rPr>
                <w:sz w:val="20"/>
                <w:szCs w:val="20"/>
                <w:color w:val="auto"/>
              </w:rPr>
            </w:pPr>
            <w:r>
              <w:rPr>
                <w:rFonts w:ascii="Arial" w:cs="Arial" w:eastAsia="Arial" w:hAnsi="Arial"/>
                <w:sz w:val="14"/>
                <w:szCs w:val="14"/>
                <w:b w:val="1"/>
                <w:bCs w:val="1"/>
                <w:color w:val="auto"/>
              </w:rPr>
              <w:t>Page</w:t>
            </w:r>
          </w:p>
        </w:tc>
      </w:tr>
      <w:tr>
        <w:trPr>
          <w:trHeight w:val="189"/>
        </w:trPr>
        <w:tc>
          <w:tcPr>
            <w:tcW w:w="3060" w:type="dxa"/>
            <w:vAlign w:val="bottom"/>
            <w:tcBorders>
              <w:bottom w:val="single" w:sz="8" w:color="0000EE"/>
            </w:tcBorders>
            <w:gridSpan w:val="17"/>
          </w:tcPr>
          <w:p>
            <w:pPr>
              <w:spacing w:after="0" w:line="189" w:lineRule="exact"/>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PART I. FINANCIAL INFORMATION</w:t>
              </w:r>
            </w:hyperlink>
          </w:p>
        </w:tc>
        <w:tc>
          <w:tcPr>
            <w:tcW w:w="7080" w:type="dxa"/>
            <w:vAlign w:val="bottom"/>
            <w:gridSpan w:val="18"/>
          </w:tcPr>
          <w:p>
            <w:pPr>
              <w:spacing w:after="0"/>
              <w:rPr>
                <w:sz w:val="16"/>
                <w:szCs w:val="16"/>
                <w:color w:val="auto"/>
              </w:rPr>
            </w:pPr>
          </w:p>
        </w:tc>
        <w:tc>
          <w:tcPr>
            <w:tcW w:w="10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50"/>
        </w:trPr>
        <w:tc>
          <w:tcPr>
            <w:tcW w:w="10140" w:type="dxa"/>
            <w:vAlign w:val="bottom"/>
            <w:gridSpan w:val="35"/>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Item 1. UNAUDITED CONDENSED CONSOLIDATED FINANCIAL STATEMENTS:</w:t>
              </w:r>
            </w:hyperlink>
          </w:p>
        </w:tc>
        <w:tc>
          <w:tcPr>
            <w:tcW w:w="10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50"/>
        </w:trPr>
        <w:tc>
          <w:tcPr>
            <w:tcW w:w="140" w:type="dxa"/>
            <w:vAlign w:val="bottom"/>
            <w:tcBorders>
              <w:top w:val="single" w:sz="8" w:color="0000EE"/>
            </w:tcBorders>
          </w:tcPr>
          <w:p>
            <w:pPr>
              <w:spacing w:after="0"/>
              <w:rPr>
                <w:sz w:val="21"/>
                <w:szCs w:val="21"/>
                <w:color w:val="auto"/>
              </w:rPr>
            </w:pPr>
          </w:p>
        </w:tc>
        <w:tc>
          <w:tcPr>
            <w:tcW w:w="6260" w:type="dxa"/>
            <w:vAlign w:val="bottom"/>
            <w:tcBorders>
              <w:top w:val="single" w:sz="8" w:color="0000EE"/>
            </w:tcBorders>
            <w:gridSpan w:val="25"/>
          </w:tcPr>
          <w:p>
            <w:pPr>
              <w:spacing w:after="0"/>
              <w:rPr>
                <w:rFonts w:ascii="Arial" w:cs="Arial" w:eastAsia="Arial" w:hAnsi="Arial"/>
                <w:sz w:val="18"/>
                <w:szCs w:val="18"/>
                <w:color w:val="0000EE"/>
                <w:w w:val="88"/>
              </w:rPr>
            </w:pPr>
            <w:hyperlink w:anchor="page3">
              <w:r>
                <w:rPr>
                  <w:rFonts w:ascii="Arial" w:cs="Arial" w:eastAsia="Arial" w:hAnsi="Arial"/>
                  <w:sz w:val="18"/>
                  <w:szCs w:val="18"/>
                  <w:color w:val="0000EE"/>
                  <w:w w:val="88"/>
                </w:rPr>
                <w:t>Condensed Consolidated Balance Sheets: As of June 30, 2018 and December 31, 2017</w:t>
              </w:r>
            </w:hyperlink>
          </w:p>
        </w:tc>
        <w:tc>
          <w:tcPr>
            <w:tcW w:w="3740" w:type="dxa"/>
            <w:vAlign w:val="bottom"/>
            <w:gridSpan w:val="9"/>
          </w:tcPr>
          <w:p>
            <w:pPr>
              <w:spacing w:after="0"/>
              <w:rPr>
                <w:sz w:val="21"/>
                <w:szCs w:val="21"/>
                <w:color w:val="auto"/>
              </w:rPr>
            </w:pPr>
          </w:p>
        </w:tc>
        <w:tc>
          <w:tcPr>
            <w:tcW w:w="1240" w:type="dxa"/>
            <w:vAlign w:val="bottom"/>
            <w:gridSpan w:val="4"/>
          </w:tcPr>
          <w:p>
            <w:pPr>
              <w:jc w:val="right"/>
              <w:ind w:right="20"/>
              <w:spacing w:after="0"/>
              <w:rPr>
                <w:rFonts w:ascii="Arial" w:cs="Arial" w:eastAsia="Arial" w:hAnsi="Arial"/>
                <w:sz w:val="18"/>
                <w:szCs w:val="18"/>
                <w:color w:val="0000EE"/>
              </w:rPr>
            </w:pPr>
            <w:hyperlink w:anchor="page3">
              <w:r>
                <w:rPr>
                  <w:rFonts w:ascii="Arial" w:cs="Arial" w:eastAsia="Arial" w:hAnsi="Arial"/>
                  <w:sz w:val="18"/>
                  <w:szCs w:val="18"/>
                  <w:color w:val="0000EE"/>
                </w:rPr>
                <w:t>3</w:t>
              </w:r>
            </w:hyperlink>
          </w:p>
        </w:tc>
      </w:tr>
      <w:tr>
        <w:trPr>
          <w:trHeight w:val="20"/>
        </w:trPr>
        <w:tc>
          <w:tcPr>
            <w:tcW w:w="140" w:type="dxa"/>
            <w:vAlign w:val="bottom"/>
          </w:tcPr>
          <w:p>
            <w:pPr>
              <w:spacing w:after="0" w:line="20" w:lineRule="exact"/>
              <w:rPr>
                <w:sz w:val="1"/>
                <w:szCs w:val="1"/>
                <w:color w:val="auto"/>
              </w:rPr>
            </w:pPr>
          </w:p>
        </w:tc>
        <w:tc>
          <w:tcPr>
            <w:tcW w:w="200" w:type="dxa"/>
            <w:vAlign w:val="bottom"/>
            <w:tcBorders>
              <w:right w:val="single" w:sz="8" w:color="0000EE"/>
            </w:tcBorders>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56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gridSpan w:val="2"/>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20" w:type="dxa"/>
            <w:vAlign w:val="bottom"/>
            <w:shd w:val="clear" w:color="auto" w:fill="0000EE"/>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40" w:type="dxa"/>
            <w:vAlign w:val="bottom"/>
          </w:tcPr>
          <w:p>
            <w:pPr>
              <w:spacing w:after="0"/>
              <w:rPr>
                <w:sz w:val="21"/>
                <w:szCs w:val="21"/>
                <w:color w:val="auto"/>
              </w:rPr>
            </w:pPr>
          </w:p>
        </w:tc>
        <w:tc>
          <w:tcPr>
            <w:tcW w:w="8040" w:type="dxa"/>
            <w:vAlign w:val="bottom"/>
            <w:tcBorders>
              <w:bottom w:val="single" w:sz="8" w:color="0000EE"/>
            </w:tcBorders>
            <w:gridSpan w:val="29"/>
          </w:tcPr>
          <w:p>
            <w:pPr>
              <w:spacing w:after="0"/>
              <w:rPr>
                <w:rFonts w:ascii="Arial" w:cs="Arial" w:eastAsia="Arial" w:hAnsi="Arial"/>
                <w:sz w:val="18"/>
                <w:szCs w:val="18"/>
                <w:color w:val="0000EE"/>
                <w:w w:val="88"/>
              </w:rPr>
            </w:pPr>
            <w:hyperlink w:anchor="page4">
              <w:r>
                <w:rPr>
                  <w:rFonts w:ascii="Arial" w:cs="Arial" w:eastAsia="Arial" w:hAnsi="Arial"/>
                  <w:sz w:val="18"/>
                  <w:szCs w:val="18"/>
                  <w:color w:val="0000EE"/>
                  <w:w w:val="88"/>
                </w:rPr>
                <w:t>Condensed Consolidated Statements of Operations: For the three and six months ended June 30, 2018 and 2017</w:t>
              </w:r>
            </w:hyperlink>
          </w:p>
        </w:tc>
        <w:tc>
          <w:tcPr>
            <w:tcW w:w="1960" w:type="dxa"/>
            <w:vAlign w:val="bottom"/>
            <w:gridSpan w:val="5"/>
          </w:tcPr>
          <w:p>
            <w:pPr>
              <w:spacing w:after="0"/>
              <w:rPr>
                <w:sz w:val="21"/>
                <w:szCs w:val="21"/>
                <w:color w:val="auto"/>
              </w:rPr>
            </w:pPr>
          </w:p>
        </w:tc>
        <w:tc>
          <w:tcPr>
            <w:tcW w:w="1120" w:type="dxa"/>
            <w:vAlign w:val="bottom"/>
            <w:gridSpan w:val="2"/>
          </w:tcPr>
          <w:p>
            <w:pPr>
              <w:spacing w:after="0"/>
              <w:rPr>
                <w:sz w:val="21"/>
                <w:szCs w:val="21"/>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4">
              <w:r>
                <w:rPr>
                  <w:rFonts w:ascii="Arial" w:cs="Arial" w:eastAsia="Arial" w:hAnsi="Arial"/>
                  <w:sz w:val="18"/>
                  <w:szCs w:val="18"/>
                  <w:color w:val="0000EE"/>
                  <w:w w:val="79"/>
                </w:rPr>
                <w:t>4</w:t>
              </w:r>
            </w:hyperlink>
          </w:p>
        </w:tc>
        <w:tc>
          <w:tcPr>
            <w:tcW w:w="20" w:type="dxa"/>
            <w:vAlign w:val="bottom"/>
          </w:tcPr>
          <w:p>
            <w:pPr>
              <w:spacing w:after="0"/>
              <w:rPr>
                <w:sz w:val="21"/>
                <w:szCs w:val="21"/>
                <w:color w:val="auto"/>
              </w:rPr>
            </w:pPr>
          </w:p>
        </w:tc>
      </w:tr>
      <w:tr>
        <w:trPr>
          <w:trHeight w:val="250"/>
        </w:trPr>
        <w:tc>
          <w:tcPr>
            <w:tcW w:w="140" w:type="dxa"/>
            <w:vAlign w:val="bottom"/>
          </w:tcPr>
          <w:p>
            <w:pPr>
              <w:spacing w:after="0"/>
              <w:rPr>
                <w:sz w:val="21"/>
                <w:szCs w:val="21"/>
                <w:color w:val="auto"/>
              </w:rPr>
            </w:pPr>
          </w:p>
        </w:tc>
        <w:tc>
          <w:tcPr>
            <w:tcW w:w="10000" w:type="dxa"/>
            <w:vAlign w:val="bottom"/>
            <w:gridSpan w:val="34"/>
          </w:tcPr>
          <w:p>
            <w:pPr>
              <w:spacing w:after="0"/>
              <w:rPr>
                <w:rFonts w:ascii="Arial" w:cs="Arial" w:eastAsia="Arial" w:hAnsi="Arial"/>
                <w:sz w:val="18"/>
                <w:szCs w:val="18"/>
                <w:color w:val="0000EE"/>
                <w:w w:val="94"/>
              </w:rPr>
            </w:pPr>
            <w:hyperlink w:anchor="page5">
              <w:r>
                <w:rPr>
                  <w:rFonts w:ascii="Arial" w:cs="Arial" w:eastAsia="Arial" w:hAnsi="Arial"/>
                  <w:sz w:val="18"/>
                  <w:szCs w:val="18"/>
                  <w:color w:val="0000EE"/>
                  <w:w w:val="94"/>
                </w:rPr>
                <w:t>Condensed Consolidated Statements of Comprehensive Income/(Loss): For the three and six months ended June 30, 2018 and 2017</w:t>
              </w:r>
            </w:hyperlink>
          </w:p>
        </w:tc>
        <w:tc>
          <w:tcPr>
            <w:tcW w:w="1240" w:type="dxa"/>
            <w:vAlign w:val="bottom"/>
            <w:gridSpan w:val="4"/>
          </w:tcPr>
          <w:p>
            <w:pPr>
              <w:jc w:val="right"/>
              <w:ind w:right="20"/>
              <w:spacing w:after="0"/>
              <w:rPr>
                <w:rFonts w:ascii="Arial" w:cs="Arial" w:eastAsia="Arial" w:hAnsi="Arial"/>
                <w:sz w:val="18"/>
                <w:szCs w:val="18"/>
                <w:color w:val="0000EE"/>
              </w:rPr>
            </w:pPr>
            <w:hyperlink w:anchor="page5">
              <w:r>
                <w:rPr>
                  <w:rFonts w:ascii="Arial" w:cs="Arial" w:eastAsia="Arial" w:hAnsi="Arial"/>
                  <w:sz w:val="18"/>
                  <w:szCs w:val="18"/>
                  <w:color w:val="0000EE"/>
                </w:rPr>
                <w:t>5</w:t>
              </w:r>
            </w:hyperlink>
          </w:p>
        </w:tc>
      </w:tr>
      <w:tr>
        <w:trPr>
          <w:trHeight w:val="20"/>
        </w:trPr>
        <w:tc>
          <w:tcPr>
            <w:tcW w:w="140" w:type="dxa"/>
            <w:vAlign w:val="bottom"/>
          </w:tcPr>
          <w:p>
            <w:pPr>
              <w:spacing w:after="0" w:line="20" w:lineRule="exact"/>
              <w:rPr>
                <w:sz w:val="1"/>
                <w:szCs w:val="1"/>
                <w:color w:val="auto"/>
              </w:rPr>
            </w:pPr>
          </w:p>
        </w:tc>
        <w:tc>
          <w:tcPr>
            <w:tcW w:w="200" w:type="dxa"/>
            <w:vAlign w:val="bottom"/>
            <w:tcBorders>
              <w:right w:val="single" w:sz="8" w:color="0000EE"/>
            </w:tcBorders>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56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gridSpan w:val="2"/>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880" w:type="dxa"/>
            <w:vAlign w:val="bottom"/>
            <w:gridSpan w:val="3"/>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1220" w:type="dxa"/>
            <w:vAlign w:val="bottom"/>
            <w:gridSpan w:val="2"/>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40" w:type="dxa"/>
            <w:vAlign w:val="bottom"/>
          </w:tcPr>
          <w:p>
            <w:pPr>
              <w:spacing w:after="0"/>
              <w:rPr>
                <w:sz w:val="21"/>
                <w:szCs w:val="21"/>
                <w:color w:val="auto"/>
              </w:rPr>
            </w:pPr>
          </w:p>
        </w:tc>
        <w:tc>
          <w:tcPr>
            <w:tcW w:w="9960" w:type="dxa"/>
            <w:vAlign w:val="bottom"/>
            <w:tcBorders>
              <w:bottom w:val="single" w:sz="8" w:color="0000EE"/>
            </w:tcBorders>
            <w:gridSpan w:val="33"/>
          </w:tcPr>
          <w:p>
            <w:pPr>
              <w:spacing w:after="0"/>
              <w:rPr>
                <w:rFonts w:ascii="Arial" w:cs="Arial" w:eastAsia="Arial" w:hAnsi="Arial"/>
                <w:sz w:val="18"/>
                <w:szCs w:val="18"/>
                <w:color w:val="0000EE"/>
                <w:w w:val="89"/>
              </w:rPr>
            </w:pPr>
            <w:hyperlink w:anchor="page5">
              <w:r>
                <w:rPr>
                  <w:rFonts w:ascii="Arial" w:cs="Arial" w:eastAsia="Arial" w:hAnsi="Arial"/>
                  <w:sz w:val="18"/>
                  <w:szCs w:val="18"/>
                  <w:color w:val="0000EE"/>
                  <w:w w:val="89"/>
                </w:rPr>
                <w:t>Condensed Consolidated Statements of Changes in Accumulated Other Comprehensive Income/(Loss): For the six months ended June 30,</w:t>
              </w:r>
            </w:hyperlink>
          </w:p>
        </w:tc>
        <w:tc>
          <w:tcPr>
            <w:tcW w:w="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196"/>
        </w:trPr>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0" w:type="dxa"/>
            <w:vAlign w:val="bottom"/>
            <w:gridSpan w:val="33"/>
          </w:tcPr>
          <w:p>
            <w:pPr>
              <w:spacing w:after="0" w:line="196" w:lineRule="exact"/>
              <w:rPr>
                <w:rFonts w:ascii="Arial" w:cs="Arial" w:eastAsia="Arial" w:hAnsi="Arial"/>
                <w:sz w:val="18"/>
                <w:szCs w:val="18"/>
                <w:color w:val="0000EE"/>
              </w:rPr>
            </w:pPr>
            <w:hyperlink w:anchor="page5">
              <w:r>
                <w:rPr>
                  <w:rFonts w:ascii="Arial" w:cs="Arial" w:eastAsia="Arial" w:hAnsi="Arial"/>
                  <w:sz w:val="18"/>
                  <w:szCs w:val="18"/>
                  <w:color w:val="0000EE"/>
                </w:rPr>
                <w:t>2018 and 2017</w:t>
              </w:r>
            </w:hyperlink>
          </w:p>
        </w:tc>
        <w:tc>
          <w:tcPr>
            <w:tcW w:w="1240" w:type="dxa"/>
            <w:vAlign w:val="bottom"/>
            <w:gridSpan w:val="4"/>
          </w:tcPr>
          <w:p>
            <w:pPr>
              <w:jc w:val="right"/>
              <w:ind w:right="20"/>
              <w:spacing w:after="0" w:line="196" w:lineRule="exact"/>
              <w:rPr>
                <w:rFonts w:ascii="Arial" w:cs="Arial" w:eastAsia="Arial" w:hAnsi="Arial"/>
                <w:sz w:val="18"/>
                <w:szCs w:val="18"/>
                <w:color w:val="0000EE"/>
              </w:rPr>
            </w:pPr>
            <w:hyperlink w:anchor="page5">
              <w:r>
                <w:rPr>
                  <w:rFonts w:ascii="Arial" w:cs="Arial" w:eastAsia="Arial" w:hAnsi="Arial"/>
                  <w:sz w:val="18"/>
                  <w:szCs w:val="18"/>
                  <w:color w:val="0000EE"/>
                </w:rPr>
                <w:t>5</w:t>
              </w:r>
            </w:hyperlink>
          </w:p>
        </w:tc>
      </w:tr>
      <w:tr>
        <w:trPr>
          <w:trHeight w:val="20"/>
        </w:trPr>
        <w:tc>
          <w:tcPr>
            <w:tcW w:w="140" w:type="dxa"/>
            <w:vAlign w:val="bottom"/>
          </w:tcPr>
          <w:p>
            <w:pPr>
              <w:spacing w:after="0" w:line="20" w:lineRule="exact"/>
              <w:rPr>
                <w:sz w:val="1"/>
                <w:szCs w:val="1"/>
                <w:color w:val="auto"/>
              </w:rPr>
            </w:pPr>
          </w:p>
        </w:tc>
        <w:tc>
          <w:tcPr>
            <w:tcW w:w="200" w:type="dxa"/>
            <w:vAlign w:val="bottom"/>
            <w:tcBorders>
              <w:right w:val="single" w:sz="8" w:color="0000EE"/>
            </w:tcBorders>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8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40" w:type="dxa"/>
            <w:vAlign w:val="bottom"/>
          </w:tcPr>
          <w:p>
            <w:pPr>
              <w:spacing w:after="0"/>
              <w:rPr>
                <w:sz w:val="21"/>
                <w:szCs w:val="21"/>
                <w:color w:val="auto"/>
              </w:rPr>
            </w:pPr>
          </w:p>
        </w:tc>
        <w:tc>
          <w:tcPr>
            <w:tcW w:w="7380" w:type="dxa"/>
            <w:vAlign w:val="bottom"/>
            <w:tcBorders>
              <w:bottom w:val="single" w:sz="8" w:color="0000EE"/>
            </w:tcBorders>
            <w:gridSpan w:val="28"/>
          </w:tcPr>
          <w:p>
            <w:pPr>
              <w:spacing w:after="0"/>
              <w:rPr>
                <w:rFonts w:ascii="Arial" w:cs="Arial" w:eastAsia="Arial" w:hAnsi="Arial"/>
                <w:sz w:val="18"/>
                <w:szCs w:val="18"/>
                <w:color w:val="0000EE"/>
                <w:w w:val="88"/>
              </w:rPr>
            </w:pPr>
            <w:hyperlink w:anchor="page6">
              <w:r>
                <w:rPr>
                  <w:rFonts w:ascii="Arial" w:cs="Arial" w:eastAsia="Arial" w:hAnsi="Arial"/>
                  <w:sz w:val="18"/>
                  <w:szCs w:val="18"/>
                  <w:color w:val="0000EE"/>
                  <w:w w:val="88"/>
                </w:rPr>
                <w:t>Condensed Consolidated Statements of Cash Flows: For the six months ended June 30, 2018 and 2017</w:t>
              </w:r>
            </w:hyperlink>
          </w:p>
        </w:tc>
        <w:tc>
          <w:tcPr>
            <w:tcW w:w="2620" w:type="dxa"/>
            <w:vAlign w:val="bottom"/>
            <w:gridSpan w:val="6"/>
          </w:tcPr>
          <w:p>
            <w:pPr>
              <w:spacing w:after="0"/>
              <w:rPr>
                <w:sz w:val="21"/>
                <w:szCs w:val="21"/>
                <w:color w:val="auto"/>
              </w:rPr>
            </w:pPr>
          </w:p>
        </w:tc>
        <w:tc>
          <w:tcPr>
            <w:tcW w:w="1120" w:type="dxa"/>
            <w:vAlign w:val="bottom"/>
            <w:gridSpan w:val="2"/>
          </w:tcPr>
          <w:p>
            <w:pPr>
              <w:spacing w:after="0"/>
              <w:rPr>
                <w:sz w:val="21"/>
                <w:szCs w:val="21"/>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6">
              <w:r>
                <w:rPr>
                  <w:rFonts w:ascii="Arial" w:cs="Arial" w:eastAsia="Arial" w:hAnsi="Arial"/>
                  <w:sz w:val="18"/>
                  <w:szCs w:val="18"/>
                  <w:color w:val="0000EE"/>
                  <w:w w:val="79"/>
                </w:rPr>
                <w:t>6</w:t>
              </w:r>
            </w:hyperlink>
          </w:p>
        </w:tc>
        <w:tc>
          <w:tcPr>
            <w:tcW w:w="20" w:type="dxa"/>
            <w:vAlign w:val="bottom"/>
          </w:tcPr>
          <w:p>
            <w:pPr>
              <w:spacing w:after="0"/>
              <w:rPr>
                <w:sz w:val="21"/>
                <w:szCs w:val="21"/>
                <w:color w:val="auto"/>
              </w:rPr>
            </w:pPr>
          </w:p>
        </w:tc>
      </w:tr>
      <w:tr>
        <w:trPr>
          <w:trHeight w:val="250"/>
        </w:trPr>
        <w:tc>
          <w:tcPr>
            <w:tcW w:w="140" w:type="dxa"/>
            <w:vAlign w:val="bottom"/>
          </w:tcPr>
          <w:p>
            <w:pPr>
              <w:spacing w:after="0"/>
              <w:rPr>
                <w:sz w:val="21"/>
                <w:szCs w:val="21"/>
                <w:color w:val="auto"/>
              </w:rPr>
            </w:pPr>
          </w:p>
        </w:tc>
        <w:tc>
          <w:tcPr>
            <w:tcW w:w="8600" w:type="dxa"/>
            <w:vAlign w:val="bottom"/>
            <w:tcBorders>
              <w:bottom w:val="single" w:sz="8" w:color="0000EE"/>
            </w:tcBorders>
            <w:gridSpan w:val="30"/>
          </w:tcPr>
          <w:p>
            <w:pPr>
              <w:spacing w:after="0"/>
              <w:rPr>
                <w:rFonts w:ascii="Arial" w:cs="Arial" w:eastAsia="Arial" w:hAnsi="Arial"/>
                <w:sz w:val="18"/>
                <w:szCs w:val="18"/>
                <w:color w:val="0000EE"/>
                <w:w w:val="88"/>
              </w:rPr>
            </w:pPr>
            <w:hyperlink w:anchor="page7">
              <w:r>
                <w:rPr>
                  <w:rFonts w:ascii="Arial" w:cs="Arial" w:eastAsia="Arial" w:hAnsi="Arial"/>
                  <w:sz w:val="18"/>
                  <w:szCs w:val="18"/>
                  <w:color w:val="0000EE"/>
                  <w:w w:val="88"/>
                </w:rPr>
                <w:t>Condensed Consolidated Statements of Changes in Partners’ Capital: For the six months ended June 30, 2018 and 2017</w:t>
              </w:r>
            </w:hyperlink>
          </w:p>
        </w:tc>
        <w:tc>
          <w:tcPr>
            <w:tcW w:w="1400" w:type="dxa"/>
            <w:vAlign w:val="bottom"/>
            <w:gridSpan w:val="4"/>
          </w:tcPr>
          <w:p>
            <w:pPr>
              <w:spacing w:after="0"/>
              <w:rPr>
                <w:sz w:val="21"/>
                <w:szCs w:val="21"/>
                <w:color w:val="auto"/>
              </w:rPr>
            </w:pPr>
          </w:p>
        </w:tc>
        <w:tc>
          <w:tcPr>
            <w:tcW w:w="1120" w:type="dxa"/>
            <w:vAlign w:val="bottom"/>
            <w:gridSpan w:val="2"/>
          </w:tcPr>
          <w:p>
            <w:pPr>
              <w:spacing w:after="0"/>
              <w:rPr>
                <w:sz w:val="21"/>
                <w:szCs w:val="21"/>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7">
              <w:r>
                <w:rPr>
                  <w:rFonts w:ascii="Arial" w:cs="Arial" w:eastAsia="Arial" w:hAnsi="Arial"/>
                  <w:sz w:val="18"/>
                  <w:szCs w:val="18"/>
                  <w:color w:val="0000EE"/>
                  <w:w w:val="79"/>
                </w:rPr>
                <w:t>7</w:t>
              </w:r>
            </w:hyperlink>
          </w:p>
        </w:tc>
        <w:tc>
          <w:tcPr>
            <w:tcW w:w="20" w:type="dxa"/>
            <w:vAlign w:val="bottom"/>
          </w:tcPr>
          <w:p>
            <w:pPr>
              <w:spacing w:after="0"/>
              <w:rPr>
                <w:sz w:val="21"/>
                <w:szCs w:val="21"/>
                <w:color w:val="auto"/>
              </w:rPr>
            </w:pPr>
          </w:p>
        </w:tc>
      </w:tr>
      <w:tr>
        <w:trPr>
          <w:trHeight w:val="250"/>
        </w:trPr>
        <w:tc>
          <w:tcPr>
            <w:tcW w:w="140" w:type="dxa"/>
            <w:vAlign w:val="bottom"/>
          </w:tcPr>
          <w:p>
            <w:pPr>
              <w:spacing w:after="0"/>
              <w:rPr>
                <w:sz w:val="21"/>
                <w:szCs w:val="21"/>
                <w:color w:val="auto"/>
              </w:rPr>
            </w:pPr>
          </w:p>
        </w:tc>
        <w:tc>
          <w:tcPr>
            <w:tcW w:w="4300" w:type="dxa"/>
            <w:vAlign w:val="bottom"/>
            <w:tcBorders>
              <w:bottom w:val="single" w:sz="8" w:color="0000EE"/>
            </w:tcBorders>
            <w:gridSpan w:val="21"/>
          </w:tcPr>
          <w:p>
            <w:pPr>
              <w:spacing w:after="0"/>
              <w:rPr>
                <w:rFonts w:ascii="Arial" w:cs="Arial" w:eastAsia="Arial" w:hAnsi="Arial"/>
                <w:sz w:val="18"/>
                <w:szCs w:val="18"/>
                <w:color w:val="0000EE"/>
                <w:w w:val="88"/>
              </w:rPr>
            </w:pPr>
            <w:hyperlink w:anchor="page8">
              <w:r>
                <w:rPr>
                  <w:rFonts w:ascii="Arial" w:cs="Arial" w:eastAsia="Arial" w:hAnsi="Arial"/>
                  <w:sz w:val="18"/>
                  <w:szCs w:val="18"/>
                  <w:color w:val="0000EE"/>
                  <w:w w:val="88"/>
                </w:rPr>
                <w:t>Notes to the Condensed Consolidated Financial Statements:</w:t>
              </w:r>
            </w:hyperlink>
          </w:p>
        </w:tc>
        <w:tc>
          <w:tcPr>
            <w:tcW w:w="5700" w:type="dxa"/>
            <w:vAlign w:val="bottom"/>
            <w:gridSpan w:val="13"/>
          </w:tcPr>
          <w:p>
            <w:pPr>
              <w:spacing w:after="0"/>
              <w:rPr>
                <w:sz w:val="21"/>
                <w:szCs w:val="21"/>
                <w:color w:val="auto"/>
              </w:rPr>
            </w:pPr>
          </w:p>
        </w:tc>
        <w:tc>
          <w:tcPr>
            <w:tcW w:w="10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50"/>
        </w:trPr>
        <w:tc>
          <w:tcPr>
            <w:tcW w:w="340" w:type="dxa"/>
            <w:vAlign w:val="bottom"/>
            <w:gridSpan w:val="2"/>
          </w:tcPr>
          <w:p>
            <w:pPr>
              <w:spacing w:after="0"/>
              <w:rPr>
                <w:sz w:val="21"/>
                <w:szCs w:val="21"/>
                <w:color w:val="auto"/>
              </w:rPr>
            </w:pPr>
          </w:p>
        </w:tc>
        <w:tc>
          <w:tcPr>
            <w:tcW w:w="160" w:type="dxa"/>
            <w:vAlign w:val="bottom"/>
            <w:tcBorders>
              <w:bottom w:val="single" w:sz="8" w:color="0000EE"/>
            </w:tcBorders>
          </w:tcPr>
          <w:p>
            <w:pPr>
              <w:spacing w:after="0"/>
              <w:rPr>
                <w:rFonts w:ascii="Arial" w:cs="Arial" w:eastAsia="Arial" w:hAnsi="Arial"/>
                <w:sz w:val="18"/>
                <w:szCs w:val="18"/>
                <w:color w:val="0000EE"/>
                <w:w w:val="92"/>
              </w:rPr>
            </w:pPr>
            <w:hyperlink w:anchor="page8">
              <w:r>
                <w:rPr>
                  <w:rFonts w:ascii="Arial" w:cs="Arial" w:eastAsia="Arial" w:hAnsi="Arial"/>
                  <w:sz w:val="18"/>
                  <w:szCs w:val="18"/>
                  <w:color w:val="0000EE"/>
                  <w:w w:val="92"/>
                </w:rPr>
                <w:t>1.</w:t>
              </w:r>
            </w:hyperlink>
          </w:p>
        </w:tc>
        <w:tc>
          <w:tcPr>
            <w:tcW w:w="4200" w:type="dxa"/>
            <w:vAlign w:val="bottom"/>
            <w:tcBorders>
              <w:bottom w:val="single" w:sz="8" w:color="0000EE"/>
            </w:tcBorders>
            <w:gridSpan w:val="20"/>
          </w:tcPr>
          <w:p>
            <w:pPr>
              <w:ind w:left="20"/>
              <w:spacing w:after="0"/>
              <w:rPr>
                <w:rFonts w:ascii="Arial" w:cs="Arial" w:eastAsia="Arial" w:hAnsi="Arial"/>
                <w:sz w:val="18"/>
                <w:szCs w:val="18"/>
                <w:color w:val="0000EE"/>
                <w:w w:val="90"/>
              </w:rPr>
            </w:pPr>
            <w:hyperlink w:anchor="page8">
              <w:r>
                <w:rPr>
                  <w:rFonts w:ascii="Arial" w:cs="Arial" w:eastAsia="Arial" w:hAnsi="Arial"/>
                  <w:sz w:val="18"/>
                  <w:szCs w:val="18"/>
                  <w:color w:val="0000EE"/>
                  <w:w w:val="90"/>
                </w:rPr>
                <w:t>Organization and Basis of Consolidation and Presentation</w:t>
              </w:r>
            </w:hyperlink>
          </w:p>
        </w:tc>
        <w:tc>
          <w:tcPr>
            <w:tcW w:w="5440" w:type="dxa"/>
            <w:vAlign w:val="bottom"/>
            <w:gridSpan w:val="12"/>
          </w:tcPr>
          <w:p>
            <w:pPr>
              <w:spacing w:after="0"/>
              <w:rPr>
                <w:sz w:val="21"/>
                <w:szCs w:val="21"/>
                <w:color w:val="auto"/>
              </w:rPr>
            </w:pPr>
          </w:p>
        </w:tc>
        <w:tc>
          <w:tcPr>
            <w:tcW w:w="1120" w:type="dxa"/>
            <w:vAlign w:val="bottom"/>
            <w:gridSpan w:val="2"/>
          </w:tcPr>
          <w:p>
            <w:pPr>
              <w:spacing w:after="0"/>
              <w:rPr>
                <w:sz w:val="21"/>
                <w:szCs w:val="21"/>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8">
              <w:r>
                <w:rPr>
                  <w:rFonts w:ascii="Arial" w:cs="Arial" w:eastAsia="Arial" w:hAnsi="Arial"/>
                  <w:sz w:val="18"/>
                  <w:szCs w:val="18"/>
                  <w:color w:val="0000EE"/>
                  <w:w w:val="79"/>
                </w:rPr>
                <w:t>8</w:t>
              </w:r>
            </w:hyperlink>
          </w:p>
        </w:tc>
        <w:tc>
          <w:tcPr>
            <w:tcW w:w="20" w:type="dxa"/>
            <w:vAlign w:val="bottom"/>
          </w:tcPr>
          <w:p>
            <w:pPr>
              <w:spacing w:after="0"/>
              <w:rPr>
                <w:sz w:val="21"/>
                <w:szCs w:val="21"/>
                <w:color w:val="auto"/>
              </w:rPr>
            </w:pPr>
          </w:p>
        </w:tc>
      </w:tr>
      <w:tr>
        <w:trPr>
          <w:trHeight w:val="250"/>
        </w:trPr>
        <w:tc>
          <w:tcPr>
            <w:tcW w:w="340" w:type="dxa"/>
            <w:vAlign w:val="bottom"/>
            <w:gridSpan w:val="2"/>
          </w:tcPr>
          <w:p>
            <w:pPr>
              <w:spacing w:after="0"/>
              <w:rPr>
                <w:sz w:val="21"/>
                <w:szCs w:val="21"/>
                <w:color w:val="auto"/>
              </w:rPr>
            </w:pPr>
          </w:p>
        </w:tc>
        <w:tc>
          <w:tcPr>
            <w:tcW w:w="160" w:type="dxa"/>
            <w:vAlign w:val="bottom"/>
          </w:tcPr>
          <w:p>
            <w:pPr>
              <w:spacing w:after="0"/>
              <w:rPr>
                <w:rFonts w:ascii="Arial" w:cs="Arial" w:eastAsia="Arial" w:hAnsi="Arial"/>
                <w:sz w:val="18"/>
                <w:szCs w:val="18"/>
                <w:color w:val="0000EE"/>
                <w:w w:val="92"/>
              </w:rPr>
            </w:pPr>
            <w:hyperlink w:anchor="page10">
              <w:r>
                <w:rPr>
                  <w:rFonts w:ascii="Arial" w:cs="Arial" w:eastAsia="Arial" w:hAnsi="Arial"/>
                  <w:sz w:val="18"/>
                  <w:szCs w:val="18"/>
                  <w:color w:val="0000EE"/>
                  <w:w w:val="92"/>
                </w:rPr>
                <w:t>2.</w:t>
              </w:r>
            </w:hyperlink>
          </w:p>
        </w:tc>
        <w:tc>
          <w:tcPr>
            <w:tcW w:w="2680" w:type="dxa"/>
            <w:vAlign w:val="bottom"/>
            <w:gridSpan w:val="16"/>
          </w:tcPr>
          <w:p>
            <w:pPr>
              <w:ind w:left="20"/>
              <w:spacing w:after="0"/>
              <w:rPr>
                <w:rFonts w:ascii="Arial" w:cs="Arial" w:eastAsia="Arial" w:hAnsi="Arial"/>
                <w:sz w:val="18"/>
                <w:szCs w:val="18"/>
                <w:color w:val="0000EE"/>
                <w:w w:val="89"/>
              </w:rPr>
            </w:pPr>
            <w:hyperlink w:anchor="page10">
              <w:r>
                <w:rPr>
                  <w:rFonts w:ascii="Arial" w:cs="Arial" w:eastAsia="Arial" w:hAnsi="Arial"/>
                  <w:sz w:val="18"/>
                  <w:szCs w:val="18"/>
                  <w:color w:val="0000EE"/>
                  <w:w w:val="89"/>
                </w:rPr>
                <w:t>Recent Accounting Pronouncements</w:t>
              </w:r>
            </w:hyperlink>
          </w:p>
        </w:tc>
        <w:tc>
          <w:tcPr>
            <w:tcW w:w="6960" w:type="dxa"/>
            <w:vAlign w:val="bottom"/>
            <w:gridSpan w:val="16"/>
          </w:tcPr>
          <w:p>
            <w:pPr>
              <w:spacing w:after="0"/>
              <w:rPr>
                <w:sz w:val="21"/>
                <w:szCs w:val="21"/>
                <w:color w:val="auto"/>
              </w:rPr>
            </w:pPr>
          </w:p>
        </w:tc>
        <w:tc>
          <w:tcPr>
            <w:tcW w:w="1240" w:type="dxa"/>
            <w:vAlign w:val="bottom"/>
            <w:gridSpan w:val="4"/>
          </w:tcPr>
          <w:p>
            <w:pPr>
              <w:jc w:val="right"/>
              <w:ind w:right="20"/>
              <w:spacing w:after="0"/>
              <w:rPr>
                <w:rFonts w:ascii="Arial" w:cs="Arial" w:eastAsia="Arial" w:hAnsi="Arial"/>
                <w:sz w:val="18"/>
                <w:szCs w:val="18"/>
                <w:color w:val="0000EE"/>
              </w:rPr>
            </w:pPr>
            <w:hyperlink w:anchor="page10">
              <w:r>
                <w:rPr>
                  <w:rFonts w:ascii="Arial" w:cs="Arial" w:eastAsia="Arial" w:hAnsi="Arial"/>
                  <w:sz w:val="18"/>
                  <w:szCs w:val="18"/>
                  <w:color w:val="0000EE"/>
                </w:rPr>
                <w:t>10</w:t>
              </w:r>
            </w:hyperlink>
          </w:p>
        </w:tc>
      </w:tr>
      <w:tr>
        <w:trPr>
          <w:trHeight w:val="20"/>
        </w:trPr>
        <w:tc>
          <w:tcPr>
            <w:tcW w:w="340" w:type="dxa"/>
            <w:vAlign w:val="bottom"/>
            <w:gridSpan w:val="2"/>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56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gridSpan w:val="2"/>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gridSpan w:val="3"/>
          </w:tcPr>
          <w:p>
            <w:pPr>
              <w:spacing w:after="0" w:line="20" w:lineRule="exact"/>
              <w:rPr>
                <w:sz w:val="1"/>
                <w:szCs w:val="1"/>
                <w:color w:val="auto"/>
              </w:rPr>
            </w:pPr>
          </w:p>
        </w:tc>
        <w:tc>
          <w:tcPr>
            <w:tcW w:w="188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760" w:type="dxa"/>
            <w:vAlign w:val="bottom"/>
            <w:gridSpan w:val="4"/>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1060" w:type="dxa"/>
            <w:vAlign w:val="bottom"/>
            <w:tcBorders>
              <w:right w:val="single" w:sz="8" w:color="0000EE"/>
            </w:tcBorders>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340" w:type="dxa"/>
            <w:vAlign w:val="bottom"/>
            <w:gridSpan w:val="2"/>
          </w:tcPr>
          <w:p>
            <w:pPr>
              <w:spacing w:after="0"/>
              <w:rPr>
                <w:sz w:val="21"/>
                <w:szCs w:val="21"/>
                <w:color w:val="auto"/>
              </w:rPr>
            </w:pPr>
          </w:p>
        </w:tc>
        <w:tc>
          <w:tcPr>
            <w:tcW w:w="160" w:type="dxa"/>
            <w:vAlign w:val="bottom"/>
          </w:tcPr>
          <w:p>
            <w:pPr>
              <w:spacing w:after="0"/>
              <w:rPr>
                <w:rFonts w:ascii="Arial" w:cs="Arial" w:eastAsia="Arial" w:hAnsi="Arial"/>
                <w:sz w:val="18"/>
                <w:szCs w:val="18"/>
                <w:color w:val="0000EE"/>
                <w:w w:val="92"/>
              </w:rPr>
            </w:pPr>
            <w:hyperlink w:anchor="page11">
              <w:r>
                <w:rPr>
                  <w:rFonts w:ascii="Arial" w:cs="Arial" w:eastAsia="Arial" w:hAnsi="Arial"/>
                  <w:sz w:val="18"/>
                  <w:szCs w:val="18"/>
                  <w:color w:val="0000EE"/>
                  <w:w w:val="92"/>
                </w:rPr>
                <w:t>3.</w:t>
              </w:r>
            </w:hyperlink>
          </w:p>
        </w:tc>
        <w:tc>
          <w:tcPr>
            <w:tcW w:w="2680" w:type="dxa"/>
            <w:vAlign w:val="bottom"/>
            <w:gridSpan w:val="16"/>
          </w:tcPr>
          <w:p>
            <w:pPr>
              <w:ind w:left="20"/>
              <w:spacing w:after="0"/>
              <w:rPr>
                <w:rFonts w:ascii="Arial" w:cs="Arial" w:eastAsia="Arial" w:hAnsi="Arial"/>
                <w:sz w:val="18"/>
                <w:szCs w:val="18"/>
                <w:color w:val="0000EE"/>
              </w:rPr>
            </w:pPr>
            <w:hyperlink w:anchor="page11">
              <w:r>
                <w:rPr>
                  <w:rFonts w:ascii="Arial" w:cs="Arial" w:eastAsia="Arial" w:hAnsi="Arial"/>
                  <w:sz w:val="18"/>
                  <w:szCs w:val="18"/>
                  <w:color w:val="0000EE"/>
                </w:rPr>
                <w:t>Revenues</w:t>
              </w:r>
            </w:hyperlink>
          </w:p>
        </w:tc>
        <w:tc>
          <w:tcPr>
            <w:tcW w:w="6960" w:type="dxa"/>
            <w:vAlign w:val="bottom"/>
            <w:gridSpan w:val="16"/>
          </w:tcPr>
          <w:p>
            <w:pPr>
              <w:spacing w:after="0"/>
              <w:rPr>
                <w:sz w:val="21"/>
                <w:szCs w:val="21"/>
                <w:color w:val="auto"/>
              </w:rPr>
            </w:pPr>
          </w:p>
        </w:tc>
        <w:tc>
          <w:tcPr>
            <w:tcW w:w="1240" w:type="dxa"/>
            <w:vAlign w:val="bottom"/>
            <w:gridSpan w:val="4"/>
          </w:tcPr>
          <w:p>
            <w:pPr>
              <w:jc w:val="right"/>
              <w:ind w:right="20"/>
              <w:spacing w:after="0"/>
              <w:rPr>
                <w:rFonts w:ascii="Arial" w:cs="Arial" w:eastAsia="Arial" w:hAnsi="Arial"/>
                <w:sz w:val="18"/>
                <w:szCs w:val="18"/>
                <w:color w:val="0000EE"/>
              </w:rPr>
            </w:pPr>
            <w:hyperlink w:anchor="page11">
              <w:r>
                <w:rPr>
                  <w:rFonts w:ascii="Arial" w:cs="Arial" w:eastAsia="Arial" w:hAnsi="Arial"/>
                  <w:sz w:val="18"/>
                  <w:szCs w:val="18"/>
                  <w:color w:val="0000EE"/>
                </w:rPr>
                <w:t>11</w:t>
              </w:r>
            </w:hyperlink>
          </w:p>
        </w:tc>
      </w:tr>
      <w:tr>
        <w:trPr>
          <w:trHeight w:val="20"/>
        </w:trPr>
        <w:tc>
          <w:tcPr>
            <w:tcW w:w="340" w:type="dxa"/>
            <w:vAlign w:val="bottom"/>
            <w:gridSpan w:val="2"/>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gridSpan w:val="3"/>
          </w:tcPr>
          <w:p>
            <w:pPr>
              <w:spacing w:after="0" w:line="20" w:lineRule="exact"/>
              <w:rPr>
                <w:sz w:val="1"/>
                <w:szCs w:val="1"/>
                <w:color w:val="auto"/>
              </w:rPr>
            </w:pPr>
          </w:p>
        </w:tc>
        <w:tc>
          <w:tcPr>
            <w:tcW w:w="188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760" w:type="dxa"/>
            <w:vAlign w:val="bottom"/>
            <w:gridSpan w:val="4"/>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340" w:type="dxa"/>
            <w:vAlign w:val="bottom"/>
            <w:gridSpan w:val="2"/>
          </w:tcPr>
          <w:p>
            <w:pPr>
              <w:spacing w:after="0"/>
              <w:rPr>
                <w:sz w:val="21"/>
                <w:szCs w:val="21"/>
                <w:color w:val="auto"/>
              </w:rPr>
            </w:pPr>
          </w:p>
        </w:tc>
        <w:tc>
          <w:tcPr>
            <w:tcW w:w="160" w:type="dxa"/>
            <w:vAlign w:val="bottom"/>
          </w:tcPr>
          <w:p>
            <w:pPr>
              <w:spacing w:after="0"/>
              <w:rPr>
                <w:rFonts w:ascii="Arial" w:cs="Arial" w:eastAsia="Arial" w:hAnsi="Arial"/>
                <w:sz w:val="18"/>
                <w:szCs w:val="18"/>
                <w:color w:val="0000EE"/>
                <w:w w:val="92"/>
              </w:rPr>
            </w:pPr>
            <w:hyperlink w:anchor="page15">
              <w:r>
                <w:rPr>
                  <w:rFonts w:ascii="Arial" w:cs="Arial" w:eastAsia="Arial" w:hAnsi="Arial"/>
                  <w:sz w:val="18"/>
                  <w:szCs w:val="18"/>
                  <w:color w:val="0000EE"/>
                  <w:w w:val="92"/>
                </w:rPr>
                <w:t>4.</w:t>
              </w:r>
            </w:hyperlink>
          </w:p>
        </w:tc>
        <w:tc>
          <w:tcPr>
            <w:tcW w:w="2220" w:type="dxa"/>
            <w:vAlign w:val="bottom"/>
            <w:gridSpan w:val="11"/>
          </w:tcPr>
          <w:p>
            <w:pPr>
              <w:ind w:left="20"/>
              <w:spacing w:after="0"/>
              <w:rPr>
                <w:rFonts w:ascii="Arial" w:cs="Arial" w:eastAsia="Arial" w:hAnsi="Arial"/>
                <w:sz w:val="18"/>
                <w:szCs w:val="18"/>
                <w:color w:val="0000EE"/>
                <w:w w:val="88"/>
              </w:rPr>
            </w:pPr>
            <w:hyperlink w:anchor="page15">
              <w:r>
                <w:rPr>
                  <w:rFonts w:ascii="Arial" w:cs="Arial" w:eastAsia="Arial" w:hAnsi="Arial"/>
                  <w:sz w:val="18"/>
                  <w:szCs w:val="18"/>
                  <w:color w:val="0000EE"/>
                  <w:w w:val="88"/>
                </w:rPr>
                <w:t>Net Income Per Class A Share</w:t>
              </w:r>
            </w:hyperlink>
          </w:p>
        </w:tc>
        <w:tc>
          <w:tcPr>
            <w:tcW w:w="7420" w:type="dxa"/>
            <w:vAlign w:val="bottom"/>
            <w:gridSpan w:val="21"/>
          </w:tcPr>
          <w:p>
            <w:pPr>
              <w:spacing w:after="0"/>
              <w:rPr>
                <w:sz w:val="21"/>
                <w:szCs w:val="21"/>
                <w:color w:val="auto"/>
              </w:rPr>
            </w:pPr>
          </w:p>
        </w:tc>
        <w:tc>
          <w:tcPr>
            <w:tcW w:w="1240" w:type="dxa"/>
            <w:vAlign w:val="bottom"/>
            <w:gridSpan w:val="4"/>
          </w:tcPr>
          <w:p>
            <w:pPr>
              <w:jc w:val="right"/>
              <w:ind w:right="20"/>
              <w:spacing w:after="0"/>
              <w:rPr>
                <w:rFonts w:ascii="Arial" w:cs="Arial" w:eastAsia="Arial" w:hAnsi="Arial"/>
                <w:sz w:val="18"/>
                <w:szCs w:val="18"/>
                <w:color w:val="0000EE"/>
              </w:rPr>
            </w:pPr>
            <w:hyperlink w:anchor="page15">
              <w:r>
                <w:rPr>
                  <w:rFonts w:ascii="Arial" w:cs="Arial" w:eastAsia="Arial" w:hAnsi="Arial"/>
                  <w:sz w:val="18"/>
                  <w:szCs w:val="18"/>
                  <w:color w:val="0000EE"/>
                </w:rPr>
                <w:t>15</w:t>
              </w:r>
            </w:hyperlink>
          </w:p>
        </w:tc>
      </w:tr>
      <w:tr>
        <w:trPr>
          <w:trHeight w:val="20"/>
        </w:trPr>
        <w:tc>
          <w:tcPr>
            <w:tcW w:w="340" w:type="dxa"/>
            <w:vAlign w:val="bottom"/>
            <w:gridSpan w:val="2"/>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56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gridSpan w:val="3"/>
          </w:tcPr>
          <w:p>
            <w:pPr>
              <w:spacing w:after="0" w:line="20" w:lineRule="exact"/>
              <w:rPr>
                <w:sz w:val="1"/>
                <w:szCs w:val="1"/>
                <w:color w:val="auto"/>
              </w:rPr>
            </w:pPr>
          </w:p>
        </w:tc>
        <w:tc>
          <w:tcPr>
            <w:tcW w:w="188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760" w:type="dxa"/>
            <w:vAlign w:val="bottom"/>
            <w:gridSpan w:val="4"/>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1060" w:type="dxa"/>
            <w:vAlign w:val="bottom"/>
            <w:tcBorders>
              <w:right w:val="single" w:sz="8" w:color="0000EE"/>
            </w:tcBorders>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340" w:type="dxa"/>
            <w:vAlign w:val="bottom"/>
            <w:gridSpan w:val="2"/>
          </w:tcPr>
          <w:p>
            <w:pPr>
              <w:spacing w:after="0"/>
              <w:rPr>
                <w:sz w:val="21"/>
                <w:szCs w:val="21"/>
                <w:color w:val="auto"/>
              </w:rPr>
            </w:pPr>
          </w:p>
        </w:tc>
        <w:tc>
          <w:tcPr>
            <w:tcW w:w="160" w:type="dxa"/>
            <w:vAlign w:val="bottom"/>
          </w:tcPr>
          <w:p>
            <w:pPr>
              <w:spacing w:after="0"/>
              <w:rPr>
                <w:rFonts w:ascii="Arial" w:cs="Arial" w:eastAsia="Arial" w:hAnsi="Arial"/>
                <w:sz w:val="18"/>
                <w:szCs w:val="18"/>
                <w:color w:val="0000EE"/>
                <w:w w:val="92"/>
              </w:rPr>
            </w:pPr>
            <w:hyperlink w:anchor="page16">
              <w:r>
                <w:rPr>
                  <w:rFonts w:ascii="Arial" w:cs="Arial" w:eastAsia="Arial" w:hAnsi="Arial"/>
                  <w:sz w:val="18"/>
                  <w:szCs w:val="18"/>
                  <w:color w:val="0000EE"/>
                  <w:w w:val="92"/>
                </w:rPr>
                <w:t>5.</w:t>
              </w:r>
            </w:hyperlink>
          </w:p>
        </w:tc>
        <w:tc>
          <w:tcPr>
            <w:tcW w:w="2220" w:type="dxa"/>
            <w:vAlign w:val="bottom"/>
            <w:gridSpan w:val="11"/>
          </w:tcPr>
          <w:p>
            <w:pPr>
              <w:ind w:left="20"/>
              <w:spacing w:after="0"/>
              <w:rPr>
                <w:rFonts w:ascii="Arial" w:cs="Arial" w:eastAsia="Arial" w:hAnsi="Arial"/>
                <w:sz w:val="18"/>
                <w:szCs w:val="18"/>
                <w:color w:val="0000EE"/>
              </w:rPr>
            </w:pPr>
            <w:hyperlink w:anchor="page16">
              <w:r>
                <w:rPr>
                  <w:rFonts w:ascii="Arial" w:cs="Arial" w:eastAsia="Arial" w:hAnsi="Arial"/>
                  <w:sz w:val="18"/>
                  <w:szCs w:val="18"/>
                  <w:color w:val="0000EE"/>
                </w:rPr>
                <w:t>Accounts Receivable, Net</w:t>
              </w:r>
            </w:hyperlink>
          </w:p>
        </w:tc>
        <w:tc>
          <w:tcPr>
            <w:tcW w:w="7420" w:type="dxa"/>
            <w:vAlign w:val="bottom"/>
            <w:gridSpan w:val="21"/>
          </w:tcPr>
          <w:p>
            <w:pPr>
              <w:spacing w:after="0"/>
              <w:rPr>
                <w:sz w:val="21"/>
                <w:szCs w:val="21"/>
                <w:color w:val="auto"/>
              </w:rPr>
            </w:pPr>
          </w:p>
        </w:tc>
        <w:tc>
          <w:tcPr>
            <w:tcW w:w="1240" w:type="dxa"/>
            <w:vAlign w:val="bottom"/>
            <w:gridSpan w:val="4"/>
          </w:tcPr>
          <w:p>
            <w:pPr>
              <w:jc w:val="right"/>
              <w:ind w:right="20"/>
              <w:spacing w:after="0"/>
              <w:rPr>
                <w:rFonts w:ascii="Arial" w:cs="Arial" w:eastAsia="Arial" w:hAnsi="Arial"/>
                <w:sz w:val="18"/>
                <w:szCs w:val="18"/>
                <w:color w:val="0000EE"/>
              </w:rPr>
            </w:pPr>
            <w:hyperlink w:anchor="page16">
              <w:r>
                <w:rPr>
                  <w:rFonts w:ascii="Arial" w:cs="Arial" w:eastAsia="Arial" w:hAnsi="Arial"/>
                  <w:sz w:val="18"/>
                  <w:szCs w:val="18"/>
                  <w:color w:val="0000EE"/>
                </w:rPr>
                <w:t>16</w:t>
              </w:r>
            </w:hyperlink>
          </w:p>
        </w:tc>
      </w:tr>
      <w:tr>
        <w:trPr>
          <w:trHeight w:val="20"/>
        </w:trPr>
        <w:tc>
          <w:tcPr>
            <w:tcW w:w="340" w:type="dxa"/>
            <w:vAlign w:val="bottom"/>
            <w:gridSpan w:val="2"/>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56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gridSpan w:val="3"/>
          </w:tcPr>
          <w:p>
            <w:pPr>
              <w:spacing w:after="0" w:line="20" w:lineRule="exact"/>
              <w:rPr>
                <w:sz w:val="1"/>
                <w:szCs w:val="1"/>
                <w:color w:val="auto"/>
              </w:rPr>
            </w:pPr>
          </w:p>
        </w:tc>
        <w:tc>
          <w:tcPr>
            <w:tcW w:w="188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760" w:type="dxa"/>
            <w:vAlign w:val="bottom"/>
            <w:gridSpan w:val="4"/>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1060" w:type="dxa"/>
            <w:vAlign w:val="bottom"/>
            <w:tcBorders>
              <w:right w:val="single" w:sz="8" w:color="0000EE"/>
            </w:tcBorders>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340" w:type="dxa"/>
            <w:vAlign w:val="bottom"/>
            <w:gridSpan w:val="2"/>
          </w:tcPr>
          <w:p>
            <w:pPr>
              <w:spacing w:after="0"/>
              <w:rPr>
                <w:sz w:val="21"/>
                <w:szCs w:val="21"/>
                <w:color w:val="auto"/>
              </w:rPr>
            </w:pPr>
          </w:p>
        </w:tc>
        <w:tc>
          <w:tcPr>
            <w:tcW w:w="160" w:type="dxa"/>
            <w:vAlign w:val="bottom"/>
          </w:tcPr>
          <w:p>
            <w:pPr>
              <w:spacing w:after="0"/>
              <w:rPr>
                <w:rFonts w:ascii="Arial" w:cs="Arial" w:eastAsia="Arial" w:hAnsi="Arial"/>
                <w:sz w:val="18"/>
                <w:szCs w:val="18"/>
                <w:color w:val="0000EE"/>
                <w:w w:val="92"/>
              </w:rPr>
            </w:pPr>
            <w:hyperlink w:anchor="page17">
              <w:r>
                <w:rPr>
                  <w:rFonts w:ascii="Arial" w:cs="Arial" w:eastAsia="Arial" w:hAnsi="Arial"/>
                  <w:sz w:val="18"/>
                  <w:szCs w:val="18"/>
                  <w:color w:val="0000EE"/>
                  <w:w w:val="92"/>
                </w:rPr>
                <w:t>6.</w:t>
              </w:r>
            </w:hyperlink>
          </w:p>
        </w:tc>
        <w:tc>
          <w:tcPr>
            <w:tcW w:w="4240" w:type="dxa"/>
            <w:vAlign w:val="bottom"/>
            <w:gridSpan w:val="21"/>
          </w:tcPr>
          <w:p>
            <w:pPr>
              <w:ind w:left="20"/>
              <w:spacing w:after="0"/>
              <w:rPr>
                <w:rFonts w:ascii="Arial" w:cs="Arial" w:eastAsia="Arial" w:hAnsi="Arial"/>
                <w:sz w:val="18"/>
                <w:szCs w:val="18"/>
                <w:color w:val="0000EE"/>
                <w:w w:val="92"/>
              </w:rPr>
            </w:pPr>
            <w:hyperlink w:anchor="page17">
              <w:r>
                <w:rPr>
                  <w:rFonts w:ascii="Arial" w:cs="Arial" w:eastAsia="Arial" w:hAnsi="Arial"/>
                  <w:sz w:val="18"/>
                  <w:szCs w:val="18"/>
                  <w:color w:val="0000EE"/>
                  <w:w w:val="92"/>
                </w:rPr>
                <w:t>Inventory, Linefill and Base Gas and Long-term Inventory</w:t>
              </w:r>
            </w:hyperlink>
          </w:p>
        </w:tc>
        <w:tc>
          <w:tcPr>
            <w:tcW w:w="5400" w:type="dxa"/>
            <w:vAlign w:val="bottom"/>
            <w:gridSpan w:val="11"/>
          </w:tcPr>
          <w:p>
            <w:pPr>
              <w:spacing w:after="0"/>
              <w:rPr>
                <w:sz w:val="21"/>
                <w:szCs w:val="21"/>
                <w:color w:val="auto"/>
              </w:rPr>
            </w:pPr>
          </w:p>
        </w:tc>
        <w:tc>
          <w:tcPr>
            <w:tcW w:w="1240" w:type="dxa"/>
            <w:vAlign w:val="bottom"/>
            <w:gridSpan w:val="4"/>
          </w:tcPr>
          <w:p>
            <w:pPr>
              <w:jc w:val="right"/>
              <w:ind w:right="20"/>
              <w:spacing w:after="0"/>
              <w:rPr>
                <w:rFonts w:ascii="Arial" w:cs="Arial" w:eastAsia="Arial" w:hAnsi="Arial"/>
                <w:sz w:val="18"/>
                <w:szCs w:val="18"/>
                <w:color w:val="0000EE"/>
              </w:rPr>
            </w:pPr>
            <w:hyperlink w:anchor="page17">
              <w:r>
                <w:rPr>
                  <w:rFonts w:ascii="Arial" w:cs="Arial" w:eastAsia="Arial" w:hAnsi="Arial"/>
                  <w:sz w:val="18"/>
                  <w:szCs w:val="18"/>
                  <w:color w:val="0000EE"/>
                </w:rPr>
                <w:t>17</w:t>
              </w:r>
            </w:hyperlink>
          </w:p>
        </w:tc>
      </w:tr>
      <w:tr>
        <w:trPr>
          <w:trHeight w:val="20"/>
        </w:trPr>
        <w:tc>
          <w:tcPr>
            <w:tcW w:w="340" w:type="dxa"/>
            <w:vAlign w:val="bottom"/>
            <w:gridSpan w:val="2"/>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56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gridSpan w:val="2"/>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900" w:type="dxa"/>
            <w:vAlign w:val="bottom"/>
            <w:gridSpan w:val="3"/>
            <w:shd w:val="clear" w:color="auto" w:fill="0000EE"/>
          </w:tcPr>
          <w:p>
            <w:pPr>
              <w:spacing w:after="0" w:line="20" w:lineRule="exact"/>
              <w:rPr>
                <w:sz w:val="1"/>
                <w:szCs w:val="1"/>
                <w:color w:val="auto"/>
              </w:rPr>
            </w:pPr>
          </w:p>
        </w:tc>
        <w:tc>
          <w:tcPr>
            <w:tcW w:w="188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760" w:type="dxa"/>
            <w:vAlign w:val="bottom"/>
            <w:gridSpan w:val="4"/>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1060" w:type="dxa"/>
            <w:vAlign w:val="bottom"/>
            <w:tcBorders>
              <w:right w:val="single" w:sz="8" w:color="0000EE"/>
            </w:tcBorders>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340" w:type="dxa"/>
            <w:vAlign w:val="bottom"/>
            <w:gridSpan w:val="2"/>
          </w:tcPr>
          <w:p>
            <w:pPr>
              <w:spacing w:after="0"/>
              <w:rPr>
                <w:sz w:val="21"/>
                <w:szCs w:val="21"/>
                <w:color w:val="auto"/>
              </w:rPr>
            </w:pPr>
          </w:p>
        </w:tc>
        <w:tc>
          <w:tcPr>
            <w:tcW w:w="160" w:type="dxa"/>
            <w:vAlign w:val="bottom"/>
          </w:tcPr>
          <w:p>
            <w:pPr>
              <w:spacing w:after="0"/>
              <w:rPr>
                <w:rFonts w:ascii="Arial" w:cs="Arial" w:eastAsia="Arial" w:hAnsi="Arial"/>
                <w:sz w:val="18"/>
                <w:szCs w:val="18"/>
                <w:color w:val="0000EE"/>
                <w:w w:val="92"/>
              </w:rPr>
            </w:pPr>
            <w:hyperlink w:anchor="page17">
              <w:r>
                <w:rPr>
                  <w:rFonts w:ascii="Arial" w:cs="Arial" w:eastAsia="Arial" w:hAnsi="Arial"/>
                  <w:sz w:val="18"/>
                  <w:szCs w:val="18"/>
                  <w:color w:val="0000EE"/>
                  <w:w w:val="92"/>
                </w:rPr>
                <w:t>7.</w:t>
              </w:r>
            </w:hyperlink>
          </w:p>
        </w:tc>
        <w:tc>
          <w:tcPr>
            <w:tcW w:w="860" w:type="dxa"/>
            <w:vAlign w:val="bottom"/>
            <w:gridSpan w:val="4"/>
          </w:tcPr>
          <w:p>
            <w:pPr>
              <w:ind w:left="20"/>
              <w:spacing w:after="0"/>
              <w:rPr>
                <w:rFonts w:ascii="Arial" w:cs="Arial" w:eastAsia="Arial" w:hAnsi="Arial"/>
                <w:sz w:val="18"/>
                <w:szCs w:val="18"/>
                <w:color w:val="0000EE"/>
                <w:w w:val="85"/>
              </w:rPr>
            </w:pPr>
            <w:hyperlink w:anchor="page17">
              <w:r>
                <w:rPr>
                  <w:rFonts w:ascii="Arial" w:cs="Arial" w:eastAsia="Arial" w:hAnsi="Arial"/>
                  <w:sz w:val="18"/>
                  <w:szCs w:val="18"/>
                  <w:color w:val="0000EE"/>
                  <w:w w:val="85"/>
                </w:rPr>
                <w:t>Divestitures</w:t>
              </w:r>
            </w:hyperlink>
          </w:p>
        </w:tc>
        <w:tc>
          <w:tcPr>
            <w:tcW w:w="3380" w:type="dxa"/>
            <w:vAlign w:val="bottom"/>
            <w:gridSpan w:val="17"/>
          </w:tcPr>
          <w:p>
            <w:pPr>
              <w:spacing w:after="0"/>
              <w:rPr>
                <w:sz w:val="21"/>
                <w:szCs w:val="21"/>
                <w:color w:val="auto"/>
              </w:rPr>
            </w:pPr>
          </w:p>
        </w:tc>
        <w:tc>
          <w:tcPr>
            <w:tcW w:w="5400" w:type="dxa"/>
            <w:vAlign w:val="bottom"/>
            <w:gridSpan w:val="11"/>
          </w:tcPr>
          <w:p>
            <w:pPr>
              <w:spacing w:after="0"/>
              <w:rPr>
                <w:sz w:val="21"/>
                <w:szCs w:val="21"/>
                <w:color w:val="auto"/>
              </w:rPr>
            </w:pPr>
          </w:p>
        </w:tc>
        <w:tc>
          <w:tcPr>
            <w:tcW w:w="1240" w:type="dxa"/>
            <w:vAlign w:val="bottom"/>
            <w:gridSpan w:val="4"/>
          </w:tcPr>
          <w:p>
            <w:pPr>
              <w:jc w:val="right"/>
              <w:ind w:right="20"/>
              <w:spacing w:after="0"/>
              <w:rPr>
                <w:rFonts w:ascii="Arial" w:cs="Arial" w:eastAsia="Arial" w:hAnsi="Arial"/>
                <w:sz w:val="18"/>
                <w:szCs w:val="18"/>
                <w:color w:val="0000EE"/>
              </w:rPr>
            </w:pPr>
            <w:hyperlink w:anchor="page17">
              <w:r>
                <w:rPr>
                  <w:rFonts w:ascii="Arial" w:cs="Arial" w:eastAsia="Arial" w:hAnsi="Arial"/>
                  <w:sz w:val="18"/>
                  <w:szCs w:val="18"/>
                  <w:color w:val="0000EE"/>
                </w:rPr>
                <w:t>17</w:t>
              </w:r>
            </w:hyperlink>
          </w:p>
        </w:tc>
      </w:tr>
      <w:tr>
        <w:trPr>
          <w:trHeight w:val="20"/>
        </w:trPr>
        <w:tc>
          <w:tcPr>
            <w:tcW w:w="340" w:type="dxa"/>
            <w:vAlign w:val="bottom"/>
            <w:gridSpan w:val="2"/>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560" w:type="dxa"/>
            <w:vAlign w:val="bottom"/>
            <w:tcBorders>
              <w:left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780" w:type="dxa"/>
            <w:vAlign w:val="bottom"/>
            <w:gridSpan w:val="6"/>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760" w:type="dxa"/>
            <w:vAlign w:val="bottom"/>
            <w:gridSpan w:val="4"/>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1060" w:type="dxa"/>
            <w:vAlign w:val="bottom"/>
            <w:tcBorders>
              <w:right w:val="single" w:sz="8" w:color="0000EE"/>
            </w:tcBorders>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340" w:type="dxa"/>
            <w:vAlign w:val="bottom"/>
            <w:gridSpan w:val="2"/>
          </w:tcPr>
          <w:p>
            <w:pPr>
              <w:spacing w:after="0"/>
              <w:rPr>
                <w:sz w:val="21"/>
                <w:szCs w:val="21"/>
                <w:color w:val="auto"/>
              </w:rPr>
            </w:pPr>
          </w:p>
        </w:tc>
        <w:tc>
          <w:tcPr>
            <w:tcW w:w="160" w:type="dxa"/>
            <w:vAlign w:val="bottom"/>
          </w:tcPr>
          <w:p>
            <w:pPr>
              <w:spacing w:after="0"/>
              <w:rPr>
                <w:rFonts w:ascii="Arial" w:cs="Arial" w:eastAsia="Arial" w:hAnsi="Arial"/>
                <w:sz w:val="18"/>
                <w:szCs w:val="18"/>
                <w:color w:val="0000EE"/>
                <w:w w:val="92"/>
              </w:rPr>
            </w:pPr>
            <w:hyperlink w:anchor="page18">
              <w:r>
                <w:rPr>
                  <w:rFonts w:ascii="Arial" w:cs="Arial" w:eastAsia="Arial" w:hAnsi="Arial"/>
                  <w:sz w:val="18"/>
                  <w:szCs w:val="18"/>
                  <w:color w:val="0000EE"/>
                  <w:w w:val="92"/>
                </w:rPr>
                <w:t>8.</w:t>
              </w:r>
            </w:hyperlink>
          </w:p>
        </w:tc>
        <w:tc>
          <w:tcPr>
            <w:tcW w:w="860" w:type="dxa"/>
            <w:vAlign w:val="bottom"/>
            <w:gridSpan w:val="4"/>
          </w:tcPr>
          <w:p>
            <w:pPr>
              <w:ind w:left="20"/>
              <w:spacing w:after="0"/>
              <w:rPr>
                <w:rFonts w:ascii="Arial" w:cs="Arial" w:eastAsia="Arial" w:hAnsi="Arial"/>
                <w:sz w:val="18"/>
                <w:szCs w:val="18"/>
                <w:color w:val="0000EE"/>
              </w:rPr>
            </w:pPr>
            <w:hyperlink w:anchor="page18">
              <w:r>
                <w:rPr>
                  <w:rFonts w:ascii="Arial" w:cs="Arial" w:eastAsia="Arial" w:hAnsi="Arial"/>
                  <w:sz w:val="18"/>
                  <w:szCs w:val="18"/>
                  <w:color w:val="0000EE"/>
                </w:rPr>
                <w:t>Goodwill</w:t>
              </w:r>
            </w:hyperlink>
          </w:p>
        </w:tc>
        <w:tc>
          <w:tcPr>
            <w:tcW w:w="8780" w:type="dxa"/>
            <w:vAlign w:val="bottom"/>
            <w:gridSpan w:val="28"/>
          </w:tcPr>
          <w:p>
            <w:pPr>
              <w:spacing w:after="0"/>
              <w:rPr>
                <w:sz w:val="21"/>
                <w:szCs w:val="21"/>
                <w:color w:val="auto"/>
              </w:rPr>
            </w:pPr>
          </w:p>
        </w:tc>
        <w:tc>
          <w:tcPr>
            <w:tcW w:w="1240" w:type="dxa"/>
            <w:vAlign w:val="bottom"/>
            <w:gridSpan w:val="4"/>
          </w:tcPr>
          <w:p>
            <w:pPr>
              <w:jc w:val="right"/>
              <w:ind w:right="20"/>
              <w:spacing w:after="0"/>
              <w:rPr>
                <w:rFonts w:ascii="Arial" w:cs="Arial" w:eastAsia="Arial" w:hAnsi="Arial"/>
                <w:sz w:val="18"/>
                <w:szCs w:val="18"/>
                <w:color w:val="0000EE"/>
              </w:rPr>
            </w:pPr>
            <w:hyperlink w:anchor="page18">
              <w:r>
                <w:rPr>
                  <w:rFonts w:ascii="Arial" w:cs="Arial" w:eastAsia="Arial" w:hAnsi="Arial"/>
                  <w:sz w:val="18"/>
                  <w:szCs w:val="18"/>
                  <w:color w:val="0000EE"/>
                </w:rPr>
                <w:t>18</w:t>
              </w:r>
            </w:hyperlink>
          </w:p>
        </w:tc>
      </w:tr>
      <w:tr>
        <w:trPr>
          <w:trHeight w:val="20"/>
        </w:trPr>
        <w:tc>
          <w:tcPr>
            <w:tcW w:w="340" w:type="dxa"/>
            <w:vAlign w:val="bottom"/>
            <w:gridSpan w:val="2"/>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780" w:type="dxa"/>
            <w:vAlign w:val="bottom"/>
            <w:gridSpan w:val="6"/>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760" w:type="dxa"/>
            <w:vAlign w:val="bottom"/>
            <w:gridSpan w:val="4"/>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1060" w:type="dxa"/>
            <w:vAlign w:val="bottom"/>
            <w:tcBorders>
              <w:right w:val="single" w:sz="8" w:color="0000EE"/>
            </w:tcBorders>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340" w:type="dxa"/>
            <w:vAlign w:val="bottom"/>
            <w:gridSpan w:val="2"/>
          </w:tcPr>
          <w:p>
            <w:pPr>
              <w:spacing w:after="0"/>
              <w:rPr>
                <w:sz w:val="21"/>
                <w:szCs w:val="21"/>
                <w:color w:val="auto"/>
              </w:rPr>
            </w:pPr>
          </w:p>
        </w:tc>
        <w:tc>
          <w:tcPr>
            <w:tcW w:w="160" w:type="dxa"/>
            <w:vAlign w:val="bottom"/>
          </w:tcPr>
          <w:p>
            <w:pPr>
              <w:spacing w:after="0"/>
              <w:rPr>
                <w:rFonts w:ascii="Arial" w:cs="Arial" w:eastAsia="Arial" w:hAnsi="Arial"/>
                <w:sz w:val="18"/>
                <w:szCs w:val="18"/>
                <w:color w:val="0000EE"/>
                <w:w w:val="92"/>
              </w:rPr>
            </w:pPr>
            <w:hyperlink w:anchor="page18">
              <w:r>
                <w:rPr>
                  <w:rFonts w:ascii="Arial" w:cs="Arial" w:eastAsia="Arial" w:hAnsi="Arial"/>
                  <w:sz w:val="18"/>
                  <w:szCs w:val="18"/>
                  <w:color w:val="0000EE"/>
                  <w:w w:val="92"/>
                </w:rPr>
                <w:t>9.</w:t>
              </w:r>
            </w:hyperlink>
          </w:p>
        </w:tc>
        <w:tc>
          <w:tcPr>
            <w:tcW w:w="380" w:type="dxa"/>
            <w:vAlign w:val="bottom"/>
          </w:tcPr>
          <w:p>
            <w:pPr>
              <w:ind w:left="20"/>
              <w:spacing w:after="0"/>
              <w:rPr>
                <w:rFonts w:ascii="Arial" w:cs="Arial" w:eastAsia="Arial" w:hAnsi="Arial"/>
                <w:sz w:val="18"/>
                <w:szCs w:val="18"/>
                <w:color w:val="0000EE"/>
                <w:w w:val="89"/>
              </w:rPr>
            </w:pPr>
            <w:hyperlink w:anchor="page18">
              <w:r>
                <w:rPr>
                  <w:rFonts w:ascii="Arial" w:cs="Arial" w:eastAsia="Arial" w:hAnsi="Arial"/>
                  <w:sz w:val="18"/>
                  <w:szCs w:val="18"/>
                  <w:color w:val="0000EE"/>
                  <w:w w:val="89"/>
                </w:rPr>
                <w:t>Debt</w:t>
              </w:r>
            </w:hyperlink>
          </w:p>
        </w:tc>
        <w:tc>
          <w:tcPr>
            <w:tcW w:w="320" w:type="dxa"/>
            <w:vAlign w:val="bottom"/>
            <w:gridSpan w:val="2"/>
          </w:tcPr>
          <w:p>
            <w:pPr>
              <w:spacing w:after="0"/>
              <w:rPr>
                <w:sz w:val="21"/>
                <w:szCs w:val="21"/>
                <w:color w:val="auto"/>
              </w:rPr>
            </w:pPr>
          </w:p>
        </w:tc>
        <w:tc>
          <w:tcPr>
            <w:tcW w:w="8940" w:type="dxa"/>
            <w:vAlign w:val="bottom"/>
            <w:gridSpan w:val="29"/>
          </w:tcPr>
          <w:p>
            <w:pPr>
              <w:spacing w:after="0"/>
              <w:rPr>
                <w:sz w:val="21"/>
                <w:szCs w:val="21"/>
                <w:color w:val="auto"/>
              </w:rPr>
            </w:pPr>
          </w:p>
        </w:tc>
        <w:tc>
          <w:tcPr>
            <w:tcW w:w="1240" w:type="dxa"/>
            <w:vAlign w:val="bottom"/>
            <w:gridSpan w:val="4"/>
          </w:tcPr>
          <w:p>
            <w:pPr>
              <w:jc w:val="right"/>
              <w:ind w:right="20"/>
              <w:spacing w:after="0"/>
              <w:rPr>
                <w:rFonts w:ascii="Arial" w:cs="Arial" w:eastAsia="Arial" w:hAnsi="Arial"/>
                <w:sz w:val="18"/>
                <w:szCs w:val="18"/>
                <w:color w:val="0000EE"/>
              </w:rPr>
            </w:pPr>
            <w:hyperlink w:anchor="page18">
              <w:r>
                <w:rPr>
                  <w:rFonts w:ascii="Arial" w:cs="Arial" w:eastAsia="Arial" w:hAnsi="Arial"/>
                  <w:sz w:val="18"/>
                  <w:szCs w:val="18"/>
                  <w:color w:val="0000EE"/>
                </w:rPr>
                <w:t>18</w:t>
              </w:r>
            </w:hyperlink>
          </w:p>
        </w:tc>
      </w:tr>
      <w:tr>
        <w:trPr>
          <w:trHeight w:val="20"/>
        </w:trPr>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780" w:type="dxa"/>
            <w:vAlign w:val="bottom"/>
            <w:gridSpan w:val="6"/>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760" w:type="dxa"/>
            <w:vAlign w:val="bottom"/>
            <w:gridSpan w:val="4"/>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1060" w:type="dxa"/>
            <w:vAlign w:val="bottom"/>
            <w:tcBorders>
              <w:right w:val="single" w:sz="8" w:color="0000EE"/>
            </w:tcBorders>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0" w:type="dxa"/>
            <w:vAlign w:val="bottom"/>
            <w:gridSpan w:val="33"/>
          </w:tcPr>
          <w:p>
            <w:pPr>
              <w:spacing w:after="0"/>
              <w:rPr>
                <w:rFonts w:ascii="Arial" w:cs="Arial" w:eastAsia="Arial" w:hAnsi="Arial"/>
                <w:sz w:val="18"/>
                <w:szCs w:val="18"/>
                <w:color w:val="0000EE"/>
              </w:rPr>
            </w:pPr>
            <w:hyperlink w:anchor="page19">
              <w:r>
                <w:rPr>
                  <w:rFonts w:ascii="Arial" w:cs="Arial" w:eastAsia="Arial" w:hAnsi="Arial"/>
                  <w:sz w:val="18"/>
                  <w:szCs w:val="18"/>
                  <w:color w:val="0000EE"/>
                </w:rPr>
                <w:t>10. Partners’ Capital and Distributions</w:t>
              </w:r>
            </w:hyperlink>
          </w:p>
        </w:tc>
        <w:tc>
          <w:tcPr>
            <w:tcW w:w="1240" w:type="dxa"/>
            <w:vAlign w:val="bottom"/>
            <w:gridSpan w:val="4"/>
          </w:tcPr>
          <w:p>
            <w:pPr>
              <w:jc w:val="right"/>
              <w:ind w:right="20"/>
              <w:spacing w:after="0"/>
              <w:rPr>
                <w:rFonts w:ascii="Arial" w:cs="Arial" w:eastAsia="Arial" w:hAnsi="Arial"/>
                <w:sz w:val="18"/>
                <w:szCs w:val="18"/>
                <w:color w:val="0000EE"/>
              </w:rPr>
            </w:pPr>
            <w:hyperlink w:anchor="page19">
              <w:r>
                <w:rPr>
                  <w:rFonts w:ascii="Arial" w:cs="Arial" w:eastAsia="Arial" w:hAnsi="Arial"/>
                  <w:sz w:val="18"/>
                  <w:szCs w:val="18"/>
                  <w:color w:val="0000EE"/>
                </w:rPr>
                <w:t>19</w:t>
              </w:r>
            </w:hyperlink>
          </w:p>
        </w:tc>
      </w:tr>
      <w:tr>
        <w:trPr>
          <w:trHeight w:val="20"/>
        </w:trPr>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gridSpan w:val="3"/>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56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780" w:type="dxa"/>
            <w:vAlign w:val="bottom"/>
            <w:gridSpan w:val="6"/>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760" w:type="dxa"/>
            <w:vAlign w:val="bottom"/>
            <w:gridSpan w:val="4"/>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1060" w:type="dxa"/>
            <w:vAlign w:val="bottom"/>
            <w:tcBorders>
              <w:right w:val="single" w:sz="8" w:color="0000EE"/>
            </w:tcBorders>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0" w:type="dxa"/>
            <w:vAlign w:val="bottom"/>
            <w:gridSpan w:val="33"/>
          </w:tcPr>
          <w:p>
            <w:pPr>
              <w:spacing w:after="0"/>
              <w:rPr>
                <w:rFonts w:ascii="Arial" w:cs="Arial" w:eastAsia="Arial" w:hAnsi="Arial"/>
                <w:sz w:val="18"/>
                <w:szCs w:val="18"/>
                <w:color w:val="0000EE"/>
              </w:rPr>
            </w:pPr>
            <w:hyperlink w:anchor="page21">
              <w:r>
                <w:rPr>
                  <w:rFonts w:ascii="Arial" w:cs="Arial" w:eastAsia="Arial" w:hAnsi="Arial"/>
                  <w:sz w:val="18"/>
                  <w:szCs w:val="18"/>
                  <w:color w:val="0000EE"/>
                </w:rPr>
                <w:t>11. Derivatives and Risk Management Activities</w:t>
              </w:r>
            </w:hyperlink>
          </w:p>
        </w:tc>
        <w:tc>
          <w:tcPr>
            <w:tcW w:w="1240" w:type="dxa"/>
            <w:vAlign w:val="bottom"/>
            <w:gridSpan w:val="4"/>
          </w:tcPr>
          <w:p>
            <w:pPr>
              <w:jc w:val="right"/>
              <w:ind w:right="20"/>
              <w:spacing w:after="0"/>
              <w:rPr>
                <w:rFonts w:ascii="Arial" w:cs="Arial" w:eastAsia="Arial" w:hAnsi="Arial"/>
                <w:sz w:val="18"/>
                <w:szCs w:val="18"/>
                <w:color w:val="0000EE"/>
              </w:rPr>
            </w:pPr>
            <w:hyperlink w:anchor="page21">
              <w:r>
                <w:rPr>
                  <w:rFonts w:ascii="Arial" w:cs="Arial" w:eastAsia="Arial" w:hAnsi="Arial"/>
                  <w:sz w:val="18"/>
                  <w:szCs w:val="18"/>
                  <w:color w:val="0000EE"/>
                </w:rPr>
                <w:t>21</w:t>
              </w:r>
            </w:hyperlink>
          </w:p>
        </w:tc>
      </w:tr>
      <w:tr>
        <w:trPr>
          <w:trHeight w:val="20"/>
        </w:trPr>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gridSpan w:val="3"/>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56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80" w:type="dxa"/>
            <w:vAlign w:val="bottom"/>
            <w:tcBorders>
              <w:left w:val="single" w:sz="8" w:color="0000EE"/>
              <w:right w:val="single" w:sz="8" w:color="0000EE"/>
            </w:tcBorders>
            <w:gridSpan w:val="3"/>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780" w:type="dxa"/>
            <w:vAlign w:val="bottom"/>
            <w:gridSpan w:val="6"/>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760" w:type="dxa"/>
            <w:vAlign w:val="bottom"/>
            <w:gridSpan w:val="4"/>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1060" w:type="dxa"/>
            <w:vAlign w:val="bottom"/>
            <w:tcBorders>
              <w:right w:val="single" w:sz="8" w:color="0000EE"/>
            </w:tcBorders>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500" w:type="dxa"/>
            <w:vAlign w:val="bottom"/>
            <w:gridSpan w:val="19"/>
          </w:tcPr>
          <w:p>
            <w:pPr>
              <w:spacing w:after="0"/>
              <w:rPr>
                <w:rFonts w:ascii="Arial" w:cs="Arial" w:eastAsia="Arial" w:hAnsi="Arial"/>
                <w:sz w:val="18"/>
                <w:szCs w:val="18"/>
                <w:color w:val="0000EE"/>
              </w:rPr>
            </w:pPr>
            <w:hyperlink w:anchor="page30">
              <w:r>
                <w:rPr>
                  <w:rFonts w:ascii="Arial" w:cs="Arial" w:eastAsia="Arial" w:hAnsi="Arial"/>
                  <w:sz w:val="18"/>
                  <w:szCs w:val="18"/>
                  <w:color w:val="0000EE"/>
                </w:rPr>
                <w:t>12. Related Party Transactions</w:t>
              </w:r>
            </w:hyperlink>
          </w:p>
        </w:tc>
        <w:tc>
          <w:tcPr>
            <w:tcW w:w="6300" w:type="dxa"/>
            <w:vAlign w:val="bottom"/>
            <w:gridSpan w:val="14"/>
          </w:tcPr>
          <w:p>
            <w:pPr>
              <w:spacing w:after="0"/>
              <w:rPr>
                <w:sz w:val="21"/>
                <w:szCs w:val="21"/>
                <w:color w:val="auto"/>
              </w:rPr>
            </w:pPr>
          </w:p>
        </w:tc>
        <w:tc>
          <w:tcPr>
            <w:tcW w:w="1240" w:type="dxa"/>
            <w:vAlign w:val="bottom"/>
            <w:gridSpan w:val="4"/>
          </w:tcPr>
          <w:p>
            <w:pPr>
              <w:jc w:val="right"/>
              <w:ind w:right="20"/>
              <w:spacing w:after="0"/>
              <w:rPr>
                <w:rFonts w:ascii="Arial" w:cs="Arial" w:eastAsia="Arial" w:hAnsi="Arial"/>
                <w:sz w:val="18"/>
                <w:szCs w:val="18"/>
                <w:color w:val="0000EE"/>
              </w:rPr>
            </w:pPr>
            <w:hyperlink w:anchor="page30">
              <w:r>
                <w:rPr>
                  <w:rFonts w:ascii="Arial" w:cs="Arial" w:eastAsia="Arial" w:hAnsi="Arial"/>
                  <w:sz w:val="18"/>
                  <w:szCs w:val="18"/>
                  <w:color w:val="0000EE"/>
                </w:rPr>
                <w:t>30</w:t>
              </w:r>
            </w:hyperlink>
          </w:p>
        </w:tc>
      </w:tr>
      <w:tr>
        <w:trPr>
          <w:trHeight w:val="20"/>
        </w:trPr>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gridSpan w:val="3"/>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56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880" w:type="dxa"/>
            <w:vAlign w:val="bottom"/>
            <w:gridSpan w:val="7"/>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760" w:type="dxa"/>
            <w:vAlign w:val="bottom"/>
            <w:gridSpan w:val="4"/>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1060" w:type="dxa"/>
            <w:vAlign w:val="bottom"/>
            <w:tcBorders>
              <w:right w:val="single" w:sz="8" w:color="0000EE"/>
            </w:tcBorders>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660" w:type="dxa"/>
            <w:vAlign w:val="bottom"/>
            <w:gridSpan w:val="14"/>
          </w:tcPr>
          <w:p>
            <w:pPr>
              <w:spacing w:after="0"/>
              <w:rPr>
                <w:rFonts w:ascii="Arial" w:cs="Arial" w:eastAsia="Arial" w:hAnsi="Arial"/>
                <w:sz w:val="18"/>
                <w:szCs w:val="18"/>
                <w:color w:val="0000EE"/>
                <w:w w:val="88"/>
              </w:rPr>
            </w:pPr>
            <w:hyperlink w:anchor="page31">
              <w:r>
                <w:rPr>
                  <w:rFonts w:ascii="Arial" w:cs="Arial" w:eastAsia="Arial" w:hAnsi="Arial"/>
                  <w:sz w:val="18"/>
                  <w:szCs w:val="18"/>
                  <w:color w:val="0000EE"/>
                  <w:w w:val="88"/>
                </w:rPr>
                <w:t>13. Commitments and Contingencies</w:t>
              </w:r>
            </w:hyperlink>
          </w:p>
        </w:tc>
        <w:tc>
          <w:tcPr>
            <w:tcW w:w="7140" w:type="dxa"/>
            <w:vAlign w:val="bottom"/>
            <w:gridSpan w:val="19"/>
          </w:tcPr>
          <w:p>
            <w:pPr>
              <w:spacing w:after="0"/>
              <w:rPr>
                <w:sz w:val="21"/>
                <w:szCs w:val="21"/>
                <w:color w:val="auto"/>
              </w:rPr>
            </w:pPr>
          </w:p>
        </w:tc>
        <w:tc>
          <w:tcPr>
            <w:tcW w:w="1240" w:type="dxa"/>
            <w:vAlign w:val="bottom"/>
            <w:gridSpan w:val="4"/>
          </w:tcPr>
          <w:p>
            <w:pPr>
              <w:jc w:val="right"/>
              <w:ind w:right="20"/>
              <w:spacing w:after="0"/>
              <w:rPr>
                <w:rFonts w:ascii="Arial" w:cs="Arial" w:eastAsia="Arial" w:hAnsi="Arial"/>
                <w:sz w:val="18"/>
                <w:szCs w:val="18"/>
                <w:color w:val="0000EE"/>
              </w:rPr>
            </w:pPr>
            <w:hyperlink w:anchor="page31">
              <w:r>
                <w:rPr>
                  <w:rFonts w:ascii="Arial" w:cs="Arial" w:eastAsia="Arial" w:hAnsi="Arial"/>
                  <w:sz w:val="18"/>
                  <w:szCs w:val="18"/>
                  <w:color w:val="0000EE"/>
                </w:rPr>
                <w:t>31</w:t>
              </w:r>
            </w:hyperlink>
          </w:p>
        </w:tc>
      </w:tr>
      <w:tr>
        <w:trPr>
          <w:trHeight w:val="20"/>
        </w:trPr>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gridSpan w:val="3"/>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56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20" w:type="dxa"/>
            <w:vAlign w:val="bottom"/>
            <w:gridSpan w:val="3"/>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gridSpan w:val="3"/>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880" w:type="dxa"/>
            <w:vAlign w:val="bottom"/>
            <w:gridSpan w:val="7"/>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760" w:type="dxa"/>
            <w:vAlign w:val="bottom"/>
            <w:gridSpan w:val="4"/>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1060" w:type="dxa"/>
            <w:vAlign w:val="bottom"/>
            <w:tcBorders>
              <w:right w:val="single" w:sz="8" w:color="0000EE"/>
            </w:tcBorders>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660" w:type="dxa"/>
            <w:vAlign w:val="bottom"/>
            <w:gridSpan w:val="14"/>
          </w:tcPr>
          <w:p>
            <w:pPr>
              <w:spacing w:after="0"/>
              <w:rPr>
                <w:rFonts w:ascii="Arial" w:cs="Arial" w:eastAsia="Arial" w:hAnsi="Arial"/>
                <w:sz w:val="18"/>
                <w:szCs w:val="18"/>
                <w:color w:val="0000EE"/>
              </w:rPr>
            </w:pPr>
            <w:hyperlink w:anchor="page35">
              <w:r>
                <w:rPr>
                  <w:rFonts w:ascii="Arial" w:cs="Arial" w:eastAsia="Arial" w:hAnsi="Arial"/>
                  <w:sz w:val="18"/>
                  <w:szCs w:val="18"/>
                  <w:color w:val="0000EE"/>
                </w:rPr>
                <w:t>14. Operating Segments</w:t>
              </w:r>
            </w:hyperlink>
          </w:p>
        </w:tc>
        <w:tc>
          <w:tcPr>
            <w:tcW w:w="7140" w:type="dxa"/>
            <w:vAlign w:val="bottom"/>
            <w:gridSpan w:val="19"/>
          </w:tcPr>
          <w:p>
            <w:pPr>
              <w:spacing w:after="0"/>
              <w:rPr>
                <w:sz w:val="21"/>
                <w:szCs w:val="21"/>
                <w:color w:val="auto"/>
              </w:rPr>
            </w:pPr>
          </w:p>
        </w:tc>
        <w:tc>
          <w:tcPr>
            <w:tcW w:w="1240" w:type="dxa"/>
            <w:vAlign w:val="bottom"/>
            <w:gridSpan w:val="4"/>
          </w:tcPr>
          <w:p>
            <w:pPr>
              <w:jc w:val="right"/>
              <w:ind w:right="20"/>
              <w:spacing w:after="0"/>
              <w:rPr>
                <w:rFonts w:ascii="Arial" w:cs="Arial" w:eastAsia="Arial" w:hAnsi="Arial"/>
                <w:sz w:val="18"/>
                <w:szCs w:val="18"/>
                <w:color w:val="0000EE"/>
              </w:rPr>
            </w:pPr>
            <w:hyperlink w:anchor="page35">
              <w:r>
                <w:rPr>
                  <w:rFonts w:ascii="Arial" w:cs="Arial" w:eastAsia="Arial" w:hAnsi="Arial"/>
                  <w:sz w:val="18"/>
                  <w:szCs w:val="18"/>
                  <w:color w:val="0000EE"/>
                </w:rPr>
                <w:t>35</w:t>
              </w:r>
            </w:hyperlink>
          </w:p>
        </w:tc>
      </w:tr>
      <w:tr>
        <w:trPr>
          <w:trHeight w:val="20"/>
        </w:trPr>
        <w:tc>
          <w:tcPr>
            <w:tcW w:w="340" w:type="dxa"/>
            <w:vAlign w:val="bottom"/>
            <w:gridSpan w:val="2"/>
          </w:tcPr>
          <w:p>
            <w:pPr>
              <w:spacing w:after="0" w:line="20" w:lineRule="exact"/>
              <w:rPr>
                <w:sz w:val="1"/>
                <w:szCs w:val="1"/>
                <w:color w:val="auto"/>
              </w:rPr>
            </w:pPr>
          </w:p>
        </w:tc>
        <w:tc>
          <w:tcPr>
            <w:tcW w:w="760" w:type="dxa"/>
            <w:vAlign w:val="bottom"/>
            <w:gridSpan w:val="3"/>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56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880" w:type="dxa"/>
            <w:vAlign w:val="bottom"/>
            <w:gridSpan w:val="7"/>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760" w:type="dxa"/>
            <w:vAlign w:val="bottom"/>
            <w:gridSpan w:val="4"/>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1060" w:type="dxa"/>
            <w:vAlign w:val="bottom"/>
            <w:tcBorders>
              <w:right w:val="single" w:sz="8" w:color="0000EE"/>
            </w:tcBorders>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20"/>
        </w:trPr>
        <w:tc>
          <w:tcPr>
            <w:tcW w:w="10140" w:type="dxa"/>
            <w:vAlign w:val="bottom"/>
            <w:gridSpan w:val="35"/>
          </w:tcPr>
          <w:p>
            <w:pPr>
              <w:spacing w:after="0"/>
              <w:rPr>
                <w:rFonts w:ascii="Arial" w:cs="Arial" w:eastAsia="Arial" w:hAnsi="Arial"/>
                <w:sz w:val="18"/>
                <w:szCs w:val="18"/>
                <w:color w:val="0000EE"/>
              </w:rPr>
            </w:pPr>
            <w:hyperlink w:anchor="page39">
              <w:r>
                <w:rPr>
                  <w:rFonts w:ascii="Arial" w:cs="Arial" w:eastAsia="Arial" w:hAnsi="Arial"/>
                  <w:sz w:val="18"/>
                  <w:szCs w:val="18"/>
                  <w:color w:val="0000EE"/>
                </w:rPr>
                <w:t>Item 2. MANAGEMENT’S DISCUSSION AND ANALYSIS OF FINANCIAL CONDITION AND RESULTS OF OPERATIONS</w:t>
              </w:r>
            </w:hyperlink>
          </w:p>
        </w:tc>
        <w:tc>
          <w:tcPr>
            <w:tcW w:w="1240" w:type="dxa"/>
            <w:vAlign w:val="bottom"/>
            <w:gridSpan w:val="4"/>
          </w:tcPr>
          <w:p>
            <w:pPr>
              <w:jc w:val="right"/>
              <w:ind w:right="20"/>
              <w:spacing w:after="0"/>
              <w:rPr>
                <w:rFonts w:ascii="Arial" w:cs="Arial" w:eastAsia="Arial" w:hAnsi="Arial"/>
                <w:sz w:val="18"/>
                <w:szCs w:val="18"/>
                <w:color w:val="0000EE"/>
              </w:rPr>
            </w:pPr>
            <w:hyperlink w:anchor="page39">
              <w:r>
                <w:rPr>
                  <w:rFonts w:ascii="Arial" w:cs="Arial" w:eastAsia="Arial" w:hAnsi="Arial"/>
                  <w:sz w:val="18"/>
                  <w:szCs w:val="18"/>
                  <w:color w:val="0000EE"/>
                </w:rPr>
                <w:t>39</w:t>
              </w:r>
            </w:hyperlink>
          </w:p>
        </w:tc>
      </w:tr>
      <w:tr>
        <w:trPr>
          <w:trHeight w:val="20"/>
        </w:trPr>
        <w:tc>
          <w:tcPr>
            <w:tcW w:w="1100" w:type="dxa"/>
            <w:vAlign w:val="bottom"/>
            <w:gridSpan w:val="5"/>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560" w:type="dxa"/>
            <w:vAlign w:val="bottom"/>
            <w:tcBorders>
              <w:left w:val="single" w:sz="8" w:color="0000EE"/>
            </w:tcBorders>
            <w:shd w:val="clear" w:color="auto" w:fill="0000EE"/>
          </w:tcPr>
          <w:p>
            <w:pPr>
              <w:spacing w:after="0" w:line="20" w:lineRule="exact"/>
              <w:rPr>
                <w:sz w:val="1"/>
                <w:szCs w:val="1"/>
                <w:color w:val="auto"/>
              </w:rPr>
            </w:pPr>
          </w:p>
        </w:tc>
        <w:tc>
          <w:tcPr>
            <w:tcW w:w="50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20" w:type="dxa"/>
            <w:vAlign w:val="bottom"/>
            <w:gridSpan w:val="3"/>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80" w:type="dxa"/>
            <w:vAlign w:val="bottom"/>
            <w:tcBorders>
              <w:left w:val="single" w:sz="8" w:color="0000EE"/>
              <w:right w:val="single" w:sz="8" w:color="0000EE"/>
            </w:tcBorders>
            <w:gridSpan w:val="3"/>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2880" w:type="dxa"/>
            <w:vAlign w:val="bottom"/>
            <w:gridSpan w:val="7"/>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760" w:type="dxa"/>
            <w:vAlign w:val="bottom"/>
            <w:gridSpan w:val="4"/>
            <w:shd w:val="clear" w:color="auto" w:fill="0000EE"/>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1060" w:type="dxa"/>
            <w:vAlign w:val="bottom"/>
            <w:tcBorders>
              <w:right w:val="single" w:sz="8" w:color="0000EE"/>
            </w:tcBorders>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6700" w:type="dxa"/>
            <w:vAlign w:val="bottom"/>
            <w:gridSpan w:val="28"/>
          </w:tcPr>
          <w:p>
            <w:pPr>
              <w:spacing w:after="0"/>
              <w:rPr>
                <w:rFonts w:ascii="Arial" w:cs="Arial" w:eastAsia="Arial" w:hAnsi="Arial"/>
                <w:sz w:val="18"/>
                <w:szCs w:val="18"/>
                <w:color w:val="0000EE"/>
                <w:w w:val="97"/>
              </w:rPr>
            </w:pPr>
            <w:hyperlink w:anchor="page61">
              <w:r>
                <w:rPr>
                  <w:rFonts w:ascii="Arial" w:cs="Arial" w:eastAsia="Arial" w:hAnsi="Arial"/>
                  <w:sz w:val="18"/>
                  <w:szCs w:val="18"/>
                  <w:color w:val="0000EE"/>
                  <w:w w:val="97"/>
                </w:rPr>
                <w:t>Item 3. QUANTITATIVE AND QUALITATIVE DISCLOSURES ABOUT MARKET RISK</w:t>
              </w:r>
            </w:hyperlink>
          </w:p>
        </w:tc>
        <w:tc>
          <w:tcPr>
            <w:tcW w:w="2760" w:type="dxa"/>
            <w:vAlign w:val="bottom"/>
            <w:gridSpan w:val="4"/>
          </w:tcPr>
          <w:p>
            <w:pPr>
              <w:spacing w:after="0"/>
              <w:rPr>
                <w:sz w:val="21"/>
                <w:szCs w:val="21"/>
                <w:color w:val="auto"/>
              </w:rPr>
            </w:pPr>
          </w:p>
        </w:tc>
        <w:tc>
          <w:tcPr>
            <w:tcW w:w="680" w:type="dxa"/>
            <w:vAlign w:val="bottom"/>
            <w:gridSpan w:val="3"/>
          </w:tcPr>
          <w:p>
            <w:pPr>
              <w:spacing w:after="0"/>
              <w:rPr>
                <w:sz w:val="21"/>
                <w:szCs w:val="21"/>
                <w:color w:val="auto"/>
              </w:rPr>
            </w:pPr>
          </w:p>
        </w:tc>
        <w:tc>
          <w:tcPr>
            <w:tcW w:w="1240" w:type="dxa"/>
            <w:vAlign w:val="bottom"/>
            <w:gridSpan w:val="4"/>
          </w:tcPr>
          <w:p>
            <w:pPr>
              <w:jc w:val="right"/>
              <w:ind w:right="20"/>
              <w:spacing w:after="0"/>
              <w:rPr>
                <w:rFonts w:ascii="Arial" w:cs="Arial" w:eastAsia="Arial" w:hAnsi="Arial"/>
                <w:sz w:val="18"/>
                <w:szCs w:val="18"/>
                <w:color w:val="0000EE"/>
              </w:rPr>
            </w:pPr>
            <w:hyperlink w:anchor="page61">
              <w:r>
                <w:rPr>
                  <w:rFonts w:ascii="Arial" w:cs="Arial" w:eastAsia="Arial" w:hAnsi="Arial"/>
                  <w:sz w:val="18"/>
                  <w:szCs w:val="18"/>
                  <w:color w:val="0000EE"/>
                </w:rPr>
                <w:t>61</w:t>
              </w:r>
            </w:hyperlink>
          </w:p>
        </w:tc>
      </w:tr>
      <w:tr>
        <w:trPr>
          <w:trHeight w:val="20"/>
        </w:trPr>
        <w:tc>
          <w:tcPr>
            <w:tcW w:w="1100" w:type="dxa"/>
            <w:vAlign w:val="bottom"/>
            <w:gridSpan w:val="5"/>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560" w:type="dxa"/>
            <w:vAlign w:val="bottom"/>
            <w:tcBorders>
              <w:left w:val="single" w:sz="8" w:color="0000EE"/>
            </w:tcBorders>
            <w:shd w:val="clear" w:color="auto" w:fill="0000EE"/>
          </w:tcPr>
          <w:p>
            <w:pPr>
              <w:spacing w:after="0" w:line="20" w:lineRule="exact"/>
              <w:rPr>
                <w:sz w:val="1"/>
                <w:szCs w:val="1"/>
                <w:color w:val="auto"/>
              </w:rPr>
            </w:pPr>
          </w:p>
        </w:tc>
        <w:tc>
          <w:tcPr>
            <w:tcW w:w="50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20" w:type="dxa"/>
            <w:vAlign w:val="bottom"/>
            <w:gridSpan w:val="3"/>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80" w:type="dxa"/>
            <w:vAlign w:val="bottom"/>
            <w:tcBorders>
              <w:left w:val="single" w:sz="8" w:color="0000EE"/>
              <w:right w:val="single" w:sz="8" w:color="0000EE"/>
            </w:tcBorders>
            <w:gridSpan w:val="3"/>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2880" w:type="dxa"/>
            <w:vAlign w:val="bottom"/>
            <w:gridSpan w:val="7"/>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440" w:type="dxa"/>
            <w:vAlign w:val="bottom"/>
            <w:gridSpan w:val="7"/>
          </w:tcPr>
          <w:p>
            <w:pPr>
              <w:spacing w:after="0" w:line="20" w:lineRule="exact"/>
              <w:rPr>
                <w:sz w:val="1"/>
                <w:szCs w:val="1"/>
                <w:color w:val="auto"/>
              </w:rPr>
            </w:pPr>
          </w:p>
        </w:tc>
        <w:tc>
          <w:tcPr>
            <w:tcW w:w="1060" w:type="dxa"/>
            <w:vAlign w:val="bottom"/>
            <w:tcBorders>
              <w:right w:val="single" w:sz="8" w:color="0000EE"/>
            </w:tcBorders>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3180" w:type="dxa"/>
            <w:vAlign w:val="bottom"/>
            <w:gridSpan w:val="19"/>
          </w:tcPr>
          <w:p>
            <w:pPr>
              <w:spacing w:after="0"/>
              <w:rPr>
                <w:rFonts w:ascii="Arial" w:cs="Arial" w:eastAsia="Arial" w:hAnsi="Arial"/>
                <w:sz w:val="18"/>
                <w:szCs w:val="18"/>
                <w:color w:val="0000EE"/>
                <w:w w:val="93"/>
              </w:rPr>
            </w:pPr>
            <w:hyperlink w:anchor="page62">
              <w:r>
                <w:rPr>
                  <w:rFonts w:ascii="Arial" w:cs="Arial" w:eastAsia="Arial" w:hAnsi="Arial"/>
                  <w:sz w:val="18"/>
                  <w:szCs w:val="18"/>
                  <w:color w:val="0000EE"/>
                  <w:w w:val="93"/>
                </w:rPr>
                <w:t>Item 4. CONTROLS AND PROCEDURES</w:t>
              </w:r>
            </w:hyperlink>
          </w:p>
        </w:tc>
        <w:tc>
          <w:tcPr>
            <w:tcW w:w="3520" w:type="dxa"/>
            <w:vAlign w:val="bottom"/>
            <w:gridSpan w:val="9"/>
          </w:tcPr>
          <w:p>
            <w:pPr>
              <w:spacing w:after="0"/>
              <w:rPr>
                <w:sz w:val="21"/>
                <w:szCs w:val="21"/>
                <w:color w:val="auto"/>
              </w:rPr>
            </w:pPr>
          </w:p>
        </w:tc>
        <w:tc>
          <w:tcPr>
            <w:tcW w:w="3440" w:type="dxa"/>
            <w:vAlign w:val="bottom"/>
            <w:gridSpan w:val="7"/>
          </w:tcPr>
          <w:p>
            <w:pPr>
              <w:spacing w:after="0"/>
              <w:rPr>
                <w:sz w:val="21"/>
                <w:szCs w:val="21"/>
                <w:color w:val="auto"/>
              </w:rPr>
            </w:pPr>
          </w:p>
        </w:tc>
        <w:tc>
          <w:tcPr>
            <w:tcW w:w="1240" w:type="dxa"/>
            <w:vAlign w:val="bottom"/>
            <w:gridSpan w:val="4"/>
          </w:tcPr>
          <w:p>
            <w:pPr>
              <w:jc w:val="right"/>
              <w:ind w:right="20"/>
              <w:spacing w:after="0"/>
              <w:rPr>
                <w:rFonts w:ascii="Arial" w:cs="Arial" w:eastAsia="Arial" w:hAnsi="Arial"/>
                <w:sz w:val="18"/>
                <w:szCs w:val="18"/>
                <w:color w:val="0000EE"/>
              </w:rPr>
            </w:pPr>
            <w:hyperlink w:anchor="page62">
              <w:r>
                <w:rPr>
                  <w:rFonts w:ascii="Arial" w:cs="Arial" w:eastAsia="Arial" w:hAnsi="Arial"/>
                  <w:sz w:val="18"/>
                  <w:szCs w:val="18"/>
                  <w:color w:val="0000EE"/>
                </w:rPr>
                <w:t>62</w:t>
              </w:r>
            </w:hyperlink>
          </w:p>
        </w:tc>
      </w:tr>
      <w:tr>
        <w:trPr>
          <w:trHeight w:val="520"/>
        </w:trPr>
        <w:tc>
          <w:tcPr>
            <w:tcW w:w="2760" w:type="dxa"/>
            <w:vAlign w:val="bottom"/>
            <w:tcBorders>
              <w:top w:val="single" w:sz="8" w:color="0000EE"/>
              <w:bottom w:val="single" w:sz="8" w:color="0000EE"/>
            </w:tcBorders>
            <w:gridSpan w:val="15"/>
          </w:tcPr>
          <w:p>
            <w:pPr>
              <w:spacing w:after="0"/>
              <w:rPr>
                <w:rFonts w:ascii="Arial" w:cs="Arial" w:eastAsia="Arial" w:hAnsi="Arial"/>
                <w:sz w:val="18"/>
                <w:szCs w:val="18"/>
                <w:b w:val="1"/>
                <w:bCs w:val="1"/>
                <w:color w:val="0000EE"/>
              </w:rPr>
            </w:pPr>
            <w:hyperlink w:anchor="page64">
              <w:r>
                <w:rPr>
                  <w:rFonts w:ascii="Arial" w:cs="Arial" w:eastAsia="Arial" w:hAnsi="Arial"/>
                  <w:sz w:val="18"/>
                  <w:szCs w:val="18"/>
                  <w:b w:val="1"/>
                  <w:bCs w:val="1"/>
                  <w:color w:val="0000EE"/>
                </w:rPr>
                <w:t>PART II. OTHER INFORMATION</w:t>
              </w:r>
            </w:hyperlink>
          </w:p>
        </w:tc>
        <w:tc>
          <w:tcPr>
            <w:tcW w:w="420" w:type="dxa"/>
            <w:vAlign w:val="bottom"/>
            <w:tcBorders>
              <w:top w:val="single" w:sz="8" w:color="0000EE"/>
            </w:tcBorders>
            <w:gridSpan w:val="4"/>
          </w:tcPr>
          <w:p>
            <w:pPr>
              <w:spacing w:after="0"/>
              <w:rPr>
                <w:sz w:val="24"/>
                <w:szCs w:val="24"/>
                <w:color w:val="auto"/>
              </w:rPr>
            </w:pPr>
          </w:p>
        </w:tc>
        <w:tc>
          <w:tcPr>
            <w:tcW w:w="6960" w:type="dxa"/>
            <w:vAlign w:val="bottom"/>
            <w:gridSpan w:val="16"/>
          </w:tcPr>
          <w:p>
            <w:pPr>
              <w:spacing w:after="0"/>
              <w:rPr>
                <w:sz w:val="24"/>
                <w:szCs w:val="24"/>
                <w:color w:val="auto"/>
              </w:rPr>
            </w:pPr>
          </w:p>
        </w:tc>
        <w:tc>
          <w:tcPr>
            <w:tcW w:w="1060" w:type="dxa"/>
            <w:vAlign w:val="bottom"/>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r>
      <w:tr>
        <w:trPr>
          <w:trHeight w:val="250"/>
        </w:trPr>
        <w:tc>
          <w:tcPr>
            <w:tcW w:w="10140" w:type="dxa"/>
            <w:vAlign w:val="bottom"/>
            <w:gridSpan w:val="35"/>
          </w:tcPr>
          <w:p>
            <w:pPr>
              <w:spacing w:after="0"/>
              <w:rPr>
                <w:rFonts w:ascii="Arial" w:cs="Arial" w:eastAsia="Arial" w:hAnsi="Arial"/>
                <w:sz w:val="18"/>
                <w:szCs w:val="18"/>
                <w:color w:val="0000EE"/>
              </w:rPr>
            </w:pPr>
            <w:hyperlink w:anchor="page64">
              <w:r>
                <w:rPr>
                  <w:rFonts w:ascii="Arial" w:cs="Arial" w:eastAsia="Arial" w:hAnsi="Arial"/>
                  <w:sz w:val="18"/>
                  <w:szCs w:val="18"/>
                  <w:color w:val="0000EE"/>
                </w:rPr>
                <w:t>Item 1. LEGAL PROCEEDINGS</w:t>
              </w:r>
            </w:hyperlink>
          </w:p>
        </w:tc>
        <w:tc>
          <w:tcPr>
            <w:tcW w:w="1240" w:type="dxa"/>
            <w:vAlign w:val="bottom"/>
            <w:gridSpan w:val="4"/>
          </w:tcPr>
          <w:p>
            <w:pPr>
              <w:jc w:val="right"/>
              <w:ind w:right="20"/>
              <w:spacing w:after="0"/>
              <w:rPr>
                <w:rFonts w:ascii="Arial" w:cs="Arial" w:eastAsia="Arial" w:hAnsi="Arial"/>
                <w:sz w:val="18"/>
                <w:szCs w:val="18"/>
                <w:color w:val="0000EE"/>
              </w:rPr>
            </w:pPr>
            <w:hyperlink w:anchor="page64">
              <w:r>
                <w:rPr>
                  <w:rFonts w:ascii="Arial" w:cs="Arial" w:eastAsia="Arial" w:hAnsi="Arial"/>
                  <w:sz w:val="18"/>
                  <w:szCs w:val="18"/>
                  <w:color w:val="0000EE"/>
                </w:rPr>
                <w:t>64</w:t>
              </w:r>
            </w:hyperlink>
          </w:p>
        </w:tc>
      </w:tr>
      <w:tr>
        <w:trPr>
          <w:trHeight w:val="20"/>
        </w:trPr>
        <w:tc>
          <w:tcPr>
            <w:tcW w:w="1100" w:type="dxa"/>
            <w:vAlign w:val="bottom"/>
            <w:gridSpan w:val="5"/>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560" w:type="dxa"/>
            <w:vAlign w:val="bottom"/>
            <w:tcBorders>
              <w:left w:val="single" w:sz="8" w:color="0000EE"/>
            </w:tcBorders>
            <w:shd w:val="clear" w:color="auto" w:fill="0000EE"/>
          </w:tcPr>
          <w:p>
            <w:pPr>
              <w:spacing w:after="0" w:line="20" w:lineRule="exact"/>
              <w:rPr>
                <w:sz w:val="1"/>
                <w:szCs w:val="1"/>
                <w:color w:val="auto"/>
              </w:rPr>
            </w:pPr>
          </w:p>
        </w:tc>
        <w:tc>
          <w:tcPr>
            <w:tcW w:w="500" w:type="dxa"/>
            <w:vAlign w:val="bottom"/>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gridSpan w:val="4"/>
          </w:tcPr>
          <w:p>
            <w:pPr>
              <w:spacing w:after="0" w:line="20" w:lineRule="exact"/>
              <w:rPr>
                <w:sz w:val="1"/>
                <w:szCs w:val="1"/>
                <w:color w:val="auto"/>
              </w:rPr>
            </w:pPr>
          </w:p>
        </w:tc>
        <w:tc>
          <w:tcPr>
            <w:tcW w:w="740" w:type="dxa"/>
            <w:vAlign w:val="bottom"/>
            <w:gridSpan w:val="4"/>
          </w:tcPr>
          <w:p>
            <w:pPr>
              <w:spacing w:after="0" w:line="20" w:lineRule="exact"/>
              <w:rPr>
                <w:sz w:val="1"/>
                <w:szCs w:val="1"/>
                <w:color w:val="auto"/>
              </w:rPr>
            </w:pPr>
          </w:p>
        </w:tc>
        <w:tc>
          <w:tcPr>
            <w:tcW w:w="2880" w:type="dxa"/>
            <w:vAlign w:val="bottom"/>
            <w:gridSpan w:val="7"/>
          </w:tcPr>
          <w:p>
            <w:pPr>
              <w:spacing w:after="0" w:line="20" w:lineRule="exact"/>
              <w:rPr>
                <w:sz w:val="1"/>
                <w:szCs w:val="1"/>
                <w:color w:val="auto"/>
              </w:rPr>
            </w:pPr>
          </w:p>
        </w:tc>
        <w:tc>
          <w:tcPr>
            <w:tcW w:w="3520" w:type="dxa"/>
            <w:vAlign w:val="bottom"/>
            <w:gridSpan w:val="8"/>
          </w:tcPr>
          <w:p>
            <w:pPr>
              <w:spacing w:after="0" w:line="20" w:lineRule="exact"/>
              <w:rPr>
                <w:sz w:val="1"/>
                <w:szCs w:val="1"/>
                <w:color w:val="auto"/>
              </w:rPr>
            </w:pPr>
          </w:p>
        </w:tc>
        <w:tc>
          <w:tcPr>
            <w:tcW w:w="1060" w:type="dxa"/>
            <w:vAlign w:val="bottom"/>
            <w:tcBorders>
              <w:right w:val="single" w:sz="8" w:color="0000EE"/>
            </w:tcBorders>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2420" w:type="dxa"/>
            <w:vAlign w:val="bottom"/>
            <w:gridSpan w:val="11"/>
          </w:tcPr>
          <w:p>
            <w:pPr>
              <w:spacing w:after="0"/>
              <w:rPr>
                <w:rFonts w:ascii="Arial" w:cs="Arial" w:eastAsia="Arial" w:hAnsi="Arial"/>
                <w:sz w:val="18"/>
                <w:szCs w:val="18"/>
                <w:color w:val="0000EE"/>
              </w:rPr>
            </w:pPr>
            <w:hyperlink w:anchor="page64">
              <w:r>
                <w:rPr>
                  <w:rFonts w:ascii="Arial" w:cs="Arial" w:eastAsia="Arial" w:hAnsi="Arial"/>
                  <w:sz w:val="18"/>
                  <w:szCs w:val="18"/>
                  <w:color w:val="0000EE"/>
                </w:rPr>
                <w:t>Item 1A. RISK FACTORS</w:t>
              </w:r>
            </w:hyperlink>
          </w:p>
        </w:tc>
        <w:tc>
          <w:tcPr>
            <w:tcW w:w="7720" w:type="dxa"/>
            <w:vAlign w:val="bottom"/>
            <w:gridSpan w:val="24"/>
          </w:tcPr>
          <w:p>
            <w:pPr>
              <w:spacing w:after="0"/>
              <w:rPr>
                <w:sz w:val="21"/>
                <w:szCs w:val="21"/>
                <w:color w:val="auto"/>
              </w:rPr>
            </w:pPr>
          </w:p>
        </w:tc>
        <w:tc>
          <w:tcPr>
            <w:tcW w:w="1240" w:type="dxa"/>
            <w:vAlign w:val="bottom"/>
            <w:gridSpan w:val="4"/>
          </w:tcPr>
          <w:p>
            <w:pPr>
              <w:jc w:val="right"/>
              <w:ind w:right="20"/>
              <w:spacing w:after="0"/>
              <w:rPr>
                <w:rFonts w:ascii="Arial" w:cs="Arial" w:eastAsia="Arial" w:hAnsi="Arial"/>
                <w:sz w:val="18"/>
                <w:szCs w:val="18"/>
                <w:color w:val="0000EE"/>
              </w:rPr>
            </w:pPr>
            <w:hyperlink w:anchor="page64">
              <w:r>
                <w:rPr>
                  <w:rFonts w:ascii="Arial" w:cs="Arial" w:eastAsia="Arial" w:hAnsi="Arial"/>
                  <w:sz w:val="18"/>
                  <w:szCs w:val="18"/>
                  <w:color w:val="0000EE"/>
                </w:rPr>
                <w:t>64</w:t>
              </w:r>
            </w:hyperlink>
          </w:p>
        </w:tc>
      </w:tr>
      <w:tr>
        <w:trPr>
          <w:trHeight w:val="20"/>
        </w:trPr>
        <w:tc>
          <w:tcPr>
            <w:tcW w:w="1100" w:type="dxa"/>
            <w:vAlign w:val="bottom"/>
            <w:gridSpan w:val="5"/>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560" w:type="dxa"/>
            <w:vAlign w:val="bottom"/>
            <w:tcBorders>
              <w:left w:val="single" w:sz="8" w:color="0000EE"/>
            </w:tcBorders>
            <w:shd w:val="clear" w:color="auto" w:fill="0000EE"/>
          </w:tcPr>
          <w:p>
            <w:pPr>
              <w:spacing w:after="0" w:line="20" w:lineRule="exact"/>
              <w:rPr>
                <w:sz w:val="1"/>
                <w:szCs w:val="1"/>
                <w:color w:val="auto"/>
              </w:rPr>
            </w:pPr>
          </w:p>
        </w:tc>
        <w:tc>
          <w:tcPr>
            <w:tcW w:w="520" w:type="dxa"/>
            <w:vAlign w:val="bottom"/>
            <w:gridSpan w:val="4"/>
          </w:tcPr>
          <w:p>
            <w:pPr>
              <w:spacing w:after="0" w:line="20" w:lineRule="exact"/>
              <w:rPr>
                <w:sz w:val="1"/>
                <w:szCs w:val="1"/>
                <w:color w:val="auto"/>
              </w:rPr>
            </w:pPr>
          </w:p>
        </w:tc>
        <w:tc>
          <w:tcPr>
            <w:tcW w:w="560" w:type="dxa"/>
            <w:vAlign w:val="bottom"/>
            <w:gridSpan w:val="4"/>
          </w:tcPr>
          <w:p>
            <w:pPr>
              <w:spacing w:after="0" w:line="20" w:lineRule="exact"/>
              <w:rPr>
                <w:sz w:val="1"/>
                <w:szCs w:val="1"/>
                <w:color w:val="auto"/>
              </w:rPr>
            </w:pPr>
          </w:p>
        </w:tc>
        <w:tc>
          <w:tcPr>
            <w:tcW w:w="740" w:type="dxa"/>
            <w:vAlign w:val="bottom"/>
            <w:gridSpan w:val="4"/>
          </w:tcPr>
          <w:p>
            <w:pPr>
              <w:spacing w:after="0" w:line="20" w:lineRule="exact"/>
              <w:rPr>
                <w:sz w:val="1"/>
                <w:szCs w:val="1"/>
                <w:color w:val="auto"/>
              </w:rPr>
            </w:pPr>
          </w:p>
        </w:tc>
        <w:tc>
          <w:tcPr>
            <w:tcW w:w="2880" w:type="dxa"/>
            <w:vAlign w:val="bottom"/>
            <w:gridSpan w:val="7"/>
          </w:tcPr>
          <w:p>
            <w:pPr>
              <w:spacing w:after="0" w:line="20" w:lineRule="exact"/>
              <w:rPr>
                <w:sz w:val="1"/>
                <w:szCs w:val="1"/>
                <w:color w:val="auto"/>
              </w:rPr>
            </w:pPr>
          </w:p>
        </w:tc>
        <w:tc>
          <w:tcPr>
            <w:tcW w:w="3520" w:type="dxa"/>
            <w:vAlign w:val="bottom"/>
            <w:gridSpan w:val="8"/>
          </w:tcPr>
          <w:p>
            <w:pPr>
              <w:spacing w:after="0" w:line="20" w:lineRule="exact"/>
              <w:rPr>
                <w:sz w:val="1"/>
                <w:szCs w:val="1"/>
                <w:color w:val="auto"/>
              </w:rPr>
            </w:pPr>
          </w:p>
        </w:tc>
        <w:tc>
          <w:tcPr>
            <w:tcW w:w="1060" w:type="dxa"/>
            <w:vAlign w:val="bottom"/>
            <w:tcBorders>
              <w:right w:val="single" w:sz="8" w:color="0000EE"/>
            </w:tcBorders>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0140" w:type="dxa"/>
            <w:vAlign w:val="bottom"/>
            <w:gridSpan w:val="35"/>
          </w:tcPr>
          <w:p>
            <w:pPr>
              <w:spacing w:after="0"/>
              <w:rPr>
                <w:rFonts w:ascii="Arial" w:cs="Arial" w:eastAsia="Arial" w:hAnsi="Arial"/>
                <w:sz w:val="18"/>
                <w:szCs w:val="18"/>
                <w:color w:val="0000EE"/>
              </w:rPr>
            </w:pPr>
            <w:hyperlink w:anchor="page64">
              <w:r>
                <w:rPr>
                  <w:rFonts w:ascii="Arial" w:cs="Arial" w:eastAsia="Arial" w:hAnsi="Arial"/>
                  <w:sz w:val="18"/>
                  <w:szCs w:val="18"/>
                  <w:color w:val="0000EE"/>
                </w:rPr>
                <w:t>Item 2. UNREGISTERED SALES OF EQUITY SECURITIES AND USE OF PROCEEDS</w:t>
              </w:r>
            </w:hyperlink>
          </w:p>
        </w:tc>
        <w:tc>
          <w:tcPr>
            <w:tcW w:w="1240" w:type="dxa"/>
            <w:vAlign w:val="bottom"/>
            <w:gridSpan w:val="4"/>
          </w:tcPr>
          <w:p>
            <w:pPr>
              <w:jc w:val="right"/>
              <w:ind w:right="20"/>
              <w:spacing w:after="0"/>
              <w:rPr>
                <w:rFonts w:ascii="Arial" w:cs="Arial" w:eastAsia="Arial" w:hAnsi="Arial"/>
                <w:sz w:val="18"/>
                <w:szCs w:val="18"/>
                <w:color w:val="0000EE"/>
              </w:rPr>
            </w:pPr>
            <w:hyperlink w:anchor="page64">
              <w:r>
                <w:rPr>
                  <w:rFonts w:ascii="Arial" w:cs="Arial" w:eastAsia="Arial" w:hAnsi="Arial"/>
                  <w:sz w:val="18"/>
                  <w:szCs w:val="18"/>
                  <w:color w:val="0000EE"/>
                </w:rPr>
                <w:t>64</w:t>
              </w:r>
            </w:hyperlink>
          </w:p>
        </w:tc>
      </w:tr>
      <w:tr>
        <w:trPr>
          <w:trHeight w:val="20"/>
        </w:trPr>
        <w:tc>
          <w:tcPr>
            <w:tcW w:w="1100" w:type="dxa"/>
            <w:vAlign w:val="bottom"/>
            <w:gridSpan w:val="5"/>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080" w:type="dxa"/>
            <w:vAlign w:val="bottom"/>
            <w:tcBorders>
              <w:left w:val="single" w:sz="8" w:color="0000EE"/>
            </w:tcBorders>
            <w:gridSpan w:val="5"/>
            <w:shd w:val="clear" w:color="auto" w:fill="0000EE"/>
          </w:tcPr>
          <w:p>
            <w:pPr>
              <w:spacing w:after="0" w:line="20" w:lineRule="exact"/>
              <w:rPr>
                <w:sz w:val="1"/>
                <w:szCs w:val="1"/>
                <w:color w:val="auto"/>
              </w:rPr>
            </w:pPr>
          </w:p>
        </w:tc>
        <w:tc>
          <w:tcPr>
            <w:tcW w:w="560" w:type="dxa"/>
            <w:vAlign w:val="bottom"/>
            <w:gridSpan w:val="4"/>
            <w:shd w:val="clear" w:color="auto" w:fill="0000EE"/>
          </w:tcPr>
          <w:p>
            <w:pPr>
              <w:spacing w:after="0" w:line="20" w:lineRule="exact"/>
              <w:rPr>
                <w:sz w:val="1"/>
                <w:szCs w:val="1"/>
                <w:color w:val="auto"/>
              </w:rPr>
            </w:pPr>
          </w:p>
        </w:tc>
        <w:tc>
          <w:tcPr>
            <w:tcW w:w="740" w:type="dxa"/>
            <w:vAlign w:val="bottom"/>
            <w:tcBorders>
              <w:left w:val="single" w:sz="8" w:color="0000EE"/>
            </w:tcBorders>
            <w:gridSpan w:val="4"/>
            <w:shd w:val="clear" w:color="auto" w:fill="0000EE"/>
          </w:tcPr>
          <w:p>
            <w:pPr>
              <w:spacing w:after="0" w:line="20" w:lineRule="exact"/>
              <w:rPr>
                <w:sz w:val="1"/>
                <w:szCs w:val="1"/>
                <w:color w:val="auto"/>
              </w:rPr>
            </w:pPr>
          </w:p>
        </w:tc>
        <w:tc>
          <w:tcPr>
            <w:tcW w:w="2880" w:type="dxa"/>
            <w:vAlign w:val="bottom"/>
            <w:gridSpan w:val="7"/>
            <w:shd w:val="clear" w:color="auto" w:fill="0000EE"/>
          </w:tcPr>
          <w:p>
            <w:pPr>
              <w:spacing w:after="0" w:line="20" w:lineRule="exact"/>
              <w:rPr>
                <w:sz w:val="1"/>
                <w:szCs w:val="1"/>
                <w:color w:val="auto"/>
              </w:rPr>
            </w:pPr>
          </w:p>
        </w:tc>
        <w:tc>
          <w:tcPr>
            <w:tcW w:w="3520" w:type="dxa"/>
            <w:vAlign w:val="bottom"/>
            <w:gridSpan w:val="8"/>
          </w:tcPr>
          <w:p>
            <w:pPr>
              <w:spacing w:after="0" w:line="20" w:lineRule="exact"/>
              <w:rPr>
                <w:sz w:val="1"/>
                <w:szCs w:val="1"/>
                <w:color w:val="auto"/>
              </w:rPr>
            </w:pPr>
          </w:p>
        </w:tc>
        <w:tc>
          <w:tcPr>
            <w:tcW w:w="1060" w:type="dxa"/>
            <w:vAlign w:val="bottom"/>
            <w:tcBorders>
              <w:right w:val="single" w:sz="8" w:color="0000EE"/>
            </w:tcBorders>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3740" w:type="dxa"/>
            <w:vAlign w:val="bottom"/>
            <w:gridSpan w:val="20"/>
          </w:tcPr>
          <w:p>
            <w:pPr>
              <w:spacing w:after="0"/>
              <w:rPr>
                <w:rFonts w:ascii="Arial" w:cs="Arial" w:eastAsia="Arial" w:hAnsi="Arial"/>
                <w:sz w:val="18"/>
                <w:szCs w:val="18"/>
                <w:color w:val="0000EE"/>
                <w:w w:val="93"/>
              </w:rPr>
            </w:pPr>
            <w:hyperlink w:anchor="page64">
              <w:r>
                <w:rPr>
                  <w:rFonts w:ascii="Arial" w:cs="Arial" w:eastAsia="Arial" w:hAnsi="Arial"/>
                  <w:sz w:val="18"/>
                  <w:szCs w:val="18"/>
                  <w:color w:val="0000EE"/>
                  <w:w w:val="93"/>
                </w:rPr>
                <w:t>Item 3. DEFAULTS UPON SENIOR SECURITIES</w:t>
              </w:r>
            </w:hyperlink>
          </w:p>
        </w:tc>
        <w:tc>
          <w:tcPr>
            <w:tcW w:w="2880" w:type="dxa"/>
            <w:vAlign w:val="bottom"/>
            <w:gridSpan w:val="7"/>
          </w:tcPr>
          <w:p>
            <w:pPr>
              <w:spacing w:after="0"/>
              <w:rPr>
                <w:sz w:val="21"/>
                <w:szCs w:val="21"/>
                <w:color w:val="auto"/>
              </w:rPr>
            </w:pPr>
          </w:p>
        </w:tc>
        <w:tc>
          <w:tcPr>
            <w:tcW w:w="3520" w:type="dxa"/>
            <w:vAlign w:val="bottom"/>
            <w:gridSpan w:val="8"/>
          </w:tcPr>
          <w:p>
            <w:pPr>
              <w:spacing w:after="0"/>
              <w:rPr>
                <w:sz w:val="21"/>
                <w:szCs w:val="21"/>
                <w:color w:val="auto"/>
              </w:rPr>
            </w:pPr>
          </w:p>
        </w:tc>
        <w:tc>
          <w:tcPr>
            <w:tcW w:w="1240" w:type="dxa"/>
            <w:vAlign w:val="bottom"/>
            <w:gridSpan w:val="4"/>
          </w:tcPr>
          <w:p>
            <w:pPr>
              <w:jc w:val="right"/>
              <w:ind w:right="20"/>
              <w:spacing w:after="0"/>
              <w:rPr>
                <w:rFonts w:ascii="Arial" w:cs="Arial" w:eastAsia="Arial" w:hAnsi="Arial"/>
                <w:sz w:val="18"/>
                <w:szCs w:val="18"/>
                <w:color w:val="0000EE"/>
              </w:rPr>
            </w:pPr>
            <w:hyperlink w:anchor="page64">
              <w:r>
                <w:rPr>
                  <w:rFonts w:ascii="Arial" w:cs="Arial" w:eastAsia="Arial" w:hAnsi="Arial"/>
                  <w:sz w:val="18"/>
                  <w:szCs w:val="18"/>
                  <w:color w:val="0000EE"/>
                </w:rPr>
                <w:t>64</w:t>
              </w:r>
            </w:hyperlink>
          </w:p>
        </w:tc>
      </w:tr>
      <w:tr>
        <w:trPr>
          <w:trHeight w:val="20"/>
        </w:trPr>
        <w:tc>
          <w:tcPr>
            <w:tcW w:w="1100" w:type="dxa"/>
            <w:vAlign w:val="bottom"/>
            <w:gridSpan w:val="5"/>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080" w:type="dxa"/>
            <w:vAlign w:val="bottom"/>
            <w:tcBorders>
              <w:left w:val="single" w:sz="8" w:color="0000EE"/>
            </w:tcBorders>
            <w:gridSpan w:val="5"/>
            <w:shd w:val="clear" w:color="auto" w:fill="0000EE"/>
          </w:tcPr>
          <w:p>
            <w:pPr>
              <w:spacing w:after="0" w:line="20" w:lineRule="exact"/>
              <w:rPr>
                <w:sz w:val="1"/>
                <w:szCs w:val="1"/>
                <w:color w:val="auto"/>
              </w:rPr>
            </w:pPr>
          </w:p>
        </w:tc>
        <w:tc>
          <w:tcPr>
            <w:tcW w:w="560" w:type="dxa"/>
            <w:vAlign w:val="bottom"/>
            <w:gridSpan w:val="4"/>
            <w:shd w:val="clear" w:color="auto" w:fill="0000EE"/>
          </w:tcPr>
          <w:p>
            <w:pPr>
              <w:spacing w:after="0" w:line="20" w:lineRule="exact"/>
              <w:rPr>
                <w:sz w:val="1"/>
                <w:szCs w:val="1"/>
                <w:color w:val="auto"/>
              </w:rPr>
            </w:pPr>
          </w:p>
        </w:tc>
        <w:tc>
          <w:tcPr>
            <w:tcW w:w="740" w:type="dxa"/>
            <w:vAlign w:val="bottom"/>
            <w:tcBorders>
              <w:left w:val="single" w:sz="8" w:color="0000EE"/>
            </w:tcBorders>
            <w:gridSpan w:val="4"/>
            <w:shd w:val="clear" w:color="auto" w:fill="0000EE"/>
          </w:tcPr>
          <w:p>
            <w:pPr>
              <w:spacing w:after="0" w:line="20" w:lineRule="exact"/>
              <w:rPr>
                <w:sz w:val="1"/>
                <w:szCs w:val="1"/>
                <w:color w:val="auto"/>
              </w:rPr>
            </w:pPr>
          </w:p>
        </w:tc>
        <w:tc>
          <w:tcPr>
            <w:tcW w:w="6400" w:type="dxa"/>
            <w:vAlign w:val="bottom"/>
            <w:gridSpan w:val="15"/>
          </w:tcPr>
          <w:p>
            <w:pPr>
              <w:spacing w:after="0" w:line="20" w:lineRule="exact"/>
              <w:rPr>
                <w:sz w:val="1"/>
                <w:szCs w:val="1"/>
                <w:color w:val="auto"/>
              </w:rPr>
            </w:pPr>
          </w:p>
        </w:tc>
        <w:tc>
          <w:tcPr>
            <w:tcW w:w="1060" w:type="dxa"/>
            <w:vAlign w:val="bottom"/>
            <w:tcBorders>
              <w:right w:val="single" w:sz="8" w:color="0000EE"/>
            </w:tcBorders>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3000" w:type="dxa"/>
            <w:vAlign w:val="bottom"/>
            <w:gridSpan w:val="16"/>
          </w:tcPr>
          <w:p>
            <w:pPr>
              <w:spacing w:after="0"/>
              <w:rPr>
                <w:rFonts w:ascii="Arial" w:cs="Arial" w:eastAsia="Arial" w:hAnsi="Arial"/>
                <w:sz w:val="18"/>
                <w:szCs w:val="18"/>
                <w:color w:val="0000EE"/>
                <w:w w:val="94"/>
              </w:rPr>
            </w:pPr>
            <w:hyperlink w:anchor="page64">
              <w:r>
                <w:rPr>
                  <w:rFonts w:ascii="Arial" w:cs="Arial" w:eastAsia="Arial" w:hAnsi="Arial"/>
                  <w:sz w:val="18"/>
                  <w:szCs w:val="18"/>
                  <w:color w:val="0000EE"/>
                  <w:w w:val="94"/>
                </w:rPr>
                <w:t>Item 4. MINE SAFETY DISCLOSURES</w:t>
              </w:r>
            </w:hyperlink>
          </w:p>
        </w:tc>
        <w:tc>
          <w:tcPr>
            <w:tcW w:w="740" w:type="dxa"/>
            <w:vAlign w:val="bottom"/>
            <w:gridSpan w:val="4"/>
          </w:tcPr>
          <w:p>
            <w:pPr>
              <w:spacing w:after="0"/>
              <w:rPr>
                <w:sz w:val="21"/>
                <w:szCs w:val="21"/>
                <w:color w:val="auto"/>
              </w:rPr>
            </w:pPr>
          </w:p>
        </w:tc>
        <w:tc>
          <w:tcPr>
            <w:tcW w:w="6400" w:type="dxa"/>
            <w:vAlign w:val="bottom"/>
            <w:gridSpan w:val="15"/>
          </w:tcPr>
          <w:p>
            <w:pPr>
              <w:spacing w:after="0"/>
              <w:rPr>
                <w:sz w:val="21"/>
                <w:szCs w:val="21"/>
                <w:color w:val="auto"/>
              </w:rPr>
            </w:pPr>
          </w:p>
        </w:tc>
        <w:tc>
          <w:tcPr>
            <w:tcW w:w="1240" w:type="dxa"/>
            <w:vAlign w:val="bottom"/>
            <w:gridSpan w:val="4"/>
          </w:tcPr>
          <w:p>
            <w:pPr>
              <w:jc w:val="right"/>
              <w:ind w:right="20"/>
              <w:spacing w:after="0"/>
              <w:rPr>
                <w:rFonts w:ascii="Arial" w:cs="Arial" w:eastAsia="Arial" w:hAnsi="Arial"/>
                <w:sz w:val="18"/>
                <w:szCs w:val="18"/>
                <w:color w:val="0000EE"/>
              </w:rPr>
            </w:pPr>
            <w:hyperlink w:anchor="page64">
              <w:r>
                <w:rPr>
                  <w:rFonts w:ascii="Arial" w:cs="Arial" w:eastAsia="Arial" w:hAnsi="Arial"/>
                  <w:sz w:val="18"/>
                  <w:szCs w:val="18"/>
                  <w:color w:val="0000EE"/>
                </w:rPr>
                <w:t>64</w:t>
              </w:r>
            </w:hyperlink>
          </w:p>
        </w:tc>
      </w:tr>
      <w:tr>
        <w:trPr>
          <w:trHeight w:val="20"/>
        </w:trPr>
        <w:tc>
          <w:tcPr>
            <w:tcW w:w="1100" w:type="dxa"/>
            <w:vAlign w:val="bottom"/>
            <w:gridSpan w:val="5"/>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080" w:type="dxa"/>
            <w:vAlign w:val="bottom"/>
            <w:tcBorders>
              <w:left w:val="single" w:sz="8" w:color="0000EE"/>
            </w:tcBorders>
            <w:gridSpan w:val="5"/>
            <w:shd w:val="clear" w:color="auto" w:fill="0000EE"/>
          </w:tcPr>
          <w:p>
            <w:pPr>
              <w:spacing w:after="0" w:line="20" w:lineRule="exact"/>
              <w:rPr>
                <w:sz w:val="1"/>
                <w:szCs w:val="1"/>
                <w:color w:val="auto"/>
              </w:rPr>
            </w:pPr>
          </w:p>
        </w:tc>
        <w:tc>
          <w:tcPr>
            <w:tcW w:w="560" w:type="dxa"/>
            <w:vAlign w:val="bottom"/>
            <w:gridSpan w:val="4"/>
            <w:shd w:val="clear" w:color="auto" w:fill="0000EE"/>
          </w:tcPr>
          <w:p>
            <w:pPr>
              <w:spacing w:after="0" w:line="20" w:lineRule="exact"/>
              <w:rPr>
                <w:sz w:val="1"/>
                <w:szCs w:val="1"/>
                <w:color w:val="auto"/>
              </w:rPr>
            </w:pPr>
          </w:p>
        </w:tc>
        <w:tc>
          <w:tcPr>
            <w:tcW w:w="7140" w:type="dxa"/>
            <w:vAlign w:val="bottom"/>
            <w:gridSpan w:val="19"/>
          </w:tcPr>
          <w:p>
            <w:pPr>
              <w:spacing w:after="0" w:line="20" w:lineRule="exact"/>
              <w:rPr>
                <w:sz w:val="1"/>
                <w:szCs w:val="1"/>
                <w:color w:val="auto"/>
              </w:rPr>
            </w:pPr>
          </w:p>
        </w:tc>
        <w:tc>
          <w:tcPr>
            <w:tcW w:w="1060" w:type="dxa"/>
            <w:vAlign w:val="bottom"/>
            <w:tcBorders>
              <w:right w:val="single" w:sz="8" w:color="0000EE"/>
            </w:tcBorders>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2440" w:type="dxa"/>
            <w:vAlign w:val="bottom"/>
            <w:gridSpan w:val="12"/>
          </w:tcPr>
          <w:p>
            <w:pPr>
              <w:spacing w:after="0"/>
              <w:rPr>
                <w:rFonts w:ascii="Arial" w:cs="Arial" w:eastAsia="Arial" w:hAnsi="Arial"/>
                <w:sz w:val="18"/>
                <w:szCs w:val="18"/>
                <w:color w:val="0000EE"/>
                <w:w w:val="95"/>
              </w:rPr>
            </w:pPr>
            <w:hyperlink w:anchor="page64">
              <w:r>
                <w:rPr>
                  <w:rFonts w:ascii="Arial" w:cs="Arial" w:eastAsia="Arial" w:hAnsi="Arial"/>
                  <w:sz w:val="18"/>
                  <w:szCs w:val="18"/>
                  <w:color w:val="0000EE"/>
                  <w:w w:val="95"/>
                </w:rPr>
                <w:t>Item 5. OTHER INFORMATION</w:t>
              </w:r>
            </w:hyperlink>
          </w:p>
        </w:tc>
        <w:tc>
          <w:tcPr>
            <w:tcW w:w="560" w:type="dxa"/>
            <w:vAlign w:val="bottom"/>
            <w:gridSpan w:val="4"/>
          </w:tcPr>
          <w:p>
            <w:pPr>
              <w:spacing w:after="0"/>
              <w:rPr>
                <w:sz w:val="21"/>
                <w:szCs w:val="21"/>
                <w:color w:val="auto"/>
              </w:rPr>
            </w:pPr>
          </w:p>
        </w:tc>
        <w:tc>
          <w:tcPr>
            <w:tcW w:w="7140" w:type="dxa"/>
            <w:vAlign w:val="bottom"/>
            <w:gridSpan w:val="19"/>
          </w:tcPr>
          <w:p>
            <w:pPr>
              <w:spacing w:after="0"/>
              <w:rPr>
                <w:sz w:val="21"/>
                <w:szCs w:val="21"/>
                <w:color w:val="auto"/>
              </w:rPr>
            </w:pPr>
          </w:p>
        </w:tc>
        <w:tc>
          <w:tcPr>
            <w:tcW w:w="1240" w:type="dxa"/>
            <w:vAlign w:val="bottom"/>
            <w:gridSpan w:val="4"/>
          </w:tcPr>
          <w:p>
            <w:pPr>
              <w:jc w:val="right"/>
              <w:ind w:right="20"/>
              <w:spacing w:after="0"/>
              <w:rPr>
                <w:rFonts w:ascii="Arial" w:cs="Arial" w:eastAsia="Arial" w:hAnsi="Arial"/>
                <w:sz w:val="18"/>
                <w:szCs w:val="18"/>
                <w:color w:val="0000EE"/>
              </w:rPr>
            </w:pPr>
            <w:hyperlink w:anchor="page64">
              <w:r>
                <w:rPr>
                  <w:rFonts w:ascii="Arial" w:cs="Arial" w:eastAsia="Arial" w:hAnsi="Arial"/>
                  <w:sz w:val="18"/>
                  <w:szCs w:val="18"/>
                  <w:color w:val="0000EE"/>
                </w:rPr>
                <w:t>64</w:t>
              </w:r>
            </w:hyperlink>
          </w:p>
        </w:tc>
      </w:tr>
      <w:tr>
        <w:trPr>
          <w:trHeight w:val="20"/>
        </w:trPr>
        <w:tc>
          <w:tcPr>
            <w:tcW w:w="1100" w:type="dxa"/>
            <w:vAlign w:val="bottom"/>
            <w:gridSpan w:val="5"/>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080" w:type="dxa"/>
            <w:vAlign w:val="bottom"/>
            <w:tcBorders>
              <w:left w:val="single" w:sz="8" w:color="0000EE"/>
            </w:tcBorders>
            <w:gridSpan w:val="5"/>
            <w:shd w:val="clear" w:color="auto" w:fill="0000EE"/>
          </w:tcPr>
          <w:p>
            <w:pPr>
              <w:spacing w:after="0" w:line="20" w:lineRule="exact"/>
              <w:rPr>
                <w:sz w:val="1"/>
                <w:szCs w:val="1"/>
                <w:color w:val="auto"/>
              </w:rPr>
            </w:pPr>
          </w:p>
        </w:tc>
        <w:tc>
          <w:tcPr>
            <w:tcW w:w="7700" w:type="dxa"/>
            <w:vAlign w:val="bottom"/>
            <w:gridSpan w:val="23"/>
          </w:tcPr>
          <w:p>
            <w:pPr>
              <w:spacing w:after="0" w:line="20" w:lineRule="exact"/>
              <w:rPr>
                <w:sz w:val="1"/>
                <w:szCs w:val="1"/>
                <w:color w:val="auto"/>
              </w:rPr>
            </w:pPr>
          </w:p>
        </w:tc>
        <w:tc>
          <w:tcPr>
            <w:tcW w:w="1060" w:type="dxa"/>
            <w:vAlign w:val="bottom"/>
            <w:tcBorders>
              <w:right w:val="single" w:sz="8" w:color="0000EE"/>
            </w:tcBorders>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2440" w:type="dxa"/>
            <w:vAlign w:val="bottom"/>
            <w:gridSpan w:val="12"/>
          </w:tcPr>
          <w:p>
            <w:pPr>
              <w:spacing w:after="0"/>
              <w:rPr>
                <w:rFonts w:ascii="Arial" w:cs="Arial" w:eastAsia="Arial" w:hAnsi="Arial"/>
                <w:sz w:val="18"/>
                <w:szCs w:val="18"/>
                <w:color w:val="0000EE"/>
              </w:rPr>
            </w:pPr>
            <w:hyperlink w:anchor="page65">
              <w:r>
                <w:rPr>
                  <w:rFonts w:ascii="Arial" w:cs="Arial" w:eastAsia="Arial" w:hAnsi="Arial"/>
                  <w:sz w:val="18"/>
                  <w:szCs w:val="18"/>
                  <w:color w:val="0000EE"/>
                </w:rPr>
                <w:t>Item 6. EXHIBITS</w:t>
              </w:r>
            </w:hyperlink>
          </w:p>
        </w:tc>
        <w:tc>
          <w:tcPr>
            <w:tcW w:w="7700" w:type="dxa"/>
            <w:vAlign w:val="bottom"/>
            <w:gridSpan w:val="23"/>
          </w:tcPr>
          <w:p>
            <w:pPr>
              <w:spacing w:after="0"/>
              <w:rPr>
                <w:sz w:val="21"/>
                <w:szCs w:val="21"/>
                <w:color w:val="auto"/>
              </w:rPr>
            </w:pPr>
          </w:p>
        </w:tc>
        <w:tc>
          <w:tcPr>
            <w:tcW w:w="1240" w:type="dxa"/>
            <w:vAlign w:val="bottom"/>
            <w:gridSpan w:val="4"/>
          </w:tcPr>
          <w:p>
            <w:pPr>
              <w:jc w:val="right"/>
              <w:ind w:right="20"/>
              <w:spacing w:after="0"/>
              <w:rPr>
                <w:rFonts w:ascii="Arial" w:cs="Arial" w:eastAsia="Arial" w:hAnsi="Arial"/>
                <w:sz w:val="18"/>
                <w:szCs w:val="18"/>
                <w:color w:val="0000EE"/>
              </w:rPr>
            </w:pPr>
            <w:hyperlink w:anchor="page65">
              <w:r>
                <w:rPr>
                  <w:rFonts w:ascii="Arial" w:cs="Arial" w:eastAsia="Arial" w:hAnsi="Arial"/>
                  <w:sz w:val="18"/>
                  <w:szCs w:val="18"/>
                  <w:color w:val="0000EE"/>
                </w:rPr>
                <w:t>65</w:t>
              </w:r>
            </w:hyperlink>
          </w:p>
        </w:tc>
      </w:tr>
      <w:tr>
        <w:trPr>
          <w:trHeight w:val="20"/>
        </w:trPr>
        <w:tc>
          <w:tcPr>
            <w:tcW w:w="1100" w:type="dxa"/>
            <w:vAlign w:val="bottom"/>
            <w:gridSpan w:val="5"/>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8780" w:type="dxa"/>
            <w:vAlign w:val="bottom"/>
            <w:gridSpan w:val="28"/>
          </w:tcPr>
          <w:p>
            <w:pPr>
              <w:spacing w:after="0" w:line="20" w:lineRule="exact"/>
              <w:rPr>
                <w:sz w:val="1"/>
                <w:szCs w:val="1"/>
                <w:color w:val="auto"/>
              </w:rPr>
            </w:pPr>
          </w:p>
        </w:tc>
        <w:tc>
          <w:tcPr>
            <w:tcW w:w="1060" w:type="dxa"/>
            <w:vAlign w:val="bottom"/>
            <w:tcBorders>
              <w:right w:val="single" w:sz="8" w:color="0000EE"/>
            </w:tcBorders>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100" w:type="dxa"/>
            <w:vAlign w:val="bottom"/>
            <w:gridSpan w:val="5"/>
          </w:tcPr>
          <w:p>
            <w:pPr>
              <w:spacing w:after="0"/>
              <w:rPr>
                <w:rFonts w:ascii="Arial" w:cs="Arial" w:eastAsia="Arial" w:hAnsi="Arial"/>
                <w:sz w:val="18"/>
                <w:szCs w:val="18"/>
                <w:color w:val="0000EE"/>
                <w:w w:val="92"/>
              </w:rPr>
            </w:pPr>
            <w:hyperlink w:anchor="page68">
              <w:r>
                <w:rPr>
                  <w:rFonts w:ascii="Arial" w:cs="Arial" w:eastAsia="Arial" w:hAnsi="Arial"/>
                  <w:sz w:val="18"/>
                  <w:szCs w:val="18"/>
                  <w:color w:val="0000EE"/>
                  <w:w w:val="92"/>
                </w:rPr>
                <w:t>SIGNATURES</w:t>
              </w:r>
            </w:hyperlink>
          </w:p>
        </w:tc>
        <w:tc>
          <w:tcPr>
            <w:tcW w:w="260" w:type="dxa"/>
            <w:vAlign w:val="bottom"/>
            <w:gridSpan w:val="2"/>
          </w:tcPr>
          <w:p>
            <w:pPr>
              <w:spacing w:after="0"/>
              <w:rPr>
                <w:sz w:val="21"/>
                <w:szCs w:val="21"/>
                <w:color w:val="auto"/>
              </w:rPr>
            </w:pPr>
          </w:p>
        </w:tc>
        <w:tc>
          <w:tcPr>
            <w:tcW w:w="8780" w:type="dxa"/>
            <w:vAlign w:val="bottom"/>
            <w:gridSpan w:val="28"/>
          </w:tcPr>
          <w:p>
            <w:pPr>
              <w:spacing w:after="0"/>
              <w:rPr>
                <w:sz w:val="21"/>
                <w:szCs w:val="21"/>
                <w:color w:val="auto"/>
              </w:rPr>
            </w:pPr>
          </w:p>
        </w:tc>
        <w:tc>
          <w:tcPr>
            <w:tcW w:w="1240" w:type="dxa"/>
            <w:vAlign w:val="bottom"/>
            <w:gridSpan w:val="4"/>
          </w:tcPr>
          <w:p>
            <w:pPr>
              <w:jc w:val="right"/>
              <w:ind w:right="20"/>
              <w:spacing w:after="0"/>
              <w:rPr>
                <w:rFonts w:ascii="Arial" w:cs="Arial" w:eastAsia="Arial" w:hAnsi="Arial"/>
                <w:sz w:val="18"/>
                <w:szCs w:val="18"/>
                <w:color w:val="0000EE"/>
              </w:rPr>
            </w:pPr>
            <w:hyperlink w:anchor="page68">
              <w:r>
                <w:rPr>
                  <w:rFonts w:ascii="Arial" w:cs="Arial" w:eastAsia="Arial" w:hAnsi="Arial"/>
                  <w:sz w:val="18"/>
                  <w:szCs w:val="18"/>
                  <w:color w:val="0000EE"/>
                </w:rPr>
                <w:t>68</w:t>
              </w:r>
            </w:hyperlink>
          </w:p>
        </w:tc>
      </w:tr>
      <w:tr>
        <w:trPr>
          <w:trHeight w:val="723"/>
        </w:trPr>
        <w:tc>
          <w:tcPr>
            <w:tcW w:w="14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600" w:type="dxa"/>
            <w:vAlign w:val="bottom"/>
            <w:tcBorders>
              <w:top w:val="single" w:sz="8" w:color="0000EE"/>
            </w:tcBorders>
            <w:gridSpan w:val="2"/>
          </w:tcPr>
          <w:p>
            <w:pPr>
              <w:spacing w:after="0"/>
              <w:rPr>
                <w:sz w:val="24"/>
                <w:szCs w:val="24"/>
                <w:color w:val="auto"/>
              </w:rPr>
            </w:pPr>
          </w:p>
        </w:tc>
        <w:tc>
          <w:tcPr>
            <w:tcW w:w="5260" w:type="dxa"/>
            <w:vAlign w:val="bottom"/>
            <w:gridSpan w:val="20"/>
          </w:tcPr>
          <w:p>
            <w:pPr>
              <w:jc w:val="right"/>
              <w:ind w:right="640"/>
              <w:spacing w:after="0"/>
              <w:rPr>
                <w:sz w:val="20"/>
                <w:szCs w:val="20"/>
                <w:color w:val="auto"/>
              </w:rPr>
            </w:pPr>
            <w:r>
              <w:rPr>
                <w:rFonts w:ascii="Arial" w:cs="Arial" w:eastAsia="Arial" w:hAnsi="Arial"/>
                <w:sz w:val="18"/>
                <w:szCs w:val="18"/>
                <w:color w:val="auto"/>
              </w:rPr>
              <w:t>2</w:t>
            </w: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2" w:name="page3"/>
    <w:bookmarkEnd w:id="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ind w:left="4180"/>
        <w:spacing w:after="0"/>
        <w:rPr>
          <w:sz w:val="20"/>
          <w:szCs w:val="20"/>
          <w:color w:val="auto"/>
        </w:rPr>
      </w:pPr>
      <w:r>
        <w:rPr>
          <w:rFonts w:ascii="Arial" w:cs="Arial" w:eastAsia="Arial" w:hAnsi="Arial"/>
          <w:sz w:val="18"/>
          <w:szCs w:val="18"/>
          <w:b w:val="1"/>
          <w:bCs w:val="1"/>
          <w:color w:val="auto"/>
        </w:rPr>
        <w:t>PART I. 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UNAUDITED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PLAINS GP HOLDINGS, L.P.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share data)</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40" w:type="dxa"/>
            <w:vAlign w:val="bottom"/>
            <w:gridSpan w:val="2"/>
          </w:tcPr>
          <w:p>
            <w:pPr>
              <w:ind w:left="160"/>
              <w:spacing w:after="0"/>
              <w:rPr>
                <w:sz w:val="20"/>
                <w:szCs w:val="20"/>
                <w:color w:val="auto"/>
              </w:rPr>
            </w:pPr>
            <w:r>
              <w:rPr>
                <w:rFonts w:ascii="Arial" w:cs="Arial" w:eastAsia="Arial" w:hAnsi="Arial"/>
                <w:sz w:val="17"/>
                <w:szCs w:val="17"/>
                <w:b w:val="1"/>
                <w:bCs w:val="1"/>
                <w:color w:val="auto"/>
              </w:rPr>
              <w:t>June 30,</w:t>
            </w:r>
          </w:p>
        </w:tc>
        <w:tc>
          <w:tcPr>
            <w:tcW w:w="180" w:type="dxa"/>
            <w:vAlign w:val="bottom"/>
          </w:tcPr>
          <w:p>
            <w:pPr>
              <w:spacing w:after="0"/>
              <w:rPr>
                <w:sz w:val="17"/>
                <w:szCs w:val="17"/>
                <w:color w:val="auto"/>
              </w:rPr>
            </w:pPr>
          </w:p>
        </w:tc>
        <w:tc>
          <w:tcPr>
            <w:tcW w:w="1300" w:type="dxa"/>
            <w:vAlign w:val="bottom"/>
          </w:tcPr>
          <w:p>
            <w:pPr>
              <w:jc w:val="right"/>
              <w:ind w:right="155"/>
              <w:spacing w:after="0"/>
              <w:rPr>
                <w:sz w:val="20"/>
                <w:szCs w:val="20"/>
                <w:color w:val="auto"/>
              </w:rPr>
            </w:pPr>
            <w:r>
              <w:rPr>
                <w:rFonts w:ascii="Arial" w:cs="Arial" w:eastAsia="Arial" w:hAnsi="Arial"/>
                <w:sz w:val="17"/>
                <w:szCs w:val="17"/>
                <w:b w:val="1"/>
                <w:bCs w:val="1"/>
                <w:color w:val="auto"/>
                <w:w w:val="94"/>
              </w:rPr>
              <w:t>December 31,</w:t>
            </w:r>
          </w:p>
        </w:tc>
      </w:tr>
      <w:tr>
        <w:trPr>
          <w:trHeight w:val="222"/>
        </w:trPr>
        <w:tc>
          <w:tcPr>
            <w:tcW w:w="8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tcPr>
          <w:p>
            <w:pPr>
              <w:jc w:val="right"/>
              <w:ind w:right="495"/>
              <w:spacing w:after="0"/>
              <w:rPr>
                <w:sz w:val="20"/>
                <w:szCs w:val="20"/>
                <w:color w:val="auto"/>
              </w:rPr>
            </w:pPr>
            <w:r>
              <w:rPr>
                <w:rFonts w:ascii="Arial" w:cs="Arial" w:eastAsia="Arial" w:hAnsi="Arial"/>
                <w:sz w:val="17"/>
                <w:szCs w:val="17"/>
                <w:b w:val="1"/>
                <w:bCs w:val="1"/>
                <w:color w:val="auto"/>
              </w:rPr>
              <w:t>2018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jc w:val="right"/>
              <w:ind w:right="475"/>
              <w:spacing w:after="0"/>
              <w:rPr>
                <w:sz w:val="20"/>
                <w:szCs w:val="20"/>
                <w:color w:val="auto"/>
              </w:rPr>
            </w:pPr>
            <w:r>
              <w:rPr>
                <w:rFonts w:ascii="Arial" w:cs="Arial" w:eastAsia="Arial" w:hAnsi="Arial"/>
                <w:sz w:val="17"/>
                <w:szCs w:val="17"/>
                <w:b w:val="1"/>
                <w:bCs w:val="1"/>
                <w:color w:val="auto"/>
              </w:rPr>
              <w:t>2017</w:t>
            </w:r>
          </w:p>
        </w:tc>
      </w:tr>
      <w:tr>
        <w:trPr>
          <w:trHeight w:val="31"/>
        </w:trPr>
        <w:tc>
          <w:tcPr>
            <w:tcW w:w="83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820" w:type="dxa"/>
            <w:vAlign w:val="bottom"/>
            <w:tcBorders>
              <w:bottom w:val="single" w:sz="8" w:color="auto"/>
            </w:tcBorders>
            <w:gridSpan w:val="4"/>
          </w:tcPr>
          <w:p>
            <w:pPr>
              <w:spacing w:after="0"/>
              <w:rPr>
                <w:sz w:val="2"/>
                <w:szCs w:val="2"/>
                <w:color w:val="auto"/>
              </w:rPr>
            </w:pPr>
          </w:p>
        </w:tc>
      </w:tr>
      <w:tr>
        <w:trPr>
          <w:trHeight w:val="219"/>
        </w:trPr>
        <w:tc>
          <w:tcPr>
            <w:tcW w:w="8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820" w:type="dxa"/>
            <w:vAlign w:val="bottom"/>
            <w:gridSpan w:val="4"/>
          </w:tcPr>
          <w:p>
            <w:pPr>
              <w:jc w:val="right"/>
              <w:ind w:right="1015"/>
              <w:spacing w:after="0"/>
              <w:rPr>
                <w:sz w:val="20"/>
                <w:szCs w:val="20"/>
                <w:color w:val="auto"/>
              </w:rPr>
            </w:pPr>
            <w:r>
              <w:rPr>
                <w:rFonts w:ascii="Arial" w:cs="Arial" w:eastAsia="Arial" w:hAnsi="Arial"/>
                <w:sz w:val="17"/>
                <w:szCs w:val="17"/>
                <w:b w:val="1"/>
                <w:bCs w:val="1"/>
                <w:color w:val="auto"/>
              </w:rPr>
              <w:t>(unaudited)</w:t>
            </w:r>
          </w:p>
        </w:tc>
      </w:tr>
      <w:tr>
        <w:trPr>
          <w:trHeight w:val="31"/>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b w:val="1"/>
                <w:bCs w:val="1"/>
                <w:color w:val="auto"/>
              </w:rPr>
              <w:t>ASSETS</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r>
      <w:tr>
        <w:trPr>
          <w:trHeight w:val="216"/>
        </w:trPr>
        <w:tc>
          <w:tcPr>
            <w:tcW w:w="8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b w:val="1"/>
                <w:bCs w:val="1"/>
                <w:color w:val="auto"/>
              </w:rPr>
              <w:t>CURRENT ASSETS</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r>
      <w:tr>
        <w:trPr>
          <w:trHeight w:val="239"/>
        </w:trPr>
        <w:tc>
          <w:tcPr>
            <w:tcW w:w="8340" w:type="dxa"/>
            <w:vAlign w:val="bottom"/>
          </w:tcPr>
          <w:p>
            <w:pPr>
              <w:ind w:left="40"/>
              <w:spacing w:after="0"/>
              <w:rPr>
                <w:sz w:val="20"/>
                <w:szCs w:val="20"/>
                <w:color w:val="auto"/>
              </w:rPr>
            </w:pPr>
            <w:r>
              <w:rPr>
                <w:rFonts w:ascii="Arial" w:cs="Arial" w:eastAsia="Arial" w:hAnsi="Arial"/>
                <w:sz w:val="17"/>
                <w:szCs w:val="17"/>
                <w:color w:val="auto"/>
              </w:rPr>
              <w:t>Cash and cash equivalents</w:t>
            </w:r>
          </w:p>
        </w:tc>
        <w:tc>
          <w:tcPr>
            <w:tcW w:w="260" w:type="dxa"/>
            <w:vAlign w:val="bottom"/>
          </w:tcPr>
          <w:p>
            <w:pPr>
              <w:jc w:val="right"/>
              <w:ind w:right="55"/>
              <w:spacing w:after="0"/>
              <w:rPr>
                <w:sz w:val="20"/>
                <w:szCs w:val="20"/>
                <w:color w:val="auto"/>
              </w:rPr>
            </w:pPr>
            <w:r>
              <w:rPr>
                <w:rFonts w:ascii="Arial" w:cs="Arial" w:eastAsia="Arial" w:hAnsi="Arial"/>
                <w:sz w:val="17"/>
                <w:szCs w:val="17"/>
                <w:color w:val="auto"/>
              </w:rPr>
              <w:t>$</w:t>
            </w:r>
          </w:p>
        </w:tc>
        <w:tc>
          <w:tcPr>
            <w:tcW w:w="1240" w:type="dxa"/>
            <w:vAlign w:val="bottom"/>
          </w:tcPr>
          <w:p>
            <w:pPr>
              <w:jc w:val="right"/>
              <w:ind w:right="15"/>
              <w:spacing w:after="0"/>
              <w:rPr>
                <w:sz w:val="20"/>
                <w:szCs w:val="20"/>
                <w:color w:val="auto"/>
              </w:rPr>
            </w:pPr>
            <w:r>
              <w:rPr>
                <w:rFonts w:ascii="Arial" w:cs="Arial" w:eastAsia="Arial" w:hAnsi="Arial"/>
                <w:sz w:val="17"/>
                <w:szCs w:val="17"/>
                <w:color w:val="auto"/>
              </w:rPr>
              <w:t>37</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7"/>
                <w:szCs w:val="17"/>
                <w:color w:val="auto"/>
              </w:rPr>
              <w:t>$</w:t>
            </w:r>
          </w:p>
        </w:tc>
        <w:tc>
          <w:tcPr>
            <w:tcW w:w="1300" w:type="dxa"/>
            <w:vAlign w:val="bottom"/>
          </w:tcPr>
          <w:p>
            <w:pPr>
              <w:jc w:val="right"/>
              <w:ind w:right="15"/>
              <w:spacing w:after="0"/>
              <w:rPr>
                <w:sz w:val="20"/>
                <w:szCs w:val="20"/>
                <w:color w:val="auto"/>
              </w:rPr>
            </w:pPr>
            <w:r>
              <w:rPr>
                <w:rFonts w:ascii="Arial" w:cs="Arial" w:eastAsia="Arial" w:hAnsi="Arial"/>
                <w:sz w:val="17"/>
                <w:szCs w:val="17"/>
                <w:color w:val="auto"/>
              </w:rPr>
              <w:t>40</w:t>
            </w:r>
          </w:p>
        </w:tc>
      </w:tr>
      <w:tr>
        <w:trPr>
          <w:trHeight w:val="31"/>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Trade accounts receivable and other receivables, net</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2,824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3,029</w:t>
            </w:r>
          </w:p>
        </w:tc>
      </w:tr>
      <w:tr>
        <w:trPr>
          <w:trHeight w:val="239"/>
        </w:trPr>
        <w:tc>
          <w:tcPr>
            <w:tcW w:w="8340" w:type="dxa"/>
            <w:vAlign w:val="bottom"/>
          </w:tcPr>
          <w:p>
            <w:pPr>
              <w:ind w:left="40"/>
              <w:spacing w:after="0"/>
              <w:rPr>
                <w:sz w:val="20"/>
                <w:szCs w:val="20"/>
                <w:color w:val="auto"/>
              </w:rPr>
            </w:pPr>
            <w:r>
              <w:rPr>
                <w:rFonts w:ascii="Arial" w:cs="Arial" w:eastAsia="Arial" w:hAnsi="Arial"/>
                <w:sz w:val="17"/>
                <w:szCs w:val="17"/>
                <w:color w:val="auto"/>
              </w:rPr>
              <w:t>Inventory</w:t>
            </w:r>
          </w:p>
        </w:tc>
        <w:tc>
          <w:tcPr>
            <w:tcW w:w="260" w:type="dxa"/>
            <w:vAlign w:val="bottom"/>
          </w:tcPr>
          <w:p>
            <w:pPr>
              <w:spacing w:after="0"/>
              <w:rPr>
                <w:sz w:val="20"/>
                <w:szCs w:val="20"/>
                <w:color w:val="auto"/>
              </w:rPr>
            </w:pPr>
          </w:p>
        </w:tc>
        <w:tc>
          <w:tcPr>
            <w:tcW w:w="1240" w:type="dxa"/>
            <w:vAlign w:val="bottom"/>
          </w:tcPr>
          <w:p>
            <w:pPr>
              <w:jc w:val="right"/>
              <w:ind w:right="15"/>
              <w:spacing w:after="0"/>
              <w:rPr>
                <w:sz w:val="20"/>
                <w:szCs w:val="20"/>
                <w:color w:val="auto"/>
              </w:rPr>
            </w:pPr>
            <w:r>
              <w:rPr>
                <w:rFonts w:ascii="Arial" w:cs="Arial" w:eastAsia="Arial" w:hAnsi="Arial"/>
                <w:sz w:val="17"/>
                <w:szCs w:val="17"/>
                <w:color w:val="auto"/>
              </w:rPr>
              <w:t>636</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jc w:val="right"/>
              <w:ind w:right="15"/>
              <w:spacing w:after="0"/>
              <w:rPr>
                <w:sz w:val="20"/>
                <w:szCs w:val="20"/>
                <w:color w:val="auto"/>
              </w:rPr>
            </w:pPr>
            <w:r>
              <w:rPr>
                <w:rFonts w:ascii="Arial" w:cs="Arial" w:eastAsia="Arial" w:hAnsi="Arial"/>
                <w:sz w:val="17"/>
                <w:szCs w:val="17"/>
                <w:color w:val="auto"/>
              </w:rPr>
              <w:t>713</w:t>
            </w:r>
          </w:p>
        </w:tc>
      </w:tr>
      <w:tr>
        <w:trPr>
          <w:trHeight w:val="31"/>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Other current assets</w:t>
            </w:r>
          </w:p>
        </w:tc>
        <w:tc>
          <w:tcPr>
            <w:tcW w:w="2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358</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221</w:t>
            </w:r>
          </w:p>
        </w:tc>
      </w:tr>
      <w:tr>
        <w:trPr>
          <w:trHeight w:val="219"/>
        </w:trPr>
        <w:tc>
          <w:tcPr>
            <w:tcW w:w="8340" w:type="dxa"/>
            <w:vAlign w:val="bottom"/>
          </w:tcPr>
          <w:p>
            <w:pPr>
              <w:ind w:left="180"/>
              <w:spacing w:after="0"/>
              <w:rPr>
                <w:sz w:val="20"/>
                <w:szCs w:val="20"/>
                <w:color w:val="auto"/>
              </w:rPr>
            </w:pPr>
            <w:r>
              <w:rPr>
                <w:rFonts w:ascii="Arial" w:cs="Arial" w:eastAsia="Arial" w:hAnsi="Arial"/>
                <w:sz w:val="17"/>
                <w:szCs w:val="17"/>
                <w:color w:val="auto"/>
              </w:rPr>
              <w:t>Total current assets</w:t>
            </w:r>
          </w:p>
        </w:tc>
        <w:tc>
          <w:tcPr>
            <w:tcW w:w="26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tcPr>
          <w:p>
            <w:pPr>
              <w:jc w:val="right"/>
              <w:ind w:right="15"/>
              <w:spacing w:after="0"/>
              <w:rPr>
                <w:sz w:val="20"/>
                <w:szCs w:val="20"/>
                <w:color w:val="auto"/>
              </w:rPr>
            </w:pPr>
            <w:r>
              <w:rPr>
                <w:rFonts w:ascii="Arial" w:cs="Arial" w:eastAsia="Arial" w:hAnsi="Arial"/>
                <w:sz w:val="17"/>
                <w:szCs w:val="17"/>
                <w:color w:val="auto"/>
              </w:rPr>
              <w:t>3,855</w:t>
            </w:r>
          </w:p>
        </w:tc>
        <w:tc>
          <w:tcPr>
            <w:tcW w:w="1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300" w:type="dxa"/>
            <w:vAlign w:val="bottom"/>
            <w:tcBorders>
              <w:top w:val="single" w:sz="8" w:color="auto"/>
            </w:tcBorders>
          </w:tcPr>
          <w:p>
            <w:pPr>
              <w:jc w:val="right"/>
              <w:ind w:right="15"/>
              <w:spacing w:after="0"/>
              <w:rPr>
                <w:sz w:val="20"/>
                <w:szCs w:val="20"/>
                <w:color w:val="auto"/>
              </w:rPr>
            </w:pPr>
            <w:r>
              <w:rPr>
                <w:rFonts w:ascii="Arial" w:cs="Arial" w:eastAsia="Arial" w:hAnsi="Arial"/>
                <w:sz w:val="17"/>
                <w:szCs w:val="17"/>
                <w:color w:val="auto"/>
              </w:rPr>
              <w:t>4,003</w:t>
            </w:r>
          </w:p>
        </w:tc>
      </w:tr>
      <w:tr>
        <w:trPr>
          <w:trHeight w:val="31"/>
        </w:trPr>
        <w:tc>
          <w:tcPr>
            <w:tcW w:w="83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10"/>
        </w:trPr>
        <w:tc>
          <w:tcPr>
            <w:tcW w:w="8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r>
      <w:tr>
        <w:trPr>
          <w:trHeight w:val="239"/>
        </w:trPr>
        <w:tc>
          <w:tcPr>
            <w:tcW w:w="8340" w:type="dxa"/>
            <w:vAlign w:val="bottom"/>
          </w:tcPr>
          <w:p>
            <w:pPr>
              <w:ind w:left="40"/>
              <w:spacing w:after="0"/>
              <w:rPr>
                <w:sz w:val="20"/>
                <w:szCs w:val="20"/>
                <w:color w:val="auto"/>
              </w:rPr>
            </w:pPr>
            <w:r>
              <w:rPr>
                <w:rFonts w:ascii="Arial" w:cs="Arial" w:eastAsia="Arial" w:hAnsi="Arial"/>
                <w:sz w:val="17"/>
                <w:szCs w:val="17"/>
                <w:b w:val="1"/>
                <w:bCs w:val="1"/>
                <w:color w:val="auto"/>
              </w:rPr>
              <w:t>PROPERTY AND EQUIPMENT</w:t>
            </w:r>
          </w:p>
        </w:tc>
        <w:tc>
          <w:tcPr>
            <w:tcW w:w="260" w:type="dxa"/>
            <w:vAlign w:val="bottom"/>
          </w:tcPr>
          <w:p>
            <w:pPr>
              <w:spacing w:after="0"/>
              <w:rPr>
                <w:sz w:val="20"/>
                <w:szCs w:val="20"/>
                <w:color w:val="auto"/>
              </w:rPr>
            </w:pPr>
          </w:p>
        </w:tc>
        <w:tc>
          <w:tcPr>
            <w:tcW w:w="1240" w:type="dxa"/>
            <w:vAlign w:val="bottom"/>
          </w:tcPr>
          <w:p>
            <w:pPr>
              <w:jc w:val="right"/>
              <w:ind w:right="15"/>
              <w:spacing w:after="0"/>
              <w:rPr>
                <w:sz w:val="20"/>
                <w:szCs w:val="20"/>
                <w:color w:val="auto"/>
              </w:rPr>
            </w:pPr>
            <w:r>
              <w:rPr>
                <w:rFonts w:ascii="Arial" w:cs="Arial" w:eastAsia="Arial" w:hAnsi="Arial"/>
                <w:sz w:val="17"/>
                <w:szCs w:val="17"/>
                <w:color w:val="auto"/>
              </w:rPr>
              <w:t>17,215</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jc w:val="right"/>
              <w:ind w:right="15"/>
              <w:spacing w:after="0"/>
              <w:rPr>
                <w:sz w:val="20"/>
                <w:szCs w:val="20"/>
                <w:color w:val="auto"/>
              </w:rPr>
            </w:pPr>
            <w:r>
              <w:rPr>
                <w:rFonts w:ascii="Arial" w:cs="Arial" w:eastAsia="Arial" w:hAnsi="Arial"/>
                <w:sz w:val="17"/>
                <w:szCs w:val="17"/>
                <w:color w:val="auto"/>
              </w:rPr>
              <w:t>16,901</w:t>
            </w:r>
          </w:p>
        </w:tc>
      </w:tr>
      <w:tr>
        <w:trPr>
          <w:trHeight w:val="31"/>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Accumulated depreciation</w:t>
            </w:r>
          </w:p>
        </w:tc>
        <w:tc>
          <w:tcPr>
            <w:tcW w:w="2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(2,942)</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(2,796)</w:t>
            </w:r>
          </w:p>
        </w:tc>
      </w:tr>
      <w:tr>
        <w:trPr>
          <w:trHeight w:val="219"/>
        </w:trPr>
        <w:tc>
          <w:tcPr>
            <w:tcW w:w="8340" w:type="dxa"/>
            <w:vAlign w:val="bottom"/>
          </w:tcPr>
          <w:p>
            <w:pPr>
              <w:ind w:left="180"/>
              <w:spacing w:after="0"/>
              <w:rPr>
                <w:sz w:val="20"/>
                <w:szCs w:val="20"/>
                <w:color w:val="auto"/>
              </w:rPr>
            </w:pPr>
            <w:r>
              <w:rPr>
                <w:rFonts w:ascii="Arial" w:cs="Arial" w:eastAsia="Arial" w:hAnsi="Arial"/>
                <w:sz w:val="17"/>
                <w:szCs w:val="17"/>
                <w:color w:val="auto"/>
              </w:rPr>
              <w:t>Property and equipment, net</w:t>
            </w:r>
          </w:p>
        </w:tc>
        <w:tc>
          <w:tcPr>
            <w:tcW w:w="26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tcPr>
          <w:p>
            <w:pPr>
              <w:jc w:val="right"/>
              <w:ind w:right="15"/>
              <w:spacing w:after="0"/>
              <w:rPr>
                <w:sz w:val="20"/>
                <w:szCs w:val="20"/>
                <w:color w:val="auto"/>
              </w:rPr>
            </w:pPr>
            <w:r>
              <w:rPr>
                <w:rFonts w:ascii="Arial" w:cs="Arial" w:eastAsia="Arial" w:hAnsi="Arial"/>
                <w:sz w:val="17"/>
                <w:szCs w:val="17"/>
                <w:color w:val="auto"/>
              </w:rPr>
              <w:t>14,273</w:t>
            </w:r>
          </w:p>
        </w:tc>
        <w:tc>
          <w:tcPr>
            <w:tcW w:w="1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300" w:type="dxa"/>
            <w:vAlign w:val="bottom"/>
            <w:tcBorders>
              <w:top w:val="single" w:sz="8" w:color="auto"/>
            </w:tcBorders>
          </w:tcPr>
          <w:p>
            <w:pPr>
              <w:jc w:val="right"/>
              <w:ind w:right="15"/>
              <w:spacing w:after="0"/>
              <w:rPr>
                <w:sz w:val="20"/>
                <w:szCs w:val="20"/>
                <w:color w:val="auto"/>
              </w:rPr>
            </w:pPr>
            <w:r>
              <w:rPr>
                <w:rFonts w:ascii="Arial" w:cs="Arial" w:eastAsia="Arial" w:hAnsi="Arial"/>
                <w:sz w:val="17"/>
                <w:szCs w:val="17"/>
                <w:color w:val="auto"/>
              </w:rPr>
              <w:t>14,105</w:t>
            </w:r>
          </w:p>
        </w:tc>
      </w:tr>
      <w:tr>
        <w:trPr>
          <w:trHeight w:val="31"/>
        </w:trPr>
        <w:tc>
          <w:tcPr>
            <w:tcW w:w="83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10"/>
        </w:trPr>
        <w:tc>
          <w:tcPr>
            <w:tcW w:w="8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r>
      <w:tr>
        <w:trPr>
          <w:trHeight w:val="226"/>
        </w:trPr>
        <w:tc>
          <w:tcPr>
            <w:tcW w:w="8340" w:type="dxa"/>
            <w:vAlign w:val="bottom"/>
          </w:tcPr>
          <w:p>
            <w:pPr>
              <w:ind w:left="40"/>
              <w:spacing w:after="0"/>
              <w:rPr>
                <w:sz w:val="20"/>
                <w:szCs w:val="20"/>
                <w:color w:val="auto"/>
              </w:rPr>
            </w:pPr>
            <w:r>
              <w:rPr>
                <w:rFonts w:ascii="Arial" w:cs="Arial" w:eastAsia="Arial" w:hAnsi="Arial"/>
                <w:sz w:val="17"/>
                <w:szCs w:val="17"/>
                <w:b w:val="1"/>
                <w:bCs w:val="1"/>
                <w:color w:val="auto"/>
              </w:rPr>
              <w:t>OTHER ASSETS</w:t>
            </w:r>
          </w:p>
        </w:tc>
        <w:tc>
          <w:tcPr>
            <w:tcW w:w="2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45"/>
        </w:trPr>
        <w:tc>
          <w:tcPr>
            <w:tcW w:w="834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300" w:type="dxa"/>
            <w:vAlign w:val="bottom"/>
          </w:tcPr>
          <w:p>
            <w:pPr>
              <w:spacing w:after="0"/>
              <w:rPr>
                <w:sz w:val="3"/>
                <w:szCs w:val="3"/>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Goodwill</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2,535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2,566</w:t>
            </w:r>
          </w:p>
        </w:tc>
      </w:tr>
      <w:tr>
        <w:trPr>
          <w:trHeight w:val="239"/>
        </w:trPr>
        <w:tc>
          <w:tcPr>
            <w:tcW w:w="8340" w:type="dxa"/>
            <w:vAlign w:val="bottom"/>
          </w:tcPr>
          <w:p>
            <w:pPr>
              <w:ind w:left="40"/>
              <w:spacing w:after="0"/>
              <w:rPr>
                <w:sz w:val="20"/>
                <w:szCs w:val="20"/>
                <w:color w:val="auto"/>
              </w:rPr>
            </w:pPr>
            <w:r>
              <w:rPr>
                <w:rFonts w:ascii="Arial" w:cs="Arial" w:eastAsia="Arial" w:hAnsi="Arial"/>
                <w:sz w:val="17"/>
                <w:szCs w:val="17"/>
                <w:color w:val="auto"/>
              </w:rPr>
              <w:t>Investments in unconsolidated entities</w:t>
            </w:r>
          </w:p>
        </w:tc>
        <w:tc>
          <w:tcPr>
            <w:tcW w:w="260" w:type="dxa"/>
            <w:vAlign w:val="bottom"/>
          </w:tcPr>
          <w:p>
            <w:pPr>
              <w:spacing w:after="0"/>
              <w:rPr>
                <w:sz w:val="20"/>
                <w:szCs w:val="20"/>
                <w:color w:val="auto"/>
              </w:rPr>
            </w:pPr>
          </w:p>
        </w:tc>
        <w:tc>
          <w:tcPr>
            <w:tcW w:w="1240" w:type="dxa"/>
            <w:vAlign w:val="bottom"/>
          </w:tcPr>
          <w:p>
            <w:pPr>
              <w:jc w:val="right"/>
              <w:ind w:right="15"/>
              <w:spacing w:after="0"/>
              <w:rPr>
                <w:sz w:val="20"/>
                <w:szCs w:val="20"/>
                <w:color w:val="auto"/>
              </w:rPr>
            </w:pPr>
            <w:r>
              <w:rPr>
                <w:rFonts w:ascii="Arial" w:cs="Arial" w:eastAsia="Arial" w:hAnsi="Arial"/>
                <w:sz w:val="17"/>
                <w:szCs w:val="17"/>
                <w:color w:val="auto"/>
              </w:rPr>
              <w:t>3,116</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jc w:val="right"/>
              <w:ind w:right="15"/>
              <w:spacing w:after="0"/>
              <w:rPr>
                <w:sz w:val="20"/>
                <w:szCs w:val="20"/>
                <w:color w:val="auto"/>
              </w:rPr>
            </w:pPr>
            <w:r>
              <w:rPr>
                <w:rFonts w:ascii="Arial" w:cs="Arial" w:eastAsia="Arial" w:hAnsi="Arial"/>
                <w:sz w:val="17"/>
                <w:szCs w:val="17"/>
                <w:color w:val="auto"/>
              </w:rPr>
              <w:t>2,756</w:t>
            </w:r>
          </w:p>
        </w:tc>
      </w:tr>
      <w:tr>
        <w:trPr>
          <w:trHeight w:val="31"/>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Deferred tax asset</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1,377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1,386</w:t>
            </w:r>
          </w:p>
        </w:tc>
      </w:tr>
      <w:tr>
        <w:trPr>
          <w:trHeight w:val="239"/>
        </w:trPr>
        <w:tc>
          <w:tcPr>
            <w:tcW w:w="8340" w:type="dxa"/>
            <w:vAlign w:val="bottom"/>
          </w:tcPr>
          <w:p>
            <w:pPr>
              <w:ind w:left="40"/>
              <w:spacing w:after="0"/>
              <w:rPr>
                <w:sz w:val="20"/>
                <w:szCs w:val="20"/>
                <w:color w:val="auto"/>
              </w:rPr>
            </w:pPr>
            <w:r>
              <w:rPr>
                <w:rFonts w:ascii="Arial" w:cs="Arial" w:eastAsia="Arial" w:hAnsi="Arial"/>
                <w:sz w:val="17"/>
                <w:szCs w:val="17"/>
                <w:color w:val="auto"/>
              </w:rPr>
              <w:t>Linefill and base gas</w:t>
            </w:r>
          </w:p>
        </w:tc>
        <w:tc>
          <w:tcPr>
            <w:tcW w:w="260" w:type="dxa"/>
            <w:vAlign w:val="bottom"/>
          </w:tcPr>
          <w:p>
            <w:pPr>
              <w:spacing w:after="0"/>
              <w:rPr>
                <w:sz w:val="20"/>
                <w:szCs w:val="20"/>
                <w:color w:val="auto"/>
              </w:rPr>
            </w:pPr>
          </w:p>
        </w:tc>
        <w:tc>
          <w:tcPr>
            <w:tcW w:w="1240" w:type="dxa"/>
            <w:vAlign w:val="bottom"/>
          </w:tcPr>
          <w:p>
            <w:pPr>
              <w:jc w:val="right"/>
              <w:ind w:right="15"/>
              <w:spacing w:after="0"/>
              <w:rPr>
                <w:sz w:val="20"/>
                <w:szCs w:val="20"/>
                <w:color w:val="auto"/>
              </w:rPr>
            </w:pPr>
            <w:r>
              <w:rPr>
                <w:rFonts w:ascii="Arial" w:cs="Arial" w:eastAsia="Arial" w:hAnsi="Arial"/>
                <w:sz w:val="17"/>
                <w:szCs w:val="17"/>
                <w:color w:val="auto"/>
              </w:rPr>
              <w:t>866</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jc w:val="right"/>
              <w:ind w:right="15"/>
              <w:spacing w:after="0"/>
              <w:rPr>
                <w:sz w:val="20"/>
                <w:szCs w:val="20"/>
                <w:color w:val="auto"/>
              </w:rPr>
            </w:pPr>
            <w:r>
              <w:rPr>
                <w:rFonts w:ascii="Arial" w:cs="Arial" w:eastAsia="Arial" w:hAnsi="Arial"/>
                <w:sz w:val="17"/>
                <w:szCs w:val="17"/>
                <w:color w:val="auto"/>
              </w:rPr>
              <w:t>872</w:t>
            </w:r>
          </w:p>
        </w:tc>
      </w:tr>
      <w:tr>
        <w:trPr>
          <w:trHeight w:val="31"/>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Long-term inventory</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169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164</w:t>
            </w:r>
          </w:p>
        </w:tc>
      </w:tr>
      <w:tr>
        <w:trPr>
          <w:trHeight w:val="239"/>
        </w:trPr>
        <w:tc>
          <w:tcPr>
            <w:tcW w:w="8340" w:type="dxa"/>
            <w:vAlign w:val="bottom"/>
          </w:tcPr>
          <w:p>
            <w:pPr>
              <w:ind w:left="40"/>
              <w:spacing w:after="0"/>
              <w:rPr>
                <w:sz w:val="20"/>
                <w:szCs w:val="20"/>
                <w:color w:val="auto"/>
              </w:rPr>
            </w:pPr>
            <w:r>
              <w:rPr>
                <w:rFonts w:ascii="Arial" w:cs="Arial" w:eastAsia="Arial" w:hAnsi="Arial"/>
                <w:sz w:val="17"/>
                <w:szCs w:val="17"/>
                <w:color w:val="auto"/>
              </w:rPr>
              <w:t>Other long-term assets, net</w:t>
            </w:r>
          </w:p>
        </w:tc>
        <w:tc>
          <w:tcPr>
            <w:tcW w:w="260" w:type="dxa"/>
            <w:vAlign w:val="bottom"/>
          </w:tcPr>
          <w:p>
            <w:pPr>
              <w:spacing w:after="0"/>
              <w:rPr>
                <w:sz w:val="20"/>
                <w:szCs w:val="20"/>
                <w:color w:val="auto"/>
              </w:rPr>
            </w:pPr>
          </w:p>
        </w:tc>
        <w:tc>
          <w:tcPr>
            <w:tcW w:w="1240" w:type="dxa"/>
            <w:vAlign w:val="bottom"/>
          </w:tcPr>
          <w:p>
            <w:pPr>
              <w:jc w:val="right"/>
              <w:ind w:right="15"/>
              <w:spacing w:after="0"/>
              <w:rPr>
                <w:sz w:val="20"/>
                <w:szCs w:val="20"/>
                <w:color w:val="auto"/>
              </w:rPr>
            </w:pPr>
            <w:r>
              <w:rPr>
                <w:rFonts w:ascii="Arial" w:cs="Arial" w:eastAsia="Arial" w:hAnsi="Arial"/>
                <w:sz w:val="17"/>
                <w:szCs w:val="17"/>
                <w:color w:val="auto"/>
              </w:rPr>
              <w:t>901</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jc w:val="right"/>
              <w:ind w:right="15"/>
              <w:spacing w:after="0"/>
              <w:rPr>
                <w:sz w:val="20"/>
                <w:szCs w:val="20"/>
                <w:color w:val="auto"/>
              </w:rPr>
            </w:pPr>
            <w:r>
              <w:rPr>
                <w:rFonts w:ascii="Arial" w:cs="Arial" w:eastAsia="Arial" w:hAnsi="Arial"/>
                <w:sz w:val="17"/>
                <w:szCs w:val="17"/>
                <w:color w:val="auto"/>
              </w:rPr>
              <w:t>901</w:t>
            </w:r>
          </w:p>
        </w:tc>
      </w:tr>
      <w:tr>
        <w:trPr>
          <w:trHeight w:val="31"/>
        </w:trPr>
        <w:tc>
          <w:tcPr>
            <w:tcW w:w="83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55"/>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Total assets</w:t>
            </w:r>
          </w:p>
        </w:tc>
        <w:tc>
          <w:tcPr>
            <w:tcW w:w="26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7"/>
                <w:szCs w:val="17"/>
                <w:color w:val="auto"/>
              </w:rPr>
              <w:t>$</w:t>
            </w:r>
          </w:p>
        </w:tc>
        <w:tc>
          <w:tcPr>
            <w:tcW w:w="12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27,092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26,753</w:t>
            </w:r>
          </w:p>
        </w:tc>
      </w:tr>
      <w:tr>
        <w:trPr>
          <w:trHeight w:val="20"/>
        </w:trPr>
        <w:tc>
          <w:tcPr>
            <w:tcW w:w="83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r>
      <w:tr>
        <w:trPr>
          <w:trHeight w:val="197"/>
        </w:trPr>
        <w:tc>
          <w:tcPr>
            <w:tcW w:w="8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b w:val="1"/>
                <w:bCs w:val="1"/>
                <w:color w:val="auto"/>
              </w:rPr>
              <w:t>LIABILITIES AND PARTNERS’ CAPITAL</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r>
      <w:tr>
        <w:trPr>
          <w:trHeight w:val="216"/>
        </w:trPr>
        <w:tc>
          <w:tcPr>
            <w:tcW w:w="8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b w:val="1"/>
                <w:bCs w:val="1"/>
                <w:color w:val="auto"/>
              </w:rPr>
              <w:t>CURRENT LIABILITIES</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r>
      <w:tr>
        <w:trPr>
          <w:trHeight w:val="239"/>
        </w:trPr>
        <w:tc>
          <w:tcPr>
            <w:tcW w:w="8340" w:type="dxa"/>
            <w:vAlign w:val="bottom"/>
          </w:tcPr>
          <w:p>
            <w:pPr>
              <w:ind w:left="40"/>
              <w:spacing w:after="0"/>
              <w:rPr>
                <w:sz w:val="20"/>
                <w:szCs w:val="20"/>
                <w:color w:val="auto"/>
              </w:rPr>
            </w:pPr>
            <w:r>
              <w:rPr>
                <w:rFonts w:ascii="Arial" w:cs="Arial" w:eastAsia="Arial" w:hAnsi="Arial"/>
                <w:sz w:val="17"/>
                <w:szCs w:val="17"/>
                <w:color w:val="auto"/>
              </w:rPr>
              <w:t>Accounts payable and accrued liabilities</w:t>
            </w:r>
          </w:p>
        </w:tc>
        <w:tc>
          <w:tcPr>
            <w:tcW w:w="260" w:type="dxa"/>
            <w:vAlign w:val="bottom"/>
          </w:tcPr>
          <w:p>
            <w:pPr>
              <w:jc w:val="right"/>
              <w:ind w:right="55"/>
              <w:spacing w:after="0"/>
              <w:rPr>
                <w:sz w:val="20"/>
                <w:szCs w:val="20"/>
                <w:color w:val="auto"/>
              </w:rPr>
            </w:pPr>
            <w:r>
              <w:rPr>
                <w:rFonts w:ascii="Arial" w:cs="Arial" w:eastAsia="Arial" w:hAnsi="Arial"/>
                <w:sz w:val="17"/>
                <w:szCs w:val="17"/>
                <w:color w:val="auto"/>
              </w:rPr>
              <w:t>$</w:t>
            </w:r>
          </w:p>
        </w:tc>
        <w:tc>
          <w:tcPr>
            <w:tcW w:w="1240" w:type="dxa"/>
            <w:vAlign w:val="bottom"/>
          </w:tcPr>
          <w:p>
            <w:pPr>
              <w:jc w:val="right"/>
              <w:ind w:right="15"/>
              <w:spacing w:after="0"/>
              <w:rPr>
                <w:sz w:val="20"/>
                <w:szCs w:val="20"/>
                <w:color w:val="auto"/>
              </w:rPr>
            </w:pPr>
            <w:r>
              <w:rPr>
                <w:rFonts w:ascii="Arial" w:cs="Arial" w:eastAsia="Arial" w:hAnsi="Arial"/>
                <w:sz w:val="17"/>
                <w:szCs w:val="17"/>
                <w:color w:val="auto"/>
              </w:rPr>
              <w:t>3,557</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7"/>
                <w:szCs w:val="17"/>
                <w:color w:val="auto"/>
              </w:rPr>
              <w:t>$</w:t>
            </w:r>
          </w:p>
        </w:tc>
        <w:tc>
          <w:tcPr>
            <w:tcW w:w="1300" w:type="dxa"/>
            <w:vAlign w:val="bottom"/>
          </w:tcPr>
          <w:p>
            <w:pPr>
              <w:jc w:val="right"/>
              <w:ind w:right="15"/>
              <w:spacing w:after="0"/>
              <w:rPr>
                <w:sz w:val="20"/>
                <w:szCs w:val="20"/>
                <w:color w:val="auto"/>
              </w:rPr>
            </w:pPr>
            <w:r>
              <w:rPr>
                <w:rFonts w:ascii="Arial" w:cs="Arial" w:eastAsia="Arial" w:hAnsi="Arial"/>
                <w:sz w:val="17"/>
                <w:szCs w:val="17"/>
                <w:color w:val="auto"/>
              </w:rPr>
              <w:t>3,459</w:t>
            </w:r>
          </w:p>
        </w:tc>
      </w:tr>
      <w:tr>
        <w:trPr>
          <w:trHeight w:val="31"/>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Short-term debt</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943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737</w:t>
            </w:r>
          </w:p>
        </w:tc>
      </w:tr>
      <w:tr>
        <w:trPr>
          <w:trHeight w:val="239"/>
        </w:trPr>
        <w:tc>
          <w:tcPr>
            <w:tcW w:w="8340" w:type="dxa"/>
            <w:vAlign w:val="bottom"/>
          </w:tcPr>
          <w:p>
            <w:pPr>
              <w:ind w:left="40"/>
              <w:spacing w:after="0"/>
              <w:rPr>
                <w:sz w:val="20"/>
                <w:szCs w:val="20"/>
                <w:color w:val="auto"/>
              </w:rPr>
            </w:pPr>
            <w:r>
              <w:rPr>
                <w:rFonts w:ascii="Arial" w:cs="Arial" w:eastAsia="Arial" w:hAnsi="Arial"/>
                <w:sz w:val="17"/>
                <w:szCs w:val="17"/>
                <w:color w:val="auto"/>
              </w:rPr>
              <w:t>Other current liabilities</w:t>
            </w:r>
          </w:p>
        </w:tc>
        <w:tc>
          <w:tcPr>
            <w:tcW w:w="260" w:type="dxa"/>
            <w:vAlign w:val="bottom"/>
          </w:tcPr>
          <w:p>
            <w:pPr>
              <w:spacing w:after="0"/>
              <w:rPr>
                <w:sz w:val="20"/>
                <w:szCs w:val="20"/>
                <w:color w:val="auto"/>
              </w:rPr>
            </w:pPr>
          </w:p>
        </w:tc>
        <w:tc>
          <w:tcPr>
            <w:tcW w:w="1240" w:type="dxa"/>
            <w:vAlign w:val="bottom"/>
          </w:tcPr>
          <w:p>
            <w:pPr>
              <w:jc w:val="right"/>
              <w:ind w:right="15"/>
              <w:spacing w:after="0"/>
              <w:rPr>
                <w:sz w:val="20"/>
                <w:szCs w:val="20"/>
                <w:color w:val="auto"/>
              </w:rPr>
            </w:pPr>
            <w:r>
              <w:rPr>
                <w:rFonts w:ascii="Arial" w:cs="Arial" w:eastAsia="Arial" w:hAnsi="Arial"/>
                <w:sz w:val="17"/>
                <w:szCs w:val="17"/>
                <w:color w:val="auto"/>
              </w:rPr>
              <w:t>624</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jc w:val="right"/>
              <w:ind w:right="15"/>
              <w:spacing w:after="0"/>
              <w:rPr>
                <w:sz w:val="20"/>
                <w:szCs w:val="20"/>
                <w:color w:val="auto"/>
              </w:rPr>
            </w:pPr>
            <w:r>
              <w:rPr>
                <w:rFonts w:ascii="Arial" w:cs="Arial" w:eastAsia="Arial" w:hAnsi="Arial"/>
                <w:sz w:val="17"/>
                <w:szCs w:val="17"/>
                <w:color w:val="auto"/>
              </w:rPr>
              <w:t>337</w:t>
            </w:r>
          </w:p>
        </w:tc>
      </w:tr>
      <w:tr>
        <w:trPr>
          <w:trHeight w:val="31"/>
        </w:trPr>
        <w:tc>
          <w:tcPr>
            <w:tcW w:w="83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Total current liabilities</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5,124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4,533</w:t>
            </w:r>
          </w:p>
        </w:tc>
      </w:tr>
      <w:tr>
        <w:trPr>
          <w:trHeight w:val="210"/>
        </w:trPr>
        <w:tc>
          <w:tcPr>
            <w:tcW w:w="834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b w:val="1"/>
                <w:bCs w:val="1"/>
                <w:color w:val="auto"/>
              </w:rPr>
              <w:t>LONG-TERM LIABILITIES</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r>
      <w:tr>
        <w:trPr>
          <w:trHeight w:val="239"/>
        </w:trPr>
        <w:tc>
          <w:tcPr>
            <w:tcW w:w="8340" w:type="dxa"/>
            <w:vAlign w:val="bottom"/>
          </w:tcPr>
          <w:p>
            <w:pPr>
              <w:ind w:left="40"/>
              <w:spacing w:after="0"/>
              <w:rPr>
                <w:sz w:val="20"/>
                <w:szCs w:val="20"/>
                <w:color w:val="auto"/>
              </w:rPr>
            </w:pPr>
            <w:r>
              <w:rPr>
                <w:rFonts w:ascii="Arial" w:cs="Arial" w:eastAsia="Arial" w:hAnsi="Arial"/>
                <w:sz w:val="17"/>
                <w:szCs w:val="17"/>
                <w:color w:val="auto"/>
              </w:rPr>
              <w:t>Senior notes, net of unamortized discounts and debt issuance costs</w:t>
            </w:r>
          </w:p>
        </w:tc>
        <w:tc>
          <w:tcPr>
            <w:tcW w:w="260" w:type="dxa"/>
            <w:vAlign w:val="bottom"/>
          </w:tcPr>
          <w:p>
            <w:pPr>
              <w:spacing w:after="0"/>
              <w:rPr>
                <w:sz w:val="20"/>
                <w:szCs w:val="20"/>
                <w:color w:val="auto"/>
              </w:rPr>
            </w:pPr>
          </w:p>
        </w:tc>
        <w:tc>
          <w:tcPr>
            <w:tcW w:w="1240" w:type="dxa"/>
            <w:vAlign w:val="bottom"/>
          </w:tcPr>
          <w:p>
            <w:pPr>
              <w:jc w:val="right"/>
              <w:ind w:right="15"/>
              <w:spacing w:after="0"/>
              <w:rPr>
                <w:sz w:val="20"/>
                <w:szCs w:val="20"/>
                <w:color w:val="auto"/>
              </w:rPr>
            </w:pPr>
            <w:r>
              <w:rPr>
                <w:rFonts w:ascii="Arial" w:cs="Arial" w:eastAsia="Arial" w:hAnsi="Arial"/>
                <w:sz w:val="17"/>
                <w:szCs w:val="17"/>
                <w:color w:val="auto"/>
              </w:rPr>
              <w:t>8,937</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jc w:val="right"/>
              <w:ind w:right="15"/>
              <w:spacing w:after="0"/>
              <w:rPr>
                <w:sz w:val="20"/>
                <w:szCs w:val="20"/>
                <w:color w:val="auto"/>
              </w:rPr>
            </w:pPr>
            <w:r>
              <w:rPr>
                <w:rFonts w:ascii="Arial" w:cs="Arial" w:eastAsia="Arial" w:hAnsi="Arial"/>
                <w:sz w:val="17"/>
                <w:szCs w:val="17"/>
                <w:color w:val="auto"/>
              </w:rPr>
              <w:t>8,933</w:t>
            </w:r>
          </w:p>
        </w:tc>
      </w:tr>
      <w:tr>
        <w:trPr>
          <w:trHeight w:val="31"/>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Other long-term debt</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29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250</w:t>
            </w:r>
          </w:p>
        </w:tc>
      </w:tr>
      <w:tr>
        <w:trPr>
          <w:trHeight w:val="239"/>
        </w:trPr>
        <w:tc>
          <w:tcPr>
            <w:tcW w:w="8340" w:type="dxa"/>
            <w:vAlign w:val="bottom"/>
          </w:tcPr>
          <w:p>
            <w:pPr>
              <w:ind w:left="40"/>
              <w:spacing w:after="0"/>
              <w:rPr>
                <w:sz w:val="20"/>
                <w:szCs w:val="20"/>
                <w:color w:val="auto"/>
              </w:rPr>
            </w:pPr>
            <w:r>
              <w:rPr>
                <w:rFonts w:ascii="Arial" w:cs="Arial" w:eastAsia="Arial" w:hAnsi="Arial"/>
                <w:sz w:val="17"/>
                <w:szCs w:val="17"/>
                <w:color w:val="auto"/>
              </w:rPr>
              <w:t>Other long-term liabilities and deferred credits</w:t>
            </w:r>
          </w:p>
        </w:tc>
        <w:tc>
          <w:tcPr>
            <w:tcW w:w="260" w:type="dxa"/>
            <w:vAlign w:val="bottom"/>
          </w:tcPr>
          <w:p>
            <w:pPr>
              <w:spacing w:after="0"/>
              <w:rPr>
                <w:sz w:val="20"/>
                <w:szCs w:val="20"/>
                <w:color w:val="auto"/>
              </w:rPr>
            </w:pPr>
          </w:p>
        </w:tc>
        <w:tc>
          <w:tcPr>
            <w:tcW w:w="1240" w:type="dxa"/>
            <w:vAlign w:val="bottom"/>
          </w:tcPr>
          <w:p>
            <w:pPr>
              <w:jc w:val="right"/>
              <w:ind w:right="15"/>
              <w:spacing w:after="0"/>
              <w:rPr>
                <w:sz w:val="20"/>
                <w:szCs w:val="20"/>
                <w:color w:val="auto"/>
              </w:rPr>
            </w:pPr>
            <w:r>
              <w:rPr>
                <w:rFonts w:ascii="Arial" w:cs="Arial" w:eastAsia="Arial" w:hAnsi="Arial"/>
                <w:sz w:val="17"/>
                <w:szCs w:val="17"/>
                <w:color w:val="auto"/>
              </w:rPr>
              <w:t>787</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jc w:val="right"/>
              <w:ind w:right="15"/>
              <w:spacing w:after="0"/>
              <w:rPr>
                <w:sz w:val="20"/>
                <w:szCs w:val="20"/>
                <w:color w:val="auto"/>
              </w:rPr>
            </w:pPr>
            <w:r>
              <w:rPr>
                <w:rFonts w:ascii="Arial" w:cs="Arial" w:eastAsia="Arial" w:hAnsi="Arial"/>
                <w:sz w:val="17"/>
                <w:szCs w:val="17"/>
                <w:color w:val="auto"/>
              </w:rPr>
              <w:t>679</w:t>
            </w:r>
          </w:p>
        </w:tc>
      </w:tr>
      <w:tr>
        <w:trPr>
          <w:trHeight w:val="31"/>
        </w:trPr>
        <w:tc>
          <w:tcPr>
            <w:tcW w:w="83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Total long-term liabilities</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9,753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9,862</w:t>
            </w:r>
          </w:p>
        </w:tc>
      </w:tr>
      <w:tr>
        <w:trPr>
          <w:trHeight w:val="210"/>
        </w:trPr>
        <w:tc>
          <w:tcPr>
            <w:tcW w:w="834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b w:val="1"/>
                <w:bCs w:val="1"/>
                <w:color w:val="auto"/>
              </w:rPr>
              <w:t>COMMITMENTS AND CONTINGENCIES (NOTE 13)</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r>
      <w:tr>
        <w:trPr>
          <w:trHeight w:val="216"/>
        </w:trPr>
        <w:tc>
          <w:tcPr>
            <w:tcW w:w="8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b w:val="1"/>
                <w:bCs w:val="1"/>
                <w:color w:val="auto"/>
              </w:rPr>
              <w:t>PARTNERS’ CAPITAL</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r>
      <w:tr>
        <w:trPr>
          <w:trHeight w:val="239"/>
        </w:trPr>
        <w:tc>
          <w:tcPr>
            <w:tcW w:w="8340" w:type="dxa"/>
            <w:vAlign w:val="bottom"/>
          </w:tcPr>
          <w:p>
            <w:pPr>
              <w:ind w:left="40"/>
              <w:spacing w:after="0"/>
              <w:rPr>
                <w:sz w:val="20"/>
                <w:szCs w:val="20"/>
                <w:color w:val="auto"/>
              </w:rPr>
            </w:pPr>
            <w:r>
              <w:rPr>
                <w:rFonts w:ascii="Arial" w:cs="Arial" w:eastAsia="Arial" w:hAnsi="Arial"/>
                <w:sz w:val="17"/>
                <w:szCs w:val="17"/>
                <w:color w:val="auto"/>
              </w:rPr>
              <w:t>Class A Shareholders (157,954,130 and 156,111,139 shares outstanding, respectively)</w:t>
            </w:r>
          </w:p>
        </w:tc>
        <w:tc>
          <w:tcPr>
            <w:tcW w:w="260" w:type="dxa"/>
            <w:vAlign w:val="bottom"/>
          </w:tcPr>
          <w:p>
            <w:pPr>
              <w:spacing w:after="0"/>
              <w:rPr>
                <w:sz w:val="20"/>
                <w:szCs w:val="20"/>
                <w:color w:val="auto"/>
              </w:rPr>
            </w:pPr>
          </w:p>
        </w:tc>
        <w:tc>
          <w:tcPr>
            <w:tcW w:w="1240" w:type="dxa"/>
            <w:vAlign w:val="bottom"/>
          </w:tcPr>
          <w:p>
            <w:pPr>
              <w:jc w:val="right"/>
              <w:ind w:right="15"/>
              <w:spacing w:after="0"/>
              <w:rPr>
                <w:sz w:val="20"/>
                <w:szCs w:val="20"/>
                <w:color w:val="auto"/>
              </w:rPr>
            </w:pPr>
            <w:r>
              <w:rPr>
                <w:rFonts w:ascii="Arial" w:cs="Arial" w:eastAsia="Arial" w:hAnsi="Arial"/>
                <w:sz w:val="17"/>
                <w:szCs w:val="17"/>
                <w:color w:val="auto"/>
              </w:rPr>
              <w:t>1,661</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jc w:val="right"/>
              <w:ind w:right="15"/>
              <w:spacing w:after="0"/>
              <w:rPr>
                <w:sz w:val="20"/>
                <w:szCs w:val="20"/>
                <w:color w:val="auto"/>
              </w:rPr>
            </w:pPr>
            <w:r>
              <w:rPr>
                <w:rFonts w:ascii="Arial" w:cs="Arial" w:eastAsia="Arial" w:hAnsi="Arial"/>
                <w:sz w:val="17"/>
                <w:szCs w:val="17"/>
                <w:color w:val="auto"/>
              </w:rPr>
              <w:t>1,695</w:t>
            </w:r>
          </w:p>
        </w:tc>
      </w:tr>
      <w:tr>
        <w:trPr>
          <w:trHeight w:val="31"/>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Noncontrolling interests</w:t>
            </w:r>
          </w:p>
        </w:tc>
        <w:tc>
          <w:tcPr>
            <w:tcW w:w="2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10,554</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10,663</w:t>
            </w:r>
          </w:p>
        </w:tc>
      </w:tr>
      <w:tr>
        <w:trPr>
          <w:trHeight w:val="219"/>
        </w:trPr>
        <w:tc>
          <w:tcPr>
            <w:tcW w:w="8340" w:type="dxa"/>
            <w:vAlign w:val="bottom"/>
          </w:tcPr>
          <w:p>
            <w:pPr>
              <w:ind w:left="180"/>
              <w:spacing w:after="0"/>
              <w:rPr>
                <w:sz w:val="20"/>
                <w:szCs w:val="20"/>
                <w:color w:val="auto"/>
              </w:rPr>
            </w:pPr>
            <w:r>
              <w:rPr>
                <w:rFonts w:ascii="Arial" w:cs="Arial" w:eastAsia="Arial" w:hAnsi="Arial"/>
                <w:sz w:val="17"/>
                <w:szCs w:val="17"/>
                <w:color w:val="auto"/>
              </w:rPr>
              <w:t>Total partners’ capital</w:t>
            </w:r>
          </w:p>
        </w:tc>
        <w:tc>
          <w:tcPr>
            <w:tcW w:w="26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tcPr>
          <w:p>
            <w:pPr>
              <w:jc w:val="right"/>
              <w:ind w:right="15"/>
              <w:spacing w:after="0"/>
              <w:rPr>
                <w:sz w:val="20"/>
                <w:szCs w:val="20"/>
                <w:color w:val="auto"/>
              </w:rPr>
            </w:pPr>
            <w:r>
              <w:rPr>
                <w:rFonts w:ascii="Arial" w:cs="Arial" w:eastAsia="Arial" w:hAnsi="Arial"/>
                <w:sz w:val="17"/>
                <w:szCs w:val="17"/>
                <w:color w:val="auto"/>
              </w:rPr>
              <w:t>12,215</w:t>
            </w:r>
          </w:p>
        </w:tc>
        <w:tc>
          <w:tcPr>
            <w:tcW w:w="1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300" w:type="dxa"/>
            <w:vAlign w:val="bottom"/>
            <w:tcBorders>
              <w:top w:val="single" w:sz="8" w:color="auto"/>
            </w:tcBorders>
          </w:tcPr>
          <w:p>
            <w:pPr>
              <w:jc w:val="right"/>
              <w:ind w:right="15"/>
              <w:spacing w:after="0"/>
              <w:rPr>
                <w:sz w:val="20"/>
                <w:szCs w:val="20"/>
                <w:color w:val="auto"/>
              </w:rPr>
            </w:pPr>
            <w:r>
              <w:rPr>
                <w:rFonts w:ascii="Arial" w:cs="Arial" w:eastAsia="Arial" w:hAnsi="Arial"/>
                <w:sz w:val="17"/>
                <w:szCs w:val="17"/>
                <w:color w:val="auto"/>
              </w:rPr>
              <w:t>12,358</w:t>
            </w:r>
          </w:p>
        </w:tc>
      </w:tr>
      <w:tr>
        <w:trPr>
          <w:trHeight w:val="31"/>
        </w:trPr>
        <w:tc>
          <w:tcPr>
            <w:tcW w:w="83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55"/>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Total liabilities and partners’ capital</w:t>
            </w:r>
          </w:p>
        </w:tc>
        <w:tc>
          <w:tcPr>
            <w:tcW w:w="26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7"/>
                <w:szCs w:val="17"/>
                <w:color w:val="auto"/>
              </w:rPr>
              <w:t>$</w:t>
            </w:r>
          </w:p>
        </w:tc>
        <w:tc>
          <w:tcPr>
            <w:tcW w:w="12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27,092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26,753</w:t>
            </w:r>
          </w:p>
        </w:tc>
      </w:tr>
      <w:tr>
        <w:trPr>
          <w:trHeight w:val="20"/>
        </w:trPr>
        <w:tc>
          <w:tcPr>
            <w:tcW w:w="83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ectPr>
          <w:pgSz w:w="11900" w:h="16838" w:orient="portrait"/>
          <w:cols w:equalWidth="0" w:num="1">
            <w:col w:w="11420"/>
          </w:cols>
          <w:pgMar w:left="240" w:top="125" w:right="23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1420"/>
          </w:cols>
          <w:pgMar w:left="240" w:top="125" w:right="239" w:bottom="1440" w:gutter="0" w:footer="0" w:header="0"/>
          <w:type w:val="continuous"/>
        </w:sectPr>
      </w:pPr>
    </w:p>
    <w:bookmarkStart w:id="3" w:name="page4"/>
    <w:bookmarkEnd w:id="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PLAINS GP HOLDINGS, L.P.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per share data)</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20" w:type="dxa"/>
            <w:vAlign w:val="bottom"/>
          </w:tcPr>
          <w:p>
            <w:pPr>
              <w:spacing w:after="0"/>
              <w:rPr>
                <w:sz w:val="14"/>
                <w:szCs w:val="14"/>
                <w:color w:val="auto"/>
              </w:rPr>
            </w:pPr>
          </w:p>
        </w:tc>
        <w:tc>
          <w:tcPr>
            <w:tcW w:w="2340" w:type="dxa"/>
            <w:vAlign w:val="bottom"/>
            <w:gridSpan w:val="4"/>
          </w:tcPr>
          <w:p>
            <w:pPr>
              <w:jc w:val="center"/>
              <w:ind w:left="457"/>
              <w:spacing w:after="0"/>
              <w:rPr>
                <w:sz w:val="20"/>
                <w:szCs w:val="20"/>
                <w:color w:val="auto"/>
              </w:rPr>
            </w:pPr>
            <w:r>
              <w:rPr>
                <w:rFonts w:ascii="Arial" w:cs="Arial" w:eastAsia="Arial" w:hAnsi="Arial"/>
                <w:sz w:val="14"/>
                <w:szCs w:val="14"/>
                <w:b w:val="1"/>
                <w:bCs w:val="1"/>
                <w:color w:val="auto"/>
                <w:w w:val="95"/>
              </w:rPr>
              <w:t>Three Months Ended</w:t>
            </w: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60" w:type="dxa"/>
            <w:vAlign w:val="bottom"/>
            <w:gridSpan w:val="3"/>
          </w:tcPr>
          <w:p>
            <w:pPr>
              <w:jc w:val="center"/>
              <w:ind w:left="433"/>
              <w:spacing w:after="0"/>
              <w:rPr>
                <w:sz w:val="20"/>
                <w:szCs w:val="20"/>
                <w:color w:val="auto"/>
              </w:rPr>
            </w:pPr>
            <w:r>
              <w:rPr>
                <w:rFonts w:ascii="Arial" w:cs="Arial" w:eastAsia="Arial" w:hAnsi="Arial"/>
                <w:sz w:val="14"/>
                <w:szCs w:val="14"/>
                <w:b w:val="1"/>
                <w:bCs w:val="1"/>
                <w:color w:val="auto"/>
                <w:w w:val="93"/>
              </w:rPr>
              <w:t>Six Months Ended</w:t>
            </w: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5620" w:type="dxa"/>
            <w:vAlign w:val="bottom"/>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3"/>
          </w:tcPr>
          <w:p>
            <w:pPr>
              <w:jc w:val="center"/>
              <w:ind w:right="234"/>
              <w:spacing w:after="0"/>
              <w:rPr>
                <w:sz w:val="20"/>
                <w:szCs w:val="20"/>
                <w:color w:val="auto"/>
              </w:rPr>
            </w:pPr>
            <w:r>
              <w:rPr>
                <w:rFonts w:ascii="Arial" w:cs="Arial" w:eastAsia="Arial" w:hAnsi="Arial"/>
                <w:sz w:val="14"/>
                <w:szCs w:val="14"/>
                <w:b w:val="1"/>
                <w:bCs w:val="1"/>
                <w:color w:val="auto"/>
                <w:w w:val="92"/>
              </w:rPr>
              <w:t>June 30,</w:t>
            </w:r>
          </w:p>
        </w:tc>
        <w:tc>
          <w:tcPr>
            <w:tcW w:w="5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3"/>
          </w:tcPr>
          <w:p>
            <w:pPr>
              <w:jc w:val="center"/>
              <w:ind w:left="453"/>
              <w:spacing w:after="0"/>
              <w:rPr>
                <w:sz w:val="20"/>
                <w:szCs w:val="20"/>
                <w:color w:val="auto"/>
              </w:rPr>
            </w:pPr>
            <w:r>
              <w:rPr>
                <w:rFonts w:ascii="Arial" w:cs="Arial" w:eastAsia="Arial" w:hAnsi="Arial"/>
                <w:sz w:val="14"/>
                <w:szCs w:val="14"/>
                <w:b w:val="1"/>
                <w:bCs w:val="1"/>
                <w:color w:val="auto"/>
                <w:w w:val="92"/>
              </w:rPr>
              <w:t>June 30,</w:t>
            </w:r>
          </w:p>
        </w:tc>
        <w:tc>
          <w:tcPr>
            <w:tcW w:w="8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5620" w:type="dxa"/>
            <w:vAlign w:val="bottom"/>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5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52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auto"/>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w w:val="89"/>
              </w:rPr>
              <w:t>2017</w:t>
            </w:r>
          </w:p>
        </w:tc>
        <w:tc>
          <w:tcPr>
            <w:tcW w:w="0" w:type="dxa"/>
            <w:vAlign w:val="bottom"/>
          </w:tcPr>
          <w:p>
            <w:pPr>
              <w:spacing w:after="0"/>
              <w:rPr>
                <w:sz w:val="1"/>
                <w:szCs w:val="1"/>
                <w:color w:val="auto"/>
              </w:rPr>
            </w:pPr>
          </w:p>
        </w:tc>
      </w:tr>
      <w:tr>
        <w:trPr>
          <w:trHeight w:val="250"/>
        </w:trPr>
        <w:tc>
          <w:tcPr>
            <w:tcW w:w="56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480" w:type="dxa"/>
            <w:vAlign w:val="bottom"/>
            <w:gridSpan w:val="3"/>
          </w:tcPr>
          <w:p>
            <w:pPr>
              <w:jc w:val="center"/>
              <w:ind w:right="234"/>
              <w:spacing w:after="0"/>
              <w:rPr>
                <w:sz w:val="20"/>
                <w:szCs w:val="20"/>
                <w:color w:val="auto"/>
              </w:rPr>
            </w:pPr>
            <w:r>
              <w:rPr>
                <w:rFonts w:ascii="Arial" w:cs="Arial" w:eastAsia="Arial" w:hAnsi="Arial"/>
                <w:sz w:val="14"/>
                <w:szCs w:val="14"/>
                <w:b w:val="1"/>
                <w:bCs w:val="1"/>
                <w:color w:val="auto"/>
                <w:w w:val="94"/>
              </w:rPr>
              <w:t>(unaudited)</w:t>
            </w:r>
          </w:p>
        </w:tc>
        <w:tc>
          <w:tcPr>
            <w:tcW w:w="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660" w:type="dxa"/>
            <w:vAlign w:val="bottom"/>
            <w:gridSpan w:val="3"/>
          </w:tcPr>
          <w:p>
            <w:pPr>
              <w:jc w:val="center"/>
              <w:ind w:left="453"/>
              <w:spacing w:after="0"/>
              <w:rPr>
                <w:sz w:val="20"/>
                <w:szCs w:val="20"/>
                <w:color w:val="auto"/>
              </w:rPr>
            </w:pPr>
            <w:r>
              <w:rPr>
                <w:rFonts w:ascii="Arial" w:cs="Arial" w:eastAsia="Arial" w:hAnsi="Arial"/>
                <w:sz w:val="14"/>
                <w:szCs w:val="14"/>
                <w:b w:val="1"/>
                <w:bCs w:val="1"/>
                <w:color w:val="auto"/>
                <w:w w:val="94"/>
              </w:rPr>
              <w:t>(unaudited)</w:t>
            </w:r>
          </w:p>
        </w:tc>
        <w:tc>
          <w:tcPr>
            <w:tcW w:w="8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REVENUES</w:t>
            </w:r>
          </w:p>
        </w:tc>
        <w:tc>
          <w:tcPr>
            <w:tcW w:w="86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Supply and Logistics segment revenues</w:t>
            </w:r>
          </w:p>
        </w:tc>
        <w:tc>
          <w:tcPr>
            <w:tcW w:w="860" w:type="dxa"/>
            <w:vAlign w:val="bottom"/>
          </w:tcPr>
          <w:p>
            <w:pPr>
              <w:jc w:val="right"/>
              <w:ind w:right="677"/>
              <w:spacing w:after="0"/>
              <w:rPr>
                <w:sz w:val="20"/>
                <w:szCs w:val="20"/>
                <w:color w:val="auto"/>
              </w:rPr>
            </w:pPr>
            <w:r>
              <w:rPr>
                <w:rFonts w:ascii="Arial" w:cs="Arial" w:eastAsia="Arial" w:hAnsi="Arial"/>
                <w:sz w:val="18"/>
                <w:szCs w:val="18"/>
                <w:color w:val="auto"/>
                <w:w w:val="79"/>
              </w:rPr>
              <w:t>$</w:t>
            </w:r>
          </w:p>
        </w:tc>
        <w:tc>
          <w:tcPr>
            <w:tcW w:w="520" w:type="dxa"/>
            <w:vAlign w:val="bottom"/>
          </w:tcPr>
          <w:p>
            <w:pPr>
              <w:jc w:val="right"/>
              <w:ind w:right="12"/>
              <w:spacing w:after="0"/>
              <w:rPr>
                <w:sz w:val="20"/>
                <w:szCs w:val="20"/>
                <w:color w:val="auto"/>
              </w:rPr>
            </w:pPr>
            <w:r>
              <w:rPr>
                <w:rFonts w:ascii="Arial" w:cs="Arial" w:eastAsia="Arial" w:hAnsi="Arial"/>
                <w:sz w:val="18"/>
                <w:szCs w:val="18"/>
                <w:color w:val="auto"/>
                <w:w w:val="88"/>
              </w:rPr>
              <w:t>7,781</w:t>
            </w:r>
          </w:p>
        </w:tc>
        <w:tc>
          <w:tcPr>
            <w:tcW w:w="120" w:type="dxa"/>
            <w:vAlign w:val="bottom"/>
          </w:tcPr>
          <w:p>
            <w:pPr>
              <w:spacing w:after="0"/>
              <w:rPr>
                <w:sz w:val="21"/>
                <w:szCs w:val="21"/>
                <w:color w:val="auto"/>
              </w:rPr>
            </w:pPr>
          </w:p>
        </w:tc>
        <w:tc>
          <w:tcPr>
            <w:tcW w:w="840" w:type="dxa"/>
            <w:vAlign w:val="bottom"/>
          </w:tcPr>
          <w:p>
            <w:pPr>
              <w:jc w:val="right"/>
              <w:ind w:right="654"/>
              <w:spacing w:after="0"/>
              <w:rPr>
                <w:sz w:val="20"/>
                <w:szCs w:val="20"/>
                <w:color w:val="auto"/>
              </w:rPr>
            </w:pPr>
            <w:r>
              <w:rPr>
                <w:rFonts w:ascii="Arial" w:cs="Arial" w:eastAsia="Arial" w:hAnsi="Arial"/>
                <w:sz w:val="18"/>
                <w:szCs w:val="18"/>
                <w:color w:val="auto"/>
                <w:w w:val="79"/>
              </w:rPr>
              <w:t>$</w:t>
            </w:r>
          </w:p>
        </w:tc>
        <w:tc>
          <w:tcPr>
            <w:tcW w:w="520" w:type="dxa"/>
            <w:vAlign w:val="bottom"/>
          </w:tcPr>
          <w:p>
            <w:pPr>
              <w:jc w:val="right"/>
              <w:ind w:right="30"/>
              <w:spacing w:after="0"/>
              <w:rPr>
                <w:sz w:val="20"/>
                <w:szCs w:val="20"/>
                <w:color w:val="auto"/>
              </w:rPr>
            </w:pPr>
            <w:r>
              <w:rPr>
                <w:rFonts w:ascii="Arial" w:cs="Arial" w:eastAsia="Arial" w:hAnsi="Arial"/>
                <w:sz w:val="18"/>
                <w:szCs w:val="18"/>
                <w:color w:val="auto"/>
                <w:w w:val="84"/>
              </w:rPr>
              <w:t>5,781</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15,892</w:t>
            </w:r>
          </w:p>
        </w:tc>
        <w:tc>
          <w:tcPr>
            <w:tcW w:w="120" w:type="dxa"/>
            <w:vAlign w:val="bottom"/>
          </w:tcPr>
          <w:p>
            <w:pPr>
              <w:spacing w:after="0"/>
              <w:rPr>
                <w:sz w:val="21"/>
                <w:szCs w:val="21"/>
                <w:color w:val="auto"/>
              </w:rPr>
            </w:pPr>
          </w:p>
        </w:tc>
        <w:tc>
          <w:tcPr>
            <w:tcW w:w="520" w:type="dxa"/>
            <w:vAlign w:val="bottom"/>
          </w:tcPr>
          <w:p>
            <w:pPr>
              <w:jc w:val="right"/>
              <w:ind w:right="31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ind w:right="11"/>
              <w:spacing w:after="0"/>
              <w:rPr>
                <w:sz w:val="20"/>
                <w:szCs w:val="20"/>
                <w:color w:val="auto"/>
              </w:rPr>
            </w:pPr>
            <w:r>
              <w:rPr>
                <w:rFonts w:ascii="Arial" w:cs="Arial" w:eastAsia="Arial" w:hAnsi="Arial"/>
                <w:sz w:val="18"/>
                <w:szCs w:val="18"/>
                <w:color w:val="auto"/>
              </w:rPr>
              <w:t>12,176</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8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Transportation segment revenues</w:t>
            </w:r>
          </w:p>
        </w:tc>
        <w:tc>
          <w:tcPr>
            <w:tcW w:w="86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152</w:t>
            </w: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298</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299</w:t>
            </w: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Facilities segment revenues</w:t>
            </w:r>
          </w:p>
        </w:tc>
        <w:tc>
          <w:tcPr>
            <w:tcW w:w="860" w:type="dxa"/>
            <w:vAlign w:val="bottom"/>
          </w:tcPr>
          <w:p>
            <w:pPr>
              <w:spacing w:after="0"/>
              <w:rPr>
                <w:sz w:val="21"/>
                <w:szCs w:val="21"/>
                <w:color w:val="auto"/>
              </w:rPr>
            </w:pPr>
          </w:p>
        </w:tc>
        <w:tc>
          <w:tcPr>
            <w:tcW w:w="520" w:type="dxa"/>
            <w:vAlign w:val="bottom"/>
          </w:tcPr>
          <w:p>
            <w:pPr>
              <w:jc w:val="right"/>
              <w:ind w:right="12"/>
              <w:spacing w:after="0"/>
              <w:rPr>
                <w:sz w:val="20"/>
                <w:szCs w:val="20"/>
                <w:color w:val="auto"/>
              </w:rPr>
            </w:pPr>
            <w:r>
              <w:rPr>
                <w:rFonts w:ascii="Arial" w:cs="Arial" w:eastAsia="Arial" w:hAnsi="Arial"/>
                <w:sz w:val="18"/>
                <w:szCs w:val="18"/>
                <w:color w:val="auto"/>
              </w:rPr>
              <w:t>147</w:t>
            </w:r>
          </w:p>
        </w:tc>
        <w:tc>
          <w:tcPr>
            <w:tcW w:w="1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520" w:type="dxa"/>
            <w:vAlign w:val="bottom"/>
          </w:tcPr>
          <w:p>
            <w:pPr>
              <w:jc w:val="right"/>
              <w:ind w:right="30"/>
              <w:spacing w:after="0"/>
              <w:rPr>
                <w:sz w:val="20"/>
                <w:szCs w:val="20"/>
                <w:color w:val="auto"/>
              </w:rPr>
            </w:pPr>
            <w:r>
              <w:rPr>
                <w:rFonts w:ascii="Arial" w:cs="Arial" w:eastAsia="Arial" w:hAnsi="Arial"/>
                <w:sz w:val="18"/>
                <w:szCs w:val="18"/>
                <w:color w:val="auto"/>
              </w:rPr>
              <w:t>136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288</w:t>
            </w: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40" w:type="dxa"/>
            <w:vAlign w:val="bottom"/>
          </w:tcPr>
          <w:p>
            <w:pPr>
              <w:jc w:val="right"/>
              <w:ind w:right="11"/>
              <w:spacing w:after="0"/>
              <w:rPr>
                <w:sz w:val="20"/>
                <w:szCs w:val="20"/>
                <w:color w:val="auto"/>
              </w:rPr>
            </w:pPr>
            <w:r>
              <w:rPr>
                <w:rFonts w:ascii="Arial" w:cs="Arial" w:eastAsia="Arial" w:hAnsi="Arial"/>
                <w:sz w:val="18"/>
                <w:szCs w:val="18"/>
                <w:color w:val="auto"/>
              </w:rPr>
              <w:t>270</w:t>
            </w:r>
          </w:p>
        </w:tc>
        <w:tc>
          <w:tcPr>
            <w:tcW w:w="0" w:type="dxa"/>
            <w:vAlign w:val="bottom"/>
          </w:tcPr>
          <w:p>
            <w:pPr>
              <w:spacing w:after="0"/>
              <w:rPr>
                <w:sz w:val="1"/>
                <w:szCs w:val="1"/>
                <w:color w:val="auto"/>
              </w:rPr>
            </w:pPr>
          </w:p>
        </w:tc>
      </w:tr>
      <w:tr>
        <w:trPr>
          <w:trHeight w:val="27"/>
        </w:trPr>
        <w:tc>
          <w:tcPr>
            <w:tcW w:w="562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revenues</w:t>
            </w:r>
          </w:p>
        </w:tc>
        <w:tc>
          <w:tcPr>
            <w:tcW w:w="86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w w:val="88"/>
              </w:rPr>
              <w:t>8,080</w:t>
            </w: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84"/>
              </w:rPr>
              <w:t>6,078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16,478</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12,745</w:t>
            </w:r>
          </w:p>
        </w:tc>
        <w:tc>
          <w:tcPr>
            <w:tcW w:w="0" w:type="dxa"/>
            <w:vAlign w:val="bottom"/>
          </w:tcPr>
          <w:p>
            <w:pPr>
              <w:spacing w:after="0"/>
              <w:rPr>
                <w:sz w:val="1"/>
                <w:szCs w:val="1"/>
                <w:color w:val="auto"/>
              </w:rPr>
            </w:pPr>
          </w:p>
        </w:tc>
      </w:tr>
      <w:tr>
        <w:trPr>
          <w:trHeight w:val="297"/>
        </w:trPr>
        <w:tc>
          <w:tcPr>
            <w:tcW w:w="56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COSTS AND EXPENSES</w:t>
            </w:r>
          </w:p>
        </w:tc>
        <w:tc>
          <w:tcPr>
            <w:tcW w:w="86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Purchases and related costs</w:t>
            </w:r>
          </w:p>
        </w:tc>
        <w:tc>
          <w:tcPr>
            <w:tcW w:w="860" w:type="dxa"/>
            <w:vAlign w:val="bottom"/>
          </w:tcPr>
          <w:p>
            <w:pPr>
              <w:spacing w:after="0"/>
              <w:rPr>
                <w:sz w:val="21"/>
                <w:szCs w:val="21"/>
                <w:color w:val="auto"/>
              </w:rPr>
            </w:pPr>
          </w:p>
        </w:tc>
        <w:tc>
          <w:tcPr>
            <w:tcW w:w="520" w:type="dxa"/>
            <w:vAlign w:val="bottom"/>
          </w:tcPr>
          <w:p>
            <w:pPr>
              <w:jc w:val="right"/>
              <w:ind w:right="12"/>
              <w:spacing w:after="0"/>
              <w:rPr>
                <w:sz w:val="20"/>
                <w:szCs w:val="20"/>
                <w:color w:val="auto"/>
              </w:rPr>
            </w:pPr>
            <w:r>
              <w:rPr>
                <w:rFonts w:ascii="Arial" w:cs="Arial" w:eastAsia="Arial" w:hAnsi="Arial"/>
                <w:sz w:val="18"/>
                <w:szCs w:val="18"/>
                <w:color w:val="auto"/>
                <w:w w:val="88"/>
              </w:rPr>
              <w:t>7,551</w:t>
            </w:r>
          </w:p>
        </w:tc>
        <w:tc>
          <w:tcPr>
            <w:tcW w:w="1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520" w:type="dxa"/>
            <w:vAlign w:val="bottom"/>
          </w:tcPr>
          <w:p>
            <w:pPr>
              <w:jc w:val="right"/>
              <w:ind w:right="30"/>
              <w:spacing w:after="0"/>
              <w:rPr>
                <w:sz w:val="20"/>
                <w:szCs w:val="20"/>
                <w:color w:val="auto"/>
              </w:rPr>
            </w:pPr>
            <w:r>
              <w:rPr>
                <w:rFonts w:ascii="Arial" w:cs="Arial" w:eastAsia="Arial" w:hAnsi="Arial"/>
                <w:sz w:val="18"/>
                <w:szCs w:val="18"/>
                <w:color w:val="auto"/>
                <w:w w:val="84"/>
              </w:rPr>
              <w:t>5,320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15,070</w:t>
            </w: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40" w:type="dxa"/>
            <w:vAlign w:val="bottom"/>
          </w:tcPr>
          <w:p>
            <w:pPr>
              <w:jc w:val="right"/>
              <w:ind w:right="11"/>
              <w:spacing w:after="0"/>
              <w:rPr>
                <w:sz w:val="20"/>
                <w:szCs w:val="20"/>
                <w:color w:val="auto"/>
              </w:rPr>
            </w:pPr>
            <w:r>
              <w:rPr>
                <w:rFonts w:ascii="Arial" w:cs="Arial" w:eastAsia="Arial" w:hAnsi="Arial"/>
                <w:sz w:val="18"/>
                <w:szCs w:val="18"/>
                <w:color w:val="auto"/>
              </w:rPr>
              <w:t>10,912</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8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Field operating costs</w:t>
            </w:r>
          </w:p>
        </w:tc>
        <w:tc>
          <w:tcPr>
            <w:tcW w:w="86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312</w:t>
            </w: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304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605</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593</w:t>
            </w: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General and administrative expenses</w:t>
            </w:r>
          </w:p>
        </w:tc>
        <w:tc>
          <w:tcPr>
            <w:tcW w:w="860" w:type="dxa"/>
            <w:vAlign w:val="bottom"/>
          </w:tcPr>
          <w:p>
            <w:pPr>
              <w:spacing w:after="0"/>
              <w:rPr>
                <w:sz w:val="21"/>
                <w:szCs w:val="21"/>
                <w:color w:val="auto"/>
              </w:rPr>
            </w:pPr>
          </w:p>
        </w:tc>
        <w:tc>
          <w:tcPr>
            <w:tcW w:w="520" w:type="dxa"/>
            <w:vAlign w:val="bottom"/>
          </w:tcPr>
          <w:p>
            <w:pPr>
              <w:jc w:val="right"/>
              <w:ind w:right="12"/>
              <w:spacing w:after="0"/>
              <w:rPr>
                <w:sz w:val="20"/>
                <w:szCs w:val="20"/>
                <w:color w:val="auto"/>
              </w:rPr>
            </w:pPr>
            <w:r>
              <w:rPr>
                <w:rFonts w:ascii="Arial" w:cs="Arial" w:eastAsia="Arial" w:hAnsi="Arial"/>
                <w:sz w:val="18"/>
                <w:szCs w:val="18"/>
                <w:color w:val="auto"/>
              </w:rPr>
              <w:t>81</w:t>
            </w:r>
          </w:p>
        </w:tc>
        <w:tc>
          <w:tcPr>
            <w:tcW w:w="1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520" w:type="dxa"/>
            <w:vAlign w:val="bottom"/>
          </w:tcPr>
          <w:p>
            <w:pPr>
              <w:jc w:val="right"/>
              <w:ind w:right="30"/>
              <w:spacing w:after="0"/>
              <w:rPr>
                <w:sz w:val="20"/>
                <w:szCs w:val="20"/>
                <w:color w:val="auto"/>
              </w:rPr>
            </w:pPr>
            <w:r>
              <w:rPr>
                <w:rFonts w:ascii="Arial" w:cs="Arial" w:eastAsia="Arial" w:hAnsi="Arial"/>
                <w:sz w:val="18"/>
                <w:szCs w:val="18"/>
                <w:color w:val="auto"/>
              </w:rPr>
              <w:t>69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161</w:t>
            </w: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40" w:type="dxa"/>
            <w:vAlign w:val="bottom"/>
          </w:tcPr>
          <w:p>
            <w:pPr>
              <w:jc w:val="right"/>
              <w:ind w:right="11"/>
              <w:spacing w:after="0"/>
              <w:rPr>
                <w:sz w:val="20"/>
                <w:szCs w:val="20"/>
                <w:color w:val="auto"/>
              </w:rPr>
            </w:pPr>
            <w:r>
              <w:rPr>
                <w:rFonts w:ascii="Arial" w:cs="Arial" w:eastAsia="Arial" w:hAnsi="Arial"/>
                <w:sz w:val="18"/>
                <w:szCs w:val="18"/>
                <w:color w:val="auto"/>
              </w:rPr>
              <w:t>145</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8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Depreciation and amortization</w:t>
            </w:r>
          </w:p>
        </w:tc>
        <w:tc>
          <w:tcPr>
            <w:tcW w:w="86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50</w:t>
            </w:r>
          </w:p>
        </w:tc>
        <w:tc>
          <w:tcPr>
            <w:tcW w:w="12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129</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176</w:t>
            </w:r>
          </w:p>
        </w:tc>
        <w:tc>
          <w:tcPr>
            <w:tcW w:w="12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251</w:t>
            </w:r>
          </w:p>
        </w:tc>
        <w:tc>
          <w:tcPr>
            <w:tcW w:w="0" w:type="dxa"/>
            <w:vAlign w:val="bottom"/>
          </w:tcPr>
          <w:p>
            <w:pPr>
              <w:spacing w:after="0"/>
              <w:rPr>
                <w:sz w:val="1"/>
                <w:szCs w:val="1"/>
                <w:color w:val="auto"/>
              </w:rPr>
            </w:pPr>
          </w:p>
        </w:tc>
      </w:tr>
      <w:tr>
        <w:trPr>
          <w:trHeight w:val="237"/>
        </w:trPr>
        <w:tc>
          <w:tcPr>
            <w:tcW w:w="5620" w:type="dxa"/>
            <w:vAlign w:val="bottom"/>
          </w:tcPr>
          <w:p>
            <w:pPr>
              <w:ind w:left="180"/>
              <w:spacing w:after="0"/>
              <w:rPr>
                <w:sz w:val="20"/>
                <w:szCs w:val="20"/>
                <w:color w:val="auto"/>
              </w:rPr>
            </w:pPr>
            <w:r>
              <w:rPr>
                <w:rFonts w:ascii="Arial" w:cs="Arial" w:eastAsia="Arial" w:hAnsi="Arial"/>
                <w:sz w:val="18"/>
                <w:szCs w:val="18"/>
                <w:color w:val="auto"/>
              </w:rPr>
              <w:t>Total costs and expenses</w:t>
            </w:r>
          </w:p>
        </w:tc>
        <w:tc>
          <w:tcPr>
            <w:tcW w:w="860" w:type="dxa"/>
            <w:vAlign w:val="bottom"/>
            <w:tcBorders>
              <w:top w:val="single" w:sz="8" w:color="auto"/>
            </w:tcBorders>
          </w:tcPr>
          <w:p>
            <w:pPr>
              <w:spacing w:after="0"/>
              <w:rPr>
                <w:sz w:val="20"/>
                <w:szCs w:val="20"/>
                <w:color w:val="auto"/>
              </w:rPr>
            </w:pPr>
          </w:p>
        </w:tc>
        <w:tc>
          <w:tcPr>
            <w:tcW w:w="5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w w:val="88"/>
              </w:rPr>
              <w:t>7,994</w:t>
            </w:r>
          </w:p>
        </w:tc>
        <w:tc>
          <w:tcPr>
            <w:tcW w:w="120" w:type="dxa"/>
            <w:vAlign w:val="bottom"/>
          </w:tcPr>
          <w:p>
            <w:pPr>
              <w:spacing w:after="0"/>
              <w:rPr>
                <w:sz w:val="20"/>
                <w:szCs w:val="20"/>
                <w:color w:val="auto"/>
              </w:rPr>
            </w:pPr>
          </w:p>
        </w:tc>
        <w:tc>
          <w:tcPr>
            <w:tcW w:w="840" w:type="dxa"/>
            <w:vAlign w:val="bottom"/>
            <w:tcBorders>
              <w:top w:val="single" w:sz="8" w:color="auto"/>
            </w:tcBorders>
          </w:tcPr>
          <w:p>
            <w:pPr>
              <w:spacing w:after="0"/>
              <w:rPr>
                <w:sz w:val="20"/>
                <w:szCs w:val="20"/>
                <w:color w:val="auto"/>
              </w:rPr>
            </w:pPr>
          </w:p>
        </w:tc>
        <w:tc>
          <w:tcPr>
            <w:tcW w:w="5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84"/>
              </w:rPr>
              <w:t>5,822</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16,012</w:t>
            </w:r>
          </w:p>
        </w:tc>
        <w:tc>
          <w:tcPr>
            <w:tcW w:w="120" w:type="dxa"/>
            <w:vAlign w:val="bottom"/>
          </w:tcPr>
          <w:p>
            <w:pPr>
              <w:spacing w:after="0"/>
              <w:rPr>
                <w:sz w:val="20"/>
                <w:szCs w:val="20"/>
                <w:color w:val="auto"/>
              </w:rPr>
            </w:pPr>
          </w:p>
        </w:tc>
        <w:tc>
          <w:tcPr>
            <w:tcW w:w="52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11,901</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8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24"/>
        </w:trPr>
        <w:tc>
          <w:tcPr>
            <w:tcW w:w="562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b w:val="1"/>
                <w:bCs w:val="1"/>
                <w:color w:val="auto"/>
              </w:rPr>
              <w:t>OPERATING INCOME</w:t>
            </w:r>
          </w:p>
        </w:tc>
        <w:tc>
          <w:tcPr>
            <w:tcW w:w="860" w:type="dxa"/>
            <w:vAlign w:val="bottom"/>
          </w:tcPr>
          <w:p>
            <w:pPr>
              <w:spacing w:after="0"/>
              <w:rPr>
                <w:sz w:val="21"/>
                <w:szCs w:val="21"/>
                <w:color w:val="auto"/>
              </w:rPr>
            </w:pPr>
          </w:p>
        </w:tc>
        <w:tc>
          <w:tcPr>
            <w:tcW w:w="520" w:type="dxa"/>
            <w:vAlign w:val="bottom"/>
          </w:tcPr>
          <w:p>
            <w:pPr>
              <w:jc w:val="right"/>
              <w:ind w:right="12"/>
              <w:spacing w:after="0"/>
              <w:rPr>
                <w:sz w:val="20"/>
                <w:szCs w:val="20"/>
                <w:color w:val="auto"/>
              </w:rPr>
            </w:pPr>
            <w:r>
              <w:rPr>
                <w:rFonts w:ascii="Arial" w:cs="Arial" w:eastAsia="Arial" w:hAnsi="Arial"/>
                <w:sz w:val="18"/>
                <w:szCs w:val="18"/>
                <w:color w:val="auto"/>
              </w:rPr>
              <w:t>86</w:t>
            </w:r>
          </w:p>
        </w:tc>
        <w:tc>
          <w:tcPr>
            <w:tcW w:w="1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520" w:type="dxa"/>
            <w:vAlign w:val="bottom"/>
          </w:tcPr>
          <w:p>
            <w:pPr>
              <w:jc w:val="right"/>
              <w:ind w:right="30"/>
              <w:spacing w:after="0"/>
              <w:rPr>
                <w:sz w:val="20"/>
                <w:szCs w:val="20"/>
                <w:color w:val="auto"/>
              </w:rPr>
            </w:pPr>
            <w:r>
              <w:rPr>
                <w:rFonts w:ascii="Arial" w:cs="Arial" w:eastAsia="Arial" w:hAnsi="Arial"/>
                <w:sz w:val="18"/>
                <w:szCs w:val="18"/>
                <w:color w:val="auto"/>
              </w:rPr>
              <w:t>256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466</w:t>
            </w: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40" w:type="dxa"/>
            <w:vAlign w:val="bottom"/>
          </w:tcPr>
          <w:p>
            <w:pPr>
              <w:jc w:val="right"/>
              <w:ind w:right="11"/>
              <w:spacing w:after="0"/>
              <w:rPr>
                <w:sz w:val="20"/>
                <w:szCs w:val="20"/>
                <w:color w:val="auto"/>
              </w:rPr>
            </w:pPr>
            <w:r>
              <w:rPr>
                <w:rFonts w:ascii="Arial" w:cs="Arial" w:eastAsia="Arial" w:hAnsi="Arial"/>
                <w:sz w:val="18"/>
                <w:szCs w:val="18"/>
                <w:color w:val="auto"/>
              </w:rPr>
              <w:t>844</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8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7"/>
        </w:trPr>
        <w:tc>
          <w:tcPr>
            <w:tcW w:w="562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b w:val="1"/>
                <w:bCs w:val="1"/>
                <w:color w:val="auto"/>
              </w:rPr>
              <w:t>OTHER INCOME/(EXPENSE)</w:t>
            </w:r>
          </w:p>
        </w:tc>
        <w:tc>
          <w:tcPr>
            <w:tcW w:w="8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8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Equity earnings in unconsolidated entities</w:t>
            </w:r>
          </w:p>
        </w:tc>
        <w:tc>
          <w:tcPr>
            <w:tcW w:w="86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96</w:t>
            </w: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171</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121</w:t>
            </w:r>
          </w:p>
        </w:tc>
        <w:tc>
          <w:tcPr>
            <w:tcW w:w="0" w:type="dxa"/>
            <w:vAlign w:val="bottom"/>
          </w:tcPr>
          <w:p>
            <w:pPr>
              <w:spacing w:after="0"/>
              <w:rPr>
                <w:sz w:val="1"/>
                <w:szCs w:val="1"/>
                <w:color w:val="auto"/>
              </w:rPr>
            </w:pPr>
          </w:p>
        </w:tc>
      </w:tr>
      <w:tr>
        <w:trPr>
          <w:trHeight w:val="229"/>
        </w:trPr>
        <w:tc>
          <w:tcPr>
            <w:tcW w:w="5620" w:type="dxa"/>
            <w:vAlign w:val="bottom"/>
          </w:tcPr>
          <w:p>
            <w:pPr>
              <w:ind w:left="40"/>
              <w:spacing w:after="0"/>
              <w:rPr>
                <w:sz w:val="20"/>
                <w:szCs w:val="20"/>
                <w:color w:val="auto"/>
              </w:rPr>
            </w:pPr>
            <w:r>
              <w:rPr>
                <w:rFonts w:ascii="Arial" w:cs="Arial" w:eastAsia="Arial" w:hAnsi="Arial"/>
                <w:sz w:val="18"/>
                <w:szCs w:val="18"/>
                <w:color w:val="auto"/>
              </w:rPr>
              <w:t>Interest expense (net of capitalized interest of $7, $9, $13 and $15,</w:t>
            </w:r>
          </w:p>
        </w:tc>
        <w:tc>
          <w:tcPr>
            <w:tcW w:w="8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20" w:type="dxa"/>
            <w:vAlign w:val="bottom"/>
          </w:tcPr>
          <w:p>
            <w:pPr>
              <w:ind w:left="200"/>
              <w:spacing w:after="0"/>
              <w:rPr>
                <w:sz w:val="20"/>
                <w:szCs w:val="20"/>
                <w:color w:val="auto"/>
              </w:rPr>
            </w:pPr>
            <w:r>
              <w:rPr>
                <w:rFonts w:ascii="Arial" w:cs="Arial" w:eastAsia="Arial" w:hAnsi="Arial"/>
                <w:sz w:val="18"/>
                <w:szCs w:val="18"/>
                <w:color w:val="auto"/>
              </w:rPr>
              <w:t>respectively)</w:t>
            </w:r>
          </w:p>
        </w:tc>
        <w:tc>
          <w:tcPr>
            <w:tcW w:w="86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(111)</w:t>
            </w:r>
          </w:p>
        </w:tc>
        <w:tc>
          <w:tcPr>
            <w:tcW w:w="1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(127)</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(217)</w:t>
            </w: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(256)</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8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income/(expense), net</w:t>
            </w:r>
          </w:p>
        </w:tc>
        <w:tc>
          <w:tcPr>
            <w:tcW w:w="86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w:t>
            </w:r>
          </w:p>
        </w:tc>
        <w:tc>
          <w:tcPr>
            <w:tcW w:w="12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w:t>
            </w:r>
          </w:p>
        </w:tc>
        <w:tc>
          <w:tcPr>
            <w:tcW w:w="12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91"/>
        </w:trPr>
        <w:tc>
          <w:tcPr>
            <w:tcW w:w="5620" w:type="dxa"/>
            <w:vAlign w:val="bottom"/>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INCOME BEFORE TAX</w:t>
            </w:r>
          </w:p>
        </w:tc>
        <w:tc>
          <w:tcPr>
            <w:tcW w:w="86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82</w:t>
            </w: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430</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705</w:t>
            </w: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Current income tax expense</w:t>
            </w:r>
          </w:p>
        </w:tc>
        <w:tc>
          <w:tcPr>
            <w:tcW w:w="86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(20)</w:t>
            </w: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8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income tax benefit/(expense)</w:t>
            </w:r>
          </w:p>
        </w:tc>
        <w:tc>
          <w:tcPr>
            <w:tcW w:w="86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21</w:t>
            </w:r>
          </w:p>
        </w:tc>
        <w:tc>
          <w:tcPr>
            <w:tcW w:w="12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2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(119)</w:t>
            </w:r>
          </w:p>
        </w:tc>
        <w:tc>
          <w:tcPr>
            <w:tcW w:w="0" w:type="dxa"/>
            <w:vAlign w:val="bottom"/>
          </w:tcPr>
          <w:p>
            <w:pPr>
              <w:spacing w:after="0"/>
              <w:rPr>
                <w:sz w:val="1"/>
                <w:szCs w:val="1"/>
                <w:color w:val="auto"/>
              </w:rPr>
            </w:pPr>
          </w:p>
        </w:tc>
      </w:tr>
      <w:tr>
        <w:trPr>
          <w:trHeight w:val="291"/>
        </w:trPr>
        <w:tc>
          <w:tcPr>
            <w:tcW w:w="5620" w:type="dxa"/>
            <w:vAlign w:val="bottom"/>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INCOME</w:t>
            </w:r>
          </w:p>
        </w:tc>
        <w:tc>
          <w:tcPr>
            <w:tcW w:w="86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96</w:t>
            </w: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369</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575</w:t>
            </w:r>
          </w:p>
        </w:tc>
        <w:tc>
          <w:tcPr>
            <w:tcW w:w="0" w:type="dxa"/>
            <w:vAlign w:val="bottom"/>
          </w:tcPr>
          <w:p>
            <w:pPr>
              <w:spacing w:after="0"/>
              <w:rPr>
                <w:sz w:val="1"/>
                <w:szCs w:val="1"/>
                <w:color w:val="auto"/>
              </w:rPr>
            </w:pPr>
          </w:p>
        </w:tc>
      </w:tr>
      <w:tr>
        <w:trPr>
          <w:trHeight w:val="243"/>
        </w:trPr>
        <w:tc>
          <w:tcPr>
            <w:tcW w:w="5620" w:type="dxa"/>
            <w:vAlign w:val="bottom"/>
          </w:tcPr>
          <w:p>
            <w:pPr>
              <w:ind w:left="180"/>
              <w:spacing w:after="0"/>
              <w:rPr>
                <w:sz w:val="20"/>
                <w:szCs w:val="20"/>
                <w:color w:val="auto"/>
              </w:rPr>
            </w:pPr>
            <w:r>
              <w:rPr>
                <w:rFonts w:ascii="Arial" w:cs="Arial" w:eastAsia="Arial" w:hAnsi="Arial"/>
                <w:sz w:val="18"/>
                <w:szCs w:val="18"/>
                <w:color w:val="auto"/>
              </w:rPr>
              <w:t>Net income attributable to noncontrolling interests</w:t>
            </w:r>
          </w:p>
        </w:tc>
        <w:tc>
          <w:tcPr>
            <w:tcW w:w="86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(89)</w:t>
            </w:r>
          </w:p>
        </w:tc>
        <w:tc>
          <w:tcPr>
            <w:tcW w:w="1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(150)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(325)</w:t>
            </w: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(510)</w:t>
            </w:r>
          </w:p>
        </w:tc>
        <w:tc>
          <w:tcPr>
            <w:tcW w:w="0" w:type="dxa"/>
            <w:vAlign w:val="bottom"/>
          </w:tcPr>
          <w:p>
            <w:pPr>
              <w:spacing w:after="0"/>
              <w:rPr>
                <w:sz w:val="1"/>
                <w:szCs w:val="1"/>
                <w:color w:val="auto"/>
              </w:rPr>
            </w:pPr>
          </w:p>
        </w:tc>
      </w:tr>
      <w:tr>
        <w:trPr>
          <w:trHeight w:val="27"/>
        </w:trPr>
        <w:tc>
          <w:tcPr>
            <w:tcW w:w="562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INCOME ATTRIBUTABLE TO PAGP</w:t>
            </w:r>
          </w:p>
        </w:tc>
        <w:tc>
          <w:tcPr>
            <w:tcW w:w="860" w:type="dxa"/>
            <w:vAlign w:val="bottom"/>
            <w:tcBorders>
              <w:bottom w:val="single" w:sz="8" w:color="CCEEFF"/>
            </w:tcBorders>
            <w:shd w:val="clear" w:color="auto" w:fill="CCEEFF"/>
          </w:tcPr>
          <w:p>
            <w:pPr>
              <w:jc w:val="right"/>
              <w:ind w:right="677"/>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w:t>
            </w:r>
          </w:p>
        </w:tc>
        <w:tc>
          <w:tcPr>
            <w:tcW w:w="12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ind w:right="654"/>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24</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44</w:t>
            </w:r>
          </w:p>
        </w:tc>
        <w:tc>
          <w:tcPr>
            <w:tcW w:w="12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0"/>
        </w:trPr>
        <w:tc>
          <w:tcPr>
            <w:tcW w:w="56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56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5"/>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BASIC AND DILUTED NET INCOME PER CLASS A SHARE</w:t>
            </w:r>
          </w:p>
        </w:tc>
        <w:tc>
          <w:tcPr>
            <w:tcW w:w="860" w:type="dxa"/>
            <w:vAlign w:val="bottom"/>
            <w:tcBorders>
              <w:bottom w:val="single" w:sz="8" w:color="CCEEFF"/>
            </w:tcBorders>
            <w:shd w:val="clear" w:color="auto" w:fill="CCEEFF"/>
          </w:tcPr>
          <w:p>
            <w:pPr>
              <w:jc w:val="right"/>
              <w:ind w:right="677"/>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0.05</w:t>
            </w:r>
          </w:p>
        </w:tc>
        <w:tc>
          <w:tcPr>
            <w:tcW w:w="12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654"/>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0.16</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0.28</w:t>
            </w:r>
          </w:p>
        </w:tc>
        <w:tc>
          <w:tcPr>
            <w:tcW w:w="12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0.47</w:t>
            </w:r>
          </w:p>
        </w:tc>
        <w:tc>
          <w:tcPr>
            <w:tcW w:w="0" w:type="dxa"/>
            <w:vAlign w:val="bottom"/>
          </w:tcPr>
          <w:p>
            <w:pPr>
              <w:spacing w:after="0"/>
              <w:rPr>
                <w:sz w:val="1"/>
                <w:szCs w:val="1"/>
                <w:color w:val="auto"/>
              </w:rPr>
            </w:pPr>
          </w:p>
        </w:tc>
      </w:tr>
      <w:tr>
        <w:trPr>
          <w:trHeight w:val="20"/>
        </w:trPr>
        <w:tc>
          <w:tcPr>
            <w:tcW w:w="56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56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562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BASIC AND DILUTED WEIGHTED AVERAGE CLASS A SHARES</w:t>
            </w:r>
          </w:p>
        </w:tc>
        <w:tc>
          <w:tcPr>
            <w:tcW w:w="860" w:type="dxa"/>
            <w:vAlign w:val="bottom"/>
            <w:shd w:val="clear" w:color="auto" w:fill="CCEEFF"/>
          </w:tcPr>
          <w:p>
            <w:pPr>
              <w:spacing w:after="0"/>
              <w:rPr>
                <w:sz w:val="19"/>
                <w:szCs w:val="19"/>
                <w:color w:val="auto"/>
              </w:rPr>
            </w:pPr>
          </w:p>
        </w:tc>
        <w:tc>
          <w:tcPr>
            <w:tcW w:w="520" w:type="dxa"/>
            <w:vAlign w:val="bottom"/>
            <w:vMerge w:val="restart"/>
            <w:shd w:val="clear" w:color="auto" w:fill="CCEEFF"/>
          </w:tcPr>
          <w:p>
            <w:pPr>
              <w:jc w:val="right"/>
              <w:ind w:right="12"/>
              <w:spacing w:after="0"/>
              <w:rPr>
                <w:sz w:val="20"/>
                <w:szCs w:val="20"/>
                <w:color w:val="auto"/>
              </w:rPr>
            </w:pPr>
            <w:r>
              <w:rPr>
                <w:rFonts w:ascii="Arial" w:cs="Arial" w:eastAsia="Arial" w:hAnsi="Arial"/>
                <w:sz w:val="18"/>
                <w:szCs w:val="18"/>
                <w:color w:val="auto"/>
              </w:rPr>
              <w:t>157</w:t>
            </w: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52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rPr>
              <w:t>153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20" w:type="dxa"/>
            <w:vAlign w:val="bottom"/>
            <w:vMerge w:val="restart"/>
            <w:shd w:val="clear" w:color="auto" w:fill="CCEEFF"/>
          </w:tcPr>
          <w:p>
            <w:pPr>
              <w:jc w:val="right"/>
              <w:ind w:right="13"/>
              <w:spacing w:after="0"/>
              <w:rPr>
                <w:sz w:val="20"/>
                <w:szCs w:val="20"/>
                <w:color w:val="auto"/>
              </w:rPr>
            </w:pPr>
            <w:r>
              <w:rPr>
                <w:rFonts w:ascii="Arial" w:cs="Arial" w:eastAsia="Arial" w:hAnsi="Arial"/>
                <w:sz w:val="18"/>
                <w:szCs w:val="18"/>
                <w:color w:val="auto"/>
              </w:rPr>
              <w:t>157</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840" w:type="dxa"/>
            <w:vAlign w:val="bottom"/>
            <w:vMerge w:val="restart"/>
            <w:shd w:val="clear" w:color="auto" w:fill="CCEEFF"/>
          </w:tcPr>
          <w:p>
            <w:pPr>
              <w:jc w:val="right"/>
              <w:ind w:right="11"/>
              <w:spacing w:after="0"/>
              <w:rPr>
                <w:sz w:val="20"/>
                <w:szCs w:val="20"/>
                <w:color w:val="auto"/>
              </w:rPr>
            </w:pPr>
            <w:r>
              <w:rPr>
                <w:rFonts w:ascii="Arial" w:cs="Arial" w:eastAsia="Arial" w:hAnsi="Arial"/>
                <w:sz w:val="18"/>
                <w:szCs w:val="18"/>
                <w:color w:val="auto"/>
              </w:rPr>
              <w:t>136</w:t>
            </w:r>
          </w:p>
        </w:tc>
        <w:tc>
          <w:tcPr>
            <w:tcW w:w="0" w:type="dxa"/>
            <w:vAlign w:val="bottom"/>
          </w:tcPr>
          <w:p>
            <w:pPr>
              <w:spacing w:after="0"/>
              <w:rPr>
                <w:sz w:val="1"/>
                <w:szCs w:val="1"/>
                <w:color w:val="auto"/>
              </w:rPr>
            </w:pPr>
          </w:p>
        </w:tc>
      </w:tr>
      <w:tr>
        <w:trPr>
          <w:trHeight w:val="241"/>
        </w:trPr>
        <w:tc>
          <w:tcPr>
            <w:tcW w:w="56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b w:val="1"/>
                <w:bCs w:val="1"/>
                <w:color w:val="auto"/>
              </w:rPr>
              <w:t>OUTSTANDING</w:t>
            </w:r>
          </w:p>
        </w:tc>
        <w:tc>
          <w:tcPr>
            <w:tcW w:w="860" w:type="dxa"/>
            <w:vAlign w:val="bottom"/>
            <w:tcBorders>
              <w:bottom w:val="single" w:sz="8" w:color="auto"/>
            </w:tcBorders>
            <w:shd w:val="clear" w:color="auto" w:fill="CCEEFF"/>
          </w:tcPr>
          <w:p>
            <w:pPr>
              <w:spacing w:after="0"/>
              <w:rPr>
                <w:sz w:val="20"/>
                <w:szCs w:val="20"/>
                <w:color w:val="auto"/>
              </w:rPr>
            </w:pPr>
          </w:p>
        </w:tc>
        <w:tc>
          <w:tcPr>
            <w:tcW w:w="52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auto"/>
            </w:tcBorders>
            <w:shd w:val="clear" w:color="auto" w:fill="CCEEFF"/>
          </w:tcPr>
          <w:p>
            <w:pPr>
              <w:spacing w:after="0"/>
              <w:rPr>
                <w:sz w:val="20"/>
                <w:szCs w:val="20"/>
                <w:color w:val="auto"/>
              </w:rPr>
            </w:pPr>
          </w:p>
        </w:tc>
        <w:tc>
          <w:tcPr>
            <w:tcW w:w="52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102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auto"/>
            </w:tcBorders>
            <w:shd w:val="clear" w:color="auto" w:fill="CCEEFF"/>
          </w:tcPr>
          <w:p>
            <w:pPr>
              <w:spacing w:after="0"/>
              <w:rPr>
                <w:sz w:val="20"/>
                <w:szCs w:val="20"/>
                <w:color w:val="auto"/>
              </w:rPr>
            </w:pPr>
          </w:p>
        </w:tc>
        <w:tc>
          <w:tcPr>
            <w:tcW w:w="84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125" w:right="239" w:bottom="1440" w:gutter="0" w:footer="0" w:header="0"/>
        </w:sectPr>
      </w:pPr>
    </w:p>
    <w:bookmarkStart w:id="4" w:name="page5"/>
    <w:bookmarkEnd w:id="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line="275" w:lineRule="auto"/>
        <w:rPr>
          <w:sz w:val="20"/>
          <w:szCs w:val="20"/>
          <w:color w:val="auto"/>
        </w:rPr>
      </w:pPr>
      <w:r>
        <w:rPr>
          <w:rFonts w:ascii="Arial" w:cs="Arial" w:eastAsia="Arial" w:hAnsi="Arial"/>
          <w:sz w:val="18"/>
          <w:szCs w:val="18"/>
          <w:b w:val="1"/>
          <w:bCs w:val="1"/>
          <w:color w:val="auto"/>
        </w:rPr>
        <w:t>PLAINS GP HOLDINGS, L.P. AND SUBSIDIARIES CONDENSED CONSOLIDATED STATEMENTS OF COMPREHENSIVE INCOME/(LOSS) (in millions)</w:t>
      </w:r>
    </w:p>
    <w:p>
      <w:pPr>
        <w:spacing w:after="0" w:line="200" w:lineRule="exact"/>
        <w:rPr>
          <w:sz w:val="20"/>
          <w:szCs w:val="20"/>
          <w:color w:val="auto"/>
        </w:rPr>
      </w:pP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60" w:type="dxa"/>
            <w:vAlign w:val="bottom"/>
          </w:tcPr>
          <w:p>
            <w:pPr>
              <w:spacing w:after="0"/>
              <w:rPr>
                <w:sz w:val="14"/>
                <w:szCs w:val="14"/>
                <w:color w:val="auto"/>
              </w:rPr>
            </w:pPr>
          </w:p>
        </w:tc>
        <w:tc>
          <w:tcPr>
            <w:tcW w:w="2180" w:type="dxa"/>
            <w:vAlign w:val="bottom"/>
            <w:gridSpan w:val="4"/>
          </w:tcPr>
          <w:p>
            <w:pPr>
              <w:jc w:val="center"/>
              <w:ind w:left="399"/>
              <w:spacing w:after="0"/>
              <w:rPr>
                <w:sz w:val="20"/>
                <w:szCs w:val="20"/>
                <w:color w:val="auto"/>
              </w:rPr>
            </w:pPr>
            <w:r>
              <w:rPr>
                <w:rFonts w:ascii="Arial" w:cs="Arial" w:eastAsia="Arial" w:hAnsi="Arial"/>
                <w:sz w:val="14"/>
                <w:szCs w:val="14"/>
                <w:b w:val="1"/>
                <w:bCs w:val="1"/>
                <w:color w:val="auto"/>
                <w:w w:val="93"/>
              </w:rPr>
              <w:t>Three Months Ended</w:t>
            </w: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320" w:type="dxa"/>
            <w:vAlign w:val="bottom"/>
            <w:gridSpan w:val="4"/>
          </w:tcPr>
          <w:p>
            <w:pPr>
              <w:jc w:val="center"/>
              <w:ind w:right="173"/>
              <w:spacing w:after="0"/>
              <w:rPr>
                <w:sz w:val="20"/>
                <w:szCs w:val="20"/>
                <w:color w:val="auto"/>
              </w:rPr>
            </w:pPr>
            <w:r>
              <w:rPr>
                <w:rFonts w:ascii="Arial" w:cs="Arial" w:eastAsia="Arial" w:hAnsi="Arial"/>
                <w:sz w:val="14"/>
                <w:szCs w:val="14"/>
                <w:b w:val="1"/>
                <w:bCs w:val="1"/>
                <w:color w:val="auto"/>
                <w:w w:val="93"/>
              </w:rPr>
              <w:t>Six Months Ended</w:t>
            </w:r>
          </w:p>
        </w:tc>
      </w:tr>
      <w:tr>
        <w:trPr>
          <w:trHeight w:val="192"/>
        </w:trPr>
        <w:tc>
          <w:tcPr>
            <w:tcW w:w="6060" w:type="dxa"/>
            <w:vAlign w:val="bottom"/>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3"/>
          </w:tcPr>
          <w:p>
            <w:pPr>
              <w:jc w:val="center"/>
              <w:ind w:right="276"/>
              <w:spacing w:after="0"/>
              <w:rPr>
                <w:sz w:val="20"/>
                <w:szCs w:val="20"/>
                <w:color w:val="auto"/>
              </w:rPr>
            </w:pPr>
            <w:r>
              <w:rPr>
                <w:rFonts w:ascii="Arial" w:cs="Arial" w:eastAsia="Arial" w:hAnsi="Arial"/>
                <w:sz w:val="14"/>
                <w:szCs w:val="14"/>
                <w:b w:val="1"/>
                <w:bCs w:val="1"/>
                <w:color w:val="auto"/>
                <w:w w:val="89"/>
              </w:rPr>
              <w:t>June 30,</w:t>
            </w:r>
          </w:p>
        </w:tc>
        <w:tc>
          <w:tcPr>
            <w:tcW w:w="4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3"/>
          </w:tcPr>
          <w:p>
            <w:pPr>
              <w:jc w:val="center"/>
              <w:ind w:left="498"/>
              <w:spacing w:after="0"/>
              <w:rPr>
                <w:sz w:val="20"/>
                <w:szCs w:val="20"/>
                <w:color w:val="auto"/>
              </w:rPr>
            </w:pPr>
            <w:r>
              <w:rPr>
                <w:rFonts w:ascii="Arial" w:cs="Arial" w:eastAsia="Arial" w:hAnsi="Arial"/>
                <w:sz w:val="14"/>
                <w:szCs w:val="14"/>
                <w:b w:val="1"/>
                <w:bCs w:val="1"/>
                <w:color w:val="auto"/>
                <w:w w:val="92"/>
              </w:rPr>
              <w:t>June 30,</w:t>
            </w:r>
          </w:p>
        </w:tc>
        <w:tc>
          <w:tcPr>
            <w:tcW w:w="860" w:type="dxa"/>
            <w:vAlign w:val="bottom"/>
            <w:tcBorders>
              <w:bottom w:val="single" w:sz="8" w:color="auto"/>
            </w:tcBorders>
          </w:tcPr>
          <w:p>
            <w:pPr>
              <w:spacing w:after="0"/>
              <w:rPr>
                <w:sz w:val="16"/>
                <w:szCs w:val="16"/>
                <w:color w:val="auto"/>
              </w:rPr>
            </w:pPr>
          </w:p>
        </w:tc>
      </w:tr>
      <w:tr>
        <w:trPr>
          <w:trHeight w:val="264"/>
        </w:trPr>
        <w:tc>
          <w:tcPr>
            <w:tcW w:w="6060" w:type="dxa"/>
            <w:vAlign w:val="bottom"/>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4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46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98"/>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2017</w:t>
            </w:r>
          </w:p>
        </w:tc>
      </w:tr>
      <w:tr>
        <w:trPr>
          <w:trHeight w:val="250"/>
        </w:trPr>
        <w:tc>
          <w:tcPr>
            <w:tcW w:w="60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340" w:type="dxa"/>
            <w:vAlign w:val="bottom"/>
            <w:gridSpan w:val="3"/>
          </w:tcPr>
          <w:p>
            <w:pPr>
              <w:jc w:val="center"/>
              <w:ind w:right="296"/>
              <w:spacing w:after="0"/>
              <w:rPr>
                <w:sz w:val="20"/>
                <w:szCs w:val="20"/>
                <w:color w:val="auto"/>
              </w:rPr>
            </w:pPr>
            <w:r>
              <w:rPr>
                <w:rFonts w:ascii="Arial" w:cs="Arial" w:eastAsia="Arial" w:hAnsi="Arial"/>
                <w:sz w:val="14"/>
                <w:szCs w:val="14"/>
                <w:b w:val="1"/>
                <w:bCs w:val="1"/>
                <w:color w:val="auto"/>
                <w:w w:val="94"/>
              </w:rPr>
              <w:t>(unaudited)</w:t>
            </w:r>
          </w:p>
        </w:tc>
        <w:tc>
          <w:tcPr>
            <w:tcW w:w="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60" w:type="dxa"/>
            <w:vAlign w:val="bottom"/>
            <w:gridSpan w:val="3"/>
          </w:tcPr>
          <w:p>
            <w:pPr>
              <w:jc w:val="center"/>
              <w:ind w:left="498"/>
              <w:spacing w:after="0"/>
              <w:rPr>
                <w:sz w:val="20"/>
                <w:szCs w:val="20"/>
                <w:color w:val="auto"/>
              </w:rPr>
            </w:pPr>
            <w:r>
              <w:rPr>
                <w:rFonts w:ascii="Arial" w:cs="Arial" w:eastAsia="Arial" w:hAnsi="Arial"/>
                <w:sz w:val="14"/>
                <w:szCs w:val="14"/>
                <w:b w:val="1"/>
                <w:bCs w:val="1"/>
                <w:color w:val="auto"/>
                <w:w w:val="94"/>
              </w:rPr>
              <w:t>(unaudited)</w:t>
            </w:r>
          </w:p>
        </w:tc>
        <w:tc>
          <w:tcPr>
            <w:tcW w:w="860" w:type="dxa"/>
            <w:vAlign w:val="bottom"/>
          </w:tcPr>
          <w:p>
            <w:pPr>
              <w:spacing w:after="0"/>
              <w:rPr>
                <w:sz w:val="21"/>
                <w:szCs w:val="21"/>
                <w:color w:val="auto"/>
              </w:rPr>
            </w:pPr>
          </w:p>
        </w:tc>
      </w:tr>
      <w:tr>
        <w:trPr>
          <w:trHeight w:val="256"/>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840" w:type="dxa"/>
            <w:vAlign w:val="bottom"/>
            <w:tcBorders>
              <w:bottom w:val="single" w:sz="8" w:color="CCEEFF"/>
            </w:tcBorders>
            <w:shd w:val="clear" w:color="auto" w:fill="CCEEFF"/>
          </w:tcPr>
          <w:p>
            <w:pPr>
              <w:jc w:val="right"/>
              <w:ind w:right="639"/>
              <w:spacing w:after="0"/>
              <w:rPr>
                <w:sz w:val="20"/>
                <w:szCs w:val="20"/>
                <w:color w:val="auto"/>
              </w:rPr>
            </w:pPr>
            <w:r>
              <w:rPr>
                <w:rFonts w:ascii="Arial" w:cs="Arial" w:eastAsia="Arial" w:hAnsi="Arial"/>
                <w:sz w:val="18"/>
                <w:szCs w:val="18"/>
                <w:color w:val="auto"/>
                <w:w w:val="99"/>
              </w:rPr>
              <w:t>$</w:t>
            </w:r>
          </w:p>
        </w:tc>
        <w:tc>
          <w:tcPr>
            <w:tcW w:w="4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96</w:t>
            </w:r>
          </w:p>
        </w:tc>
        <w:tc>
          <w:tcPr>
            <w:tcW w:w="12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ind w:right="596"/>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174</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369</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575</w:t>
            </w: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Other comprehensive income/(loss)</w:t>
            </w:r>
          </w:p>
        </w:tc>
        <w:tc>
          <w:tcPr>
            <w:tcW w:w="840" w:type="dxa"/>
            <w:vAlign w:val="bottom"/>
          </w:tcPr>
          <w:p>
            <w:pPr>
              <w:spacing w:after="0"/>
              <w:rPr>
                <w:sz w:val="21"/>
                <w:szCs w:val="21"/>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(56)</w:t>
            </w:r>
          </w:p>
        </w:tc>
        <w:tc>
          <w:tcPr>
            <w:tcW w:w="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460" w:type="dxa"/>
            <w:vAlign w:val="bottom"/>
          </w:tcPr>
          <w:p>
            <w:pPr>
              <w:jc w:val="right"/>
              <w:ind w:right="30"/>
              <w:spacing w:after="0"/>
              <w:rPr>
                <w:sz w:val="20"/>
                <w:szCs w:val="20"/>
                <w:color w:val="auto"/>
              </w:rPr>
            </w:pPr>
            <w:r>
              <w:rPr>
                <w:rFonts w:ascii="Arial" w:cs="Arial" w:eastAsia="Arial" w:hAnsi="Arial"/>
                <w:sz w:val="18"/>
                <w:szCs w:val="18"/>
                <w:color w:val="auto"/>
              </w:rPr>
              <w:t>75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(121)</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60" w:type="dxa"/>
            <w:vAlign w:val="bottom"/>
          </w:tcPr>
          <w:p>
            <w:pPr>
              <w:jc w:val="right"/>
              <w:ind w:right="13"/>
              <w:spacing w:after="0"/>
              <w:rPr>
                <w:sz w:val="20"/>
                <w:szCs w:val="20"/>
                <w:color w:val="auto"/>
              </w:rPr>
            </w:pPr>
            <w:r>
              <w:rPr>
                <w:rFonts w:ascii="Arial" w:cs="Arial" w:eastAsia="Arial" w:hAnsi="Arial"/>
                <w:sz w:val="18"/>
                <w:szCs w:val="18"/>
                <w:color w:val="auto"/>
              </w:rPr>
              <w:t>111</w:t>
            </w:r>
          </w:p>
        </w:tc>
      </w:tr>
      <w:tr>
        <w:trPr>
          <w:trHeight w:val="27"/>
        </w:trPr>
        <w:tc>
          <w:tcPr>
            <w:tcW w:w="606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44"/>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Comprehensive income</w:t>
            </w:r>
          </w:p>
        </w:tc>
        <w:tc>
          <w:tcPr>
            <w:tcW w:w="84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40</w:t>
            </w: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249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248</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686</w:t>
            </w:r>
          </w:p>
        </w:tc>
      </w:tr>
      <w:tr>
        <w:trPr>
          <w:trHeight w:val="243"/>
        </w:trPr>
        <w:tc>
          <w:tcPr>
            <w:tcW w:w="6060" w:type="dxa"/>
            <w:vAlign w:val="bottom"/>
          </w:tcPr>
          <w:p>
            <w:pPr>
              <w:ind w:left="180"/>
              <w:spacing w:after="0"/>
              <w:rPr>
                <w:sz w:val="20"/>
                <w:szCs w:val="20"/>
                <w:color w:val="auto"/>
              </w:rPr>
            </w:pPr>
            <w:r>
              <w:rPr>
                <w:rFonts w:ascii="Arial" w:cs="Arial" w:eastAsia="Arial" w:hAnsi="Arial"/>
                <w:sz w:val="18"/>
                <w:szCs w:val="18"/>
                <w:color w:val="auto"/>
              </w:rPr>
              <w:t>Comprehensive income attributable to noncontrolling interests</w:t>
            </w:r>
          </w:p>
        </w:tc>
        <w:tc>
          <w:tcPr>
            <w:tcW w:w="840" w:type="dxa"/>
            <w:vAlign w:val="bottom"/>
          </w:tcPr>
          <w:p>
            <w:pPr>
              <w:spacing w:after="0"/>
              <w:rPr>
                <w:sz w:val="21"/>
                <w:szCs w:val="21"/>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(45)</w:t>
            </w:r>
          </w:p>
        </w:tc>
        <w:tc>
          <w:tcPr>
            <w:tcW w:w="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0"/>
              </w:rPr>
              <w:t>(209)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(230)</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(600)</w:t>
            </w:r>
          </w:p>
        </w:tc>
      </w:tr>
      <w:tr>
        <w:trPr>
          <w:trHeight w:val="27"/>
        </w:trPr>
        <w:tc>
          <w:tcPr>
            <w:tcW w:w="606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69"/>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Comprehensive income/(loss) attributable to PAGP</w:t>
            </w:r>
          </w:p>
        </w:tc>
        <w:tc>
          <w:tcPr>
            <w:tcW w:w="840" w:type="dxa"/>
            <w:vAlign w:val="bottom"/>
            <w:tcBorders>
              <w:bottom w:val="single" w:sz="8" w:color="CCEEFF"/>
            </w:tcBorders>
            <w:shd w:val="clear" w:color="auto" w:fill="CCEEFF"/>
          </w:tcPr>
          <w:p>
            <w:pPr>
              <w:jc w:val="right"/>
              <w:ind w:right="639"/>
              <w:spacing w:after="0"/>
              <w:rPr>
                <w:sz w:val="20"/>
                <w:szCs w:val="20"/>
                <w:color w:val="auto"/>
              </w:rPr>
            </w:pPr>
            <w:r>
              <w:rPr>
                <w:rFonts w:ascii="Arial" w:cs="Arial" w:eastAsia="Arial" w:hAnsi="Arial"/>
                <w:sz w:val="18"/>
                <w:szCs w:val="18"/>
                <w:color w:val="auto"/>
                <w:w w:val="99"/>
              </w:rPr>
              <w:t>$</w:t>
            </w: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2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ind w:right="596"/>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40</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18</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86</w:t>
            </w:r>
          </w:p>
        </w:tc>
      </w:tr>
      <w:tr>
        <w:trPr>
          <w:trHeight w:val="20"/>
        </w:trPr>
        <w:tc>
          <w:tcPr>
            <w:tcW w:w="606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PLAINS GP HOLDINGS, L.P.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CHANGES IN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ACCUMULATED OTHER COMPREHENSIVE INCOME/(LOSS)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2"/>
              </w:rPr>
              <w:t>Derivative</w:t>
            </w:r>
          </w:p>
        </w:tc>
        <w:tc>
          <w:tcPr>
            <w:tcW w:w="240" w:type="dxa"/>
            <w:vAlign w:val="bottom"/>
          </w:tcPr>
          <w:p>
            <w:pPr>
              <w:spacing w:after="0"/>
              <w:rPr>
                <w:sz w:val="14"/>
                <w:szCs w:val="14"/>
                <w:color w:val="auto"/>
              </w:rPr>
            </w:pPr>
          </w:p>
        </w:tc>
        <w:tc>
          <w:tcPr>
            <w:tcW w:w="13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5"/>
              </w:rPr>
              <w:t>Translation</w:t>
            </w:r>
          </w:p>
        </w:tc>
        <w:tc>
          <w:tcPr>
            <w:tcW w:w="1060" w:type="dxa"/>
            <w:vAlign w:val="bottom"/>
            <w:vMerge w:val="restart"/>
          </w:tcPr>
          <w:p>
            <w:pPr>
              <w:jc w:val="right"/>
              <w:ind w:right="56"/>
              <w:spacing w:after="0"/>
              <w:rPr>
                <w:sz w:val="20"/>
                <w:szCs w:val="20"/>
                <w:color w:val="auto"/>
              </w:rPr>
            </w:pPr>
            <w:r>
              <w:rPr>
                <w:rFonts w:ascii="Arial" w:cs="Arial" w:eastAsia="Arial" w:hAnsi="Arial"/>
                <w:sz w:val="14"/>
                <w:szCs w:val="14"/>
                <w:b w:val="1"/>
                <w:bCs w:val="1"/>
                <w:color w:val="auto"/>
              </w:rPr>
              <w:t>Other</w:t>
            </w: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20" w:type="dxa"/>
            <w:vAlign w:val="bottom"/>
            <w:vMerge w:val="restart"/>
          </w:tcPr>
          <w:p>
            <w:pPr>
              <w:jc w:val="right"/>
              <w:ind w:right="49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51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2"/>
          </w:tcPr>
          <w:p>
            <w:pPr>
              <w:jc w:val="center"/>
              <w:ind w:right="360"/>
              <w:spacing w:after="0"/>
              <w:rPr>
                <w:sz w:val="20"/>
                <w:szCs w:val="20"/>
                <w:color w:val="auto"/>
              </w:rPr>
            </w:pPr>
            <w:r>
              <w:rPr>
                <w:rFonts w:ascii="Arial" w:cs="Arial" w:eastAsia="Arial" w:hAnsi="Arial"/>
                <w:sz w:val="14"/>
                <w:szCs w:val="14"/>
                <w:b w:val="1"/>
                <w:bCs w:val="1"/>
                <w:color w:val="auto"/>
                <w:w w:val="92"/>
              </w:rPr>
              <w:t>Instruments</w:t>
            </w:r>
          </w:p>
        </w:tc>
        <w:tc>
          <w:tcPr>
            <w:tcW w:w="2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4"/>
                <w:szCs w:val="14"/>
                <w:b w:val="1"/>
                <w:bCs w:val="1"/>
                <w:color w:val="auto"/>
                <w:w w:val="91"/>
              </w:rPr>
              <w:t>Adjustments</w:t>
            </w:r>
          </w:p>
        </w:tc>
        <w:tc>
          <w:tcPr>
            <w:tcW w:w="1060" w:type="dxa"/>
            <w:vAlign w:val="bottom"/>
            <w:tcBorders>
              <w:bottom w:val="single" w:sz="8" w:color="auto"/>
            </w:tcBorders>
            <w:vMerge w:val="continue"/>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5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0" w:type="dxa"/>
            <w:vAlign w:val="bottom"/>
            <w:gridSpan w:val="3"/>
          </w:tcPr>
          <w:p>
            <w:pPr>
              <w:jc w:val="right"/>
              <w:ind w:right="676"/>
              <w:spacing w:after="0"/>
              <w:rPr>
                <w:sz w:val="20"/>
                <w:szCs w:val="20"/>
                <w:color w:val="auto"/>
              </w:rPr>
            </w:pPr>
            <w:r>
              <w:rPr>
                <w:rFonts w:ascii="Arial" w:cs="Arial" w:eastAsia="Arial" w:hAnsi="Arial"/>
                <w:sz w:val="14"/>
                <w:szCs w:val="14"/>
                <w:b w:val="1"/>
                <w:bCs w:val="1"/>
                <w:color w:val="auto"/>
              </w:rPr>
              <w:t>(unaudited)</w:t>
            </w: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81"/>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December 31, 2017</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(223)</w:t>
            </w:r>
          </w:p>
        </w:tc>
        <w:tc>
          <w:tcPr>
            <w:tcW w:w="12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(548)</w:t>
            </w:r>
          </w:p>
        </w:tc>
        <w:tc>
          <w:tcPr>
            <w:tcW w:w="100" w:type="dxa"/>
            <w:vAlign w:val="bottom"/>
            <w:tcBorders>
              <w:bottom w:val="single" w:sz="8" w:color="CCEEFF"/>
            </w:tcBorders>
            <w:shd w:val="clear" w:color="auto" w:fill="CCEEFF"/>
          </w:tcPr>
          <w:p>
            <w:pPr>
              <w:spacing w:after="0"/>
              <w:rPr>
                <w:sz w:val="24"/>
                <w:szCs w:val="24"/>
                <w:color w:val="auto"/>
              </w:rPr>
            </w:pPr>
          </w:p>
        </w:tc>
        <w:tc>
          <w:tcPr>
            <w:tcW w:w="1060" w:type="dxa"/>
            <w:vAlign w:val="bottom"/>
            <w:tcBorders>
              <w:bottom w:val="single" w:sz="8" w:color="CCEEFF"/>
            </w:tcBorders>
            <w:shd w:val="clear" w:color="auto" w:fill="CCEEFF"/>
          </w:tcPr>
          <w:p>
            <w:pPr>
              <w:jc w:val="right"/>
              <w:ind w:right="856"/>
              <w:spacing w:after="0"/>
              <w:rPr>
                <w:sz w:val="20"/>
                <w:szCs w:val="20"/>
                <w:color w:val="auto"/>
              </w:rPr>
            </w:pPr>
            <w:r>
              <w:rPr>
                <w:rFonts w:ascii="Arial" w:cs="Arial" w:eastAsia="Arial" w:hAnsi="Arial"/>
                <w:sz w:val="18"/>
                <w:szCs w:val="18"/>
                <w:color w:val="auto"/>
                <w:w w:val="99"/>
              </w:rPr>
              <w:t>$</w:t>
            </w:r>
          </w:p>
        </w:tc>
        <w:tc>
          <w:tcPr>
            <w:tcW w:w="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(770)</w:t>
            </w: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5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Reclassification adjustments</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Unrealized gain on hedges</w:t>
            </w:r>
          </w:p>
        </w:tc>
        <w:tc>
          <w:tcPr>
            <w:tcW w:w="240" w:type="dxa"/>
            <w:vAlign w:val="bottom"/>
          </w:tcPr>
          <w:p>
            <w:pPr>
              <w:spacing w:after="0"/>
              <w:rPr>
                <w:sz w:val="21"/>
                <w:szCs w:val="21"/>
                <w:color w:val="auto"/>
              </w:rPr>
            </w:pPr>
          </w:p>
        </w:tc>
        <w:tc>
          <w:tcPr>
            <w:tcW w:w="1260" w:type="dxa"/>
            <w:vAlign w:val="bottom"/>
          </w:tcPr>
          <w:p>
            <w:pPr>
              <w:jc w:val="right"/>
              <w:ind w:right="34"/>
              <w:spacing w:after="0"/>
              <w:rPr>
                <w:sz w:val="20"/>
                <w:szCs w:val="20"/>
                <w:color w:val="auto"/>
              </w:rPr>
            </w:pPr>
            <w:r>
              <w:rPr>
                <w:rFonts w:ascii="Arial" w:cs="Arial" w:eastAsia="Arial" w:hAnsi="Arial"/>
                <w:sz w:val="18"/>
                <w:szCs w:val="18"/>
                <w:color w:val="auto"/>
              </w:rPr>
              <w:t>45</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60" w:type="dxa"/>
            <w:vAlign w:val="bottom"/>
          </w:tcPr>
          <w:p>
            <w:pPr>
              <w:spacing w:after="0"/>
              <w:rPr>
                <w:sz w:val="21"/>
                <w:szCs w:val="21"/>
                <w:color w:val="auto"/>
              </w:rPr>
            </w:pPr>
          </w:p>
        </w:tc>
        <w:tc>
          <w:tcPr>
            <w:tcW w:w="5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Currency translation adjustments</w:t>
            </w:r>
          </w:p>
        </w:tc>
        <w:tc>
          <w:tcPr>
            <w:tcW w:w="24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(171)</w:t>
            </w:r>
          </w:p>
        </w:tc>
        <w:tc>
          <w:tcPr>
            <w:tcW w:w="1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(171)</w:t>
            </w:r>
          </w:p>
        </w:tc>
        <w:tc>
          <w:tcPr>
            <w:tcW w:w="0" w:type="dxa"/>
            <w:vAlign w:val="bottom"/>
          </w:tcPr>
          <w:p>
            <w:pPr>
              <w:spacing w:after="0"/>
              <w:rPr>
                <w:sz w:val="1"/>
                <w:szCs w:val="1"/>
                <w:color w:val="auto"/>
              </w:rPr>
            </w:pPr>
          </w:p>
        </w:tc>
      </w:tr>
      <w:tr>
        <w:trPr>
          <w:trHeight w:val="237"/>
        </w:trPr>
        <w:tc>
          <w:tcPr>
            <w:tcW w:w="5160" w:type="dxa"/>
            <w:vAlign w:val="bottom"/>
          </w:tcPr>
          <w:p>
            <w:pPr>
              <w:ind w:left="180"/>
              <w:spacing w:after="0"/>
              <w:rPr>
                <w:sz w:val="20"/>
                <w:szCs w:val="20"/>
                <w:color w:val="auto"/>
              </w:rPr>
            </w:pPr>
            <w:r>
              <w:rPr>
                <w:rFonts w:ascii="Arial" w:cs="Arial" w:eastAsia="Arial" w:hAnsi="Arial"/>
                <w:sz w:val="18"/>
                <w:szCs w:val="18"/>
                <w:color w:val="auto"/>
              </w:rPr>
              <w:t>Total period activity</w:t>
            </w:r>
          </w:p>
        </w:tc>
        <w:tc>
          <w:tcPr>
            <w:tcW w:w="24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50</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(171)</w:t>
            </w:r>
          </w:p>
        </w:tc>
        <w:tc>
          <w:tcPr>
            <w:tcW w:w="100" w:type="dxa"/>
            <w:vAlign w:val="bottom"/>
          </w:tcPr>
          <w:p>
            <w:pPr>
              <w:spacing w:after="0"/>
              <w:rPr>
                <w:sz w:val="20"/>
                <w:szCs w:val="20"/>
                <w:color w:val="auto"/>
              </w:rPr>
            </w:pPr>
          </w:p>
        </w:tc>
        <w:tc>
          <w:tcPr>
            <w:tcW w:w="1060" w:type="dxa"/>
            <w:vAlign w:val="bottom"/>
            <w:tcBorders>
              <w:top w:val="single" w:sz="8" w:color="auto"/>
            </w:tcBorders>
          </w:tcPr>
          <w:p>
            <w:pPr>
              <w:spacing w:after="0"/>
              <w:rPr>
                <w:sz w:val="20"/>
                <w:szCs w:val="20"/>
                <w:color w:val="auto"/>
              </w:rPr>
            </w:pPr>
          </w:p>
        </w:tc>
        <w:tc>
          <w:tcPr>
            <w:tcW w:w="4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(121)</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June 30, 2018</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(173)</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(719)</w:t>
            </w:r>
          </w:p>
        </w:tc>
        <w:tc>
          <w:tcPr>
            <w:tcW w:w="1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856"/>
              <w:spacing w:after="0"/>
              <w:rPr>
                <w:sz w:val="20"/>
                <w:szCs w:val="20"/>
                <w:color w:val="auto"/>
              </w:rPr>
            </w:pPr>
            <w:r>
              <w:rPr>
                <w:rFonts w:ascii="Arial" w:cs="Arial" w:eastAsia="Arial" w:hAnsi="Arial"/>
                <w:sz w:val="18"/>
                <w:szCs w:val="18"/>
                <w:color w:val="auto"/>
                <w:w w:val="99"/>
              </w:rPr>
              <w:t>$</w:t>
            </w:r>
          </w:p>
        </w:tc>
        <w:tc>
          <w:tcPr>
            <w:tcW w:w="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(891)</w:t>
            </w: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4"/>
        </w:trPr>
        <w:tc>
          <w:tcPr>
            <w:tcW w:w="5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2"/>
              </w:rPr>
              <w:t>Derivative</w:t>
            </w:r>
          </w:p>
        </w:tc>
        <w:tc>
          <w:tcPr>
            <w:tcW w:w="240" w:type="dxa"/>
            <w:vAlign w:val="bottom"/>
          </w:tcPr>
          <w:p>
            <w:pPr>
              <w:spacing w:after="0"/>
              <w:rPr>
                <w:sz w:val="24"/>
                <w:szCs w:val="24"/>
                <w:color w:val="auto"/>
              </w:rPr>
            </w:pPr>
          </w:p>
        </w:tc>
        <w:tc>
          <w:tcPr>
            <w:tcW w:w="13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5"/>
              </w:rPr>
              <w:t>Translation</w:t>
            </w:r>
          </w:p>
        </w:tc>
        <w:tc>
          <w:tcPr>
            <w:tcW w:w="1060" w:type="dxa"/>
            <w:vAlign w:val="bottom"/>
            <w:vMerge w:val="restart"/>
          </w:tcPr>
          <w:p>
            <w:pPr>
              <w:jc w:val="right"/>
              <w:ind w:right="56"/>
              <w:spacing w:after="0"/>
              <w:rPr>
                <w:sz w:val="20"/>
                <w:szCs w:val="20"/>
                <w:color w:val="auto"/>
              </w:rPr>
            </w:pPr>
            <w:r>
              <w:rPr>
                <w:rFonts w:ascii="Arial" w:cs="Arial" w:eastAsia="Arial" w:hAnsi="Arial"/>
                <w:sz w:val="14"/>
                <w:szCs w:val="14"/>
                <w:b w:val="1"/>
                <w:bCs w:val="1"/>
                <w:color w:val="auto"/>
              </w:rPr>
              <w:t>Other</w:t>
            </w: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vMerge w:val="restart"/>
          </w:tcPr>
          <w:p>
            <w:pPr>
              <w:jc w:val="right"/>
              <w:ind w:right="49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51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2"/>
          </w:tcPr>
          <w:p>
            <w:pPr>
              <w:jc w:val="center"/>
              <w:ind w:right="360"/>
              <w:spacing w:after="0"/>
              <w:rPr>
                <w:sz w:val="20"/>
                <w:szCs w:val="20"/>
                <w:color w:val="auto"/>
              </w:rPr>
            </w:pPr>
            <w:r>
              <w:rPr>
                <w:rFonts w:ascii="Arial" w:cs="Arial" w:eastAsia="Arial" w:hAnsi="Arial"/>
                <w:sz w:val="14"/>
                <w:szCs w:val="14"/>
                <w:b w:val="1"/>
                <w:bCs w:val="1"/>
                <w:color w:val="auto"/>
                <w:w w:val="92"/>
              </w:rPr>
              <w:t>Instruments</w:t>
            </w:r>
          </w:p>
        </w:tc>
        <w:tc>
          <w:tcPr>
            <w:tcW w:w="2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4"/>
                <w:szCs w:val="14"/>
                <w:b w:val="1"/>
                <w:bCs w:val="1"/>
                <w:color w:val="auto"/>
                <w:w w:val="91"/>
              </w:rPr>
              <w:t>Adjustments</w:t>
            </w:r>
          </w:p>
        </w:tc>
        <w:tc>
          <w:tcPr>
            <w:tcW w:w="1060" w:type="dxa"/>
            <w:vAlign w:val="bottom"/>
            <w:tcBorders>
              <w:bottom w:val="single" w:sz="8" w:color="auto"/>
            </w:tcBorders>
            <w:vMerge w:val="continue"/>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5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0" w:type="dxa"/>
            <w:vAlign w:val="bottom"/>
            <w:gridSpan w:val="3"/>
          </w:tcPr>
          <w:p>
            <w:pPr>
              <w:jc w:val="right"/>
              <w:ind w:right="676"/>
              <w:spacing w:after="0"/>
              <w:rPr>
                <w:sz w:val="20"/>
                <w:szCs w:val="20"/>
                <w:color w:val="auto"/>
              </w:rPr>
            </w:pPr>
            <w:r>
              <w:rPr>
                <w:rFonts w:ascii="Arial" w:cs="Arial" w:eastAsia="Arial" w:hAnsi="Arial"/>
                <w:sz w:val="14"/>
                <w:szCs w:val="14"/>
                <w:b w:val="1"/>
                <w:bCs w:val="1"/>
                <w:color w:val="auto"/>
              </w:rPr>
              <w:t>(unaudited)</w:t>
            </w: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81"/>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December 31, 2016</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(228)</w:t>
            </w:r>
          </w:p>
        </w:tc>
        <w:tc>
          <w:tcPr>
            <w:tcW w:w="12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(782)</w:t>
            </w:r>
          </w:p>
        </w:tc>
        <w:tc>
          <w:tcPr>
            <w:tcW w:w="100" w:type="dxa"/>
            <w:vAlign w:val="bottom"/>
            <w:tcBorders>
              <w:bottom w:val="single" w:sz="8" w:color="CCEEFF"/>
            </w:tcBorders>
            <w:shd w:val="clear" w:color="auto" w:fill="CCEEFF"/>
          </w:tcPr>
          <w:p>
            <w:pPr>
              <w:spacing w:after="0"/>
              <w:rPr>
                <w:sz w:val="24"/>
                <w:szCs w:val="24"/>
                <w:color w:val="auto"/>
              </w:rPr>
            </w:pPr>
          </w:p>
        </w:tc>
        <w:tc>
          <w:tcPr>
            <w:tcW w:w="1060" w:type="dxa"/>
            <w:vAlign w:val="bottom"/>
            <w:tcBorders>
              <w:bottom w:val="single" w:sz="8" w:color="CCEEFF"/>
            </w:tcBorders>
            <w:shd w:val="clear" w:color="auto" w:fill="CCEEFF"/>
          </w:tcPr>
          <w:p>
            <w:pPr>
              <w:jc w:val="right"/>
              <w:ind w:right="856"/>
              <w:spacing w:after="0"/>
              <w:rPr>
                <w:sz w:val="20"/>
                <w:szCs w:val="20"/>
                <w:color w:val="auto"/>
              </w:rPr>
            </w:pPr>
            <w:r>
              <w:rPr>
                <w:rFonts w:ascii="Arial" w:cs="Arial" w:eastAsia="Arial" w:hAnsi="Arial"/>
                <w:sz w:val="18"/>
                <w:szCs w:val="18"/>
                <w:color w:val="auto"/>
                <w:w w:val="99"/>
              </w:rPr>
              <w:t>$</w:t>
            </w:r>
          </w:p>
        </w:tc>
        <w:tc>
          <w:tcPr>
            <w:tcW w:w="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(1,009)</w:t>
            </w: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5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Reclassification adjustments</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9</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Unrealized loss on hedges</w:t>
            </w:r>
          </w:p>
        </w:tc>
        <w:tc>
          <w:tcPr>
            <w:tcW w:w="2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60" w:type="dxa"/>
            <w:vAlign w:val="bottom"/>
          </w:tcPr>
          <w:p>
            <w:pPr>
              <w:spacing w:after="0"/>
              <w:rPr>
                <w:sz w:val="21"/>
                <w:szCs w:val="21"/>
                <w:color w:val="auto"/>
              </w:rPr>
            </w:pPr>
          </w:p>
        </w:tc>
        <w:tc>
          <w:tcPr>
            <w:tcW w:w="5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8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20" w:type="dxa"/>
            <w:vAlign w:val="bottom"/>
            <w:gridSpan w:val="2"/>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Currency translation adjustments</w:t>
            </w:r>
          </w:p>
        </w:tc>
        <w:tc>
          <w:tcPr>
            <w:tcW w:w="24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114</w:t>
            </w:r>
          </w:p>
        </w:tc>
        <w:tc>
          <w:tcPr>
            <w:tcW w:w="1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114</w:t>
            </w:r>
          </w:p>
        </w:tc>
        <w:tc>
          <w:tcPr>
            <w:tcW w:w="0" w:type="dxa"/>
            <w:vAlign w:val="bottom"/>
          </w:tcPr>
          <w:p>
            <w:pPr>
              <w:spacing w:after="0"/>
              <w:rPr>
                <w:sz w:val="1"/>
                <w:szCs w:val="1"/>
                <w:color w:val="auto"/>
              </w:rPr>
            </w:pPr>
          </w:p>
        </w:tc>
      </w:tr>
      <w:tr>
        <w:trPr>
          <w:trHeight w:val="237"/>
        </w:trPr>
        <w:tc>
          <w:tcPr>
            <w:tcW w:w="5160" w:type="dxa"/>
            <w:vAlign w:val="bottom"/>
          </w:tcPr>
          <w:p>
            <w:pPr>
              <w:ind w:left="180"/>
              <w:spacing w:after="0"/>
              <w:rPr>
                <w:sz w:val="20"/>
                <w:szCs w:val="20"/>
                <w:color w:val="auto"/>
              </w:rPr>
            </w:pPr>
            <w:r>
              <w:rPr>
                <w:rFonts w:ascii="Arial" w:cs="Arial" w:eastAsia="Arial" w:hAnsi="Arial"/>
                <w:sz w:val="18"/>
                <w:szCs w:val="18"/>
                <w:color w:val="auto"/>
              </w:rPr>
              <w:t>Total period activity</w:t>
            </w:r>
          </w:p>
        </w:tc>
        <w:tc>
          <w:tcPr>
            <w:tcW w:w="24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114</w:t>
            </w:r>
          </w:p>
        </w:tc>
        <w:tc>
          <w:tcPr>
            <w:tcW w:w="100" w:type="dxa"/>
            <w:vAlign w:val="bottom"/>
          </w:tcPr>
          <w:p>
            <w:pPr>
              <w:spacing w:after="0"/>
              <w:rPr>
                <w:sz w:val="20"/>
                <w:szCs w:val="20"/>
                <w:color w:val="auto"/>
              </w:rPr>
            </w:pPr>
          </w:p>
        </w:tc>
        <w:tc>
          <w:tcPr>
            <w:tcW w:w="1060" w:type="dxa"/>
            <w:vAlign w:val="bottom"/>
            <w:tcBorders>
              <w:top w:val="single" w:sz="8" w:color="auto"/>
            </w:tcBorders>
          </w:tcPr>
          <w:p>
            <w:pPr>
              <w:spacing w:after="0"/>
              <w:rPr>
                <w:sz w:val="20"/>
                <w:szCs w:val="20"/>
                <w:color w:val="auto"/>
              </w:rPr>
            </w:pPr>
          </w:p>
        </w:tc>
        <w:tc>
          <w:tcPr>
            <w:tcW w:w="4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111</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June 30, 2017</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(231)</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(668)</w:t>
            </w:r>
          </w:p>
        </w:tc>
        <w:tc>
          <w:tcPr>
            <w:tcW w:w="1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856"/>
              <w:spacing w:after="0"/>
              <w:rPr>
                <w:sz w:val="20"/>
                <w:szCs w:val="20"/>
                <w:color w:val="auto"/>
              </w:rPr>
            </w:pPr>
            <w:r>
              <w:rPr>
                <w:rFonts w:ascii="Arial" w:cs="Arial" w:eastAsia="Arial" w:hAnsi="Arial"/>
                <w:sz w:val="18"/>
                <w:szCs w:val="18"/>
                <w:color w:val="auto"/>
                <w:w w:val="99"/>
              </w:rPr>
              <w:t>$</w:t>
            </w:r>
          </w:p>
        </w:tc>
        <w:tc>
          <w:tcPr>
            <w:tcW w:w="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(898)</w:t>
            </w: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125" w:right="239" w:bottom="1440" w:gutter="0" w:footer="0" w:header="0"/>
        </w:sectPr>
      </w:pPr>
    </w:p>
    <w:bookmarkStart w:id="5" w:name="page6"/>
    <w:bookmarkEnd w:id="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PLAINS GP HOLDINGS, L.P.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365" w:lineRule="exact"/>
        <w:rPr>
          <w:sz w:val="20"/>
          <w:szCs w:val="20"/>
          <w:color w:val="auto"/>
        </w:rPr>
      </w:pPr>
    </w:p>
    <w:p>
      <w:pPr>
        <w:jc w:val="center"/>
        <w:ind w:left="8360"/>
        <w:spacing w:after="0"/>
        <w:rPr>
          <w:sz w:val="20"/>
          <w:szCs w:val="20"/>
          <w:color w:val="auto"/>
        </w:rPr>
      </w:pPr>
      <w:r>
        <w:rPr>
          <w:rFonts w:ascii="Arial" w:cs="Arial" w:eastAsia="Arial" w:hAnsi="Arial"/>
          <w:sz w:val="14"/>
          <w:szCs w:val="14"/>
          <w:b w:val="1"/>
          <w:bCs w:val="1"/>
          <w:color w:val="auto"/>
        </w:rPr>
        <w:t>Six Months Ended</w:t>
      </w:r>
    </w:p>
    <w:p>
      <w:pPr>
        <w:spacing w:after="0" w:line="4" w:lineRule="exact"/>
        <w:rPr>
          <w:sz w:val="20"/>
          <w:szCs w:val="20"/>
          <w:color w:val="auto"/>
        </w:rPr>
      </w:pPr>
    </w:p>
    <w:p>
      <w:pPr>
        <w:jc w:val="center"/>
        <w:ind w:left="8360"/>
        <w:spacing w:after="0"/>
        <w:rPr>
          <w:sz w:val="20"/>
          <w:szCs w:val="20"/>
          <w:color w:val="auto"/>
        </w:rPr>
      </w:pPr>
      <w:r>
        <w:rPr>
          <w:rFonts w:ascii="Arial" w:cs="Arial" w:eastAsia="Arial" w:hAnsi="Arial"/>
          <w:sz w:val="14"/>
          <w:szCs w:val="14"/>
          <w:b w:val="1"/>
          <w:bCs w:val="1"/>
          <w:color w:val="auto"/>
        </w:rPr>
        <w:t>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5296535</wp:posOffset>
            </wp:positionH>
            <wp:positionV relativeFrom="paragraph">
              <wp:posOffset>13335</wp:posOffset>
            </wp:positionV>
            <wp:extent cx="195516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955165" cy="8890"/>
                    </a:xfrm>
                    <a:prstGeom prst="rect">
                      <a:avLst/>
                    </a:prstGeom>
                    <a:noFill/>
                  </pic:spPr>
                </pic:pic>
              </a:graphicData>
            </a:graphic>
          </wp:anchor>
        </w:drawing>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40" w:type="dxa"/>
            <w:vAlign w:val="bottom"/>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5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2017</w:t>
            </w:r>
          </w:p>
        </w:tc>
      </w:tr>
      <w:tr>
        <w:trPr>
          <w:trHeight w:val="196"/>
        </w:trPr>
        <w:tc>
          <w:tcPr>
            <w:tcW w:w="83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120" w:type="dxa"/>
            <w:vAlign w:val="bottom"/>
            <w:gridSpan w:val="3"/>
          </w:tcPr>
          <w:p>
            <w:pPr>
              <w:jc w:val="right"/>
              <w:ind w:right="50"/>
              <w:spacing w:after="0"/>
              <w:rPr>
                <w:sz w:val="20"/>
                <w:szCs w:val="20"/>
                <w:color w:val="auto"/>
              </w:rPr>
            </w:pPr>
            <w:r>
              <w:rPr>
                <w:rFonts w:ascii="Arial" w:cs="Arial" w:eastAsia="Arial" w:hAnsi="Arial"/>
                <w:sz w:val="14"/>
                <w:szCs w:val="14"/>
                <w:b w:val="1"/>
                <w:bCs w:val="1"/>
                <w:color w:val="auto"/>
              </w:rPr>
              <w:t>(unaudited)</w:t>
            </w:r>
          </w:p>
        </w:tc>
        <w:tc>
          <w:tcPr>
            <w:tcW w:w="1020" w:type="dxa"/>
            <w:vAlign w:val="bottom"/>
          </w:tcPr>
          <w:p>
            <w:pPr>
              <w:spacing w:after="0"/>
              <w:rPr>
                <w:sz w:val="17"/>
                <w:szCs w:val="17"/>
                <w:color w:val="auto"/>
              </w:rPr>
            </w:pPr>
          </w:p>
        </w:tc>
      </w:tr>
      <w:tr>
        <w:trPr>
          <w:trHeight w:val="256"/>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FLOWS FROM OPERATING ACTIVITIES</w:t>
            </w:r>
          </w:p>
        </w:tc>
        <w:tc>
          <w:tcPr>
            <w:tcW w:w="94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spacing w:after="0"/>
              <w:rPr>
                <w:sz w:val="22"/>
                <w:szCs w:val="22"/>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940" w:type="dxa"/>
            <w:vAlign w:val="bottom"/>
          </w:tcPr>
          <w:p>
            <w:pPr>
              <w:jc w:val="right"/>
              <w:ind w:right="734"/>
              <w:spacing w:after="0"/>
              <w:rPr>
                <w:sz w:val="20"/>
                <w:szCs w:val="20"/>
                <w:color w:val="auto"/>
              </w:rPr>
            </w:pPr>
            <w:r>
              <w:rPr>
                <w:rFonts w:ascii="Arial" w:cs="Arial" w:eastAsia="Arial" w:hAnsi="Arial"/>
                <w:sz w:val="18"/>
                <w:szCs w:val="18"/>
                <w:color w:val="auto"/>
                <w:w w:val="99"/>
              </w:rPr>
              <w:t>$</w:t>
            </w:r>
          </w:p>
        </w:tc>
        <w:tc>
          <w:tcPr>
            <w:tcW w:w="560" w:type="dxa"/>
            <w:vAlign w:val="bottom"/>
          </w:tcPr>
          <w:p>
            <w:pPr>
              <w:jc w:val="right"/>
              <w:ind w:right="11"/>
              <w:spacing w:after="0"/>
              <w:rPr>
                <w:sz w:val="20"/>
                <w:szCs w:val="20"/>
                <w:color w:val="auto"/>
              </w:rPr>
            </w:pPr>
            <w:r>
              <w:rPr>
                <w:rFonts w:ascii="Arial" w:cs="Arial" w:eastAsia="Arial" w:hAnsi="Arial"/>
                <w:sz w:val="18"/>
                <w:szCs w:val="18"/>
                <w:color w:val="auto"/>
              </w:rPr>
              <w:t>369</w:t>
            </w:r>
          </w:p>
        </w:tc>
        <w:tc>
          <w:tcPr>
            <w:tcW w:w="100" w:type="dxa"/>
            <w:vAlign w:val="bottom"/>
          </w:tcPr>
          <w:p>
            <w:pPr>
              <w:spacing w:after="0"/>
              <w:rPr>
                <w:sz w:val="21"/>
                <w:szCs w:val="21"/>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575</w:t>
            </w:r>
          </w:p>
        </w:tc>
      </w:tr>
      <w:tr>
        <w:trPr>
          <w:trHeight w:val="27"/>
        </w:trPr>
        <w:tc>
          <w:tcPr>
            <w:tcW w:w="8340" w:type="dxa"/>
            <w:vAlign w:val="bottom"/>
          </w:tcPr>
          <w:p>
            <w:pPr>
              <w:spacing w:after="0"/>
              <w:rPr>
                <w:sz w:val="2"/>
                <w:szCs w:val="2"/>
                <w:color w:val="auto"/>
              </w:rPr>
            </w:pPr>
          </w:p>
        </w:tc>
        <w:tc>
          <w:tcPr>
            <w:tcW w:w="9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Reconciliation of net income to net cash provided by operating activities:</w:t>
            </w:r>
          </w:p>
        </w:tc>
        <w:tc>
          <w:tcPr>
            <w:tcW w:w="9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Depreciation and amortization</w:t>
            </w:r>
          </w:p>
        </w:tc>
        <w:tc>
          <w:tcPr>
            <w:tcW w:w="940" w:type="dxa"/>
            <w:vAlign w:val="bottom"/>
          </w:tcPr>
          <w:p>
            <w:pPr>
              <w:spacing w:after="0"/>
              <w:rPr>
                <w:sz w:val="21"/>
                <w:szCs w:val="21"/>
                <w:color w:val="auto"/>
              </w:rPr>
            </w:pPr>
          </w:p>
        </w:tc>
        <w:tc>
          <w:tcPr>
            <w:tcW w:w="560" w:type="dxa"/>
            <w:vAlign w:val="bottom"/>
          </w:tcPr>
          <w:p>
            <w:pPr>
              <w:jc w:val="right"/>
              <w:ind w:right="11"/>
              <w:spacing w:after="0"/>
              <w:rPr>
                <w:sz w:val="20"/>
                <w:szCs w:val="20"/>
                <w:color w:val="auto"/>
              </w:rPr>
            </w:pPr>
            <w:r>
              <w:rPr>
                <w:rFonts w:ascii="Arial" w:cs="Arial" w:eastAsia="Arial" w:hAnsi="Arial"/>
                <w:sz w:val="18"/>
                <w:szCs w:val="18"/>
                <w:color w:val="auto"/>
              </w:rPr>
              <w:t>176</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251</w:t>
            </w:r>
          </w:p>
        </w:tc>
      </w:tr>
      <w:tr>
        <w:trPr>
          <w:trHeight w:val="27"/>
        </w:trPr>
        <w:tc>
          <w:tcPr>
            <w:tcW w:w="8340" w:type="dxa"/>
            <w:vAlign w:val="bottom"/>
          </w:tcPr>
          <w:p>
            <w:pPr>
              <w:spacing w:after="0"/>
              <w:rPr>
                <w:sz w:val="2"/>
                <w:szCs w:val="2"/>
                <w:color w:val="auto"/>
              </w:rPr>
            </w:pPr>
          </w:p>
        </w:tc>
        <w:tc>
          <w:tcPr>
            <w:tcW w:w="9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Equity-indexed compensation expense</w:t>
            </w:r>
          </w:p>
        </w:tc>
        <w:tc>
          <w:tcPr>
            <w:tcW w:w="9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36</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Inventory valuation adjustments</w:t>
            </w:r>
          </w:p>
        </w:tc>
        <w:tc>
          <w:tcPr>
            <w:tcW w:w="940" w:type="dxa"/>
            <w:vAlign w:val="bottom"/>
          </w:tcPr>
          <w:p>
            <w:pPr>
              <w:spacing w:after="0"/>
              <w:rPr>
                <w:sz w:val="21"/>
                <w:szCs w:val="21"/>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35</w:t>
            </w:r>
          </w:p>
        </w:tc>
      </w:tr>
      <w:tr>
        <w:trPr>
          <w:trHeight w:val="27"/>
        </w:trPr>
        <w:tc>
          <w:tcPr>
            <w:tcW w:w="8340" w:type="dxa"/>
            <w:vAlign w:val="bottom"/>
          </w:tcPr>
          <w:p>
            <w:pPr>
              <w:spacing w:after="0"/>
              <w:rPr>
                <w:sz w:val="2"/>
                <w:szCs w:val="2"/>
                <w:color w:val="auto"/>
              </w:rPr>
            </w:pPr>
          </w:p>
        </w:tc>
        <w:tc>
          <w:tcPr>
            <w:tcW w:w="9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Deferred income tax expense</w:t>
            </w:r>
          </w:p>
        </w:tc>
        <w:tc>
          <w:tcPr>
            <w:tcW w:w="9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41</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119</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Settlement of terminated interest rate hedging instruments</w:t>
            </w:r>
          </w:p>
        </w:tc>
        <w:tc>
          <w:tcPr>
            <w:tcW w:w="940" w:type="dxa"/>
            <w:vAlign w:val="bottom"/>
          </w:tcPr>
          <w:p>
            <w:pPr>
              <w:spacing w:after="0"/>
              <w:rPr>
                <w:sz w:val="21"/>
                <w:szCs w:val="21"/>
                <w:color w:val="auto"/>
              </w:rPr>
            </w:pPr>
          </w:p>
        </w:tc>
        <w:tc>
          <w:tcPr>
            <w:tcW w:w="560" w:type="dxa"/>
            <w:vAlign w:val="bottom"/>
          </w:tcPr>
          <w:p>
            <w:pPr>
              <w:jc w:val="right"/>
              <w:ind w:right="11"/>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7"/>
        </w:trPr>
        <w:tc>
          <w:tcPr>
            <w:tcW w:w="8340" w:type="dxa"/>
            <w:vAlign w:val="bottom"/>
          </w:tcPr>
          <w:p>
            <w:pPr>
              <w:spacing w:after="0"/>
              <w:rPr>
                <w:sz w:val="2"/>
                <w:szCs w:val="2"/>
                <w:color w:val="auto"/>
              </w:rPr>
            </w:pPr>
          </w:p>
        </w:tc>
        <w:tc>
          <w:tcPr>
            <w:tcW w:w="9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Equity earnings in unconsolidated entities</w:t>
            </w:r>
          </w:p>
        </w:tc>
        <w:tc>
          <w:tcPr>
            <w:tcW w:w="9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(171)</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(121)</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Distributions on earnings from unconsolidated entities</w:t>
            </w:r>
          </w:p>
        </w:tc>
        <w:tc>
          <w:tcPr>
            <w:tcW w:w="940" w:type="dxa"/>
            <w:vAlign w:val="bottom"/>
          </w:tcPr>
          <w:p>
            <w:pPr>
              <w:spacing w:after="0"/>
              <w:rPr>
                <w:sz w:val="21"/>
                <w:szCs w:val="21"/>
                <w:color w:val="auto"/>
              </w:rPr>
            </w:pPr>
          </w:p>
        </w:tc>
        <w:tc>
          <w:tcPr>
            <w:tcW w:w="560" w:type="dxa"/>
            <w:vAlign w:val="bottom"/>
          </w:tcPr>
          <w:p>
            <w:pPr>
              <w:jc w:val="right"/>
              <w:ind w:right="11"/>
              <w:spacing w:after="0"/>
              <w:rPr>
                <w:sz w:val="20"/>
                <w:szCs w:val="20"/>
                <w:color w:val="auto"/>
              </w:rPr>
            </w:pPr>
            <w:r>
              <w:rPr>
                <w:rFonts w:ascii="Arial" w:cs="Arial" w:eastAsia="Arial" w:hAnsi="Arial"/>
                <w:sz w:val="18"/>
                <w:szCs w:val="18"/>
                <w:color w:val="auto"/>
              </w:rPr>
              <w:t>206</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136</w:t>
            </w:r>
          </w:p>
        </w:tc>
      </w:tr>
      <w:tr>
        <w:trPr>
          <w:trHeight w:val="27"/>
        </w:trPr>
        <w:tc>
          <w:tcPr>
            <w:tcW w:w="8340" w:type="dxa"/>
            <w:vAlign w:val="bottom"/>
          </w:tcPr>
          <w:p>
            <w:pPr>
              <w:spacing w:after="0"/>
              <w:rPr>
                <w:sz w:val="2"/>
                <w:szCs w:val="2"/>
                <w:color w:val="auto"/>
              </w:rPr>
            </w:pPr>
          </w:p>
        </w:tc>
        <w:tc>
          <w:tcPr>
            <w:tcW w:w="9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w:t>
            </w:r>
          </w:p>
        </w:tc>
        <w:tc>
          <w:tcPr>
            <w:tcW w:w="9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Changes in assets and liabilities, net of acquisitions</w:t>
            </w:r>
          </w:p>
        </w:tc>
        <w:tc>
          <w:tcPr>
            <w:tcW w:w="940" w:type="dxa"/>
            <w:vAlign w:val="bottom"/>
          </w:tcPr>
          <w:p>
            <w:pPr>
              <w:spacing w:after="0"/>
              <w:rPr>
                <w:sz w:val="21"/>
                <w:szCs w:val="21"/>
                <w:color w:val="auto"/>
              </w:rPr>
            </w:pPr>
          </w:p>
        </w:tc>
        <w:tc>
          <w:tcPr>
            <w:tcW w:w="560" w:type="dxa"/>
            <w:vAlign w:val="bottom"/>
          </w:tcPr>
          <w:p>
            <w:pPr>
              <w:jc w:val="right"/>
              <w:ind w:right="11"/>
              <w:spacing w:after="0"/>
              <w:rPr>
                <w:sz w:val="20"/>
                <w:szCs w:val="20"/>
                <w:color w:val="auto"/>
              </w:rPr>
            </w:pPr>
            <w:r>
              <w:rPr>
                <w:rFonts w:ascii="Arial" w:cs="Arial" w:eastAsia="Arial" w:hAnsi="Arial"/>
                <w:sz w:val="18"/>
                <w:szCs w:val="18"/>
                <w:color w:val="auto"/>
              </w:rPr>
              <w:t>329</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465</w:t>
            </w:r>
          </w:p>
        </w:tc>
      </w:tr>
      <w:tr>
        <w:trPr>
          <w:trHeight w:val="27"/>
        </w:trPr>
        <w:tc>
          <w:tcPr>
            <w:tcW w:w="834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64"/>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cash provided by operating activities</w:t>
            </w:r>
          </w:p>
        </w:tc>
        <w:tc>
          <w:tcPr>
            <w:tcW w:w="94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w w:val="97"/>
              </w:rPr>
              <w:t>1,013</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1,459</w:t>
            </w:r>
          </w:p>
        </w:tc>
      </w:tr>
      <w:tr>
        <w:trPr>
          <w:trHeight w:val="237"/>
        </w:trPr>
        <w:tc>
          <w:tcPr>
            <w:tcW w:w="8340" w:type="dxa"/>
            <w:vAlign w:val="bottom"/>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5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FLOWS FROM INVESTING ACTIVITIES</w:t>
            </w:r>
          </w:p>
        </w:tc>
        <w:tc>
          <w:tcPr>
            <w:tcW w:w="9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Cash paid in connection with acquisitions, net of cash acquired</w:t>
            </w:r>
          </w:p>
        </w:tc>
        <w:tc>
          <w:tcPr>
            <w:tcW w:w="940" w:type="dxa"/>
            <w:vAlign w:val="bottom"/>
          </w:tcPr>
          <w:p>
            <w:pPr>
              <w:spacing w:after="0"/>
              <w:rPr>
                <w:sz w:val="21"/>
                <w:szCs w:val="21"/>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(1,281)</w:t>
            </w:r>
          </w:p>
        </w:tc>
      </w:tr>
      <w:tr>
        <w:trPr>
          <w:trHeight w:val="27"/>
        </w:trPr>
        <w:tc>
          <w:tcPr>
            <w:tcW w:w="8340" w:type="dxa"/>
            <w:vAlign w:val="bottom"/>
          </w:tcPr>
          <w:p>
            <w:pPr>
              <w:spacing w:after="0"/>
              <w:rPr>
                <w:sz w:val="2"/>
                <w:szCs w:val="2"/>
                <w:color w:val="auto"/>
              </w:rPr>
            </w:pPr>
          </w:p>
        </w:tc>
        <w:tc>
          <w:tcPr>
            <w:tcW w:w="9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Investments in unconsolidated entities</w:t>
            </w:r>
          </w:p>
        </w:tc>
        <w:tc>
          <w:tcPr>
            <w:tcW w:w="9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(216)</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(250)</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Additions to property, equipment and other</w:t>
            </w:r>
          </w:p>
        </w:tc>
        <w:tc>
          <w:tcPr>
            <w:tcW w:w="94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(724)</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(549)</w:t>
            </w:r>
          </w:p>
        </w:tc>
      </w:tr>
      <w:tr>
        <w:trPr>
          <w:trHeight w:val="27"/>
        </w:trPr>
        <w:tc>
          <w:tcPr>
            <w:tcW w:w="8340" w:type="dxa"/>
            <w:vAlign w:val="bottom"/>
          </w:tcPr>
          <w:p>
            <w:pPr>
              <w:spacing w:after="0"/>
              <w:rPr>
                <w:sz w:val="2"/>
                <w:szCs w:val="2"/>
                <w:color w:val="auto"/>
              </w:rPr>
            </w:pPr>
          </w:p>
        </w:tc>
        <w:tc>
          <w:tcPr>
            <w:tcW w:w="9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Proceeds from sales of assets</w:t>
            </w:r>
          </w:p>
        </w:tc>
        <w:tc>
          <w:tcPr>
            <w:tcW w:w="9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426</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389</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Return of investment from unconsolidated entities</w:t>
            </w:r>
          </w:p>
        </w:tc>
        <w:tc>
          <w:tcPr>
            <w:tcW w:w="940" w:type="dxa"/>
            <w:vAlign w:val="bottom"/>
          </w:tcPr>
          <w:p>
            <w:pPr>
              <w:spacing w:after="0"/>
              <w:rPr>
                <w:sz w:val="21"/>
                <w:szCs w:val="21"/>
                <w:color w:val="auto"/>
              </w:rPr>
            </w:pPr>
          </w:p>
        </w:tc>
        <w:tc>
          <w:tcPr>
            <w:tcW w:w="560" w:type="dxa"/>
            <w:vAlign w:val="bottom"/>
          </w:tcPr>
          <w:p>
            <w:pPr>
              <w:jc w:val="right"/>
              <w:ind w:right="11"/>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21</w:t>
            </w:r>
          </w:p>
        </w:tc>
      </w:tr>
      <w:tr>
        <w:trPr>
          <w:trHeight w:val="27"/>
        </w:trPr>
        <w:tc>
          <w:tcPr>
            <w:tcW w:w="8340" w:type="dxa"/>
            <w:vAlign w:val="bottom"/>
          </w:tcPr>
          <w:p>
            <w:pPr>
              <w:spacing w:after="0"/>
              <w:rPr>
                <w:sz w:val="2"/>
                <w:szCs w:val="2"/>
                <w:color w:val="auto"/>
              </w:rPr>
            </w:pPr>
          </w:p>
        </w:tc>
        <w:tc>
          <w:tcPr>
            <w:tcW w:w="9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investing activities</w:t>
            </w:r>
          </w:p>
        </w:tc>
        <w:tc>
          <w:tcPr>
            <w:tcW w:w="94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w:t>
            </w:r>
          </w:p>
        </w:tc>
      </w:tr>
      <w:tr>
        <w:trPr>
          <w:trHeight w:val="237"/>
        </w:trPr>
        <w:tc>
          <w:tcPr>
            <w:tcW w:w="8340" w:type="dxa"/>
            <w:vAlign w:val="bottom"/>
          </w:tcPr>
          <w:p>
            <w:pPr>
              <w:ind w:left="380"/>
              <w:spacing w:after="0"/>
              <w:rPr>
                <w:sz w:val="20"/>
                <w:szCs w:val="20"/>
                <w:color w:val="auto"/>
              </w:rPr>
            </w:pPr>
            <w:r>
              <w:rPr>
                <w:rFonts w:ascii="Arial" w:cs="Arial" w:eastAsia="Arial" w:hAnsi="Arial"/>
                <w:sz w:val="18"/>
                <w:szCs w:val="18"/>
                <w:color w:val="auto"/>
              </w:rPr>
              <w:t>Net cash used in investing activities</w:t>
            </w:r>
          </w:p>
        </w:tc>
        <w:tc>
          <w:tcPr>
            <w:tcW w:w="940" w:type="dxa"/>
            <w:vAlign w:val="bottom"/>
            <w:tcBorders>
              <w:top w:val="single" w:sz="8" w:color="auto"/>
            </w:tcBorders>
          </w:tcPr>
          <w:p>
            <w:pPr>
              <w:spacing w:after="0"/>
              <w:rPr>
                <w:sz w:val="20"/>
                <w:szCs w:val="20"/>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(506)</w:t>
            </w:r>
          </w:p>
        </w:tc>
        <w:tc>
          <w:tcPr>
            <w:tcW w:w="10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(1,654)</w:t>
            </w:r>
          </w:p>
        </w:tc>
      </w:tr>
      <w:tr>
        <w:trPr>
          <w:trHeight w:val="27"/>
        </w:trPr>
        <w:tc>
          <w:tcPr>
            <w:tcW w:w="834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37"/>
        </w:trPr>
        <w:tc>
          <w:tcPr>
            <w:tcW w:w="834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b w:val="1"/>
                <w:bCs w:val="1"/>
                <w:color w:val="auto"/>
              </w:rPr>
              <w:t>CASH FLOWS FROM FINANCING ACTIVITIES</w:t>
            </w:r>
          </w:p>
        </w:tc>
        <w:tc>
          <w:tcPr>
            <w:tcW w:w="9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spacing w:after="0"/>
              <w:rPr>
                <w:sz w:val="21"/>
                <w:szCs w:val="21"/>
                <w:color w:val="auto"/>
              </w:rPr>
            </w:pPr>
          </w:p>
        </w:tc>
      </w:tr>
      <w:tr>
        <w:trPr>
          <w:trHeight w:val="27"/>
        </w:trPr>
        <w:tc>
          <w:tcPr>
            <w:tcW w:w="8340" w:type="dxa"/>
            <w:vAlign w:val="bottom"/>
          </w:tcPr>
          <w:p>
            <w:pPr>
              <w:spacing w:after="0"/>
              <w:rPr>
                <w:sz w:val="2"/>
                <w:szCs w:val="2"/>
                <w:color w:val="auto"/>
              </w:rPr>
            </w:pPr>
          </w:p>
        </w:tc>
        <w:tc>
          <w:tcPr>
            <w:tcW w:w="9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borrowings under PAA commercial paper program (Note 9)</w:t>
            </w:r>
          </w:p>
        </w:tc>
        <w:tc>
          <w:tcPr>
            <w:tcW w:w="9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135</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Net borrowings under PAA senior unsecured revolving credit facility (Note 9)</w:t>
            </w:r>
          </w:p>
        </w:tc>
        <w:tc>
          <w:tcPr>
            <w:tcW w:w="940" w:type="dxa"/>
            <w:vAlign w:val="bottom"/>
          </w:tcPr>
          <w:p>
            <w:pPr>
              <w:spacing w:after="0"/>
              <w:rPr>
                <w:sz w:val="21"/>
                <w:szCs w:val="21"/>
                <w:color w:val="auto"/>
              </w:rPr>
            </w:pPr>
          </w:p>
        </w:tc>
        <w:tc>
          <w:tcPr>
            <w:tcW w:w="560" w:type="dxa"/>
            <w:vAlign w:val="bottom"/>
          </w:tcPr>
          <w:p>
            <w:pPr>
              <w:jc w:val="right"/>
              <w:ind w:right="11"/>
              <w:spacing w:after="0"/>
              <w:rPr>
                <w:sz w:val="20"/>
                <w:szCs w:val="20"/>
                <w:color w:val="auto"/>
              </w:rPr>
            </w:pPr>
            <w:r>
              <w:rPr>
                <w:rFonts w:ascii="Arial" w:cs="Arial" w:eastAsia="Arial" w:hAnsi="Arial"/>
                <w:sz w:val="18"/>
                <w:szCs w:val="18"/>
                <w:color w:val="auto"/>
              </w:rPr>
              <w:t>126</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8340" w:type="dxa"/>
            <w:vAlign w:val="bottom"/>
          </w:tcPr>
          <w:p>
            <w:pPr>
              <w:spacing w:after="0"/>
              <w:rPr>
                <w:sz w:val="2"/>
                <w:szCs w:val="2"/>
                <w:color w:val="auto"/>
              </w:rPr>
            </w:pPr>
          </w:p>
        </w:tc>
        <w:tc>
          <w:tcPr>
            <w:tcW w:w="9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repayments under PAA senior secured hedged inventory facility (Note 9)</w:t>
            </w:r>
          </w:p>
        </w:tc>
        <w:tc>
          <w:tcPr>
            <w:tcW w:w="9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(333)</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(450)</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Repayments of PAA senior notes</w:t>
            </w:r>
          </w:p>
        </w:tc>
        <w:tc>
          <w:tcPr>
            <w:tcW w:w="940" w:type="dxa"/>
            <w:vAlign w:val="bottom"/>
          </w:tcPr>
          <w:p>
            <w:pPr>
              <w:spacing w:after="0"/>
              <w:rPr>
                <w:sz w:val="21"/>
                <w:szCs w:val="21"/>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(400)</w:t>
            </w:r>
          </w:p>
        </w:tc>
      </w:tr>
      <w:tr>
        <w:trPr>
          <w:trHeight w:val="27"/>
        </w:trPr>
        <w:tc>
          <w:tcPr>
            <w:tcW w:w="8340" w:type="dxa"/>
            <w:vAlign w:val="bottom"/>
          </w:tcPr>
          <w:p>
            <w:pPr>
              <w:spacing w:after="0"/>
              <w:rPr>
                <w:sz w:val="2"/>
                <w:szCs w:val="2"/>
                <w:color w:val="auto"/>
              </w:rPr>
            </w:pPr>
          </w:p>
        </w:tc>
        <w:tc>
          <w:tcPr>
            <w:tcW w:w="9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proceeds from sales of Class A shares</w:t>
            </w:r>
          </w:p>
        </w:tc>
        <w:tc>
          <w:tcPr>
            <w:tcW w:w="9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1,535</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Net proceeds from sales of common units by a subsidiary</w:t>
            </w:r>
          </w:p>
        </w:tc>
        <w:tc>
          <w:tcPr>
            <w:tcW w:w="940" w:type="dxa"/>
            <w:vAlign w:val="bottom"/>
          </w:tcPr>
          <w:p>
            <w:pPr>
              <w:spacing w:after="0"/>
              <w:rPr>
                <w:sz w:val="21"/>
                <w:szCs w:val="21"/>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129</w:t>
            </w:r>
          </w:p>
        </w:tc>
      </w:tr>
      <w:tr>
        <w:trPr>
          <w:trHeight w:val="27"/>
        </w:trPr>
        <w:tc>
          <w:tcPr>
            <w:tcW w:w="8340" w:type="dxa"/>
            <w:vAlign w:val="bottom"/>
          </w:tcPr>
          <w:p>
            <w:pPr>
              <w:spacing w:after="0"/>
              <w:rPr>
                <w:sz w:val="2"/>
                <w:szCs w:val="2"/>
                <w:color w:val="auto"/>
              </w:rPr>
            </w:pPr>
          </w:p>
        </w:tc>
        <w:tc>
          <w:tcPr>
            <w:tcW w:w="9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Distributions paid to Class A shareholders (Note 10)</w:t>
            </w:r>
          </w:p>
        </w:tc>
        <w:tc>
          <w:tcPr>
            <w:tcW w:w="9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(141)</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Distributions paid to noncontrolling interests (Note 10)</w:t>
            </w:r>
          </w:p>
        </w:tc>
        <w:tc>
          <w:tcPr>
            <w:tcW w:w="94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(403)</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(630)</w:t>
            </w:r>
          </w:p>
        </w:tc>
      </w:tr>
      <w:tr>
        <w:trPr>
          <w:trHeight w:val="27"/>
        </w:trPr>
        <w:tc>
          <w:tcPr>
            <w:tcW w:w="8340" w:type="dxa"/>
            <w:vAlign w:val="bottom"/>
          </w:tcPr>
          <w:p>
            <w:pPr>
              <w:spacing w:after="0"/>
              <w:rPr>
                <w:sz w:val="2"/>
                <w:szCs w:val="2"/>
                <w:color w:val="auto"/>
              </w:rPr>
            </w:pPr>
          </w:p>
        </w:tc>
        <w:tc>
          <w:tcPr>
            <w:tcW w:w="9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financing activities</w:t>
            </w:r>
          </w:p>
        </w:tc>
        <w:tc>
          <w:tcPr>
            <w:tcW w:w="94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62</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126</w:t>
            </w:r>
          </w:p>
        </w:tc>
      </w:tr>
      <w:tr>
        <w:trPr>
          <w:trHeight w:val="237"/>
        </w:trPr>
        <w:tc>
          <w:tcPr>
            <w:tcW w:w="8340" w:type="dxa"/>
            <w:vAlign w:val="bottom"/>
          </w:tcPr>
          <w:p>
            <w:pPr>
              <w:ind w:left="380"/>
              <w:spacing w:after="0"/>
              <w:rPr>
                <w:sz w:val="20"/>
                <w:szCs w:val="20"/>
                <w:color w:val="auto"/>
              </w:rPr>
            </w:pPr>
            <w:r>
              <w:rPr>
                <w:rFonts w:ascii="Arial" w:cs="Arial" w:eastAsia="Arial" w:hAnsi="Arial"/>
                <w:sz w:val="18"/>
                <w:szCs w:val="18"/>
                <w:color w:val="auto"/>
              </w:rPr>
              <w:t>Net cash provided by/(used in) financing activities</w:t>
            </w:r>
          </w:p>
        </w:tc>
        <w:tc>
          <w:tcPr>
            <w:tcW w:w="940" w:type="dxa"/>
            <w:vAlign w:val="bottom"/>
            <w:tcBorders>
              <w:top w:val="single" w:sz="8" w:color="auto"/>
            </w:tcBorders>
          </w:tcPr>
          <w:p>
            <w:pPr>
              <w:spacing w:after="0"/>
              <w:rPr>
                <w:sz w:val="20"/>
                <w:szCs w:val="20"/>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(507)</w:t>
            </w:r>
          </w:p>
        </w:tc>
        <w:tc>
          <w:tcPr>
            <w:tcW w:w="10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194</w:t>
            </w:r>
          </w:p>
        </w:tc>
      </w:tr>
      <w:tr>
        <w:trPr>
          <w:trHeight w:val="27"/>
        </w:trPr>
        <w:tc>
          <w:tcPr>
            <w:tcW w:w="834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37"/>
        </w:trPr>
        <w:tc>
          <w:tcPr>
            <w:tcW w:w="834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Effect of translation adjustment on cash</w:t>
            </w:r>
          </w:p>
        </w:tc>
        <w:tc>
          <w:tcPr>
            <w:tcW w:w="94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1</w:t>
            </w:r>
          </w:p>
        </w:tc>
      </w:tr>
      <w:tr>
        <w:trPr>
          <w:trHeight w:val="27"/>
        </w:trPr>
        <w:tc>
          <w:tcPr>
            <w:tcW w:w="8340" w:type="dxa"/>
            <w:vAlign w:val="bottom"/>
          </w:tcPr>
          <w:p>
            <w:pPr>
              <w:spacing w:after="0"/>
              <w:rPr>
                <w:sz w:val="2"/>
                <w:szCs w:val="2"/>
                <w:color w:val="auto"/>
              </w:rPr>
            </w:pPr>
          </w:p>
        </w:tc>
        <w:tc>
          <w:tcPr>
            <w:tcW w:w="9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43"/>
        </w:trPr>
        <w:tc>
          <w:tcPr>
            <w:tcW w:w="834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Net decrease in cash and cash equivalents</w:t>
            </w:r>
          </w:p>
        </w:tc>
        <w:tc>
          <w:tcPr>
            <w:tcW w:w="94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8340" w:type="dxa"/>
            <w:vAlign w:val="bottom"/>
          </w:tcPr>
          <w:p>
            <w:pPr>
              <w:spacing w:after="0"/>
              <w:rPr>
                <w:sz w:val="2"/>
                <w:szCs w:val="2"/>
                <w:color w:val="auto"/>
              </w:rPr>
            </w:pPr>
          </w:p>
        </w:tc>
        <w:tc>
          <w:tcPr>
            <w:tcW w:w="9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 beginning of period</w:t>
            </w:r>
          </w:p>
        </w:tc>
        <w:tc>
          <w:tcPr>
            <w:tcW w:w="94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40</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50</w:t>
            </w:r>
          </w:p>
        </w:tc>
      </w:tr>
      <w:tr>
        <w:trPr>
          <w:trHeight w:val="237"/>
        </w:trPr>
        <w:tc>
          <w:tcPr>
            <w:tcW w:w="8340" w:type="dxa"/>
            <w:vAlign w:val="bottom"/>
          </w:tcPr>
          <w:p>
            <w:pPr>
              <w:ind w:left="40"/>
              <w:spacing w:after="0"/>
              <w:rPr>
                <w:sz w:val="20"/>
                <w:szCs w:val="20"/>
                <w:color w:val="auto"/>
              </w:rPr>
            </w:pPr>
            <w:r>
              <w:rPr>
                <w:rFonts w:ascii="Arial" w:cs="Arial" w:eastAsia="Arial" w:hAnsi="Arial"/>
                <w:sz w:val="18"/>
                <w:szCs w:val="18"/>
                <w:color w:val="auto"/>
              </w:rPr>
              <w:t>Cash and cash equivalents, end of period</w:t>
            </w:r>
          </w:p>
        </w:tc>
        <w:tc>
          <w:tcPr>
            <w:tcW w:w="940" w:type="dxa"/>
            <w:vAlign w:val="bottom"/>
            <w:tcBorders>
              <w:top w:val="single" w:sz="8" w:color="auto"/>
            </w:tcBorders>
          </w:tcPr>
          <w:p>
            <w:pPr>
              <w:jc w:val="right"/>
              <w:ind w:right="734"/>
              <w:spacing w:after="0"/>
              <w:rPr>
                <w:sz w:val="20"/>
                <w:szCs w:val="20"/>
                <w:color w:val="auto"/>
              </w:rPr>
            </w:pPr>
            <w:r>
              <w:rPr>
                <w:rFonts w:ascii="Arial" w:cs="Arial" w:eastAsia="Arial" w:hAnsi="Arial"/>
                <w:sz w:val="18"/>
                <w:szCs w:val="18"/>
                <w:color w:val="auto"/>
                <w:w w:val="99"/>
              </w:rPr>
              <w:t>$</w:t>
            </w:r>
          </w:p>
        </w:tc>
        <w:tc>
          <w:tcPr>
            <w:tcW w:w="5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20"/>
                <w:szCs w:val="20"/>
                <w:color w:val="auto"/>
              </w:rPr>
            </w:pPr>
          </w:p>
        </w:tc>
        <w:tc>
          <w:tcPr>
            <w:tcW w:w="460" w:type="dxa"/>
            <w:vAlign w:val="bottom"/>
            <w:tcBorders>
              <w:top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50</w:t>
            </w:r>
          </w:p>
        </w:tc>
      </w:tr>
      <w:tr>
        <w:trPr>
          <w:trHeight w:val="67"/>
        </w:trPr>
        <w:tc>
          <w:tcPr>
            <w:tcW w:w="8340" w:type="dxa"/>
            <w:vAlign w:val="bottom"/>
            <w:tcBorders>
              <w:bottom w:val="single" w:sz="8" w:color="CCEEFF"/>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5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46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r>
      <w:tr>
        <w:trPr>
          <w:trHeight w:val="210"/>
        </w:trPr>
        <w:tc>
          <w:tcPr>
            <w:tcW w:w="83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Cash paid for:</w:t>
            </w:r>
          </w:p>
        </w:tc>
        <w:tc>
          <w:tcPr>
            <w:tcW w:w="9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spacing w:after="0"/>
              <w:rPr>
                <w:sz w:val="21"/>
                <w:szCs w:val="21"/>
                <w:color w:val="auto"/>
              </w:rPr>
            </w:pPr>
          </w:p>
        </w:tc>
      </w:tr>
      <w:tr>
        <w:trPr>
          <w:trHeight w:val="27"/>
        </w:trPr>
        <w:tc>
          <w:tcPr>
            <w:tcW w:w="8340" w:type="dxa"/>
            <w:vAlign w:val="bottom"/>
          </w:tcPr>
          <w:p>
            <w:pPr>
              <w:spacing w:after="0"/>
              <w:rPr>
                <w:sz w:val="2"/>
                <w:szCs w:val="2"/>
                <w:color w:val="auto"/>
              </w:rPr>
            </w:pPr>
          </w:p>
        </w:tc>
        <w:tc>
          <w:tcPr>
            <w:tcW w:w="9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Interest, net of amounts capitalized</w:t>
            </w:r>
          </w:p>
        </w:tc>
        <w:tc>
          <w:tcPr>
            <w:tcW w:w="940" w:type="dxa"/>
            <w:vAlign w:val="bottom"/>
            <w:tcBorders>
              <w:bottom w:val="single" w:sz="8" w:color="CCEEFF"/>
            </w:tcBorders>
            <w:shd w:val="clear" w:color="auto" w:fill="CCEEFF"/>
          </w:tcPr>
          <w:p>
            <w:pPr>
              <w:jc w:val="right"/>
              <w:ind w:right="734"/>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203</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252</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Income taxes, net of amounts refunded</w:t>
            </w:r>
          </w:p>
        </w:tc>
        <w:tc>
          <w:tcPr>
            <w:tcW w:w="940" w:type="dxa"/>
            <w:vAlign w:val="bottom"/>
          </w:tcPr>
          <w:p>
            <w:pPr>
              <w:jc w:val="right"/>
              <w:ind w:right="734"/>
              <w:spacing w:after="0"/>
              <w:rPr>
                <w:sz w:val="20"/>
                <w:szCs w:val="20"/>
                <w:color w:val="auto"/>
              </w:rPr>
            </w:pPr>
            <w:r>
              <w:rPr>
                <w:rFonts w:ascii="Arial" w:cs="Arial" w:eastAsia="Arial" w:hAnsi="Arial"/>
                <w:sz w:val="18"/>
                <w:szCs w:val="18"/>
                <w:color w:val="auto"/>
                <w:w w:val="99"/>
              </w:rPr>
              <w:t>$</w:t>
            </w:r>
          </w:p>
        </w:tc>
        <w:tc>
          <w:tcPr>
            <w:tcW w:w="560" w:type="dxa"/>
            <w:vAlign w:val="bottom"/>
          </w:tcPr>
          <w:p>
            <w:pPr>
              <w:jc w:val="right"/>
              <w:ind w:right="11"/>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1"/>
                <w:szCs w:val="21"/>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34</w:t>
            </w:r>
          </w:p>
        </w:tc>
      </w:tr>
    </w:tbl>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ectPr>
          <w:pgSz w:w="11900" w:h="16838" w:orient="portrait"/>
          <w:cols w:equalWidth="0" w:num="1">
            <w:col w:w="11420"/>
          </w:cols>
          <w:pgMar w:left="240" w:top="125" w:right="23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w:t>
      </w:r>
    </w:p>
    <w:p>
      <w:pPr>
        <w:sectPr>
          <w:pgSz w:w="11900" w:h="16838" w:orient="portrait"/>
          <w:cols w:equalWidth="0" w:num="1">
            <w:col w:w="11420"/>
          </w:cols>
          <w:pgMar w:left="240" w:top="125" w:right="239" w:bottom="1440" w:gutter="0" w:footer="0" w:header="0"/>
          <w:type w:val="continuous"/>
        </w:sectPr>
      </w:pPr>
    </w:p>
    <w:bookmarkStart w:id="6" w:name="page7"/>
    <w:bookmarkEnd w:id="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ind w:left="260" w:right="2080"/>
        <w:spacing w:after="0" w:line="275" w:lineRule="auto"/>
        <w:rPr>
          <w:sz w:val="20"/>
          <w:szCs w:val="20"/>
          <w:color w:val="auto"/>
        </w:rPr>
      </w:pPr>
      <w:r>
        <w:rPr>
          <w:rFonts w:ascii="Arial" w:cs="Arial" w:eastAsia="Arial" w:hAnsi="Arial"/>
          <w:sz w:val="18"/>
          <w:szCs w:val="18"/>
          <w:b w:val="1"/>
          <w:bCs w:val="1"/>
          <w:color w:val="auto"/>
        </w:rPr>
        <w:t>PLAINS GP HOLDINGS, L.P. AND SUBSIDIARIES CONDENSED CONSOLIDATED STATEMENTS OF CHANGES IN PARTNERS’ CAPITAL (in millions)</w:t>
      </w:r>
    </w:p>
    <w:p>
      <w:pPr>
        <w:spacing w:after="0" w:line="3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8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89"/>
              </w:rPr>
              <w:t>Class A</w:t>
            </w:r>
          </w:p>
        </w:tc>
        <w:tc>
          <w:tcPr>
            <w:tcW w:w="200" w:type="dxa"/>
            <w:vAlign w:val="bottom"/>
          </w:tcPr>
          <w:p>
            <w:pPr>
              <w:spacing w:after="0"/>
              <w:rPr>
                <w:sz w:val="14"/>
                <w:szCs w:val="14"/>
                <w:color w:val="auto"/>
              </w:rPr>
            </w:pPr>
          </w:p>
        </w:tc>
        <w:tc>
          <w:tcPr>
            <w:tcW w:w="138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2"/>
              </w:rPr>
              <w:t>Noncontrolling</w:t>
            </w:r>
          </w:p>
        </w:tc>
        <w:tc>
          <w:tcPr>
            <w:tcW w:w="280" w:type="dxa"/>
            <w:vAlign w:val="bottom"/>
          </w:tcPr>
          <w:p>
            <w:pPr>
              <w:spacing w:after="0"/>
              <w:rPr>
                <w:sz w:val="14"/>
                <w:szCs w:val="14"/>
                <w:color w:val="auto"/>
              </w:rPr>
            </w:pPr>
          </w:p>
        </w:tc>
        <w:tc>
          <w:tcPr>
            <w:tcW w:w="1200" w:type="dxa"/>
            <w:vAlign w:val="bottom"/>
          </w:tcPr>
          <w:p>
            <w:pPr>
              <w:jc w:val="center"/>
              <w:ind w:right="194"/>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9"/>
        </w:trPr>
        <w:tc>
          <w:tcPr>
            <w:tcW w:w="67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8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380" w:type="dxa"/>
            <w:vAlign w:val="bottom"/>
            <w:gridSpan w:val="2"/>
            <w:vMerge w:val="continue"/>
          </w:tcPr>
          <w:p>
            <w:pPr>
              <w:spacing w:after="0"/>
              <w:rPr>
                <w:sz w:val="12"/>
                <w:szCs w:val="12"/>
                <w:color w:val="auto"/>
              </w:rPr>
            </w:pPr>
          </w:p>
        </w:tc>
        <w:tc>
          <w:tcPr>
            <w:tcW w:w="280" w:type="dxa"/>
            <w:vAlign w:val="bottom"/>
          </w:tcPr>
          <w:p>
            <w:pPr>
              <w:spacing w:after="0"/>
              <w:rPr>
                <w:sz w:val="12"/>
                <w:szCs w:val="12"/>
                <w:color w:val="auto"/>
              </w:rPr>
            </w:pPr>
          </w:p>
        </w:tc>
        <w:tc>
          <w:tcPr>
            <w:tcW w:w="1200" w:type="dxa"/>
            <w:vAlign w:val="bottom"/>
          </w:tcPr>
          <w:p>
            <w:pPr>
              <w:jc w:val="center"/>
              <w:ind w:right="174"/>
              <w:spacing w:after="0" w:line="149" w:lineRule="exact"/>
              <w:rPr>
                <w:sz w:val="20"/>
                <w:szCs w:val="20"/>
                <w:color w:val="auto"/>
              </w:rPr>
            </w:pPr>
            <w:r>
              <w:rPr>
                <w:rFonts w:ascii="Arial" w:cs="Arial" w:eastAsia="Arial" w:hAnsi="Arial"/>
                <w:sz w:val="14"/>
                <w:szCs w:val="14"/>
                <w:b w:val="1"/>
                <w:bCs w:val="1"/>
                <w:color w:val="auto"/>
                <w:w w:val="95"/>
              </w:rPr>
              <w:t>Partners’</w:t>
            </w:r>
          </w:p>
        </w:tc>
        <w:tc>
          <w:tcPr>
            <w:tcW w:w="0" w:type="dxa"/>
            <w:vAlign w:val="bottom"/>
          </w:tcPr>
          <w:p>
            <w:pPr>
              <w:spacing w:after="0"/>
              <w:rPr>
                <w:sz w:val="1"/>
                <w:szCs w:val="1"/>
                <w:color w:val="auto"/>
              </w:rPr>
            </w:pPr>
          </w:p>
        </w:tc>
      </w:tr>
      <w:tr>
        <w:trPr>
          <w:trHeight w:val="192"/>
        </w:trPr>
        <w:tc>
          <w:tcPr>
            <w:tcW w:w="67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4"/>
                <w:szCs w:val="14"/>
                <w:b w:val="1"/>
                <w:bCs w:val="1"/>
                <w:color w:val="auto"/>
                <w:w w:val="91"/>
              </w:rPr>
              <w:t>Shareholders</w:t>
            </w:r>
          </w:p>
        </w:tc>
        <w:tc>
          <w:tcPr>
            <w:tcW w:w="20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92"/>
              </w:rPr>
              <w:t>Interests</w:t>
            </w:r>
          </w:p>
        </w:tc>
        <w:tc>
          <w:tcPr>
            <w:tcW w:w="2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174"/>
              <w:spacing w:after="0"/>
              <w:rPr>
                <w:sz w:val="20"/>
                <w:szCs w:val="20"/>
                <w:color w:val="auto"/>
              </w:rPr>
            </w:pPr>
            <w:r>
              <w:rPr>
                <w:rFonts w:ascii="Arial" w:cs="Arial" w:eastAsia="Arial" w:hAnsi="Arial"/>
                <w:sz w:val="14"/>
                <w:szCs w:val="14"/>
                <w:b w:val="1"/>
                <w:bCs w:val="1"/>
                <w:color w:val="auto"/>
                <w:w w:val="98"/>
              </w:rPr>
              <w:t>Capital</w:t>
            </w:r>
          </w:p>
        </w:tc>
        <w:tc>
          <w:tcPr>
            <w:tcW w:w="0" w:type="dxa"/>
            <w:vAlign w:val="bottom"/>
          </w:tcPr>
          <w:p>
            <w:pPr>
              <w:spacing w:after="0"/>
              <w:rPr>
                <w:sz w:val="1"/>
                <w:szCs w:val="1"/>
                <w:color w:val="auto"/>
              </w:rPr>
            </w:pPr>
          </w:p>
        </w:tc>
      </w:tr>
      <w:tr>
        <w:trPr>
          <w:trHeight w:val="196"/>
        </w:trPr>
        <w:tc>
          <w:tcPr>
            <w:tcW w:w="67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4"/>
              </w:rPr>
              <w:t>(unaudited)</w:t>
            </w:r>
          </w:p>
        </w:tc>
        <w:tc>
          <w:tcPr>
            <w:tcW w:w="2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81"/>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December 31, 2017</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1,695</w:t>
            </w:r>
          </w:p>
        </w:tc>
        <w:tc>
          <w:tcPr>
            <w:tcW w:w="1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10,663</w:t>
            </w:r>
          </w:p>
        </w:tc>
        <w:tc>
          <w:tcPr>
            <w:tcW w:w="10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12,358</w:t>
            </w:r>
          </w:p>
        </w:tc>
        <w:tc>
          <w:tcPr>
            <w:tcW w:w="0" w:type="dxa"/>
            <w:vAlign w:val="bottom"/>
          </w:tcPr>
          <w:p>
            <w:pPr>
              <w:spacing w:after="0"/>
              <w:rPr>
                <w:sz w:val="1"/>
                <w:szCs w:val="1"/>
                <w:color w:val="auto"/>
              </w:rPr>
            </w:pPr>
          </w:p>
        </w:tc>
      </w:tr>
      <w:tr>
        <w:trPr>
          <w:trHeight w:val="20"/>
        </w:trPr>
        <w:tc>
          <w:tcPr>
            <w:tcW w:w="6740" w:type="dxa"/>
            <w:vAlign w:val="bottom"/>
            <w:tcBorders>
              <w:top w:val="single" w:sz="8" w:color="CCEEFF"/>
              <w:bottom w:val="single" w:sz="8" w:color="CCEEFF"/>
            </w:tcBorders>
            <w:vMerge w:val="restart"/>
          </w:tcPr>
          <w:p>
            <w:pPr>
              <w:ind w:left="180"/>
              <w:spacing w:after="0"/>
              <w:rPr>
                <w:sz w:val="20"/>
                <w:szCs w:val="20"/>
                <w:color w:val="auto"/>
              </w:rPr>
            </w:pPr>
            <w:r>
              <w:rPr>
                <w:rFonts w:ascii="Arial" w:cs="Arial" w:eastAsia="Arial" w:hAnsi="Arial"/>
                <w:sz w:val="18"/>
                <w:szCs w:val="18"/>
                <w:color w:val="auto"/>
              </w:rPr>
              <w:t>Impact of adoption of ASU 2017-05 (Note 2)</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6740" w:type="dxa"/>
            <w:vAlign w:val="bottom"/>
            <w:vMerge w:val="continue"/>
          </w:tcPr>
          <w:p>
            <w:pPr>
              <w:spacing w:after="0"/>
              <w:rPr>
                <w:sz w:val="19"/>
                <w:szCs w:val="19"/>
                <w:color w:val="auto"/>
              </w:rPr>
            </w:pPr>
          </w:p>
        </w:tc>
        <w:tc>
          <w:tcPr>
            <w:tcW w:w="240" w:type="dxa"/>
            <w:vAlign w:val="bottom"/>
          </w:tcPr>
          <w:p>
            <w:pPr>
              <w:spacing w:after="0"/>
              <w:rPr>
                <w:sz w:val="19"/>
                <w:szCs w:val="19"/>
                <w:color w:val="auto"/>
              </w:rPr>
            </w:pPr>
          </w:p>
        </w:tc>
        <w:tc>
          <w:tcPr>
            <w:tcW w:w="1280" w:type="dxa"/>
            <w:vAlign w:val="bottom"/>
          </w:tcPr>
          <w:p>
            <w:pPr>
              <w:jc w:val="right"/>
              <w:ind w:right="33"/>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right"/>
              <w:ind w:right="14"/>
              <w:spacing w:after="0"/>
              <w:rPr>
                <w:sz w:val="20"/>
                <w:szCs w:val="20"/>
                <w:color w:val="auto"/>
              </w:rPr>
            </w:pPr>
            <w:r>
              <w:rPr>
                <w:rFonts w:ascii="Arial" w:cs="Arial" w:eastAsia="Arial" w:hAnsi="Arial"/>
                <w:sz w:val="18"/>
                <w:szCs w:val="18"/>
                <w:color w:val="auto"/>
              </w:rPr>
              <w:t>89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113</w:t>
            </w:r>
          </w:p>
        </w:tc>
        <w:tc>
          <w:tcPr>
            <w:tcW w:w="0" w:type="dxa"/>
            <w:vAlign w:val="bottom"/>
          </w:tcPr>
          <w:p>
            <w:pPr>
              <w:spacing w:after="0"/>
              <w:rPr>
                <w:sz w:val="1"/>
                <w:szCs w:val="1"/>
                <w:color w:val="auto"/>
              </w:rPr>
            </w:pPr>
          </w:p>
        </w:tc>
      </w:tr>
      <w:tr>
        <w:trPr>
          <w:trHeight w:val="27"/>
        </w:trPr>
        <w:tc>
          <w:tcPr>
            <w:tcW w:w="67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January 1, 2018</w:t>
            </w:r>
          </w:p>
        </w:tc>
        <w:tc>
          <w:tcPr>
            <w:tcW w:w="2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1,719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10,752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12,471</w:t>
            </w:r>
          </w:p>
        </w:tc>
        <w:tc>
          <w:tcPr>
            <w:tcW w:w="0" w:type="dxa"/>
            <w:vAlign w:val="bottom"/>
          </w:tcPr>
          <w:p>
            <w:pPr>
              <w:spacing w:after="0"/>
              <w:rPr>
                <w:sz w:val="1"/>
                <w:szCs w:val="1"/>
                <w:color w:val="auto"/>
              </w:rPr>
            </w:pP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rPr>
              <w:t>Net income</w:t>
            </w:r>
          </w:p>
        </w:tc>
        <w:tc>
          <w:tcPr>
            <w:tcW w:w="240" w:type="dxa"/>
            <w:vAlign w:val="bottom"/>
          </w:tcPr>
          <w:p>
            <w:pPr>
              <w:spacing w:after="0"/>
              <w:rPr>
                <w:sz w:val="21"/>
                <w:szCs w:val="21"/>
                <w:color w:val="auto"/>
              </w:rPr>
            </w:pPr>
          </w:p>
        </w:tc>
        <w:tc>
          <w:tcPr>
            <w:tcW w:w="1280" w:type="dxa"/>
            <w:vAlign w:val="bottom"/>
          </w:tcPr>
          <w:p>
            <w:pPr>
              <w:jc w:val="right"/>
              <w:ind w:right="33"/>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14"/>
              <w:spacing w:after="0"/>
              <w:rPr>
                <w:sz w:val="20"/>
                <w:szCs w:val="20"/>
                <w:color w:val="auto"/>
              </w:rPr>
            </w:pPr>
            <w:r>
              <w:rPr>
                <w:rFonts w:ascii="Arial" w:cs="Arial" w:eastAsia="Arial" w:hAnsi="Arial"/>
                <w:sz w:val="18"/>
                <w:szCs w:val="18"/>
                <w:color w:val="auto"/>
              </w:rPr>
              <w:t>325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369</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Distributions (Note 10)</w:t>
            </w:r>
          </w:p>
        </w:tc>
        <w:tc>
          <w:tcPr>
            <w:tcW w:w="2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(534)</w:t>
            </w:r>
          </w:p>
        </w:tc>
        <w:tc>
          <w:tcPr>
            <w:tcW w:w="0" w:type="dxa"/>
            <w:vAlign w:val="bottom"/>
          </w:tcPr>
          <w:p>
            <w:pPr>
              <w:spacing w:after="0"/>
              <w:rPr>
                <w:sz w:val="1"/>
                <w:szCs w:val="1"/>
                <w:color w:val="auto"/>
              </w:rPr>
            </w:pP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rPr>
              <w:t>Deferred tax asset</w:t>
            </w:r>
          </w:p>
        </w:tc>
        <w:tc>
          <w:tcPr>
            <w:tcW w:w="240" w:type="dxa"/>
            <w:vAlign w:val="bottom"/>
          </w:tcPr>
          <w:p>
            <w:pPr>
              <w:spacing w:after="0"/>
              <w:rPr>
                <w:sz w:val="21"/>
                <w:szCs w:val="21"/>
                <w:color w:val="auto"/>
              </w:rPr>
            </w:pPr>
          </w:p>
        </w:tc>
        <w:tc>
          <w:tcPr>
            <w:tcW w:w="1280" w:type="dxa"/>
            <w:vAlign w:val="bottom"/>
          </w:tcPr>
          <w:p>
            <w:pPr>
              <w:jc w:val="right"/>
              <w:ind w:right="33"/>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comprehensive loss</w:t>
            </w:r>
          </w:p>
        </w:tc>
        <w:tc>
          <w:tcPr>
            <w:tcW w:w="2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(121)</w:t>
            </w:r>
          </w:p>
        </w:tc>
        <w:tc>
          <w:tcPr>
            <w:tcW w:w="0" w:type="dxa"/>
            <w:vAlign w:val="bottom"/>
          </w:tcPr>
          <w:p>
            <w:pPr>
              <w:spacing w:after="0"/>
              <w:rPr>
                <w:sz w:val="1"/>
                <w:szCs w:val="1"/>
                <w:color w:val="auto"/>
              </w:rPr>
            </w:pP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rPr>
              <w:t>Other</w:t>
            </w:r>
          </w:p>
        </w:tc>
        <w:tc>
          <w:tcPr>
            <w:tcW w:w="240" w:type="dxa"/>
            <w:vAlign w:val="bottom"/>
          </w:tcPr>
          <w:p>
            <w:pPr>
              <w:spacing w:after="0"/>
              <w:rPr>
                <w:sz w:val="21"/>
                <w:szCs w:val="21"/>
                <w:color w:val="auto"/>
              </w:rPr>
            </w:pPr>
          </w:p>
        </w:tc>
        <w:tc>
          <w:tcPr>
            <w:tcW w:w="1280" w:type="dxa"/>
            <w:vAlign w:val="bottom"/>
          </w:tcPr>
          <w:p>
            <w:pPr>
              <w:jc w:val="right"/>
              <w:ind w:right="33"/>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14"/>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7"/>
        </w:trPr>
        <w:tc>
          <w:tcPr>
            <w:tcW w:w="67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June 30, 2018</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1,661</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10,554</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12,215</w:t>
            </w:r>
          </w:p>
        </w:tc>
        <w:tc>
          <w:tcPr>
            <w:tcW w:w="0" w:type="dxa"/>
            <w:vAlign w:val="bottom"/>
          </w:tcPr>
          <w:p>
            <w:pPr>
              <w:spacing w:after="0"/>
              <w:rPr>
                <w:sz w:val="1"/>
                <w:szCs w:val="1"/>
                <w:color w:val="auto"/>
              </w:rPr>
            </w:pP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4"/>
        </w:trPr>
        <w:tc>
          <w:tcPr>
            <w:tcW w:w="67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8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89"/>
              </w:rPr>
              <w:t>Class A</w:t>
            </w:r>
          </w:p>
        </w:tc>
        <w:tc>
          <w:tcPr>
            <w:tcW w:w="200" w:type="dxa"/>
            <w:vAlign w:val="bottom"/>
          </w:tcPr>
          <w:p>
            <w:pPr>
              <w:spacing w:after="0"/>
              <w:rPr>
                <w:sz w:val="24"/>
                <w:szCs w:val="24"/>
                <w:color w:val="auto"/>
              </w:rPr>
            </w:pPr>
          </w:p>
        </w:tc>
        <w:tc>
          <w:tcPr>
            <w:tcW w:w="138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2"/>
              </w:rPr>
              <w:t>Noncontrolling</w:t>
            </w:r>
          </w:p>
        </w:tc>
        <w:tc>
          <w:tcPr>
            <w:tcW w:w="280" w:type="dxa"/>
            <w:vAlign w:val="bottom"/>
          </w:tcPr>
          <w:p>
            <w:pPr>
              <w:spacing w:after="0"/>
              <w:rPr>
                <w:sz w:val="24"/>
                <w:szCs w:val="24"/>
                <w:color w:val="auto"/>
              </w:rPr>
            </w:pPr>
          </w:p>
        </w:tc>
        <w:tc>
          <w:tcPr>
            <w:tcW w:w="1200" w:type="dxa"/>
            <w:vAlign w:val="bottom"/>
          </w:tcPr>
          <w:p>
            <w:pPr>
              <w:jc w:val="center"/>
              <w:ind w:right="194"/>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9"/>
        </w:trPr>
        <w:tc>
          <w:tcPr>
            <w:tcW w:w="67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8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380" w:type="dxa"/>
            <w:vAlign w:val="bottom"/>
            <w:gridSpan w:val="2"/>
            <w:vMerge w:val="continue"/>
          </w:tcPr>
          <w:p>
            <w:pPr>
              <w:spacing w:after="0"/>
              <w:rPr>
                <w:sz w:val="12"/>
                <w:szCs w:val="12"/>
                <w:color w:val="auto"/>
              </w:rPr>
            </w:pPr>
          </w:p>
        </w:tc>
        <w:tc>
          <w:tcPr>
            <w:tcW w:w="280" w:type="dxa"/>
            <w:vAlign w:val="bottom"/>
          </w:tcPr>
          <w:p>
            <w:pPr>
              <w:spacing w:after="0"/>
              <w:rPr>
                <w:sz w:val="12"/>
                <w:szCs w:val="12"/>
                <w:color w:val="auto"/>
              </w:rPr>
            </w:pPr>
          </w:p>
        </w:tc>
        <w:tc>
          <w:tcPr>
            <w:tcW w:w="1200" w:type="dxa"/>
            <w:vAlign w:val="bottom"/>
          </w:tcPr>
          <w:p>
            <w:pPr>
              <w:jc w:val="center"/>
              <w:ind w:right="174"/>
              <w:spacing w:after="0" w:line="149" w:lineRule="exact"/>
              <w:rPr>
                <w:sz w:val="20"/>
                <w:szCs w:val="20"/>
                <w:color w:val="auto"/>
              </w:rPr>
            </w:pPr>
            <w:r>
              <w:rPr>
                <w:rFonts w:ascii="Arial" w:cs="Arial" w:eastAsia="Arial" w:hAnsi="Arial"/>
                <w:sz w:val="14"/>
                <w:szCs w:val="14"/>
                <w:b w:val="1"/>
                <w:bCs w:val="1"/>
                <w:color w:val="auto"/>
                <w:w w:val="95"/>
              </w:rPr>
              <w:t>Partners’</w:t>
            </w:r>
          </w:p>
        </w:tc>
        <w:tc>
          <w:tcPr>
            <w:tcW w:w="0" w:type="dxa"/>
            <w:vAlign w:val="bottom"/>
          </w:tcPr>
          <w:p>
            <w:pPr>
              <w:spacing w:after="0"/>
              <w:rPr>
                <w:sz w:val="1"/>
                <w:szCs w:val="1"/>
                <w:color w:val="auto"/>
              </w:rPr>
            </w:pPr>
          </w:p>
        </w:tc>
      </w:tr>
      <w:tr>
        <w:trPr>
          <w:trHeight w:val="192"/>
        </w:trPr>
        <w:tc>
          <w:tcPr>
            <w:tcW w:w="67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4"/>
                <w:szCs w:val="14"/>
                <w:b w:val="1"/>
                <w:bCs w:val="1"/>
                <w:color w:val="auto"/>
                <w:w w:val="91"/>
              </w:rPr>
              <w:t>Shareholders</w:t>
            </w:r>
          </w:p>
        </w:tc>
        <w:tc>
          <w:tcPr>
            <w:tcW w:w="20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92"/>
              </w:rPr>
              <w:t>Interests</w:t>
            </w:r>
          </w:p>
        </w:tc>
        <w:tc>
          <w:tcPr>
            <w:tcW w:w="2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174"/>
              <w:spacing w:after="0"/>
              <w:rPr>
                <w:sz w:val="20"/>
                <w:szCs w:val="20"/>
                <w:color w:val="auto"/>
              </w:rPr>
            </w:pPr>
            <w:r>
              <w:rPr>
                <w:rFonts w:ascii="Arial" w:cs="Arial" w:eastAsia="Arial" w:hAnsi="Arial"/>
                <w:sz w:val="14"/>
                <w:szCs w:val="14"/>
                <w:b w:val="1"/>
                <w:bCs w:val="1"/>
                <w:color w:val="auto"/>
                <w:w w:val="98"/>
              </w:rPr>
              <w:t>Capital</w:t>
            </w:r>
          </w:p>
        </w:tc>
        <w:tc>
          <w:tcPr>
            <w:tcW w:w="0" w:type="dxa"/>
            <w:vAlign w:val="bottom"/>
          </w:tcPr>
          <w:p>
            <w:pPr>
              <w:spacing w:after="0"/>
              <w:rPr>
                <w:sz w:val="1"/>
                <w:szCs w:val="1"/>
                <w:color w:val="auto"/>
              </w:rPr>
            </w:pPr>
          </w:p>
        </w:tc>
      </w:tr>
      <w:tr>
        <w:trPr>
          <w:trHeight w:val="196"/>
        </w:trPr>
        <w:tc>
          <w:tcPr>
            <w:tcW w:w="67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4"/>
              </w:rPr>
              <w:t>(unaudited)</w:t>
            </w:r>
          </w:p>
        </w:tc>
        <w:tc>
          <w:tcPr>
            <w:tcW w:w="2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81"/>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December 31, 2016</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1,737</w:t>
            </w:r>
          </w:p>
        </w:tc>
        <w:tc>
          <w:tcPr>
            <w:tcW w:w="1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8,970</w:t>
            </w:r>
          </w:p>
        </w:tc>
        <w:tc>
          <w:tcPr>
            <w:tcW w:w="10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10,707</w:t>
            </w:r>
          </w:p>
        </w:tc>
        <w:tc>
          <w:tcPr>
            <w:tcW w:w="0" w:type="dxa"/>
            <w:vAlign w:val="bottom"/>
          </w:tcPr>
          <w:p>
            <w:pPr>
              <w:spacing w:after="0"/>
              <w:rPr>
                <w:sz w:val="1"/>
                <w:szCs w:val="1"/>
                <w:color w:val="auto"/>
              </w:rPr>
            </w:pPr>
          </w:p>
        </w:tc>
      </w:tr>
      <w:tr>
        <w:trPr>
          <w:trHeight w:val="20"/>
        </w:trPr>
        <w:tc>
          <w:tcPr>
            <w:tcW w:w="6740" w:type="dxa"/>
            <w:vAlign w:val="bottom"/>
            <w:tcBorders>
              <w:top w:val="single" w:sz="8" w:color="CCEEFF"/>
              <w:bottom w:val="single" w:sz="8" w:color="CCEEFF"/>
            </w:tcBorders>
            <w:vMerge w:val="restart"/>
          </w:tcPr>
          <w:p>
            <w:pPr>
              <w:ind w:left="180"/>
              <w:spacing w:after="0"/>
              <w:rPr>
                <w:sz w:val="20"/>
                <w:szCs w:val="20"/>
                <w:color w:val="auto"/>
              </w:rPr>
            </w:pPr>
            <w:r>
              <w:rPr>
                <w:rFonts w:ascii="Arial" w:cs="Arial" w:eastAsia="Arial" w:hAnsi="Arial"/>
                <w:sz w:val="18"/>
                <w:szCs w:val="18"/>
                <w:color w:val="auto"/>
              </w:rPr>
              <w:t>Net income</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6740" w:type="dxa"/>
            <w:vAlign w:val="bottom"/>
            <w:vMerge w:val="continue"/>
          </w:tcPr>
          <w:p>
            <w:pPr>
              <w:spacing w:after="0"/>
              <w:rPr>
                <w:sz w:val="19"/>
                <w:szCs w:val="19"/>
                <w:color w:val="auto"/>
              </w:rPr>
            </w:pPr>
          </w:p>
        </w:tc>
        <w:tc>
          <w:tcPr>
            <w:tcW w:w="240" w:type="dxa"/>
            <w:vAlign w:val="bottom"/>
          </w:tcPr>
          <w:p>
            <w:pPr>
              <w:spacing w:after="0"/>
              <w:rPr>
                <w:sz w:val="19"/>
                <w:szCs w:val="19"/>
                <w:color w:val="auto"/>
              </w:rPr>
            </w:pPr>
          </w:p>
        </w:tc>
        <w:tc>
          <w:tcPr>
            <w:tcW w:w="1280" w:type="dxa"/>
            <w:vAlign w:val="bottom"/>
          </w:tcPr>
          <w:p>
            <w:pPr>
              <w:jc w:val="right"/>
              <w:ind w:right="33"/>
              <w:spacing w:after="0"/>
              <w:rPr>
                <w:sz w:val="20"/>
                <w:szCs w:val="20"/>
                <w:color w:val="auto"/>
              </w:rPr>
            </w:pPr>
            <w:r>
              <w:rPr>
                <w:rFonts w:ascii="Arial" w:cs="Arial" w:eastAsia="Arial" w:hAnsi="Arial"/>
                <w:sz w:val="18"/>
                <w:szCs w:val="18"/>
                <w:color w:val="auto"/>
              </w:rPr>
              <w:t>65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right"/>
              <w:ind w:right="14"/>
              <w:spacing w:after="0"/>
              <w:rPr>
                <w:sz w:val="20"/>
                <w:szCs w:val="20"/>
                <w:color w:val="auto"/>
              </w:rPr>
            </w:pPr>
            <w:r>
              <w:rPr>
                <w:rFonts w:ascii="Arial" w:cs="Arial" w:eastAsia="Arial" w:hAnsi="Arial"/>
                <w:sz w:val="18"/>
                <w:szCs w:val="18"/>
                <w:color w:val="auto"/>
              </w:rPr>
              <w:t>510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575</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Distributions</w:t>
            </w:r>
          </w:p>
        </w:tc>
        <w:tc>
          <w:tcPr>
            <w:tcW w:w="2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(771)</w:t>
            </w:r>
          </w:p>
        </w:tc>
        <w:tc>
          <w:tcPr>
            <w:tcW w:w="0" w:type="dxa"/>
            <w:vAlign w:val="bottom"/>
          </w:tcPr>
          <w:p>
            <w:pPr>
              <w:spacing w:after="0"/>
              <w:rPr>
                <w:sz w:val="1"/>
                <w:szCs w:val="1"/>
                <w:color w:val="auto"/>
              </w:rPr>
            </w:pP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rPr>
              <w:t>Deferred tax asset</w:t>
            </w:r>
          </w:p>
        </w:tc>
        <w:tc>
          <w:tcPr>
            <w:tcW w:w="240" w:type="dxa"/>
            <w:vAlign w:val="bottom"/>
          </w:tcPr>
          <w:p>
            <w:pPr>
              <w:spacing w:after="0"/>
              <w:rPr>
                <w:sz w:val="21"/>
                <w:szCs w:val="21"/>
                <w:color w:val="auto"/>
              </w:rPr>
            </w:pPr>
          </w:p>
        </w:tc>
        <w:tc>
          <w:tcPr>
            <w:tcW w:w="1280" w:type="dxa"/>
            <w:vAlign w:val="bottom"/>
          </w:tcPr>
          <w:p>
            <w:pPr>
              <w:jc w:val="right"/>
              <w:ind w:right="33"/>
              <w:spacing w:after="0"/>
              <w:rPr>
                <w:sz w:val="20"/>
                <w:szCs w:val="20"/>
                <w:color w:val="auto"/>
              </w:rPr>
            </w:pPr>
            <w:r>
              <w:rPr>
                <w:rFonts w:ascii="Arial" w:cs="Arial" w:eastAsia="Arial" w:hAnsi="Arial"/>
                <w:sz w:val="18"/>
                <w:szCs w:val="18"/>
                <w:color w:val="auto"/>
              </w:rPr>
              <w:t>393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393</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Sales of Class A shares</w:t>
            </w:r>
          </w:p>
        </w:tc>
        <w:tc>
          <w:tcPr>
            <w:tcW w:w="2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462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1,073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1,535</w:t>
            </w:r>
          </w:p>
        </w:tc>
        <w:tc>
          <w:tcPr>
            <w:tcW w:w="0" w:type="dxa"/>
            <w:vAlign w:val="bottom"/>
          </w:tcPr>
          <w:p>
            <w:pPr>
              <w:spacing w:after="0"/>
              <w:rPr>
                <w:sz w:val="1"/>
                <w:szCs w:val="1"/>
                <w:color w:val="auto"/>
              </w:rPr>
            </w:pP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rPr>
              <w:t>Sales of common units by a subsidiary</w:t>
            </w:r>
          </w:p>
        </w:tc>
        <w:tc>
          <w:tcPr>
            <w:tcW w:w="240" w:type="dxa"/>
            <w:vAlign w:val="bottom"/>
          </w:tcPr>
          <w:p>
            <w:pPr>
              <w:spacing w:after="0"/>
              <w:rPr>
                <w:sz w:val="21"/>
                <w:szCs w:val="21"/>
                <w:color w:val="auto"/>
              </w:rPr>
            </w:pPr>
          </w:p>
        </w:tc>
        <w:tc>
          <w:tcPr>
            <w:tcW w:w="1280" w:type="dxa"/>
            <w:vAlign w:val="bottom"/>
          </w:tcPr>
          <w:p>
            <w:pPr>
              <w:jc w:val="right"/>
              <w:ind w:right="33"/>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14"/>
              <w:spacing w:after="0"/>
              <w:rPr>
                <w:sz w:val="20"/>
                <w:szCs w:val="20"/>
                <w:color w:val="auto"/>
              </w:rPr>
            </w:pPr>
            <w:r>
              <w:rPr>
                <w:rFonts w:ascii="Arial" w:cs="Arial" w:eastAsia="Arial" w:hAnsi="Arial"/>
                <w:sz w:val="18"/>
                <w:szCs w:val="18"/>
                <w:color w:val="auto"/>
              </w:rPr>
              <w:t>116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129</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674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5"/>
              </w:rPr>
              <w:t>Issuance of common units by a subsidiary for acquisition of interest in Advantage Joint</w:t>
            </w: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67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Venture</w:t>
            </w:r>
          </w:p>
        </w:tc>
        <w:tc>
          <w:tcPr>
            <w:tcW w:w="24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35</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rPr>
              <w:t>Other comprehensive income</w:t>
            </w:r>
          </w:p>
        </w:tc>
        <w:tc>
          <w:tcPr>
            <w:tcW w:w="240" w:type="dxa"/>
            <w:vAlign w:val="bottom"/>
          </w:tcPr>
          <w:p>
            <w:pPr>
              <w:spacing w:after="0"/>
              <w:rPr>
                <w:sz w:val="21"/>
                <w:szCs w:val="21"/>
                <w:color w:val="auto"/>
              </w:rPr>
            </w:pPr>
          </w:p>
        </w:tc>
        <w:tc>
          <w:tcPr>
            <w:tcW w:w="1280" w:type="dxa"/>
            <w:vAlign w:val="bottom"/>
          </w:tcPr>
          <w:p>
            <w:pPr>
              <w:jc w:val="right"/>
              <w:ind w:right="33"/>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14"/>
              <w:spacing w:after="0"/>
              <w:rPr>
                <w:sz w:val="20"/>
                <w:szCs w:val="20"/>
                <w:color w:val="auto"/>
              </w:rPr>
            </w:pPr>
            <w:r>
              <w:rPr>
                <w:rFonts w:ascii="Arial" w:cs="Arial" w:eastAsia="Arial" w:hAnsi="Arial"/>
                <w:sz w:val="18"/>
                <w:szCs w:val="18"/>
                <w:color w:val="auto"/>
              </w:rPr>
              <w:t>90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111</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w:t>
            </w:r>
          </w:p>
        </w:tc>
        <w:tc>
          <w:tcPr>
            <w:tcW w:w="24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23</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37"/>
        </w:trPr>
        <w:tc>
          <w:tcPr>
            <w:tcW w:w="6740" w:type="dxa"/>
            <w:vAlign w:val="bottom"/>
          </w:tcPr>
          <w:p>
            <w:pPr>
              <w:ind w:left="40"/>
              <w:spacing w:after="0"/>
              <w:rPr>
                <w:sz w:val="20"/>
                <w:szCs w:val="20"/>
                <w:color w:val="auto"/>
              </w:rPr>
            </w:pPr>
            <w:r>
              <w:rPr>
                <w:rFonts w:ascii="Arial" w:cs="Arial" w:eastAsia="Arial" w:hAnsi="Arial"/>
                <w:sz w:val="18"/>
                <w:szCs w:val="18"/>
                <w:color w:val="auto"/>
              </w:rPr>
              <w:t>Balance at June 30, 2017</w:t>
            </w: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2,578</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10,152</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12,730</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7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125" w:right="239"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ind w:left="340" w:right="2460"/>
        <w:spacing w:after="0" w:line="275" w:lineRule="auto"/>
        <w:rPr>
          <w:sz w:val="20"/>
          <w:szCs w:val="20"/>
          <w:color w:val="auto"/>
        </w:rPr>
      </w:pPr>
      <w:r>
        <w:rPr>
          <w:rFonts w:ascii="Arial" w:cs="Arial" w:eastAsia="Arial" w:hAnsi="Arial"/>
          <w:sz w:val="18"/>
          <w:szCs w:val="18"/>
          <w:b w:val="1"/>
          <w:bCs w:val="1"/>
          <w:color w:val="auto"/>
        </w:rPr>
        <w:t>PLAINS GP HOLDINGS, L.P. AND SUBSIDIARIES NOTES TO THE CONDENSED CONSOLIDATED FINANCIAL STATEMENTS (unaudited)</w:t>
      </w:r>
    </w:p>
    <w:p>
      <w:pPr>
        <w:spacing w:after="0" w:line="3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1—Organization and Basis of Consolidation and Presentation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Organization</w:t>
      </w:r>
    </w:p>
    <w:p>
      <w:pPr>
        <w:spacing w:after="0" w:line="225" w:lineRule="exact"/>
        <w:rPr>
          <w:sz w:val="20"/>
          <w:szCs w:val="20"/>
          <w:color w:val="auto"/>
        </w:rPr>
      </w:pPr>
    </w:p>
    <w:p>
      <w:pPr>
        <w:ind w:firstLine="648"/>
        <w:spacing w:after="0" w:line="276" w:lineRule="auto"/>
        <w:rPr>
          <w:sz w:val="20"/>
          <w:szCs w:val="20"/>
          <w:color w:val="auto"/>
        </w:rPr>
      </w:pPr>
      <w:r>
        <w:rPr>
          <w:rFonts w:ascii="Arial" w:cs="Arial" w:eastAsia="Arial" w:hAnsi="Arial"/>
          <w:sz w:val="17"/>
          <w:szCs w:val="17"/>
          <w:color w:val="auto"/>
        </w:rPr>
        <w:t>Plains GP Holdings, L.P. (“PAGP”) is a Delaware limited partnership formed in July 2013 that has elected to be taxed as a corporation for United States federal income tax purposes. PAGP does not directly own any operating assets; as of June 30, 2018, its principal sources of cash flow are derived from an indirect investment in Plains All American Pipeline, L.P. (“PAA”), a publicly traded Delaware limited partnership. As used in this Form 10-Q and unless the context indicates otherwise (taking into account the fact that PAGP has no operating activities apart from those conducted by PAA and its subsidiaries), the terms “Partnership,” “we,” “us,” “our,” “ours” and similar terms refer to PAGP and its subsidiaries.</w:t>
      </w:r>
    </w:p>
    <w:p>
      <w:pPr>
        <w:spacing w:after="0" w:line="173"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As of June 30, 2018, PAGP owned (i) a 100% managing member interest in Plains All American GP LLC (“GP LLC”), an entity that has also elected to be taxed as a corporation for United States federal income tax purposes and (ii) an approximate 56% limited partner interest in Plains AAP, L.P. (“AAP”) through our direct ownership of approximately 157.0 million Class A units of AAP (“AAP units”) and indirect ownership of approximately 1.0 million AAP units through GP LLC. GP LLC is a Delaware limited liability company that also holds the non-economic general partner interest in AAP. AAP is a Delaware limited partnership that, as of June 30, 2018, directly owned a limited partner interest in PAA through its ownership of approximately 281.2 million PAA common units (approximately 35% of PAA’s total outstanding common units and Series A preferred units combined). AAP is the sole member of PAA GP LLC (“PAA GP”), a Delaware limited liability company that directly holds the non-economic general partner interest in PAA.</w:t>
      </w:r>
    </w:p>
    <w:p>
      <w:pPr>
        <w:spacing w:after="0" w:line="167"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PAA is a publicly traded master limited partnership that owns and operates midstream energy infrastructure and provides logistics services primarily for crude oil, natural gas liquids (“NGL”) and natural gas. PAA owns an extensive network of pipeline transportation, terminalling, storage and gathering assets in key crude oil and NGL producing basins and transportation corridors and at major market hubs in the United States and Canada. Our business activities are conducted through three operating segments: Transportation, Facilities and Supply and Logistics. See Note 14 for further discussion of our operating segments.</w:t>
      </w:r>
    </w:p>
    <w:p>
      <w:pPr>
        <w:spacing w:after="0" w:line="188" w:lineRule="exact"/>
        <w:rPr>
          <w:sz w:val="20"/>
          <w:szCs w:val="20"/>
          <w:color w:val="auto"/>
        </w:rPr>
      </w:pPr>
    </w:p>
    <w:p>
      <w:pPr>
        <w:ind w:right="20" w:firstLine="648"/>
        <w:spacing w:after="0" w:line="302" w:lineRule="auto"/>
        <w:rPr>
          <w:sz w:val="20"/>
          <w:szCs w:val="20"/>
          <w:color w:val="auto"/>
        </w:rPr>
      </w:pPr>
      <w:r>
        <w:rPr>
          <w:rFonts w:ascii="Arial" w:cs="Arial" w:eastAsia="Arial" w:hAnsi="Arial"/>
          <w:sz w:val="16"/>
          <w:szCs w:val="16"/>
          <w:color w:val="auto"/>
        </w:rPr>
        <w:t>PAA GP Holdings LLC, a Delaware limited liability company, is our general partner. Our general partner manages our operations and activities and is responsible for exercising on our behalf any rights we have as the sole and managing member of GP LLC, including responsibility for conducting the business and managing the operations of AAP and PAA. GP LLC employs our domestic officers and personnel involved in the operation and management of AAP and PAA. PAA’s Canadian officers and personnel are employed by our subsidiary, Plains Midstream Canada ULC (“PMC”).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340"/>
          </w:cols>
          <w:pgMar w:left="240" w:top="125" w:right="31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Definitions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Additional defined terms are used in this Form 10-Q and shall have the meanings indicated below:</w:t>
      </w:r>
    </w:p>
    <w:p>
      <w:pPr>
        <w:spacing w:after="0" w:line="171"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1040" w:type="dxa"/>
            <w:vAlign w:val="bottom"/>
          </w:tcPr>
          <w:p>
            <w:pPr>
              <w:spacing w:after="0"/>
              <w:rPr>
                <w:sz w:val="20"/>
                <w:szCs w:val="20"/>
                <w:color w:val="auto"/>
              </w:rPr>
            </w:pPr>
            <w:r>
              <w:rPr>
                <w:rFonts w:ascii="Arial" w:cs="Arial" w:eastAsia="Arial" w:hAnsi="Arial"/>
                <w:sz w:val="18"/>
                <w:szCs w:val="18"/>
                <w:color w:val="auto"/>
              </w:rPr>
              <w:t>AOCI</w:t>
            </w:r>
          </w:p>
        </w:tc>
        <w:tc>
          <w:tcPr>
            <w:tcW w:w="6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4580" w:type="dxa"/>
            <w:vAlign w:val="bottom"/>
          </w:tcPr>
          <w:p>
            <w:pPr>
              <w:ind w:left="160"/>
              <w:spacing w:after="0"/>
              <w:rPr>
                <w:sz w:val="20"/>
                <w:szCs w:val="20"/>
                <w:color w:val="auto"/>
              </w:rPr>
            </w:pPr>
            <w:r>
              <w:rPr>
                <w:rFonts w:ascii="Arial" w:cs="Arial" w:eastAsia="Arial" w:hAnsi="Arial"/>
                <w:sz w:val="18"/>
                <w:szCs w:val="18"/>
                <w:color w:val="auto"/>
              </w:rPr>
              <w:t>Accumulated other comprehensive income/(loss)</w:t>
            </w:r>
          </w:p>
        </w:tc>
      </w:tr>
      <w:tr>
        <w:trPr>
          <w:trHeight w:val="270"/>
        </w:trPr>
        <w:tc>
          <w:tcPr>
            <w:tcW w:w="1040" w:type="dxa"/>
            <w:vAlign w:val="bottom"/>
          </w:tcPr>
          <w:p>
            <w:pPr>
              <w:spacing w:after="0"/>
              <w:rPr>
                <w:sz w:val="20"/>
                <w:szCs w:val="20"/>
                <w:color w:val="auto"/>
              </w:rPr>
            </w:pPr>
            <w:r>
              <w:rPr>
                <w:rFonts w:ascii="Arial" w:cs="Arial" w:eastAsia="Arial" w:hAnsi="Arial"/>
                <w:sz w:val="18"/>
                <w:szCs w:val="18"/>
                <w:color w:val="auto"/>
              </w:rPr>
              <w:t>ASC</w:t>
            </w:r>
          </w:p>
        </w:tc>
        <w:tc>
          <w:tcPr>
            <w:tcW w:w="6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4580" w:type="dxa"/>
            <w:vAlign w:val="bottom"/>
          </w:tcPr>
          <w:p>
            <w:pPr>
              <w:ind w:left="160"/>
              <w:spacing w:after="0"/>
              <w:rPr>
                <w:sz w:val="20"/>
                <w:szCs w:val="20"/>
                <w:color w:val="auto"/>
              </w:rPr>
            </w:pPr>
            <w:r>
              <w:rPr>
                <w:rFonts w:ascii="Arial" w:cs="Arial" w:eastAsia="Arial" w:hAnsi="Arial"/>
                <w:sz w:val="18"/>
                <w:szCs w:val="18"/>
                <w:color w:val="auto"/>
              </w:rPr>
              <w:t>Accounting Standards Codification</w:t>
            </w:r>
          </w:p>
        </w:tc>
      </w:tr>
      <w:tr>
        <w:trPr>
          <w:trHeight w:val="270"/>
        </w:trPr>
        <w:tc>
          <w:tcPr>
            <w:tcW w:w="1040" w:type="dxa"/>
            <w:vAlign w:val="bottom"/>
          </w:tcPr>
          <w:p>
            <w:pPr>
              <w:spacing w:after="0"/>
              <w:rPr>
                <w:sz w:val="20"/>
                <w:szCs w:val="20"/>
                <w:color w:val="auto"/>
              </w:rPr>
            </w:pPr>
            <w:r>
              <w:rPr>
                <w:rFonts w:ascii="Arial" w:cs="Arial" w:eastAsia="Arial" w:hAnsi="Arial"/>
                <w:sz w:val="18"/>
                <w:szCs w:val="18"/>
                <w:color w:val="auto"/>
              </w:rPr>
              <w:t>ASU</w:t>
            </w:r>
          </w:p>
        </w:tc>
        <w:tc>
          <w:tcPr>
            <w:tcW w:w="6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4580" w:type="dxa"/>
            <w:vAlign w:val="bottom"/>
          </w:tcPr>
          <w:p>
            <w:pPr>
              <w:ind w:left="160"/>
              <w:spacing w:after="0"/>
              <w:rPr>
                <w:sz w:val="20"/>
                <w:szCs w:val="20"/>
                <w:color w:val="auto"/>
              </w:rPr>
            </w:pPr>
            <w:r>
              <w:rPr>
                <w:rFonts w:ascii="Arial" w:cs="Arial" w:eastAsia="Arial" w:hAnsi="Arial"/>
                <w:sz w:val="18"/>
                <w:szCs w:val="18"/>
                <w:color w:val="auto"/>
              </w:rPr>
              <w:t>Accounting Standards Update</w:t>
            </w:r>
          </w:p>
        </w:tc>
      </w:tr>
      <w:tr>
        <w:trPr>
          <w:trHeight w:val="270"/>
        </w:trPr>
        <w:tc>
          <w:tcPr>
            <w:tcW w:w="1040" w:type="dxa"/>
            <w:vAlign w:val="bottom"/>
          </w:tcPr>
          <w:p>
            <w:pPr>
              <w:spacing w:after="0"/>
              <w:rPr>
                <w:sz w:val="20"/>
                <w:szCs w:val="20"/>
                <w:color w:val="auto"/>
              </w:rPr>
            </w:pPr>
            <w:r>
              <w:rPr>
                <w:rFonts w:ascii="Arial" w:cs="Arial" w:eastAsia="Arial" w:hAnsi="Arial"/>
                <w:sz w:val="18"/>
                <w:szCs w:val="18"/>
                <w:color w:val="auto"/>
              </w:rPr>
              <w:t>Bcf</w:t>
            </w:r>
          </w:p>
        </w:tc>
        <w:tc>
          <w:tcPr>
            <w:tcW w:w="6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4580" w:type="dxa"/>
            <w:vAlign w:val="bottom"/>
          </w:tcPr>
          <w:p>
            <w:pPr>
              <w:ind w:left="160"/>
              <w:spacing w:after="0"/>
              <w:rPr>
                <w:sz w:val="20"/>
                <w:szCs w:val="20"/>
                <w:color w:val="auto"/>
              </w:rPr>
            </w:pPr>
            <w:r>
              <w:rPr>
                <w:rFonts w:ascii="Arial" w:cs="Arial" w:eastAsia="Arial" w:hAnsi="Arial"/>
                <w:sz w:val="18"/>
                <w:szCs w:val="18"/>
                <w:color w:val="auto"/>
              </w:rPr>
              <w:t>Billion cubic feet</w:t>
            </w:r>
          </w:p>
        </w:tc>
      </w:tr>
      <w:tr>
        <w:trPr>
          <w:trHeight w:val="270"/>
        </w:trPr>
        <w:tc>
          <w:tcPr>
            <w:tcW w:w="1040" w:type="dxa"/>
            <w:vAlign w:val="bottom"/>
          </w:tcPr>
          <w:p>
            <w:pPr>
              <w:spacing w:after="0"/>
              <w:rPr>
                <w:sz w:val="20"/>
                <w:szCs w:val="20"/>
                <w:color w:val="auto"/>
              </w:rPr>
            </w:pPr>
            <w:r>
              <w:rPr>
                <w:rFonts w:ascii="Arial" w:cs="Arial" w:eastAsia="Arial" w:hAnsi="Arial"/>
                <w:sz w:val="18"/>
                <w:szCs w:val="18"/>
                <w:color w:val="auto"/>
              </w:rPr>
              <w:t>Btu</w:t>
            </w:r>
          </w:p>
        </w:tc>
        <w:tc>
          <w:tcPr>
            <w:tcW w:w="6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4580" w:type="dxa"/>
            <w:vAlign w:val="bottom"/>
          </w:tcPr>
          <w:p>
            <w:pPr>
              <w:ind w:left="160"/>
              <w:spacing w:after="0"/>
              <w:rPr>
                <w:sz w:val="20"/>
                <w:szCs w:val="20"/>
                <w:color w:val="auto"/>
              </w:rPr>
            </w:pPr>
            <w:r>
              <w:rPr>
                <w:rFonts w:ascii="Arial" w:cs="Arial" w:eastAsia="Arial" w:hAnsi="Arial"/>
                <w:sz w:val="18"/>
                <w:szCs w:val="18"/>
                <w:color w:val="auto"/>
              </w:rPr>
              <w:t>British thermal unit</w:t>
            </w:r>
          </w:p>
        </w:tc>
      </w:tr>
      <w:tr>
        <w:trPr>
          <w:trHeight w:val="270"/>
        </w:trPr>
        <w:tc>
          <w:tcPr>
            <w:tcW w:w="1040" w:type="dxa"/>
            <w:vAlign w:val="bottom"/>
          </w:tcPr>
          <w:p>
            <w:pPr>
              <w:spacing w:after="0"/>
              <w:rPr>
                <w:sz w:val="20"/>
                <w:szCs w:val="20"/>
                <w:color w:val="auto"/>
              </w:rPr>
            </w:pPr>
            <w:r>
              <w:rPr>
                <w:rFonts w:ascii="Arial" w:cs="Arial" w:eastAsia="Arial" w:hAnsi="Arial"/>
                <w:sz w:val="18"/>
                <w:szCs w:val="18"/>
                <w:color w:val="auto"/>
              </w:rPr>
              <w:t>CAD</w:t>
            </w:r>
          </w:p>
        </w:tc>
        <w:tc>
          <w:tcPr>
            <w:tcW w:w="6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4580" w:type="dxa"/>
            <w:vAlign w:val="bottom"/>
          </w:tcPr>
          <w:p>
            <w:pPr>
              <w:ind w:left="160"/>
              <w:spacing w:after="0"/>
              <w:rPr>
                <w:sz w:val="20"/>
                <w:szCs w:val="20"/>
                <w:color w:val="auto"/>
              </w:rPr>
            </w:pPr>
            <w:r>
              <w:rPr>
                <w:rFonts w:ascii="Arial" w:cs="Arial" w:eastAsia="Arial" w:hAnsi="Arial"/>
                <w:sz w:val="18"/>
                <w:szCs w:val="18"/>
                <w:color w:val="auto"/>
              </w:rPr>
              <w:t>Canadian dollar</w:t>
            </w:r>
          </w:p>
        </w:tc>
      </w:tr>
      <w:tr>
        <w:trPr>
          <w:trHeight w:val="270"/>
        </w:trPr>
        <w:tc>
          <w:tcPr>
            <w:tcW w:w="1040" w:type="dxa"/>
            <w:vAlign w:val="bottom"/>
          </w:tcPr>
          <w:p>
            <w:pPr>
              <w:spacing w:after="0"/>
              <w:rPr>
                <w:sz w:val="20"/>
                <w:szCs w:val="20"/>
                <w:color w:val="auto"/>
              </w:rPr>
            </w:pPr>
            <w:r>
              <w:rPr>
                <w:rFonts w:ascii="Arial" w:cs="Arial" w:eastAsia="Arial" w:hAnsi="Arial"/>
                <w:sz w:val="18"/>
                <w:szCs w:val="18"/>
                <w:color w:val="auto"/>
              </w:rPr>
              <w:t>CODM</w:t>
            </w:r>
          </w:p>
        </w:tc>
        <w:tc>
          <w:tcPr>
            <w:tcW w:w="6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4580" w:type="dxa"/>
            <w:vAlign w:val="bottom"/>
          </w:tcPr>
          <w:p>
            <w:pPr>
              <w:ind w:left="160"/>
              <w:spacing w:after="0"/>
              <w:rPr>
                <w:sz w:val="20"/>
                <w:szCs w:val="20"/>
                <w:color w:val="auto"/>
              </w:rPr>
            </w:pPr>
            <w:r>
              <w:rPr>
                <w:rFonts w:ascii="Arial" w:cs="Arial" w:eastAsia="Arial" w:hAnsi="Arial"/>
                <w:sz w:val="18"/>
                <w:szCs w:val="18"/>
                <w:color w:val="auto"/>
              </w:rPr>
              <w:t>Chief Operating Decision Maker</w:t>
            </w:r>
          </w:p>
        </w:tc>
      </w:tr>
      <w:tr>
        <w:trPr>
          <w:trHeight w:val="270"/>
        </w:trPr>
        <w:tc>
          <w:tcPr>
            <w:tcW w:w="1040" w:type="dxa"/>
            <w:vAlign w:val="bottom"/>
          </w:tcPr>
          <w:p>
            <w:pPr>
              <w:spacing w:after="0"/>
              <w:rPr>
                <w:sz w:val="20"/>
                <w:szCs w:val="20"/>
                <w:color w:val="auto"/>
              </w:rPr>
            </w:pPr>
            <w:r>
              <w:rPr>
                <w:rFonts w:ascii="Arial" w:cs="Arial" w:eastAsia="Arial" w:hAnsi="Arial"/>
                <w:sz w:val="18"/>
                <w:szCs w:val="18"/>
                <w:color w:val="auto"/>
              </w:rPr>
              <w:t>EBITDA</w:t>
            </w:r>
          </w:p>
        </w:tc>
        <w:tc>
          <w:tcPr>
            <w:tcW w:w="6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4580" w:type="dxa"/>
            <w:vAlign w:val="bottom"/>
          </w:tcPr>
          <w:p>
            <w:pPr>
              <w:ind w:left="160"/>
              <w:spacing w:after="0"/>
              <w:rPr>
                <w:sz w:val="20"/>
                <w:szCs w:val="20"/>
                <w:color w:val="auto"/>
              </w:rPr>
            </w:pPr>
            <w:r>
              <w:rPr>
                <w:rFonts w:ascii="Arial" w:cs="Arial" w:eastAsia="Arial" w:hAnsi="Arial"/>
                <w:sz w:val="18"/>
                <w:szCs w:val="18"/>
                <w:color w:val="auto"/>
                <w:w w:val="89"/>
              </w:rPr>
              <w:t>Earnings before interest, taxes, depreciation and amortization</w:t>
            </w:r>
          </w:p>
        </w:tc>
      </w:tr>
      <w:tr>
        <w:trPr>
          <w:trHeight w:val="270"/>
        </w:trPr>
        <w:tc>
          <w:tcPr>
            <w:tcW w:w="1040" w:type="dxa"/>
            <w:vAlign w:val="bottom"/>
          </w:tcPr>
          <w:p>
            <w:pPr>
              <w:spacing w:after="0"/>
              <w:rPr>
                <w:sz w:val="20"/>
                <w:szCs w:val="20"/>
                <w:color w:val="auto"/>
              </w:rPr>
            </w:pPr>
            <w:r>
              <w:rPr>
                <w:rFonts w:ascii="Arial" w:cs="Arial" w:eastAsia="Arial" w:hAnsi="Arial"/>
                <w:sz w:val="18"/>
                <w:szCs w:val="18"/>
                <w:color w:val="auto"/>
              </w:rPr>
              <w:t>EPA</w:t>
            </w:r>
          </w:p>
        </w:tc>
        <w:tc>
          <w:tcPr>
            <w:tcW w:w="6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4580" w:type="dxa"/>
            <w:vAlign w:val="bottom"/>
          </w:tcPr>
          <w:p>
            <w:pPr>
              <w:ind w:left="160"/>
              <w:spacing w:after="0"/>
              <w:rPr>
                <w:sz w:val="20"/>
                <w:szCs w:val="20"/>
                <w:color w:val="auto"/>
              </w:rPr>
            </w:pPr>
            <w:r>
              <w:rPr>
                <w:rFonts w:ascii="Arial" w:cs="Arial" w:eastAsia="Arial" w:hAnsi="Arial"/>
                <w:sz w:val="18"/>
                <w:szCs w:val="18"/>
                <w:color w:val="auto"/>
              </w:rPr>
              <w:t>United States Environmental Protection Agency</w:t>
            </w:r>
          </w:p>
        </w:tc>
      </w:tr>
      <w:tr>
        <w:trPr>
          <w:trHeight w:val="270"/>
        </w:trPr>
        <w:tc>
          <w:tcPr>
            <w:tcW w:w="1040" w:type="dxa"/>
            <w:vAlign w:val="bottom"/>
          </w:tcPr>
          <w:p>
            <w:pPr>
              <w:spacing w:after="0"/>
              <w:rPr>
                <w:sz w:val="20"/>
                <w:szCs w:val="20"/>
                <w:color w:val="auto"/>
              </w:rPr>
            </w:pPr>
            <w:r>
              <w:rPr>
                <w:rFonts w:ascii="Arial" w:cs="Arial" w:eastAsia="Arial" w:hAnsi="Arial"/>
                <w:sz w:val="18"/>
                <w:szCs w:val="18"/>
                <w:color w:val="auto"/>
              </w:rPr>
              <w:t>FASB</w:t>
            </w:r>
          </w:p>
        </w:tc>
        <w:tc>
          <w:tcPr>
            <w:tcW w:w="6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4580" w:type="dxa"/>
            <w:vAlign w:val="bottom"/>
          </w:tcPr>
          <w:p>
            <w:pPr>
              <w:ind w:left="160"/>
              <w:spacing w:after="0"/>
              <w:rPr>
                <w:sz w:val="20"/>
                <w:szCs w:val="20"/>
                <w:color w:val="auto"/>
              </w:rPr>
            </w:pPr>
            <w:r>
              <w:rPr>
                <w:rFonts w:ascii="Arial" w:cs="Arial" w:eastAsia="Arial" w:hAnsi="Arial"/>
                <w:sz w:val="18"/>
                <w:szCs w:val="18"/>
                <w:color w:val="auto"/>
              </w:rPr>
              <w:t>Financial Accounting Standards Board</w:t>
            </w:r>
          </w:p>
        </w:tc>
      </w:tr>
      <w:tr>
        <w:trPr>
          <w:trHeight w:val="270"/>
        </w:trPr>
        <w:tc>
          <w:tcPr>
            <w:tcW w:w="1040" w:type="dxa"/>
            <w:vAlign w:val="bottom"/>
          </w:tcPr>
          <w:p>
            <w:pPr>
              <w:spacing w:after="0"/>
              <w:rPr>
                <w:sz w:val="20"/>
                <w:szCs w:val="20"/>
                <w:color w:val="auto"/>
              </w:rPr>
            </w:pPr>
            <w:r>
              <w:rPr>
                <w:rFonts w:ascii="Arial" w:cs="Arial" w:eastAsia="Arial" w:hAnsi="Arial"/>
                <w:sz w:val="18"/>
                <w:szCs w:val="18"/>
                <w:color w:val="auto"/>
              </w:rPr>
              <w:t>GAAP</w:t>
            </w:r>
          </w:p>
        </w:tc>
        <w:tc>
          <w:tcPr>
            <w:tcW w:w="6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4580" w:type="dxa"/>
            <w:vAlign w:val="bottom"/>
          </w:tcPr>
          <w:p>
            <w:pPr>
              <w:ind w:left="160"/>
              <w:spacing w:after="0"/>
              <w:rPr>
                <w:sz w:val="20"/>
                <w:szCs w:val="20"/>
                <w:color w:val="auto"/>
              </w:rPr>
            </w:pPr>
            <w:r>
              <w:rPr>
                <w:rFonts w:ascii="Arial" w:cs="Arial" w:eastAsia="Arial" w:hAnsi="Arial"/>
                <w:sz w:val="18"/>
                <w:szCs w:val="18"/>
                <w:color w:val="auto"/>
                <w:w w:val="89"/>
              </w:rPr>
              <w:t>Generally accepted accounting principles in the United States</w:t>
            </w:r>
          </w:p>
        </w:tc>
      </w:tr>
      <w:tr>
        <w:trPr>
          <w:trHeight w:val="270"/>
        </w:trPr>
        <w:tc>
          <w:tcPr>
            <w:tcW w:w="1040" w:type="dxa"/>
            <w:vAlign w:val="bottom"/>
          </w:tcPr>
          <w:p>
            <w:pPr>
              <w:spacing w:after="0"/>
              <w:rPr>
                <w:sz w:val="20"/>
                <w:szCs w:val="20"/>
                <w:color w:val="auto"/>
              </w:rPr>
            </w:pPr>
            <w:r>
              <w:rPr>
                <w:rFonts w:ascii="Arial" w:cs="Arial" w:eastAsia="Arial" w:hAnsi="Arial"/>
                <w:sz w:val="18"/>
                <w:szCs w:val="18"/>
                <w:color w:val="auto"/>
              </w:rPr>
              <w:t>ICE</w:t>
            </w:r>
          </w:p>
        </w:tc>
        <w:tc>
          <w:tcPr>
            <w:tcW w:w="6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4580" w:type="dxa"/>
            <w:vAlign w:val="bottom"/>
          </w:tcPr>
          <w:p>
            <w:pPr>
              <w:ind w:left="160"/>
              <w:spacing w:after="0"/>
              <w:rPr>
                <w:sz w:val="20"/>
                <w:szCs w:val="20"/>
                <w:color w:val="auto"/>
              </w:rPr>
            </w:pPr>
            <w:r>
              <w:rPr>
                <w:rFonts w:ascii="Arial" w:cs="Arial" w:eastAsia="Arial" w:hAnsi="Arial"/>
                <w:sz w:val="18"/>
                <w:szCs w:val="18"/>
                <w:color w:val="auto"/>
              </w:rPr>
              <w:t>Intercontinental Exchange</w:t>
            </w:r>
          </w:p>
        </w:tc>
      </w:tr>
      <w:tr>
        <w:trPr>
          <w:trHeight w:val="270"/>
        </w:trPr>
        <w:tc>
          <w:tcPr>
            <w:tcW w:w="1040" w:type="dxa"/>
            <w:vAlign w:val="bottom"/>
          </w:tcPr>
          <w:p>
            <w:pPr>
              <w:spacing w:after="0"/>
              <w:rPr>
                <w:sz w:val="20"/>
                <w:szCs w:val="20"/>
                <w:color w:val="auto"/>
              </w:rPr>
            </w:pPr>
            <w:r>
              <w:rPr>
                <w:rFonts w:ascii="Arial" w:cs="Arial" w:eastAsia="Arial" w:hAnsi="Arial"/>
                <w:sz w:val="18"/>
                <w:szCs w:val="18"/>
                <w:color w:val="auto"/>
              </w:rPr>
              <w:t>ISDA</w:t>
            </w:r>
          </w:p>
        </w:tc>
        <w:tc>
          <w:tcPr>
            <w:tcW w:w="6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4580" w:type="dxa"/>
            <w:vAlign w:val="bottom"/>
          </w:tcPr>
          <w:p>
            <w:pPr>
              <w:ind w:left="160"/>
              <w:spacing w:after="0"/>
              <w:rPr>
                <w:sz w:val="20"/>
                <w:szCs w:val="20"/>
                <w:color w:val="auto"/>
              </w:rPr>
            </w:pPr>
            <w:r>
              <w:rPr>
                <w:rFonts w:ascii="Arial" w:cs="Arial" w:eastAsia="Arial" w:hAnsi="Arial"/>
                <w:sz w:val="18"/>
                <w:szCs w:val="18"/>
                <w:color w:val="auto"/>
              </w:rPr>
              <w:t>International Swaps and Derivatives Association</w:t>
            </w:r>
          </w:p>
        </w:tc>
      </w:tr>
      <w:tr>
        <w:trPr>
          <w:trHeight w:val="270"/>
        </w:trPr>
        <w:tc>
          <w:tcPr>
            <w:tcW w:w="1040" w:type="dxa"/>
            <w:vAlign w:val="bottom"/>
          </w:tcPr>
          <w:p>
            <w:pPr>
              <w:spacing w:after="0"/>
              <w:rPr>
                <w:sz w:val="20"/>
                <w:szCs w:val="20"/>
                <w:color w:val="auto"/>
              </w:rPr>
            </w:pPr>
            <w:r>
              <w:rPr>
                <w:rFonts w:ascii="Arial" w:cs="Arial" w:eastAsia="Arial" w:hAnsi="Arial"/>
                <w:sz w:val="18"/>
                <w:szCs w:val="18"/>
                <w:color w:val="auto"/>
              </w:rPr>
              <w:t>LIBOR</w:t>
            </w:r>
          </w:p>
        </w:tc>
        <w:tc>
          <w:tcPr>
            <w:tcW w:w="6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4580" w:type="dxa"/>
            <w:vAlign w:val="bottom"/>
          </w:tcPr>
          <w:p>
            <w:pPr>
              <w:ind w:left="160"/>
              <w:spacing w:after="0"/>
              <w:rPr>
                <w:sz w:val="20"/>
                <w:szCs w:val="20"/>
                <w:color w:val="auto"/>
              </w:rPr>
            </w:pPr>
            <w:r>
              <w:rPr>
                <w:rFonts w:ascii="Arial" w:cs="Arial" w:eastAsia="Arial" w:hAnsi="Arial"/>
                <w:sz w:val="18"/>
                <w:szCs w:val="18"/>
                <w:color w:val="auto"/>
              </w:rPr>
              <w:t>London Interbank Offered Rate</w:t>
            </w:r>
          </w:p>
        </w:tc>
      </w:tr>
      <w:tr>
        <w:trPr>
          <w:trHeight w:val="270"/>
        </w:trPr>
        <w:tc>
          <w:tcPr>
            <w:tcW w:w="1040" w:type="dxa"/>
            <w:vAlign w:val="bottom"/>
          </w:tcPr>
          <w:p>
            <w:pPr>
              <w:spacing w:after="0"/>
              <w:rPr>
                <w:sz w:val="20"/>
                <w:szCs w:val="20"/>
                <w:color w:val="auto"/>
              </w:rPr>
            </w:pPr>
            <w:r>
              <w:rPr>
                <w:rFonts w:ascii="Arial" w:cs="Arial" w:eastAsia="Arial" w:hAnsi="Arial"/>
                <w:sz w:val="18"/>
                <w:szCs w:val="18"/>
                <w:color w:val="auto"/>
              </w:rPr>
              <w:t>LTIP</w:t>
            </w:r>
          </w:p>
        </w:tc>
        <w:tc>
          <w:tcPr>
            <w:tcW w:w="6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4580" w:type="dxa"/>
            <w:vAlign w:val="bottom"/>
          </w:tcPr>
          <w:p>
            <w:pPr>
              <w:ind w:left="160"/>
              <w:spacing w:after="0"/>
              <w:rPr>
                <w:sz w:val="20"/>
                <w:szCs w:val="20"/>
                <w:color w:val="auto"/>
              </w:rPr>
            </w:pPr>
            <w:r>
              <w:rPr>
                <w:rFonts w:ascii="Arial" w:cs="Arial" w:eastAsia="Arial" w:hAnsi="Arial"/>
                <w:sz w:val="18"/>
                <w:szCs w:val="18"/>
                <w:color w:val="auto"/>
              </w:rPr>
              <w:t>Long-term incentive plan</w:t>
            </w:r>
          </w:p>
        </w:tc>
      </w:tr>
      <w:tr>
        <w:trPr>
          <w:trHeight w:val="270"/>
        </w:trPr>
        <w:tc>
          <w:tcPr>
            <w:tcW w:w="1040" w:type="dxa"/>
            <w:vAlign w:val="bottom"/>
          </w:tcPr>
          <w:p>
            <w:pPr>
              <w:spacing w:after="0"/>
              <w:rPr>
                <w:sz w:val="20"/>
                <w:szCs w:val="20"/>
                <w:color w:val="auto"/>
              </w:rPr>
            </w:pPr>
            <w:r>
              <w:rPr>
                <w:rFonts w:ascii="Arial" w:cs="Arial" w:eastAsia="Arial" w:hAnsi="Arial"/>
                <w:sz w:val="18"/>
                <w:szCs w:val="18"/>
                <w:color w:val="auto"/>
              </w:rPr>
              <w:t>Mcf</w:t>
            </w:r>
          </w:p>
        </w:tc>
        <w:tc>
          <w:tcPr>
            <w:tcW w:w="6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4580" w:type="dxa"/>
            <w:vAlign w:val="bottom"/>
          </w:tcPr>
          <w:p>
            <w:pPr>
              <w:ind w:left="160"/>
              <w:spacing w:after="0"/>
              <w:rPr>
                <w:sz w:val="20"/>
                <w:szCs w:val="20"/>
                <w:color w:val="auto"/>
              </w:rPr>
            </w:pPr>
            <w:r>
              <w:rPr>
                <w:rFonts w:ascii="Arial" w:cs="Arial" w:eastAsia="Arial" w:hAnsi="Arial"/>
                <w:sz w:val="18"/>
                <w:szCs w:val="18"/>
                <w:color w:val="auto"/>
              </w:rPr>
              <w:t>Thousand cubic feet</w:t>
            </w:r>
          </w:p>
        </w:tc>
      </w:tr>
      <w:tr>
        <w:trPr>
          <w:trHeight w:val="270"/>
        </w:trPr>
        <w:tc>
          <w:tcPr>
            <w:tcW w:w="1040" w:type="dxa"/>
            <w:vAlign w:val="bottom"/>
          </w:tcPr>
          <w:p>
            <w:pPr>
              <w:spacing w:after="0"/>
              <w:rPr>
                <w:sz w:val="20"/>
                <w:szCs w:val="20"/>
                <w:color w:val="auto"/>
              </w:rPr>
            </w:pPr>
            <w:r>
              <w:rPr>
                <w:rFonts w:ascii="Arial" w:cs="Arial" w:eastAsia="Arial" w:hAnsi="Arial"/>
                <w:sz w:val="18"/>
                <w:szCs w:val="18"/>
                <w:color w:val="auto"/>
              </w:rPr>
              <w:t>NGL</w:t>
            </w:r>
          </w:p>
        </w:tc>
        <w:tc>
          <w:tcPr>
            <w:tcW w:w="6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4580" w:type="dxa"/>
            <w:vAlign w:val="bottom"/>
          </w:tcPr>
          <w:p>
            <w:pPr>
              <w:ind w:left="160"/>
              <w:spacing w:after="0"/>
              <w:rPr>
                <w:sz w:val="20"/>
                <w:szCs w:val="20"/>
                <w:color w:val="auto"/>
              </w:rPr>
            </w:pPr>
            <w:r>
              <w:rPr>
                <w:rFonts w:ascii="Arial" w:cs="Arial" w:eastAsia="Arial" w:hAnsi="Arial"/>
                <w:sz w:val="18"/>
                <w:szCs w:val="18"/>
                <w:color w:val="auto"/>
                <w:w w:val="95"/>
              </w:rPr>
              <w:t>Natural gas liquids, including ethane, propane and butane</w:t>
            </w:r>
          </w:p>
        </w:tc>
      </w:tr>
      <w:tr>
        <w:trPr>
          <w:trHeight w:val="270"/>
        </w:trPr>
        <w:tc>
          <w:tcPr>
            <w:tcW w:w="1040" w:type="dxa"/>
            <w:vAlign w:val="bottom"/>
          </w:tcPr>
          <w:p>
            <w:pPr>
              <w:spacing w:after="0"/>
              <w:rPr>
                <w:sz w:val="20"/>
                <w:szCs w:val="20"/>
                <w:color w:val="auto"/>
              </w:rPr>
            </w:pPr>
            <w:r>
              <w:rPr>
                <w:rFonts w:ascii="Arial" w:cs="Arial" w:eastAsia="Arial" w:hAnsi="Arial"/>
                <w:sz w:val="18"/>
                <w:szCs w:val="18"/>
                <w:color w:val="auto"/>
              </w:rPr>
              <w:t>NYMEX</w:t>
            </w:r>
          </w:p>
        </w:tc>
        <w:tc>
          <w:tcPr>
            <w:tcW w:w="6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4580" w:type="dxa"/>
            <w:vAlign w:val="bottom"/>
          </w:tcPr>
          <w:p>
            <w:pPr>
              <w:ind w:left="160"/>
              <w:spacing w:after="0"/>
              <w:rPr>
                <w:sz w:val="20"/>
                <w:szCs w:val="20"/>
                <w:color w:val="auto"/>
              </w:rPr>
            </w:pPr>
            <w:r>
              <w:rPr>
                <w:rFonts w:ascii="Arial" w:cs="Arial" w:eastAsia="Arial" w:hAnsi="Arial"/>
                <w:sz w:val="18"/>
                <w:szCs w:val="18"/>
                <w:color w:val="auto"/>
              </w:rPr>
              <w:t>New York Mercantile Exchange</w:t>
            </w:r>
          </w:p>
        </w:tc>
      </w:tr>
      <w:tr>
        <w:trPr>
          <w:trHeight w:val="270"/>
        </w:trPr>
        <w:tc>
          <w:tcPr>
            <w:tcW w:w="1040" w:type="dxa"/>
            <w:vAlign w:val="bottom"/>
          </w:tcPr>
          <w:p>
            <w:pPr>
              <w:spacing w:after="0"/>
              <w:rPr>
                <w:sz w:val="20"/>
                <w:szCs w:val="20"/>
                <w:color w:val="auto"/>
              </w:rPr>
            </w:pPr>
            <w:r>
              <w:rPr>
                <w:rFonts w:ascii="Arial" w:cs="Arial" w:eastAsia="Arial" w:hAnsi="Arial"/>
                <w:sz w:val="18"/>
                <w:szCs w:val="18"/>
                <w:color w:val="auto"/>
              </w:rPr>
              <w:t>Oxy</w:t>
            </w:r>
          </w:p>
        </w:tc>
        <w:tc>
          <w:tcPr>
            <w:tcW w:w="6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4580" w:type="dxa"/>
            <w:vAlign w:val="bottom"/>
          </w:tcPr>
          <w:p>
            <w:pPr>
              <w:ind w:left="160"/>
              <w:spacing w:after="0"/>
              <w:rPr>
                <w:sz w:val="20"/>
                <w:szCs w:val="20"/>
                <w:color w:val="auto"/>
              </w:rPr>
            </w:pPr>
            <w:r>
              <w:rPr>
                <w:rFonts w:ascii="Arial" w:cs="Arial" w:eastAsia="Arial" w:hAnsi="Arial"/>
                <w:sz w:val="18"/>
                <w:szCs w:val="18"/>
                <w:color w:val="auto"/>
              </w:rPr>
              <w:t>Occidental Petroleum Corporation or its subsidiaries</w:t>
            </w:r>
          </w:p>
        </w:tc>
      </w:tr>
      <w:tr>
        <w:trPr>
          <w:trHeight w:val="270"/>
        </w:trPr>
        <w:tc>
          <w:tcPr>
            <w:tcW w:w="1040" w:type="dxa"/>
            <w:vAlign w:val="bottom"/>
          </w:tcPr>
          <w:p>
            <w:pPr>
              <w:spacing w:after="0"/>
              <w:rPr>
                <w:sz w:val="20"/>
                <w:szCs w:val="20"/>
                <w:color w:val="auto"/>
              </w:rPr>
            </w:pPr>
            <w:r>
              <w:rPr>
                <w:rFonts w:ascii="Arial" w:cs="Arial" w:eastAsia="Arial" w:hAnsi="Arial"/>
                <w:sz w:val="18"/>
                <w:szCs w:val="18"/>
                <w:color w:val="auto"/>
              </w:rPr>
              <w:t>PLA</w:t>
            </w:r>
          </w:p>
        </w:tc>
        <w:tc>
          <w:tcPr>
            <w:tcW w:w="6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4580" w:type="dxa"/>
            <w:vAlign w:val="bottom"/>
          </w:tcPr>
          <w:p>
            <w:pPr>
              <w:ind w:left="160"/>
              <w:spacing w:after="0"/>
              <w:rPr>
                <w:sz w:val="20"/>
                <w:szCs w:val="20"/>
                <w:color w:val="auto"/>
              </w:rPr>
            </w:pPr>
            <w:r>
              <w:rPr>
                <w:rFonts w:ascii="Arial" w:cs="Arial" w:eastAsia="Arial" w:hAnsi="Arial"/>
                <w:sz w:val="18"/>
                <w:szCs w:val="18"/>
                <w:color w:val="auto"/>
              </w:rPr>
              <w:t>Pipeline loss allowance</w:t>
            </w:r>
          </w:p>
        </w:tc>
      </w:tr>
      <w:tr>
        <w:trPr>
          <w:trHeight w:val="270"/>
        </w:trPr>
        <w:tc>
          <w:tcPr>
            <w:tcW w:w="1040" w:type="dxa"/>
            <w:vAlign w:val="bottom"/>
          </w:tcPr>
          <w:p>
            <w:pPr>
              <w:spacing w:after="0"/>
              <w:rPr>
                <w:sz w:val="20"/>
                <w:szCs w:val="20"/>
                <w:color w:val="auto"/>
              </w:rPr>
            </w:pPr>
            <w:r>
              <w:rPr>
                <w:rFonts w:ascii="Arial" w:cs="Arial" w:eastAsia="Arial" w:hAnsi="Arial"/>
                <w:sz w:val="18"/>
                <w:szCs w:val="18"/>
                <w:color w:val="auto"/>
              </w:rPr>
              <w:t>SEC</w:t>
            </w:r>
          </w:p>
        </w:tc>
        <w:tc>
          <w:tcPr>
            <w:tcW w:w="6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4580" w:type="dxa"/>
            <w:vAlign w:val="bottom"/>
          </w:tcPr>
          <w:p>
            <w:pPr>
              <w:ind w:left="160"/>
              <w:spacing w:after="0"/>
              <w:rPr>
                <w:sz w:val="20"/>
                <w:szCs w:val="20"/>
                <w:color w:val="auto"/>
              </w:rPr>
            </w:pPr>
            <w:r>
              <w:rPr>
                <w:rFonts w:ascii="Arial" w:cs="Arial" w:eastAsia="Arial" w:hAnsi="Arial"/>
                <w:sz w:val="18"/>
                <w:szCs w:val="18"/>
                <w:color w:val="auto"/>
              </w:rPr>
              <w:t>United States Securities and Exchange Commission</w:t>
            </w:r>
          </w:p>
        </w:tc>
      </w:tr>
      <w:tr>
        <w:trPr>
          <w:trHeight w:val="270"/>
        </w:trPr>
        <w:tc>
          <w:tcPr>
            <w:tcW w:w="1040" w:type="dxa"/>
            <w:vAlign w:val="bottom"/>
          </w:tcPr>
          <w:p>
            <w:pPr>
              <w:spacing w:after="0"/>
              <w:rPr>
                <w:sz w:val="20"/>
                <w:szCs w:val="20"/>
                <w:color w:val="auto"/>
              </w:rPr>
            </w:pPr>
            <w:r>
              <w:rPr>
                <w:rFonts w:ascii="Arial" w:cs="Arial" w:eastAsia="Arial" w:hAnsi="Arial"/>
                <w:sz w:val="18"/>
                <w:szCs w:val="18"/>
                <w:color w:val="auto"/>
              </w:rPr>
              <w:t>USD</w:t>
            </w:r>
          </w:p>
        </w:tc>
        <w:tc>
          <w:tcPr>
            <w:tcW w:w="6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4580" w:type="dxa"/>
            <w:vAlign w:val="bottom"/>
          </w:tcPr>
          <w:p>
            <w:pPr>
              <w:ind w:left="160"/>
              <w:spacing w:after="0"/>
              <w:rPr>
                <w:sz w:val="20"/>
                <w:szCs w:val="20"/>
                <w:color w:val="auto"/>
              </w:rPr>
            </w:pPr>
            <w:r>
              <w:rPr>
                <w:rFonts w:ascii="Arial" w:cs="Arial" w:eastAsia="Arial" w:hAnsi="Arial"/>
                <w:sz w:val="18"/>
                <w:szCs w:val="18"/>
                <w:color w:val="auto"/>
              </w:rPr>
              <w:t>United States dollar</w:t>
            </w:r>
          </w:p>
        </w:tc>
      </w:tr>
      <w:tr>
        <w:trPr>
          <w:trHeight w:val="270"/>
        </w:trPr>
        <w:tc>
          <w:tcPr>
            <w:tcW w:w="1040" w:type="dxa"/>
            <w:vAlign w:val="bottom"/>
          </w:tcPr>
          <w:p>
            <w:pPr>
              <w:spacing w:after="0"/>
              <w:rPr>
                <w:sz w:val="20"/>
                <w:szCs w:val="20"/>
                <w:color w:val="auto"/>
              </w:rPr>
            </w:pPr>
            <w:r>
              <w:rPr>
                <w:rFonts w:ascii="Arial" w:cs="Arial" w:eastAsia="Arial" w:hAnsi="Arial"/>
                <w:sz w:val="18"/>
                <w:szCs w:val="18"/>
                <w:color w:val="auto"/>
              </w:rPr>
              <w:t>WTI</w:t>
            </w:r>
          </w:p>
        </w:tc>
        <w:tc>
          <w:tcPr>
            <w:tcW w:w="6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4580" w:type="dxa"/>
            <w:vAlign w:val="bottom"/>
          </w:tcPr>
          <w:p>
            <w:pPr>
              <w:ind w:left="160"/>
              <w:spacing w:after="0"/>
              <w:rPr>
                <w:sz w:val="20"/>
                <w:szCs w:val="20"/>
                <w:color w:val="auto"/>
              </w:rPr>
            </w:pPr>
            <w:r>
              <w:rPr>
                <w:rFonts w:ascii="Arial" w:cs="Arial" w:eastAsia="Arial" w:hAnsi="Arial"/>
                <w:sz w:val="18"/>
                <w:szCs w:val="18"/>
                <w:color w:val="auto"/>
              </w:rPr>
              <w:t>West Texas Intermediate</w:t>
            </w: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Consolidation and Presentation</w:t>
      </w:r>
    </w:p>
    <w:p>
      <w:pPr>
        <w:spacing w:after="0" w:line="225"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The accompanying unaudited condensed consolidated interim financial statements and related notes thereto should be read in conjunction with our 2017 Annual Report on Form 10-K. The accompanying condensed consolidated financial statements include the accounts of PAGP and all of its wholly owned subsidiaries and those entities that it controls. Investments in entities over which we have significant influence but not control are accounted for by the equity method. We apply proportionate consolidation for pipelines and other assets in which we own undivided joint interests. The financial statements have been prepared in accordance with the instructions for interim reporting as set forth by the SEC. All adjustments (consisting only of normal recurring adjustments) that in the opinion of management were necessary for a fair statement of the results for the interim periods have been reflected. All significant intercompany transactions have been eliminated in consolidation, and certain reclassifications have been made to information from previous years to conform to the current presentation. The condensed consolidated balance sheet data as of December 31, 2017 was derived from audited financial statements, but does not include all disclosures required by GAAP. The results of operations for the three and six months ended June 30, 2018 should not be taken as indicative of results to be expected for the entire year.</w:t>
      </w:r>
    </w:p>
    <w:p>
      <w:pPr>
        <w:spacing w:after="0" w:line="178"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Management judgment is required to evaluate whether PAGP controls an entity. Key areas of that evaluation include (i) determining whether an entity is a variable interest entity (“VIE”); (ii) determining whether PAGP is the primary beneficiary of a VIE, including evaluating which activities of the VIE most significantly impact its economic performance and the degree of power that PAGP and its related parties have over those activities through variable interests; and (iii) identifying events that require reconsideration of whether an entity is a VIE and continuously evaluating whether PAGP is a VIE’s primary beneficiary.</w:t>
      </w:r>
    </w:p>
    <w:p>
      <w:pPr>
        <w:spacing w:after="0" w:line="200" w:lineRule="exact"/>
        <w:rPr>
          <w:sz w:val="20"/>
          <w:szCs w:val="20"/>
          <w:color w:val="auto"/>
        </w:rPr>
      </w:pPr>
    </w:p>
    <w:p>
      <w:pPr>
        <w:spacing w:after="0" w:line="23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380"/>
          </w:cols>
          <w:pgMar w:left="240" w:top="125" w:right="27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have determined that our subsidiaries, PAA and AAP, are VIEs and should be consolidated by PAGP because:</w:t>
      </w:r>
    </w:p>
    <w:p>
      <w:pPr>
        <w:spacing w:after="0" w:line="225" w:lineRule="exact"/>
        <w:rPr>
          <w:sz w:val="20"/>
          <w:szCs w:val="20"/>
          <w:color w:val="auto"/>
        </w:rPr>
      </w:pPr>
    </w:p>
    <w:p>
      <w:pPr>
        <w:ind w:left="980" w:right="440" w:hanging="324"/>
        <w:spacing w:after="0" w:line="264" w:lineRule="auto"/>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limited partners of PAA and AAP lack (i) substantive “kick-out rights” (i.e., the right to remove the general partner) based on a simple majority or lower vote and (ii) substantive participation rights and thus lack the ability to block actions of the general partner that most significantly impact the economic performance of PAA and AAP, respectively.</w:t>
      </w:r>
    </w:p>
    <w:p>
      <w:pPr>
        <w:spacing w:after="0" w:line="181" w:lineRule="exact"/>
        <w:rPr>
          <w:rFonts w:ascii="Arial" w:cs="Arial" w:eastAsia="Arial" w:hAnsi="Arial"/>
          <w:sz w:val="18"/>
          <w:szCs w:val="18"/>
          <w:color w:val="auto"/>
        </w:rPr>
      </w:pPr>
    </w:p>
    <w:p>
      <w:pPr>
        <w:ind w:left="980" w:right="260" w:hanging="324"/>
        <w:spacing w:after="0" w:line="277" w:lineRule="auto"/>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AAP is the primary beneficiary of PAA because it has the power to direct the activities that most significantly impact PAA’s performance and the right to receive benefits, and obligation to absorb losses, that could be significant to PAA.</w:t>
      </w:r>
    </w:p>
    <w:p>
      <w:pPr>
        <w:spacing w:after="0" w:line="170" w:lineRule="exact"/>
        <w:rPr>
          <w:rFonts w:ascii="Arial" w:cs="Arial" w:eastAsia="Arial" w:hAnsi="Arial"/>
          <w:sz w:val="18"/>
          <w:szCs w:val="18"/>
          <w:color w:val="auto"/>
        </w:rPr>
      </w:pPr>
    </w:p>
    <w:p>
      <w:pPr>
        <w:ind w:left="980" w:right="120" w:hanging="324"/>
        <w:spacing w:after="0" w:line="277" w:lineRule="auto"/>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PAGP is the primary beneficiary of AAP because it has the power to direct the activities that most significantly impact AAP’s performance and the right to receive benefits, and obligation to absorb losses, that could be significant to AAP.</w:t>
      </w:r>
    </w:p>
    <w:p>
      <w:pPr>
        <w:spacing w:after="0" w:line="170"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With the exception of a deferred tax asset of $1.377 billion and $1.386 billion as of June 30, 2018 and December 31, 2017, respectively, substantially all assets and liabilities presented on PAGP’s consolidated balance sheet are those of PAA. Only the assets of each respective VIE can be used to settle the obligations of that individual VIE, and the creditors of each/either of those VIEs do not have recourse against the general credit of PAGP. PAGP did not provide any financial support to PAA or AAP during the six months ended June 30, 2018 or the year ended December 31, 2017. See Note 15 to our Consolidated Financial Statements included in Part IV of our 2017 Annual Report on Form 10-K for information regarding the Omnibus Agreement entered into in connection with the Simplification Transactions.</w:t>
      </w:r>
    </w:p>
    <w:p>
      <w:pPr>
        <w:spacing w:after="0" w:line="193" w:lineRule="exact"/>
        <w:rPr>
          <w:sz w:val="20"/>
          <w:szCs w:val="20"/>
          <w:color w:val="auto"/>
        </w:rPr>
      </w:pPr>
    </w:p>
    <w:p>
      <w:pPr>
        <w:ind w:right="440" w:firstLine="648"/>
        <w:spacing w:after="0" w:line="277" w:lineRule="auto"/>
        <w:rPr>
          <w:sz w:val="20"/>
          <w:szCs w:val="20"/>
          <w:color w:val="auto"/>
        </w:rPr>
      </w:pPr>
      <w:r>
        <w:rPr>
          <w:rFonts w:ascii="Arial" w:cs="Arial" w:eastAsia="Arial" w:hAnsi="Arial"/>
          <w:sz w:val="18"/>
          <w:szCs w:val="18"/>
          <w:color w:val="auto"/>
        </w:rPr>
        <w:t>Subsequent events have been evaluated through the financial statements issuance date and have been included in the following footnotes where applicable.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2—Recent Accounting Pronouncements</w:t>
      </w:r>
    </w:p>
    <w:p>
      <w:pPr>
        <w:spacing w:after="0" w:line="229" w:lineRule="exact"/>
        <w:rPr>
          <w:sz w:val="20"/>
          <w:szCs w:val="20"/>
          <w:color w:val="auto"/>
        </w:rPr>
      </w:pPr>
    </w:p>
    <w:p>
      <w:pPr>
        <w:ind w:right="320" w:firstLine="648"/>
        <w:spacing w:after="0" w:line="308" w:lineRule="auto"/>
        <w:rPr>
          <w:sz w:val="20"/>
          <w:szCs w:val="20"/>
          <w:color w:val="auto"/>
        </w:rPr>
      </w:pPr>
      <w:r>
        <w:rPr>
          <w:rFonts w:ascii="Arial" w:cs="Arial" w:eastAsia="Arial" w:hAnsi="Arial"/>
          <w:sz w:val="17"/>
          <w:szCs w:val="17"/>
          <w:color w:val="auto"/>
        </w:rPr>
        <w:t>Except as discussed below and in our 2017 Annual Report on Form 10-K, there have been no new accounting pronouncements that have become effective or have been issued during the six months ended June 30, 2018 that are of significance or potential significance to us.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Accounting Standards Updates Adopted During the Period</w:t>
      </w:r>
    </w:p>
    <w:p>
      <w:pPr>
        <w:spacing w:after="0" w:line="225"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 xml:space="preserve">In February 2017, the FASB issued ASU 2017-05, </w:t>
      </w:r>
      <w:r>
        <w:rPr>
          <w:rFonts w:ascii="Arial" w:cs="Arial" w:eastAsia="Arial" w:hAnsi="Arial"/>
          <w:sz w:val="17"/>
          <w:szCs w:val="17"/>
          <w:i w:val="1"/>
          <w:iCs w:val="1"/>
          <w:color w:val="auto"/>
        </w:rPr>
        <w:t>Other Income—Gains and Losses from the Derecognition of Nonfinancial Assets (Subtopic 610-20): Clarifying the Scope of Asset Derecognition Guidance and Accounting for Partial Sales of Nonfinancial Assets</w:t>
      </w:r>
      <w:r>
        <w:rPr>
          <w:rFonts w:ascii="Arial" w:cs="Arial" w:eastAsia="Arial" w:hAnsi="Arial"/>
          <w:sz w:val="17"/>
          <w:szCs w:val="17"/>
          <w:color w:val="auto"/>
        </w:rPr>
        <w:t>. The ASU clarifies what type of</w:t>
      </w:r>
      <w:r>
        <w:rPr>
          <w:rFonts w:ascii="Arial" w:cs="Arial" w:eastAsia="Arial" w:hAnsi="Arial"/>
          <w:sz w:val="17"/>
          <w:szCs w:val="17"/>
          <w:i w:val="1"/>
          <w:iCs w:val="1"/>
          <w:color w:val="auto"/>
        </w:rPr>
        <w:t xml:space="preserve"> </w:t>
      </w:r>
      <w:r>
        <w:rPr>
          <w:rFonts w:ascii="Arial" w:cs="Arial" w:eastAsia="Arial" w:hAnsi="Arial"/>
          <w:sz w:val="17"/>
          <w:szCs w:val="17"/>
          <w:color w:val="auto"/>
        </w:rPr>
        <w:t>transactions involving nonfinancial assets are covered by the scope of the standard and provides guidance on how to account for those transactions, including partial sales of real estate. Within this guidance, all sales and partial sales of businesses, which may have previously been accounted for using the in-substance real estate guidance, should follow the consolidation guidance. This guidance is effective for interim and annual periods beginning after December 15, 2017, and must be adopted at the same time as Topic 606 (defined below). We adopted this ASU on January 1, 2018, using the modified retrospective approach. The cumulative effect of our adoption resulted in increases in both the carrying value of investments in unconsolidated entities and retained earnings of $113 million related to the retained noncontrolling interest in those entities from partial sales of businesses accounted for under in-substance real estate guidance during 2016 and 2017.</w:t>
      </w:r>
    </w:p>
    <w:p>
      <w:pPr>
        <w:spacing w:after="0" w:line="182" w:lineRule="exact"/>
        <w:rPr>
          <w:sz w:val="20"/>
          <w:szCs w:val="20"/>
          <w:color w:val="auto"/>
        </w:rPr>
      </w:pPr>
    </w:p>
    <w:p>
      <w:pPr>
        <w:ind w:right="160" w:firstLine="648"/>
        <w:spacing w:after="0" w:line="255" w:lineRule="auto"/>
        <w:rPr>
          <w:sz w:val="20"/>
          <w:szCs w:val="20"/>
          <w:color w:val="auto"/>
        </w:rPr>
      </w:pPr>
      <w:r>
        <w:rPr>
          <w:rFonts w:ascii="Arial" w:cs="Arial" w:eastAsia="Arial" w:hAnsi="Arial"/>
          <w:sz w:val="18"/>
          <w:szCs w:val="18"/>
          <w:color w:val="auto"/>
        </w:rPr>
        <w:t xml:space="preserve">In November 2016, the FASB issued ASU 2016-18, </w:t>
      </w:r>
      <w:r>
        <w:rPr>
          <w:rFonts w:ascii="Arial" w:cs="Arial" w:eastAsia="Arial" w:hAnsi="Arial"/>
          <w:sz w:val="18"/>
          <w:szCs w:val="18"/>
          <w:i w:val="1"/>
          <w:iCs w:val="1"/>
          <w:color w:val="auto"/>
        </w:rPr>
        <w:t>Statement of Cash Flows (Topic 230): Restricted Cash (a consensus of the FASB Emerging</w:t>
      </w:r>
      <w:r>
        <w:rPr>
          <w:rFonts w:ascii="Arial" w:cs="Arial" w:eastAsia="Arial" w:hAnsi="Arial"/>
          <w:sz w:val="18"/>
          <w:szCs w:val="18"/>
          <w:color w:val="auto"/>
        </w:rPr>
        <w:t xml:space="preserve"> </w:t>
      </w:r>
      <w:r>
        <w:rPr>
          <w:rFonts w:ascii="Arial" w:cs="Arial" w:eastAsia="Arial" w:hAnsi="Arial"/>
          <w:sz w:val="18"/>
          <w:szCs w:val="18"/>
          <w:i w:val="1"/>
          <w:iCs w:val="1"/>
          <w:color w:val="auto"/>
        </w:rPr>
        <w:t>Issues Task Force)</w:t>
      </w:r>
      <w:r>
        <w:rPr>
          <w:rFonts w:ascii="Arial" w:cs="Arial" w:eastAsia="Arial" w:hAnsi="Arial"/>
          <w:sz w:val="18"/>
          <w:szCs w:val="18"/>
          <w:color w:val="auto"/>
        </w:rPr>
        <w:t>, requiring that a statement of cash flows explain the change in total cash, cash equivalents, and amounts generally described as restricted</w:t>
      </w:r>
      <w:r>
        <w:rPr>
          <w:rFonts w:ascii="Arial" w:cs="Arial" w:eastAsia="Arial" w:hAnsi="Arial"/>
          <w:sz w:val="18"/>
          <w:szCs w:val="18"/>
          <w:i w:val="1"/>
          <w:iCs w:val="1"/>
          <w:color w:val="auto"/>
        </w:rPr>
        <w:t xml:space="preserve"> </w:t>
      </w:r>
      <w:r>
        <w:rPr>
          <w:rFonts w:ascii="Arial" w:cs="Arial" w:eastAsia="Arial" w:hAnsi="Arial"/>
          <w:sz w:val="18"/>
          <w:szCs w:val="18"/>
          <w:color w:val="auto"/>
        </w:rPr>
        <w:t>cash or restricted cash equivalents during the period. Therefore, amounts generally described as restricted cash and restricted cash equivalents should be included with cash and cash equivalents when reconciling the beginning-of-period total amounts shown on the statement of cash flows. This guidance is effective for interim and annual periods beginning after December 15, 2017. We adopted this ASU on January 1, 2018. Our adoption did not have an impact on our statement of cash flows.</w:t>
      </w:r>
    </w:p>
    <w:p>
      <w:pPr>
        <w:spacing w:after="0" w:line="193"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color w:val="auto"/>
        </w:rPr>
        <w:t xml:space="preserve">In May 2014, the FASB issued ASU 2014-09, </w:t>
      </w:r>
      <w:r>
        <w:rPr>
          <w:rFonts w:ascii="Arial" w:cs="Arial" w:eastAsia="Arial" w:hAnsi="Arial"/>
          <w:sz w:val="18"/>
          <w:szCs w:val="18"/>
          <w:i w:val="1"/>
          <w:iCs w:val="1"/>
          <w:color w:val="auto"/>
        </w:rPr>
        <w:t>Revenue from Contracts with Customers,</w:t>
      </w:r>
      <w:r>
        <w:rPr>
          <w:rFonts w:ascii="Arial" w:cs="Arial" w:eastAsia="Arial" w:hAnsi="Arial"/>
          <w:sz w:val="18"/>
          <w:szCs w:val="18"/>
          <w:color w:val="auto"/>
        </w:rPr>
        <w:t xml:space="preserve"> followed by a series of related accounting standard updates (collectively referred to as “Topic 606”) with the underlying principle that an entity will recognize revenue to reflect amounts expected to be received in exchange for the provision of goods and services to customers upon the transfer of control of those goods or services. We adopted Topic 606 on January 1, 2018, and applied the modified retrospective approach. See Note 3 for additional information.</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125" w:right="239"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Accounting Standards Updates Issued During the Period</w:t>
      </w:r>
    </w:p>
    <w:p>
      <w:pPr>
        <w:spacing w:after="0" w:line="225"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 xml:space="preserve">In June 2018, the FASB issued ASU 2018-07, </w:t>
      </w:r>
      <w:r>
        <w:rPr>
          <w:rFonts w:ascii="Arial" w:cs="Arial" w:eastAsia="Arial" w:hAnsi="Arial"/>
          <w:sz w:val="18"/>
          <w:szCs w:val="18"/>
          <w:i w:val="1"/>
          <w:iCs w:val="1"/>
          <w:color w:val="auto"/>
        </w:rPr>
        <w:t>Compensation—Stock Compensation (Topic 718): Improvements to Nonemployee Share-Based</w:t>
      </w:r>
      <w:r>
        <w:rPr>
          <w:rFonts w:ascii="Arial" w:cs="Arial" w:eastAsia="Arial" w:hAnsi="Arial"/>
          <w:sz w:val="18"/>
          <w:szCs w:val="18"/>
          <w:color w:val="auto"/>
        </w:rPr>
        <w:t xml:space="preserve"> </w:t>
      </w:r>
      <w:r>
        <w:rPr>
          <w:rFonts w:ascii="Arial" w:cs="Arial" w:eastAsia="Arial" w:hAnsi="Arial"/>
          <w:sz w:val="18"/>
          <w:szCs w:val="18"/>
          <w:i w:val="1"/>
          <w:iCs w:val="1"/>
          <w:color w:val="auto"/>
        </w:rPr>
        <w:t>Payment Accounting</w:t>
      </w:r>
      <w:r>
        <w:rPr>
          <w:rFonts w:ascii="Arial" w:cs="Arial" w:eastAsia="Arial" w:hAnsi="Arial"/>
          <w:sz w:val="18"/>
          <w:szCs w:val="18"/>
          <w:color w:val="auto"/>
        </w:rPr>
        <w:t>, which expands the scope of Topic 718 to include share-based payment awards to nonemployees and eliminates the classification</w:t>
      </w:r>
      <w:r>
        <w:rPr>
          <w:rFonts w:ascii="Arial" w:cs="Arial" w:eastAsia="Arial" w:hAnsi="Arial"/>
          <w:sz w:val="18"/>
          <w:szCs w:val="18"/>
          <w:i w:val="1"/>
          <w:iCs w:val="1"/>
          <w:color w:val="auto"/>
        </w:rPr>
        <w:t xml:space="preserve"> </w:t>
      </w:r>
      <w:r>
        <w:rPr>
          <w:rFonts w:ascii="Arial" w:cs="Arial" w:eastAsia="Arial" w:hAnsi="Arial"/>
          <w:sz w:val="18"/>
          <w:szCs w:val="18"/>
          <w:color w:val="auto"/>
        </w:rPr>
        <w:t>differences for employee and nonemployee share-based payment awards. This guidance is effective for interim and annual periods beginning after December 15, 2018, with early adoption permitted. We expect to adopt this guidance on January 1, 2019, and we do not currently anticipate that our adoption will have a material impact on our financial position, results of operations or cash flows.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Accounting Standards Updates</w:t>
      </w:r>
    </w:p>
    <w:p>
      <w:pPr>
        <w:spacing w:after="0" w:line="225" w:lineRule="exact"/>
        <w:rPr>
          <w:sz w:val="20"/>
          <w:szCs w:val="20"/>
          <w:color w:val="auto"/>
        </w:rPr>
      </w:pPr>
    </w:p>
    <w:p>
      <w:pPr>
        <w:ind w:right="20" w:firstLine="648"/>
        <w:spacing w:after="0" w:line="270" w:lineRule="auto"/>
        <w:rPr>
          <w:sz w:val="20"/>
          <w:szCs w:val="20"/>
          <w:color w:val="auto"/>
        </w:rPr>
      </w:pPr>
      <w:r>
        <w:rPr>
          <w:rFonts w:ascii="Arial" w:cs="Arial" w:eastAsia="Arial" w:hAnsi="Arial"/>
          <w:sz w:val="17"/>
          <w:szCs w:val="17"/>
          <w:color w:val="auto"/>
        </w:rPr>
        <w:t xml:space="preserve">In February 2016, the FASB issued ASU 2016-02, </w:t>
      </w:r>
      <w:r>
        <w:rPr>
          <w:rFonts w:ascii="Arial" w:cs="Arial" w:eastAsia="Arial" w:hAnsi="Arial"/>
          <w:sz w:val="17"/>
          <w:szCs w:val="17"/>
          <w:i w:val="1"/>
          <w:iCs w:val="1"/>
          <w:color w:val="auto"/>
        </w:rPr>
        <w:t>Leases (Topic 842)</w:t>
      </w:r>
      <w:r>
        <w:rPr>
          <w:rFonts w:ascii="Arial" w:cs="Arial" w:eastAsia="Arial" w:hAnsi="Arial"/>
          <w:sz w:val="17"/>
          <w:szCs w:val="17"/>
          <w:color w:val="auto"/>
        </w:rPr>
        <w:t>, that revises the current accounting model for leases. The most significant changes are the clarification of the definition of a lease and required lessee recognition on the balance sheet of lease assets and liabilities with lease terms of more than 12 months (with the election of the practical expedient to exclude short-term leases on the balance sheet), including extensive quantitative and qualitative disclosures. This guidance will become effective for interim and annual periods beginning after December 15, 2018, with a modified retrospective application required. Early adoption is permitted, including adoption in an interim period. We expect to adopt this guidance on January 1, 2019 and are assessing the use of optional practical expedients. We are currently evaluating the effect that adopting this guidance will have on our financial position, results of operations and cash flows. Although our evaluation is ongoing, we do expect that the adoption will impact our financial statements as the standard requires the recognition on the balance sheet of a right of use asset and corresponding lease liability. We are currently analyzing our contracts to determine whether they contain a lease under the revised guidance and have not quantified the amount of the asset and liability that will be recognized on our consolidated balance sheet.</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3—Revenues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225" w:lineRule="exact"/>
        <w:rPr>
          <w:sz w:val="20"/>
          <w:szCs w:val="20"/>
          <w:color w:val="auto"/>
        </w:rPr>
      </w:pPr>
    </w:p>
    <w:p>
      <w:pPr>
        <w:ind w:right="20" w:firstLine="648"/>
        <w:spacing w:after="0" w:line="286" w:lineRule="auto"/>
        <w:rPr>
          <w:sz w:val="20"/>
          <w:szCs w:val="20"/>
          <w:color w:val="auto"/>
        </w:rPr>
      </w:pPr>
      <w:r>
        <w:rPr>
          <w:rFonts w:ascii="Arial" w:cs="Arial" w:eastAsia="Arial" w:hAnsi="Arial"/>
          <w:sz w:val="17"/>
          <w:szCs w:val="17"/>
          <w:color w:val="auto"/>
        </w:rPr>
        <w:t xml:space="preserve">On January 1, 2018, we adopted Topic 606 using the modified retrospective method applied to those contracts which were not completed as of January 1, 2018. Results for reporting periods beginning after January 1, 2018 are presented under Topic 606, while prior period amounts are not adjusted and continue to be reported in accordance with our historic accounting under ASC Topic 605, </w:t>
      </w:r>
      <w:r>
        <w:rPr>
          <w:rFonts w:ascii="Arial" w:cs="Arial" w:eastAsia="Arial" w:hAnsi="Arial"/>
          <w:sz w:val="17"/>
          <w:szCs w:val="17"/>
          <w:i w:val="1"/>
          <w:iCs w:val="1"/>
          <w:color w:val="auto"/>
        </w:rPr>
        <w:t>Revenue Recognition</w:t>
      </w:r>
      <w:r>
        <w:rPr>
          <w:rFonts w:ascii="Arial" w:cs="Arial" w:eastAsia="Arial" w:hAnsi="Arial"/>
          <w:sz w:val="17"/>
          <w:szCs w:val="17"/>
          <w:color w:val="auto"/>
        </w:rPr>
        <w:t>.</w:t>
      </w:r>
    </w:p>
    <w:p>
      <w:pPr>
        <w:spacing w:after="0" w:line="166" w:lineRule="exact"/>
        <w:rPr>
          <w:sz w:val="20"/>
          <w:szCs w:val="20"/>
          <w:color w:val="auto"/>
        </w:rPr>
      </w:pPr>
    </w:p>
    <w:p>
      <w:pPr>
        <w:ind w:firstLine="648"/>
        <w:spacing w:after="0" w:line="308" w:lineRule="auto"/>
        <w:rPr>
          <w:sz w:val="20"/>
          <w:szCs w:val="20"/>
          <w:color w:val="auto"/>
        </w:rPr>
      </w:pPr>
      <w:r>
        <w:rPr>
          <w:rFonts w:ascii="Arial" w:cs="Arial" w:eastAsia="Arial" w:hAnsi="Arial"/>
          <w:sz w:val="17"/>
          <w:szCs w:val="17"/>
          <w:color w:val="auto"/>
        </w:rPr>
        <w:t>There was no material impact to opening retained earnings as of January 1, 2018 due to the adoption of Topic 606. There also was no material impact to revenues, or any other financial statement line items, for the three and six months ended June 30, 2018 as a result of applying Topic 606.</w:t>
      </w:r>
    </w:p>
    <w:p>
      <w:pPr>
        <w:spacing w:after="0" w:line="147" w:lineRule="exact"/>
        <w:rPr>
          <w:sz w:val="20"/>
          <w:szCs w:val="20"/>
          <w:color w:val="auto"/>
        </w:rPr>
      </w:pPr>
    </w:p>
    <w:p>
      <w:pPr>
        <w:ind w:right="640" w:firstLine="648"/>
        <w:spacing w:after="0" w:line="277" w:lineRule="auto"/>
        <w:rPr>
          <w:sz w:val="20"/>
          <w:szCs w:val="20"/>
          <w:color w:val="auto"/>
        </w:rPr>
      </w:pPr>
      <w:r>
        <w:rPr>
          <w:rFonts w:ascii="Arial" w:cs="Arial" w:eastAsia="Arial" w:hAnsi="Arial"/>
          <w:sz w:val="18"/>
          <w:szCs w:val="18"/>
          <w:color w:val="auto"/>
        </w:rPr>
        <w:t>Under Topic 606, we disaggregate our revenues by segment and type of activity. These categories depict how the nature, amount, timing and uncertainty of revenues and cash flows are affected by economic factors.</w:t>
      </w:r>
    </w:p>
    <w:p>
      <w:pPr>
        <w:spacing w:after="0" w:line="170" w:lineRule="exact"/>
        <w:rPr>
          <w:sz w:val="20"/>
          <w:szCs w:val="20"/>
          <w:color w:val="auto"/>
        </w:rPr>
      </w:pPr>
    </w:p>
    <w:p>
      <w:pPr>
        <w:ind w:right="260" w:firstLine="648"/>
        <w:spacing w:after="0" w:line="277" w:lineRule="auto"/>
        <w:rPr>
          <w:sz w:val="20"/>
          <w:szCs w:val="20"/>
          <w:color w:val="auto"/>
        </w:rPr>
      </w:pPr>
      <w:r>
        <w:rPr>
          <w:rFonts w:ascii="Arial" w:cs="Arial" w:eastAsia="Arial" w:hAnsi="Arial"/>
          <w:sz w:val="18"/>
          <w:szCs w:val="18"/>
          <w:i w:val="1"/>
          <w:iCs w:val="1"/>
          <w:color w:val="auto"/>
        </w:rPr>
        <w:t xml:space="preserve">Supply and Logistics Segment Revenues from Contracts with Customers. </w:t>
      </w:r>
      <w:r>
        <w:rPr>
          <w:rFonts w:ascii="Arial" w:cs="Arial" w:eastAsia="Arial" w:hAnsi="Arial"/>
          <w:sz w:val="18"/>
          <w:szCs w:val="18"/>
          <w:color w:val="auto"/>
        </w:rPr>
        <w:t>The following table presents our Supply and Logistics segment revenues</w:t>
      </w:r>
      <w:r>
        <w:rPr>
          <w:rFonts w:ascii="Arial" w:cs="Arial" w:eastAsia="Arial" w:hAnsi="Arial"/>
          <w:sz w:val="18"/>
          <w:szCs w:val="18"/>
          <w:i w:val="1"/>
          <w:iCs w:val="1"/>
          <w:color w:val="auto"/>
        </w:rPr>
        <w:t xml:space="preserve"> </w:t>
      </w:r>
      <w:r>
        <w:rPr>
          <w:rFonts w:ascii="Arial" w:cs="Arial" w:eastAsia="Arial" w:hAnsi="Arial"/>
          <w:sz w:val="18"/>
          <w:szCs w:val="18"/>
          <w:color w:val="auto"/>
        </w:rPr>
        <w:t>from contracts with customers disaggregated by type of activity (in millions):</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7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5"/>
              </w:rPr>
              <w:t>Three Months Ended</w:t>
            </w:r>
          </w:p>
        </w:tc>
        <w:tc>
          <w:tcPr>
            <w:tcW w:w="220" w:type="dxa"/>
            <w:vAlign w:val="bottom"/>
          </w:tcPr>
          <w:p>
            <w:pPr>
              <w:spacing w:after="0"/>
              <w:rPr>
                <w:sz w:val="14"/>
                <w:szCs w:val="14"/>
                <w:color w:val="auto"/>
              </w:rPr>
            </w:pPr>
          </w:p>
        </w:tc>
        <w:tc>
          <w:tcPr>
            <w:tcW w:w="1600" w:type="dxa"/>
            <w:vAlign w:val="bottom"/>
          </w:tcPr>
          <w:p>
            <w:pPr>
              <w:jc w:val="right"/>
              <w:ind w:right="257"/>
              <w:spacing w:after="0"/>
              <w:rPr>
                <w:sz w:val="20"/>
                <w:szCs w:val="20"/>
                <w:color w:val="auto"/>
              </w:rPr>
            </w:pPr>
            <w:r>
              <w:rPr>
                <w:rFonts w:ascii="Arial" w:cs="Arial" w:eastAsia="Arial" w:hAnsi="Arial"/>
                <w:sz w:val="14"/>
                <w:szCs w:val="14"/>
                <w:b w:val="1"/>
                <w:bCs w:val="1"/>
                <w:color w:val="auto"/>
              </w:rPr>
              <w:t>Six Months Ended</w:t>
            </w:r>
          </w:p>
        </w:tc>
      </w:tr>
      <w:tr>
        <w:trPr>
          <w:trHeight w:val="192"/>
        </w:trPr>
        <w:tc>
          <w:tcPr>
            <w:tcW w:w="76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7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2"/>
              </w:rPr>
              <w:t>June 30, 2018</w:t>
            </w:r>
          </w:p>
        </w:tc>
        <w:tc>
          <w:tcPr>
            <w:tcW w:w="220" w:type="dxa"/>
            <w:vAlign w:val="bottom"/>
          </w:tcPr>
          <w:p>
            <w:pPr>
              <w:spacing w:after="0"/>
              <w:rPr>
                <w:sz w:val="16"/>
                <w:szCs w:val="16"/>
                <w:color w:val="auto"/>
              </w:rPr>
            </w:pPr>
          </w:p>
        </w:tc>
        <w:tc>
          <w:tcPr>
            <w:tcW w:w="1600" w:type="dxa"/>
            <w:vAlign w:val="bottom"/>
          </w:tcPr>
          <w:p>
            <w:pPr>
              <w:jc w:val="right"/>
              <w:ind w:right="417"/>
              <w:spacing w:after="0"/>
              <w:rPr>
                <w:sz w:val="20"/>
                <w:szCs w:val="20"/>
                <w:color w:val="auto"/>
              </w:rPr>
            </w:pPr>
            <w:r>
              <w:rPr>
                <w:rFonts w:ascii="Arial" w:cs="Arial" w:eastAsia="Arial" w:hAnsi="Arial"/>
                <w:sz w:val="14"/>
                <w:szCs w:val="14"/>
                <w:b w:val="1"/>
                <w:bCs w:val="1"/>
                <w:color w:val="auto"/>
              </w:rPr>
              <w:t>June 30, 2018</w:t>
            </w:r>
          </w:p>
        </w:tc>
      </w:tr>
      <w:tr>
        <w:trPr>
          <w:trHeight w:val="250"/>
        </w:trPr>
        <w:tc>
          <w:tcPr>
            <w:tcW w:w="76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Supply and Logistics segment revenues from contracts with customers</w:t>
            </w: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62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160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7660" w:type="dxa"/>
            <w:vAlign w:val="bottom"/>
          </w:tcPr>
          <w:p>
            <w:pPr>
              <w:ind w:left="180"/>
              <w:spacing w:after="0"/>
              <w:rPr>
                <w:sz w:val="20"/>
                <w:szCs w:val="20"/>
                <w:color w:val="auto"/>
              </w:rPr>
            </w:pPr>
            <w:r>
              <w:rPr>
                <w:rFonts w:ascii="Arial" w:cs="Arial" w:eastAsia="Arial" w:hAnsi="Arial"/>
                <w:sz w:val="18"/>
                <w:szCs w:val="18"/>
                <w:color w:val="auto"/>
              </w:rPr>
              <w:t>Crude oil transactions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Pr>
          <w:p>
            <w:pPr>
              <w:jc w:val="right"/>
              <w:ind w:right="17"/>
              <w:spacing w:after="0"/>
              <w:rPr>
                <w:sz w:val="20"/>
                <w:szCs w:val="20"/>
                <w:color w:val="auto"/>
              </w:rPr>
            </w:pPr>
            <w:r>
              <w:rPr>
                <w:rFonts w:ascii="Arial" w:cs="Arial" w:eastAsia="Arial" w:hAnsi="Arial"/>
                <w:sz w:val="18"/>
                <w:szCs w:val="18"/>
                <w:color w:val="auto"/>
              </w:rPr>
              <w:t>7,649</w:t>
            </w:r>
          </w:p>
        </w:tc>
        <w:tc>
          <w:tcPr>
            <w:tcW w:w="1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600" w:type="dxa"/>
            <w:vAlign w:val="bottom"/>
          </w:tcPr>
          <w:p>
            <w:pPr>
              <w:jc w:val="right"/>
              <w:ind w:right="17"/>
              <w:spacing w:after="0"/>
              <w:rPr>
                <w:sz w:val="20"/>
                <w:szCs w:val="20"/>
                <w:color w:val="auto"/>
              </w:rPr>
            </w:pPr>
            <w:r>
              <w:rPr>
                <w:rFonts w:ascii="Arial" w:cs="Arial" w:eastAsia="Arial" w:hAnsi="Arial"/>
                <w:sz w:val="18"/>
                <w:szCs w:val="18"/>
                <w:color w:val="auto"/>
              </w:rPr>
              <w:t>14,672</w:t>
            </w:r>
          </w:p>
        </w:tc>
      </w:tr>
      <w:tr>
        <w:trPr>
          <w:trHeight w:val="27"/>
        </w:trPr>
        <w:tc>
          <w:tcPr>
            <w:tcW w:w="7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70"/>
        </w:trPr>
        <w:tc>
          <w:tcPr>
            <w:tcW w:w="7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NGL and other transactions</w:t>
            </w:r>
          </w:p>
        </w:tc>
        <w:tc>
          <w:tcPr>
            <w:tcW w:w="200" w:type="dxa"/>
            <w:vAlign w:val="bottom"/>
            <w:tcBorders>
              <w:bottom w:val="single" w:sz="8" w:color="CCEEFF"/>
            </w:tcBorders>
            <w:shd w:val="clear" w:color="auto" w:fill="CCEEFF"/>
          </w:tcPr>
          <w:p>
            <w:pPr>
              <w:spacing w:after="0"/>
              <w:rPr>
                <w:sz w:val="23"/>
                <w:szCs w:val="23"/>
                <w:color w:val="auto"/>
              </w:rPr>
            </w:pPr>
          </w:p>
        </w:tc>
        <w:tc>
          <w:tcPr>
            <w:tcW w:w="16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475</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1,626</w:t>
            </w:r>
          </w:p>
        </w:tc>
      </w:tr>
      <w:tr>
        <w:trPr>
          <w:trHeight w:val="257"/>
        </w:trPr>
        <w:tc>
          <w:tcPr>
            <w:tcW w:w="7660" w:type="dxa"/>
            <w:vAlign w:val="bottom"/>
          </w:tcPr>
          <w:p>
            <w:pPr>
              <w:ind w:left="40"/>
              <w:spacing w:after="0"/>
              <w:rPr>
                <w:sz w:val="20"/>
                <w:szCs w:val="20"/>
                <w:color w:val="auto"/>
              </w:rPr>
            </w:pPr>
            <w:r>
              <w:rPr>
                <w:rFonts w:ascii="Arial" w:cs="Arial" w:eastAsia="Arial" w:hAnsi="Arial"/>
                <w:sz w:val="18"/>
                <w:szCs w:val="18"/>
                <w:color w:val="auto"/>
              </w:rPr>
              <w:t>Total Supply and Logistics segment revenues from contracts with customers</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18"/>
                <w:szCs w:val="18"/>
                <w:color w:val="auto"/>
              </w:rPr>
              <w:t>8,124</w:t>
            </w:r>
          </w:p>
        </w:tc>
        <w:tc>
          <w:tcPr>
            <w:tcW w:w="12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60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18"/>
                <w:szCs w:val="18"/>
                <w:color w:val="auto"/>
              </w:rPr>
              <w:t>16,298</w:t>
            </w:r>
          </w:p>
        </w:tc>
      </w:tr>
      <w:tr>
        <w:trPr>
          <w:trHeight w:val="20"/>
        </w:trPr>
        <w:tc>
          <w:tcPr>
            <w:tcW w:w="76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40" w:firstLine="648"/>
        <w:spacing w:after="0" w:line="276" w:lineRule="auto"/>
        <w:rPr>
          <w:sz w:val="20"/>
          <w:szCs w:val="20"/>
          <w:color w:val="auto"/>
        </w:rPr>
      </w:pPr>
      <w:r>
        <w:rPr>
          <w:rFonts w:ascii="Arial" w:cs="Arial" w:eastAsia="Arial" w:hAnsi="Arial"/>
          <w:sz w:val="17"/>
          <w:szCs w:val="17"/>
          <w:color w:val="auto"/>
        </w:rPr>
        <w:t>Revenues from sales of crude oil, NGL and natural gas are recognized at the time title to the product sold transfers to the purchaser, which occurs upon delivery of the product to the purchaser or its designee. Sales of crude oil and NGL consist of outright sales contracts. The consideration received under these contracts is variable based on commodity prices. Inventory purchases and sales under buy/sell transactions are treated as inventory exchanges which are excluded from Supply and Logistics segment revenues in our Condensed Consolidated Statements of Operations. Revenues recognized by our Supply and Logistics segment primarily represent margin based activities.</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125" w:right="239" w:bottom="1440" w:gutter="0" w:footer="0" w:header="0"/>
        </w:sectPr>
      </w:pPr>
    </w:p>
    <w:bookmarkStart w:id="11" w:name="page12"/>
    <w:bookmarkEnd w:id="1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right="40" w:firstLine="648"/>
        <w:spacing w:after="0" w:line="272" w:lineRule="auto"/>
        <w:rPr>
          <w:sz w:val="20"/>
          <w:szCs w:val="20"/>
          <w:color w:val="auto"/>
        </w:rPr>
      </w:pPr>
      <w:r>
        <w:rPr>
          <w:rFonts w:ascii="Arial" w:cs="Arial" w:eastAsia="Arial" w:hAnsi="Arial"/>
          <w:sz w:val="17"/>
          <w:szCs w:val="17"/>
          <w:color w:val="auto"/>
        </w:rPr>
        <w:t>In addition, we have certain crude oil sales agreements that are entered into in conjunction with storage arrangements and future inventory exchanges. The revenues under these agreements are deferred until all performance obligations associated with the related agreements are completed. The inventory that has been sold under these crude oil sales agreements is reflected in “Other Current Assets” on our Condensed Consolidated Balance Sheet until all of our performance obligations are complete. At that time, the inventory that has been sold is removed from our Condensed Consolidated Balance Sheet and recorded as “Purchases and Related Costs” in our Condensed Consolidated Statement of Operations. At June 30, 2018, other current assets and deferred revenue associated with these agreements was approximately $197 million and $197 million, respectively. See Contract Balances below for further discussion of contract liabilities associated with these agreements.</w:t>
      </w:r>
    </w:p>
    <w:p>
      <w:pPr>
        <w:spacing w:after="0" w:line="178" w:lineRule="exact"/>
        <w:rPr>
          <w:sz w:val="20"/>
          <w:szCs w:val="20"/>
          <w:color w:val="auto"/>
        </w:rPr>
      </w:pPr>
    </w:p>
    <w:p>
      <w:pPr>
        <w:jc w:val="both"/>
        <w:ind w:right="200" w:firstLine="648"/>
        <w:spacing w:after="0" w:line="264" w:lineRule="auto"/>
        <w:rPr>
          <w:sz w:val="20"/>
          <w:szCs w:val="20"/>
          <w:color w:val="auto"/>
        </w:rPr>
      </w:pPr>
      <w:r>
        <w:rPr>
          <w:rFonts w:ascii="Arial" w:cs="Arial" w:eastAsia="Arial" w:hAnsi="Arial"/>
          <w:sz w:val="18"/>
          <w:szCs w:val="18"/>
          <w:color w:val="auto"/>
        </w:rPr>
        <w:t>We may also utilize derivatives in connection with the transactions described above. Derivative revenue is not included as a component of revenue from contracts with customers, but is included in other items in revenue. The change in the fair value of derivatives that are not designated or do not qualify for hedge accounting is recognized in revenues each period.</w:t>
      </w:r>
    </w:p>
    <w:p>
      <w:pPr>
        <w:spacing w:after="0" w:line="181"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i w:val="1"/>
          <w:iCs w:val="1"/>
          <w:color w:val="auto"/>
        </w:rPr>
        <w:t xml:space="preserve">Transportation Segment Revenues from Contracts with Customers. </w:t>
      </w:r>
      <w:r>
        <w:rPr>
          <w:rFonts w:ascii="Arial" w:cs="Arial" w:eastAsia="Arial" w:hAnsi="Arial"/>
          <w:sz w:val="18"/>
          <w:szCs w:val="18"/>
          <w:color w:val="auto"/>
        </w:rPr>
        <w:t>The following table presents our Transportation segment revenues from contracts</w:t>
      </w:r>
      <w:r>
        <w:rPr>
          <w:rFonts w:ascii="Arial" w:cs="Arial" w:eastAsia="Arial" w:hAnsi="Arial"/>
          <w:sz w:val="18"/>
          <w:szCs w:val="18"/>
          <w:i w:val="1"/>
          <w:iCs w:val="1"/>
          <w:color w:val="auto"/>
        </w:rPr>
        <w:t xml:space="preserve"> </w:t>
      </w:r>
      <w:r>
        <w:rPr>
          <w:rFonts w:ascii="Arial" w:cs="Arial" w:eastAsia="Arial" w:hAnsi="Arial"/>
          <w:sz w:val="18"/>
          <w:szCs w:val="18"/>
          <w:color w:val="auto"/>
        </w:rPr>
        <w:t>with customers disaggregated by type of activity (in millions):</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7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5"/>
              </w:rPr>
              <w:t>Three Months Ended</w:t>
            </w:r>
          </w:p>
        </w:tc>
        <w:tc>
          <w:tcPr>
            <w:tcW w:w="220" w:type="dxa"/>
            <w:vAlign w:val="bottom"/>
          </w:tcPr>
          <w:p>
            <w:pPr>
              <w:spacing w:after="0"/>
              <w:rPr>
                <w:sz w:val="14"/>
                <w:szCs w:val="14"/>
                <w:color w:val="auto"/>
              </w:rPr>
            </w:pPr>
          </w:p>
        </w:tc>
        <w:tc>
          <w:tcPr>
            <w:tcW w:w="1600" w:type="dxa"/>
            <w:vAlign w:val="bottom"/>
          </w:tcPr>
          <w:p>
            <w:pPr>
              <w:jc w:val="right"/>
              <w:ind w:right="255"/>
              <w:spacing w:after="0"/>
              <w:rPr>
                <w:sz w:val="20"/>
                <w:szCs w:val="20"/>
                <w:color w:val="auto"/>
              </w:rPr>
            </w:pPr>
            <w:r>
              <w:rPr>
                <w:rFonts w:ascii="Arial" w:cs="Arial" w:eastAsia="Arial" w:hAnsi="Arial"/>
                <w:sz w:val="14"/>
                <w:szCs w:val="14"/>
                <w:b w:val="1"/>
                <w:bCs w:val="1"/>
                <w:color w:val="auto"/>
              </w:rPr>
              <w:t>Six Months Ended</w:t>
            </w:r>
          </w:p>
        </w:tc>
      </w:tr>
      <w:tr>
        <w:trPr>
          <w:trHeight w:val="192"/>
        </w:trPr>
        <w:tc>
          <w:tcPr>
            <w:tcW w:w="76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7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2"/>
              </w:rPr>
              <w:t>June 30, 2018</w:t>
            </w:r>
          </w:p>
        </w:tc>
        <w:tc>
          <w:tcPr>
            <w:tcW w:w="220" w:type="dxa"/>
            <w:vAlign w:val="bottom"/>
          </w:tcPr>
          <w:p>
            <w:pPr>
              <w:spacing w:after="0"/>
              <w:rPr>
                <w:sz w:val="16"/>
                <w:szCs w:val="16"/>
                <w:color w:val="auto"/>
              </w:rPr>
            </w:pPr>
          </w:p>
        </w:tc>
        <w:tc>
          <w:tcPr>
            <w:tcW w:w="1600" w:type="dxa"/>
            <w:vAlign w:val="bottom"/>
          </w:tcPr>
          <w:p>
            <w:pPr>
              <w:jc w:val="right"/>
              <w:ind w:right="415"/>
              <w:spacing w:after="0"/>
              <w:rPr>
                <w:sz w:val="20"/>
                <w:szCs w:val="20"/>
                <w:color w:val="auto"/>
              </w:rPr>
            </w:pPr>
            <w:r>
              <w:rPr>
                <w:rFonts w:ascii="Arial" w:cs="Arial" w:eastAsia="Arial" w:hAnsi="Arial"/>
                <w:sz w:val="14"/>
                <w:szCs w:val="14"/>
                <w:b w:val="1"/>
                <w:bCs w:val="1"/>
                <w:color w:val="auto"/>
              </w:rPr>
              <w:t>June 30, 2018</w:t>
            </w:r>
          </w:p>
        </w:tc>
      </w:tr>
      <w:tr>
        <w:trPr>
          <w:trHeight w:val="250"/>
        </w:trPr>
        <w:tc>
          <w:tcPr>
            <w:tcW w:w="76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Transportation segment revenues from contracts with customers</w:t>
            </w: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62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160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7660" w:type="dxa"/>
            <w:vAlign w:val="bottom"/>
          </w:tcPr>
          <w:p>
            <w:pPr>
              <w:ind w:left="180"/>
              <w:spacing w:after="0"/>
              <w:rPr>
                <w:sz w:val="20"/>
                <w:szCs w:val="20"/>
                <w:color w:val="auto"/>
              </w:rPr>
            </w:pPr>
            <w:r>
              <w:rPr>
                <w:rFonts w:ascii="Arial" w:cs="Arial" w:eastAsia="Arial" w:hAnsi="Arial"/>
                <w:sz w:val="18"/>
                <w:szCs w:val="18"/>
                <w:color w:val="auto"/>
              </w:rPr>
              <w:t>Tariff activities:</w:t>
            </w:r>
          </w:p>
        </w:tc>
        <w:tc>
          <w:tcPr>
            <w:tcW w:w="20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0" w:type="dxa"/>
            <w:vAlign w:val="bottom"/>
          </w:tcPr>
          <w:p>
            <w:pPr>
              <w:spacing w:after="0"/>
              <w:rPr>
                <w:sz w:val="21"/>
                <w:szCs w:val="21"/>
                <w:color w:val="auto"/>
              </w:rPr>
            </w:pPr>
          </w:p>
        </w:tc>
      </w:tr>
      <w:tr>
        <w:trPr>
          <w:trHeight w:val="27"/>
        </w:trPr>
        <w:tc>
          <w:tcPr>
            <w:tcW w:w="7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Crude oil pipelines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412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801</w:t>
            </w:r>
          </w:p>
        </w:tc>
      </w:tr>
      <w:tr>
        <w:trPr>
          <w:trHeight w:val="243"/>
        </w:trPr>
        <w:tc>
          <w:tcPr>
            <w:tcW w:w="7660" w:type="dxa"/>
            <w:vAlign w:val="bottom"/>
          </w:tcPr>
          <w:p>
            <w:pPr>
              <w:ind w:left="280"/>
              <w:spacing w:after="0"/>
              <w:rPr>
                <w:sz w:val="20"/>
                <w:szCs w:val="20"/>
                <w:color w:val="auto"/>
              </w:rPr>
            </w:pPr>
            <w:r>
              <w:rPr>
                <w:rFonts w:ascii="Arial" w:cs="Arial" w:eastAsia="Arial" w:hAnsi="Arial"/>
                <w:sz w:val="18"/>
                <w:szCs w:val="18"/>
                <w:color w:val="auto"/>
              </w:rPr>
              <w:t>NGL pipelines</w:t>
            </w:r>
          </w:p>
        </w:tc>
        <w:tc>
          <w:tcPr>
            <w:tcW w:w="200" w:type="dxa"/>
            <w:vAlign w:val="bottom"/>
          </w:tcPr>
          <w:p>
            <w:pPr>
              <w:spacing w:after="0"/>
              <w:rPr>
                <w:sz w:val="21"/>
                <w:szCs w:val="21"/>
                <w:color w:val="auto"/>
              </w:rPr>
            </w:pPr>
          </w:p>
        </w:tc>
        <w:tc>
          <w:tcPr>
            <w:tcW w:w="1620" w:type="dxa"/>
            <w:vAlign w:val="bottom"/>
          </w:tcPr>
          <w:p>
            <w:pPr>
              <w:jc w:val="right"/>
              <w:ind w:right="15"/>
              <w:spacing w:after="0"/>
              <w:rPr>
                <w:sz w:val="20"/>
                <w:szCs w:val="20"/>
                <w:color w:val="auto"/>
              </w:rPr>
            </w:pPr>
            <w:r>
              <w:rPr>
                <w:rFonts w:ascii="Arial" w:cs="Arial" w:eastAsia="Arial" w:hAnsi="Arial"/>
                <w:sz w:val="18"/>
                <w:szCs w:val="18"/>
                <w:color w:val="auto"/>
              </w:rPr>
              <w:t>24</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0" w:type="dxa"/>
            <w:vAlign w:val="bottom"/>
          </w:tcPr>
          <w:p>
            <w:pPr>
              <w:jc w:val="right"/>
              <w:ind w:right="15"/>
              <w:spacing w:after="0"/>
              <w:rPr>
                <w:sz w:val="20"/>
                <w:szCs w:val="20"/>
                <w:color w:val="auto"/>
              </w:rPr>
            </w:pPr>
            <w:r>
              <w:rPr>
                <w:rFonts w:ascii="Arial" w:cs="Arial" w:eastAsia="Arial" w:hAnsi="Arial"/>
                <w:sz w:val="18"/>
                <w:szCs w:val="18"/>
                <w:color w:val="auto"/>
              </w:rPr>
              <w:t>51</w:t>
            </w:r>
          </w:p>
        </w:tc>
      </w:tr>
      <w:tr>
        <w:trPr>
          <w:trHeight w:val="27"/>
        </w:trPr>
        <w:tc>
          <w:tcPr>
            <w:tcW w:w="76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244"/>
        </w:trPr>
        <w:tc>
          <w:tcPr>
            <w:tcW w:w="7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tariff activities</w:t>
            </w:r>
          </w:p>
        </w:tc>
        <w:tc>
          <w:tcPr>
            <w:tcW w:w="2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436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852</w:t>
            </w:r>
          </w:p>
        </w:tc>
      </w:tr>
      <w:tr>
        <w:trPr>
          <w:trHeight w:val="243"/>
        </w:trPr>
        <w:tc>
          <w:tcPr>
            <w:tcW w:w="7660" w:type="dxa"/>
            <w:vAlign w:val="bottom"/>
          </w:tcPr>
          <w:p>
            <w:pPr>
              <w:ind w:left="180"/>
              <w:spacing w:after="0"/>
              <w:rPr>
                <w:sz w:val="20"/>
                <w:szCs w:val="20"/>
                <w:color w:val="auto"/>
              </w:rPr>
            </w:pPr>
            <w:r>
              <w:rPr>
                <w:rFonts w:ascii="Arial" w:cs="Arial" w:eastAsia="Arial" w:hAnsi="Arial"/>
                <w:sz w:val="18"/>
                <w:szCs w:val="18"/>
                <w:color w:val="auto"/>
              </w:rPr>
              <w:t>Trucking</w:t>
            </w:r>
          </w:p>
        </w:tc>
        <w:tc>
          <w:tcPr>
            <w:tcW w:w="200" w:type="dxa"/>
            <w:vAlign w:val="bottom"/>
          </w:tcPr>
          <w:p>
            <w:pPr>
              <w:spacing w:after="0"/>
              <w:rPr>
                <w:sz w:val="21"/>
                <w:szCs w:val="21"/>
                <w:color w:val="auto"/>
              </w:rPr>
            </w:pPr>
          </w:p>
        </w:tc>
        <w:tc>
          <w:tcPr>
            <w:tcW w:w="1620" w:type="dxa"/>
            <w:vAlign w:val="bottom"/>
          </w:tcPr>
          <w:p>
            <w:pPr>
              <w:jc w:val="right"/>
              <w:ind w:right="15"/>
              <w:spacing w:after="0"/>
              <w:rPr>
                <w:sz w:val="20"/>
                <w:szCs w:val="20"/>
                <w:color w:val="auto"/>
              </w:rPr>
            </w:pPr>
            <w:r>
              <w:rPr>
                <w:rFonts w:ascii="Arial" w:cs="Arial" w:eastAsia="Arial" w:hAnsi="Arial"/>
                <w:sz w:val="18"/>
                <w:szCs w:val="18"/>
                <w:color w:val="auto"/>
              </w:rPr>
              <w:t>34</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0" w:type="dxa"/>
            <w:vAlign w:val="bottom"/>
          </w:tcPr>
          <w:p>
            <w:pPr>
              <w:jc w:val="right"/>
              <w:ind w:right="15"/>
              <w:spacing w:after="0"/>
              <w:rPr>
                <w:sz w:val="20"/>
                <w:szCs w:val="20"/>
                <w:color w:val="auto"/>
              </w:rPr>
            </w:pPr>
            <w:r>
              <w:rPr>
                <w:rFonts w:ascii="Arial" w:cs="Arial" w:eastAsia="Arial" w:hAnsi="Arial"/>
                <w:sz w:val="18"/>
                <w:szCs w:val="18"/>
                <w:color w:val="auto"/>
              </w:rPr>
              <w:t>68</w:t>
            </w:r>
          </w:p>
        </w:tc>
      </w:tr>
      <w:tr>
        <w:trPr>
          <w:trHeight w:val="27"/>
        </w:trPr>
        <w:tc>
          <w:tcPr>
            <w:tcW w:w="76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257"/>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Transportation segment revenues from contracts with customers</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470</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920</w:t>
            </w:r>
          </w:p>
        </w:tc>
      </w:tr>
      <w:tr>
        <w:trPr>
          <w:trHeight w:val="20"/>
        </w:trPr>
        <w:tc>
          <w:tcPr>
            <w:tcW w:w="76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320" w:firstLine="648"/>
        <w:spacing w:after="0" w:line="276" w:lineRule="auto"/>
        <w:rPr>
          <w:sz w:val="20"/>
          <w:szCs w:val="20"/>
          <w:color w:val="auto"/>
        </w:rPr>
      </w:pPr>
      <w:r>
        <w:rPr>
          <w:rFonts w:ascii="Arial" w:cs="Arial" w:eastAsia="Arial" w:hAnsi="Arial"/>
          <w:sz w:val="17"/>
          <w:szCs w:val="17"/>
          <w:color w:val="auto"/>
        </w:rPr>
        <w:t>Our Transportation segment operations generally consist of fee-based activities associated with transporting crude oil and NGL on pipelines, gathering systems and trucks. Revenues from pipeline tariffs and fees are associated with the transportation of crude oil and NGL at a published tariff. We primarily recognize pipeline tariff and fee revenues over time as services are rendered, based on the volumes transported. As is common in the pipeline transportation industry, our tariffs incorporate a loss allowance factor. We recognize the allowance volumes collected as part of the transaction price and record this non-cash consideration at fair value, measured as of the contract inception date.</w:t>
      </w:r>
    </w:p>
    <w:p>
      <w:pPr>
        <w:spacing w:after="0" w:line="173" w:lineRule="exact"/>
        <w:rPr>
          <w:sz w:val="20"/>
          <w:szCs w:val="20"/>
          <w:color w:val="auto"/>
        </w:rPr>
      </w:pPr>
    </w:p>
    <w:p>
      <w:pPr>
        <w:ind w:right="480" w:firstLine="648"/>
        <w:spacing w:after="0" w:line="277" w:lineRule="auto"/>
        <w:rPr>
          <w:sz w:val="20"/>
          <w:szCs w:val="20"/>
          <w:color w:val="auto"/>
        </w:rPr>
      </w:pPr>
      <w:r>
        <w:rPr>
          <w:rFonts w:ascii="Arial" w:cs="Arial" w:eastAsia="Arial" w:hAnsi="Arial"/>
          <w:sz w:val="18"/>
          <w:szCs w:val="18"/>
          <w:i w:val="1"/>
          <w:iCs w:val="1"/>
          <w:color w:val="auto"/>
        </w:rPr>
        <w:t xml:space="preserve">Facilities Segment Revenues from Contracts with Customers. </w:t>
      </w:r>
      <w:r>
        <w:rPr>
          <w:rFonts w:ascii="Arial" w:cs="Arial" w:eastAsia="Arial" w:hAnsi="Arial"/>
          <w:sz w:val="18"/>
          <w:szCs w:val="18"/>
          <w:color w:val="auto"/>
        </w:rPr>
        <w:t>The following table presents our Facilities segment revenues from contracts with</w:t>
      </w:r>
      <w:r>
        <w:rPr>
          <w:rFonts w:ascii="Arial" w:cs="Arial" w:eastAsia="Arial" w:hAnsi="Arial"/>
          <w:sz w:val="18"/>
          <w:szCs w:val="18"/>
          <w:i w:val="1"/>
          <w:iCs w:val="1"/>
          <w:color w:val="auto"/>
        </w:rPr>
        <w:t xml:space="preserve"> </w:t>
      </w:r>
      <w:r>
        <w:rPr>
          <w:rFonts w:ascii="Arial" w:cs="Arial" w:eastAsia="Arial" w:hAnsi="Arial"/>
          <w:sz w:val="18"/>
          <w:szCs w:val="18"/>
          <w:color w:val="auto"/>
        </w:rPr>
        <w:t>customers disaggregated by type of activity (in millions):</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7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5"/>
              </w:rPr>
              <w:t>Three Months Ended</w:t>
            </w:r>
          </w:p>
        </w:tc>
        <w:tc>
          <w:tcPr>
            <w:tcW w:w="220" w:type="dxa"/>
            <w:vAlign w:val="bottom"/>
          </w:tcPr>
          <w:p>
            <w:pPr>
              <w:spacing w:after="0"/>
              <w:rPr>
                <w:sz w:val="14"/>
                <w:szCs w:val="14"/>
                <w:color w:val="auto"/>
              </w:rPr>
            </w:pPr>
          </w:p>
        </w:tc>
        <w:tc>
          <w:tcPr>
            <w:tcW w:w="1600" w:type="dxa"/>
            <w:vAlign w:val="bottom"/>
          </w:tcPr>
          <w:p>
            <w:pPr>
              <w:jc w:val="right"/>
              <w:ind w:right="256"/>
              <w:spacing w:after="0"/>
              <w:rPr>
                <w:sz w:val="20"/>
                <w:szCs w:val="20"/>
                <w:color w:val="auto"/>
              </w:rPr>
            </w:pPr>
            <w:r>
              <w:rPr>
                <w:rFonts w:ascii="Arial" w:cs="Arial" w:eastAsia="Arial" w:hAnsi="Arial"/>
                <w:sz w:val="14"/>
                <w:szCs w:val="14"/>
                <w:b w:val="1"/>
                <w:bCs w:val="1"/>
                <w:color w:val="auto"/>
              </w:rPr>
              <w:t>Six Months Ended</w:t>
            </w:r>
          </w:p>
        </w:tc>
      </w:tr>
      <w:tr>
        <w:trPr>
          <w:trHeight w:val="192"/>
        </w:trPr>
        <w:tc>
          <w:tcPr>
            <w:tcW w:w="76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7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2"/>
              </w:rPr>
              <w:t>June 30, 2018</w:t>
            </w:r>
          </w:p>
        </w:tc>
        <w:tc>
          <w:tcPr>
            <w:tcW w:w="220" w:type="dxa"/>
            <w:vAlign w:val="bottom"/>
          </w:tcPr>
          <w:p>
            <w:pPr>
              <w:spacing w:after="0"/>
              <w:rPr>
                <w:sz w:val="16"/>
                <w:szCs w:val="16"/>
                <w:color w:val="auto"/>
              </w:rPr>
            </w:pPr>
          </w:p>
        </w:tc>
        <w:tc>
          <w:tcPr>
            <w:tcW w:w="1600" w:type="dxa"/>
            <w:vAlign w:val="bottom"/>
          </w:tcPr>
          <w:p>
            <w:pPr>
              <w:jc w:val="right"/>
              <w:ind w:right="416"/>
              <w:spacing w:after="0"/>
              <w:rPr>
                <w:sz w:val="20"/>
                <w:szCs w:val="20"/>
                <w:color w:val="auto"/>
              </w:rPr>
            </w:pPr>
            <w:r>
              <w:rPr>
                <w:rFonts w:ascii="Arial" w:cs="Arial" w:eastAsia="Arial" w:hAnsi="Arial"/>
                <w:sz w:val="14"/>
                <w:szCs w:val="14"/>
                <w:b w:val="1"/>
                <w:bCs w:val="1"/>
                <w:color w:val="auto"/>
              </w:rPr>
              <w:t>June 30, 2018</w:t>
            </w:r>
          </w:p>
        </w:tc>
      </w:tr>
      <w:tr>
        <w:trPr>
          <w:trHeight w:val="250"/>
        </w:trPr>
        <w:tc>
          <w:tcPr>
            <w:tcW w:w="76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Facilities segment revenues from contracts with customers</w:t>
            </w: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62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160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7660" w:type="dxa"/>
            <w:vAlign w:val="bottom"/>
          </w:tcPr>
          <w:p>
            <w:pPr>
              <w:ind w:left="180"/>
              <w:spacing w:after="0"/>
              <w:rPr>
                <w:sz w:val="20"/>
                <w:szCs w:val="20"/>
                <w:color w:val="auto"/>
              </w:rPr>
            </w:pPr>
            <w:r>
              <w:rPr>
                <w:rFonts w:ascii="Arial" w:cs="Arial" w:eastAsia="Arial" w:hAnsi="Arial"/>
                <w:sz w:val="18"/>
                <w:szCs w:val="18"/>
                <w:color w:val="auto"/>
              </w:rPr>
              <w:t>Crude oil, NGL and other terminalling and storage</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Pr>
          <w:p>
            <w:pPr>
              <w:jc w:val="right"/>
              <w:ind w:right="16"/>
              <w:spacing w:after="0"/>
              <w:rPr>
                <w:sz w:val="20"/>
                <w:szCs w:val="20"/>
                <w:color w:val="auto"/>
              </w:rPr>
            </w:pPr>
            <w:r>
              <w:rPr>
                <w:rFonts w:ascii="Arial" w:cs="Arial" w:eastAsia="Arial" w:hAnsi="Arial"/>
                <w:sz w:val="18"/>
                <w:szCs w:val="18"/>
                <w:color w:val="auto"/>
              </w:rPr>
              <w:t>171</w:t>
            </w:r>
          </w:p>
        </w:tc>
        <w:tc>
          <w:tcPr>
            <w:tcW w:w="1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600" w:type="dxa"/>
            <w:vAlign w:val="bottom"/>
          </w:tcPr>
          <w:p>
            <w:pPr>
              <w:jc w:val="right"/>
              <w:ind w:right="16"/>
              <w:spacing w:after="0"/>
              <w:rPr>
                <w:sz w:val="20"/>
                <w:szCs w:val="20"/>
                <w:color w:val="auto"/>
              </w:rPr>
            </w:pPr>
            <w:r>
              <w:rPr>
                <w:rFonts w:ascii="Arial" w:cs="Arial" w:eastAsia="Arial" w:hAnsi="Arial"/>
                <w:sz w:val="18"/>
                <w:szCs w:val="18"/>
                <w:color w:val="auto"/>
              </w:rPr>
              <w:t>337</w:t>
            </w:r>
          </w:p>
        </w:tc>
      </w:tr>
      <w:tr>
        <w:trPr>
          <w:trHeight w:val="27"/>
        </w:trPr>
        <w:tc>
          <w:tcPr>
            <w:tcW w:w="7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NGL and natural gas processing and fractionation</w:t>
            </w:r>
          </w:p>
        </w:tc>
        <w:tc>
          <w:tcPr>
            <w:tcW w:w="2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91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191</w:t>
            </w:r>
          </w:p>
        </w:tc>
      </w:tr>
      <w:tr>
        <w:trPr>
          <w:trHeight w:val="243"/>
        </w:trPr>
        <w:tc>
          <w:tcPr>
            <w:tcW w:w="7660" w:type="dxa"/>
            <w:vAlign w:val="bottom"/>
          </w:tcPr>
          <w:p>
            <w:pPr>
              <w:ind w:left="180"/>
              <w:spacing w:after="0"/>
              <w:rPr>
                <w:sz w:val="20"/>
                <w:szCs w:val="20"/>
                <w:color w:val="auto"/>
              </w:rPr>
            </w:pPr>
            <w:r>
              <w:rPr>
                <w:rFonts w:ascii="Arial" w:cs="Arial" w:eastAsia="Arial" w:hAnsi="Arial"/>
                <w:sz w:val="18"/>
                <w:szCs w:val="18"/>
                <w:color w:val="auto"/>
              </w:rPr>
              <w:t>Rail load / unload</w:t>
            </w:r>
          </w:p>
        </w:tc>
        <w:tc>
          <w:tcPr>
            <w:tcW w:w="200" w:type="dxa"/>
            <w:vAlign w:val="bottom"/>
          </w:tcPr>
          <w:p>
            <w:pPr>
              <w:spacing w:after="0"/>
              <w:rPr>
                <w:sz w:val="21"/>
                <w:szCs w:val="21"/>
                <w:color w:val="auto"/>
              </w:rPr>
            </w:pPr>
          </w:p>
        </w:tc>
        <w:tc>
          <w:tcPr>
            <w:tcW w:w="1620" w:type="dxa"/>
            <w:vAlign w:val="bottom"/>
          </w:tcPr>
          <w:p>
            <w:pPr>
              <w:jc w:val="right"/>
              <w:ind w:right="16"/>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0" w:type="dxa"/>
            <w:vAlign w:val="bottom"/>
          </w:tcPr>
          <w:p>
            <w:pPr>
              <w:jc w:val="right"/>
              <w:ind w:right="16"/>
              <w:spacing w:after="0"/>
              <w:rPr>
                <w:sz w:val="20"/>
                <w:szCs w:val="20"/>
                <w:color w:val="auto"/>
              </w:rPr>
            </w:pPr>
            <w:r>
              <w:rPr>
                <w:rFonts w:ascii="Arial" w:cs="Arial" w:eastAsia="Arial" w:hAnsi="Arial"/>
                <w:sz w:val="18"/>
                <w:szCs w:val="18"/>
                <w:color w:val="auto"/>
              </w:rPr>
              <w:t>32</w:t>
            </w:r>
          </w:p>
        </w:tc>
      </w:tr>
      <w:tr>
        <w:trPr>
          <w:trHeight w:val="27"/>
        </w:trPr>
        <w:tc>
          <w:tcPr>
            <w:tcW w:w="76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257"/>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Facilities segment revenues from contracts with customers</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278</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560</w:t>
            </w:r>
          </w:p>
        </w:tc>
      </w:tr>
      <w:tr>
        <w:trPr>
          <w:trHeight w:val="20"/>
        </w:trPr>
        <w:tc>
          <w:tcPr>
            <w:tcW w:w="76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Our Facilities segment operations generally consist of fee-based activities associated with providing storage, terminalling and throughput services primarily for crude oil, NGL and natural gas, as well as NGL fractionation and isomerization services and natural gas and condensate processing services. Revenues generated in this segment include (i) fees that are generated from storage capacity agreements, (ii) terminal throughput fees that are generated when we receive liquids from one connecting source and deliver the applicable product to another connecting carrier, (iii) fees from NGL fractionation and isomerization services, (iv) fees from natural gas and condensate processing services, (v) fees associated with natural gas park and loan activities, interruptible storage services and wheeling and balancing services (“natural gas storage related activities”) and (vi) loading and unloading fees at our rail terminals.</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125" w:right="23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20" w:firstLine="648"/>
        <w:spacing w:after="0" w:line="293" w:lineRule="auto"/>
        <w:rPr>
          <w:sz w:val="20"/>
          <w:szCs w:val="20"/>
          <w:color w:val="auto"/>
        </w:rPr>
      </w:pPr>
      <w:r>
        <w:rPr>
          <w:rFonts w:ascii="Arial" w:cs="Arial" w:eastAsia="Arial" w:hAnsi="Arial"/>
          <w:sz w:val="16"/>
          <w:szCs w:val="16"/>
          <w:color w:val="auto"/>
        </w:rPr>
        <w:t>We generate revenue through a combination of month-to-month and multi-year agreements and processing arrangements. Storage fees are typically recognized in revenue ratably over the term of the contract regardless of the actual storage capacity utilized as our performance obligation is to make available storage capacity for a period of time. Terminal fees (including throughput and rail fees) are recognized as the liquids enter or exit the terminal and are received from or delivered to the connecting carrier or third-party terminal, as applicable. Fees from NGL fractionation and isomerization services and gas processing services are recognized in the period when the services are performed. Natural gas storage related activities fees are recognized in the period the natural gas moves across our header system. We recognize rail loading and unloading fees when the volumes are delivered or received.</w:t>
      </w:r>
    </w:p>
    <w:p>
      <w:pPr>
        <w:spacing w:after="0" w:line="165" w:lineRule="exact"/>
        <w:rPr>
          <w:sz w:val="20"/>
          <w:szCs w:val="20"/>
          <w:color w:val="auto"/>
        </w:rPr>
      </w:pPr>
    </w:p>
    <w:p>
      <w:pPr>
        <w:ind w:right="160" w:firstLine="648"/>
        <w:spacing w:after="0" w:line="257" w:lineRule="auto"/>
        <w:rPr>
          <w:sz w:val="20"/>
          <w:szCs w:val="20"/>
          <w:color w:val="auto"/>
        </w:rPr>
      </w:pPr>
      <w:r>
        <w:rPr>
          <w:rFonts w:ascii="Arial" w:cs="Arial" w:eastAsia="Arial" w:hAnsi="Arial"/>
          <w:sz w:val="18"/>
          <w:szCs w:val="18"/>
          <w:i w:val="1"/>
          <w:iCs w:val="1"/>
          <w:color w:val="auto"/>
        </w:rPr>
        <w:t xml:space="preserve">Reconciliation to Total Revenues of Reportable Segments. </w:t>
      </w:r>
      <w:r>
        <w:rPr>
          <w:rFonts w:ascii="Arial" w:cs="Arial" w:eastAsia="Arial" w:hAnsi="Arial"/>
          <w:sz w:val="18"/>
          <w:szCs w:val="18"/>
          <w:color w:val="auto"/>
        </w:rPr>
        <w:t>Topic 606 requires us to provide information about the relationship between the</w:t>
      </w:r>
      <w:r>
        <w:rPr>
          <w:rFonts w:ascii="Arial" w:cs="Arial" w:eastAsia="Arial" w:hAnsi="Arial"/>
          <w:sz w:val="18"/>
          <w:szCs w:val="18"/>
          <w:i w:val="1"/>
          <w:iCs w:val="1"/>
          <w:color w:val="auto"/>
        </w:rPr>
        <w:t xml:space="preserve"> </w:t>
      </w:r>
      <w:r>
        <w:rPr>
          <w:rFonts w:ascii="Arial" w:cs="Arial" w:eastAsia="Arial" w:hAnsi="Arial"/>
          <w:sz w:val="18"/>
          <w:szCs w:val="18"/>
          <w:color w:val="auto"/>
        </w:rPr>
        <w:t>disaggregated revenues presented above and segment revenues. These disclosures only include information regarding revenues associated with consolidated entities, and revenues from entities accounted for by the equity method are not included in the disclosures. The following table presents the reconciliation of our revenues from contracts with customers (as described above for each segment) to segment revenues and total revenues as disclosed in our Condensed Consolidated Statement of Operations (in millions):</w:t>
      </w:r>
    </w:p>
    <w:p>
      <w:pPr>
        <w:spacing w:after="0" w:line="3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Three Months Ended June 30, 2018</w:t>
            </w:r>
          </w:p>
        </w:tc>
        <w:tc>
          <w:tcPr>
            <w:tcW w:w="120" w:type="dxa"/>
            <w:vAlign w:val="bottom"/>
            <w:vMerge w:val="restart"/>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Transportation</w:t>
            </w:r>
          </w:p>
        </w:tc>
        <w:tc>
          <w:tcPr>
            <w:tcW w:w="120" w:type="dxa"/>
            <w:vAlign w:val="bottom"/>
            <w:gridSpan w:val="2"/>
            <w:vMerge w:val="restart"/>
          </w:tcPr>
          <w:p>
            <w:pPr>
              <w:spacing w:after="0"/>
              <w:rPr>
                <w:sz w:val="14"/>
                <w:szCs w:val="14"/>
                <w:color w:val="auto"/>
              </w:rPr>
            </w:pPr>
          </w:p>
        </w:tc>
        <w:tc>
          <w:tcPr>
            <w:tcW w:w="240" w:type="dxa"/>
            <w:vAlign w:val="bottom"/>
          </w:tcPr>
          <w:p>
            <w:pPr>
              <w:spacing w:after="0"/>
              <w:rPr>
                <w:sz w:val="14"/>
                <w:szCs w:val="14"/>
                <w:color w:val="auto"/>
              </w:rPr>
            </w:pPr>
          </w:p>
        </w:tc>
        <w:tc>
          <w:tcPr>
            <w:tcW w:w="112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Facilities</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gridSpan w:val="4"/>
          </w:tcPr>
          <w:p>
            <w:pPr>
              <w:jc w:val="center"/>
              <w:ind w:right="320"/>
              <w:spacing w:after="0"/>
              <w:rPr>
                <w:sz w:val="20"/>
                <w:szCs w:val="20"/>
                <w:color w:val="auto"/>
              </w:rPr>
            </w:pPr>
            <w:r>
              <w:rPr>
                <w:rFonts w:ascii="Arial" w:cs="Arial" w:eastAsia="Arial" w:hAnsi="Arial"/>
                <w:sz w:val="14"/>
                <w:szCs w:val="14"/>
                <w:b w:val="1"/>
                <w:bCs w:val="1"/>
                <w:color w:val="auto"/>
                <w:w w:val="92"/>
              </w:rPr>
              <w:t>Supply and</w:t>
            </w:r>
          </w:p>
        </w:tc>
        <w:tc>
          <w:tcPr>
            <w:tcW w:w="300" w:type="dxa"/>
            <w:vAlign w:val="bottom"/>
          </w:tcPr>
          <w:p>
            <w:pPr>
              <w:spacing w:after="0"/>
              <w:rPr>
                <w:sz w:val="14"/>
                <w:szCs w:val="14"/>
                <w:color w:val="auto"/>
              </w:rPr>
            </w:pPr>
          </w:p>
        </w:tc>
        <w:tc>
          <w:tcPr>
            <w:tcW w:w="106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5500" w:type="dxa"/>
            <w:vAlign w:val="bottom"/>
            <w:tcBorders>
              <w:bottom w:val="single" w:sz="8" w:color="auto"/>
            </w:tcBorders>
            <w:gridSpan w:val="2"/>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vMerge w:val="continue"/>
          </w:tcPr>
          <w:p>
            <w:pPr>
              <w:spacing w:after="0"/>
              <w:rPr>
                <w:sz w:val="16"/>
                <w:szCs w:val="16"/>
                <w:color w:val="auto"/>
              </w:rPr>
            </w:pPr>
          </w:p>
        </w:tc>
        <w:tc>
          <w:tcPr>
            <w:tcW w:w="120" w:type="dxa"/>
            <w:vAlign w:val="bottom"/>
            <w:tcBorders>
              <w:bottom w:val="single" w:sz="8" w:color="CCEEFF"/>
            </w:tcBorders>
            <w:gridSpan w:val="2"/>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2"/>
            <w:vMerge w:val="continue"/>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gridSpan w:val="2"/>
          </w:tcPr>
          <w:p>
            <w:pPr>
              <w:jc w:val="center"/>
              <w:ind w:right="200"/>
              <w:spacing w:after="0"/>
              <w:rPr>
                <w:sz w:val="20"/>
                <w:szCs w:val="20"/>
                <w:color w:val="auto"/>
              </w:rPr>
            </w:pPr>
            <w:r>
              <w:rPr>
                <w:rFonts w:ascii="Arial" w:cs="Arial" w:eastAsia="Arial" w:hAnsi="Arial"/>
                <w:sz w:val="14"/>
                <w:szCs w:val="14"/>
                <w:b w:val="1"/>
                <w:bCs w:val="1"/>
                <w:color w:val="auto"/>
                <w:w w:val="87"/>
              </w:rPr>
              <w:t>Logistics</w:t>
            </w:r>
          </w:p>
        </w:tc>
        <w:tc>
          <w:tcPr>
            <w:tcW w:w="120" w:type="dxa"/>
            <w:vAlign w:val="bottom"/>
            <w:tcBorders>
              <w:bottom w:val="single" w:sz="8" w:color="CCEEFF"/>
            </w:tcBorders>
            <w:gridSpan w:val="2"/>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56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Revenues from contracts with customers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470</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278</w:t>
            </w:r>
          </w:p>
        </w:tc>
        <w:tc>
          <w:tcPr>
            <w:tcW w:w="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8,124</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7"/>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8,872</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620" w:type="dxa"/>
            <w:vAlign w:val="bottom"/>
            <w:gridSpan w:val="3"/>
          </w:tcPr>
          <w:p>
            <w:pPr>
              <w:ind w:left="40"/>
              <w:spacing w:after="0"/>
              <w:rPr>
                <w:sz w:val="20"/>
                <w:szCs w:val="20"/>
                <w:color w:val="auto"/>
              </w:rPr>
            </w:pPr>
            <w:r>
              <w:rPr>
                <w:rFonts w:ascii="Arial" w:cs="Arial" w:eastAsia="Arial" w:hAnsi="Arial"/>
                <w:sz w:val="18"/>
                <w:szCs w:val="18"/>
                <w:color w:val="auto"/>
              </w:rPr>
              <w:t>Other items in revenues</w:t>
            </w: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(343)</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(332)</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54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0" w:type="dxa"/>
            <w:vAlign w:val="bottom"/>
            <w:tcBorders>
              <w:bottom w:val="single" w:sz="8" w:color="CCEEFF"/>
            </w:tcBorders>
            <w:shd w:val="clear" w:color="auto" w:fill="CCEEFF"/>
          </w:tcPr>
          <w:p>
            <w:pPr>
              <w:spacing w:after="0"/>
              <w:rPr>
                <w:sz w:val="22"/>
                <w:szCs w:val="22"/>
                <w:color w:val="auto"/>
              </w:rPr>
            </w:pPr>
          </w:p>
        </w:tc>
        <w:tc>
          <w:tcPr>
            <w:tcW w:w="558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Total revenues of reportable segments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475</w:t>
            </w: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284</w:t>
            </w:r>
          </w:p>
        </w:tc>
        <w:tc>
          <w:tcPr>
            <w:tcW w:w="4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7,781</w:t>
            </w: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7"/>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8,540</w:t>
            </w:r>
          </w:p>
        </w:tc>
        <w:tc>
          <w:tcPr>
            <w:tcW w:w="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5620" w:type="dxa"/>
            <w:vAlign w:val="bottom"/>
            <w:gridSpan w:val="3"/>
          </w:tcPr>
          <w:p>
            <w:pPr>
              <w:ind w:left="40"/>
              <w:spacing w:after="0"/>
              <w:rPr>
                <w:sz w:val="20"/>
                <w:szCs w:val="20"/>
                <w:color w:val="auto"/>
              </w:rPr>
            </w:pPr>
            <w:r>
              <w:rPr>
                <w:rFonts w:ascii="Arial" w:cs="Arial" w:eastAsia="Arial" w:hAnsi="Arial"/>
                <w:sz w:val="18"/>
                <w:szCs w:val="18"/>
                <w:color w:val="auto"/>
              </w:rPr>
              <w:t>Intersegment revenues</w:t>
            </w: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(460)</w:t>
            </w:r>
          </w:p>
        </w:tc>
        <w:tc>
          <w:tcPr>
            <w:tcW w:w="2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54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0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12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0" w:type="dxa"/>
            <w:vAlign w:val="bottom"/>
            <w:tcBorders>
              <w:bottom w:val="single" w:sz="8" w:color="CCEEFF"/>
            </w:tcBorders>
            <w:shd w:val="clear" w:color="auto" w:fill="CCEEFF"/>
          </w:tcPr>
          <w:p>
            <w:pPr>
              <w:spacing w:after="0"/>
              <w:rPr>
                <w:sz w:val="22"/>
                <w:szCs w:val="22"/>
                <w:color w:val="auto"/>
              </w:rPr>
            </w:pPr>
          </w:p>
        </w:tc>
        <w:tc>
          <w:tcPr>
            <w:tcW w:w="558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Total revenues</w:t>
            </w:r>
          </w:p>
        </w:tc>
        <w:tc>
          <w:tcPr>
            <w:tcW w:w="1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7"/>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8,080</w:t>
            </w:r>
          </w:p>
        </w:tc>
        <w:tc>
          <w:tcPr>
            <w:tcW w:w="20" w:type="dxa"/>
            <w:vAlign w:val="bottom"/>
            <w:tcBorders>
              <w:bottom w:val="single" w:sz="8" w:color="auto"/>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5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60" w:type="dxa"/>
            <w:vAlign w:val="bottom"/>
            <w:gridSpan w:val="4"/>
            <w:vMerge w:val="restart"/>
          </w:tcPr>
          <w:p>
            <w:pPr>
              <w:ind w:left="80"/>
              <w:spacing w:after="0"/>
              <w:rPr>
                <w:sz w:val="20"/>
                <w:szCs w:val="20"/>
                <w:color w:val="auto"/>
              </w:rPr>
            </w:pPr>
            <w:r>
              <w:rPr>
                <w:rFonts w:ascii="Arial" w:cs="Arial" w:eastAsia="Arial" w:hAnsi="Arial"/>
                <w:sz w:val="14"/>
                <w:szCs w:val="14"/>
                <w:b w:val="1"/>
                <w:bCs w:val="1"/>
                <w:color w:val="auto"/>
              </w:rPr>
              <w:t>Supply and</w:t>
            </w: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5"/>
        </w:trPr>
        <w:tc>
          <w:tcPr>
            <w:tcW w:w="40" w:type="dxa"/>
            <w:vAlign w:val="bottom"/>
          </w:tcPr>
          <w:p>
            <w:pPr>
              <w:spacing w:after="0"/>
              <w:rPr>
                <w:sz w:val="23"/>
                <w:szCs w:val="23"/>
                <w:color w:val="auto"/>
              </w:rPr>
            </w:pPr>
          </w:p>
        </w:tc>
        <w:tc>
          <w:tcPr>
            <w:tcW w:w="54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Six Months Ended June 30, 2018</w:t>
            </w:r>
          </w:p>
        </w:tc>
        <w:tc>
          <w:tcPr>
            <w:tcW w:w="120" w:type="dxa"/>
            <w:vAlign w:val="bottom"/>
            <w:vMerge w:val="restart"/>
          </w:tcPr>
          <w:p>
            <w:pPr>
              <w:spacing w:after="0"/>
              <w:rPr>
                <w:sz w:val="23"/>
                <w:szCs w:val="23"/>
                <w:color w:val="auto"/>
              </w:rPr>
            </w:pPr>
          </w:p>
        </w:tc>
        <w:tc>
          <w:tcPr>
            <w:tcW w:w="160" w:type="dxa"/>
            <w:vAlign w:val="bottom"/>
          </w:tcPr>
          <w:p>
            <w:pPr>
              <w:spacing w:after="0"/>
              <w:rPr>
                <w:sz w:val="23"/>
                <w:szCs w:val="23"/>
                <w:color w:val="auto"/>
              </w:rPr>
            </w:pPr>
          </w:p>
        </w:tc>
        <w:tc>
          <w:tcPr>
            <w:tcW w:w="1200" w:type="dxa"/>
            <w:vAlign w:val="bottom"/>
            <w:vMerge w:val="restart"/>
          </w:tcPr>
          <w:p>
            <w:pPr>
              <w:jc w:val="right"/>
              <w:ind w:right="134"/>
              <w:spacing w:after="0"/>
              <w:rPr>
                <w:sz w:val="20"/>
                <w:szCs w:val="20"/>
                <w:color w:val="auto"/>
              </w:rPr>
            </w:pPr>
            <w:r>
              <w:rPr>
                <w:rFonts w:ascii="Arial" w:cs="Arial" w:eastAsia="Arial" w:hAnsi="Arial"/>
                <w:sz w:val="14"/>
                <w:szCs w:val="14"/>
                <w:b w:val="1"/>
                <w:bCs w:val="1"/>
                <w:color w:val="auto"/>
                <w:w w:val="97"/>
              </w:rPr>
              <w:t>Transportation</w:t>
            </w:r>
          </w:p>
        </w:tc>
        <w:tc>
          <w:tcPr>
            <w:tcW w:w="100" w:type="dxa"/>
            <w:vAlign w:val="bottom"/>
            <w:gridSpan w:val="2"/>
            <w:vMerge w:val="restart"/>
          </w:tcPr>
          <w:p>
            <w:pPr>
              <w:spacing w:after="0"/>
              <w:rPr>
                <w:sz w:val="23"/>
                <w:szCs w:val="23"/>
                <w:color w:val="auto"/>
              </w:rPr>
            </w:pPr>
          </w:p>
        </w:tc>
        <w:tc>
          <w:tcPr>
            <w:tcW w:w="40" w:type="dxa"/>
            <w:vAlign w:val="bottom"/>
            <w:vMerge w:val="restart"/>
          </w:tcPr>
          <w:p>
            <w:pPr>
              <w:spacing w:after="0"/>
              <w:rPr>
                <w:sz w:val="23"/>
                <w:szCs w:val="23"/>
                <w:color w:val="auto"/>
              </w:rPr>
            </w:pPr>
          </w:p>
        </w:tc>
        <w:tc>
          <w:tcPr>
            <w:tcW w:w="240" w:type="dxa"/>
            <w:vAlign w:val="bottom"/>
          </w:tcPr>
          <w:p>
            <w:pPr>
              <w:spacing w:after="0"/>
              <w:rPr>
                <w:sz w:val="23"/>
                <w:szCs w:val="23"/>
                <w:color w:val="auto"/>
              </w:rPr>
            </w:pPr>
          </w:p>
        </w:tc>
        <w:tc>
          <w:tcPr>
            <w:tcW w:w="1080" w:type="dxa"/>
            <w:vAlign w:val="bottom"/>
            <w:vMerge w:val="restart"/>
          </w:tcPr>
          <w:p>
            <w:pPr>
              <w:jc w:val="right"/>
              <w:ind w:right="314"/>
              <w:spacing w:after="0"/>
              <w:rPr>
                <w:sz w:val="20"/>
                <w:szCs w:val="20"/>
                <w:color w:val="auto"/>
              </w:rPr>
            </w:pPr>
            <w:r>
              <w:rPr>
                <w:rFonts w:ascii="Arial" w:cs="Arial" w:eastAsia="Arial" w:hAnsi="Arial"/>
                <w:sz w:val="14"/>
                <w:szCs w:val="14"/>
                <w:b w:val="1"/>
                <w:bCs w:val="1"/>
                <w:color w:val="auto"/>
              </w:rPr>
              <w:t>Facilities</w:t>
            </w:r>
          </w:p>
        </w:tc>
        <w:tc>
          <w:tcPr>
            <w:tcW w:w="40" w:type="dxa"/>
            <w:vAlign w:val="bottom"/>
            <w:vMerge w:val="restart"/>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60" w:type="dxa"/>
            <w:vAlign w:val="bottom"/>
            <w:gridSpan w:val="4"/>
            <w:vMerge w:val="continue"/>
          </w:tcPr>
          <w:p>
            <w:pPr>
              <w:spacing w:after="0"/>
              <w:rPr>
                <w:sz w:val="23"/>
                <w:szCs w:val="23"/>
                <w:color w:val="auto"/>
              </w:rPr>
            </w:pPr>
          </w:p>
        </w:tc>
        <w:tc>
          <w:tcPr>
            <w:tcW w:w="300" w:type="dxa"/>
            <w:vAlign w:val="bottom"/>
          </w:tcPr>
          <w:p>
            <w:pPr>
              <w:spacing w:after="0"/>
              <w:rPr>
                <w:sz w:val="23"/>
                <w:szCs w:val="23"/>
                <w:color w:val="auto"/>
              </w:rPr>
            </w:pPr>
          </w:p>
        </w:tc>
        <w:tc>
          <w:tcPr>
            <w:tcW w:w="1040" w:type="dxa"/>
            <w:vAlign w:val="bottom"/>
            <w:vMerge w:val="restart"/>
          </w:tcPr>
          <w:p>
            <w:pPr>
              <w:jc w:val="right"/>
              <w:ind w:right="453"/>
              <w:spacing w:after="0"/>
              <w:rPr>
                <w:sz w:val="20"/>
                <w:szCs w:val="20"/>
                <w:color w:val="auto"/>
              </w:rPr>
            </w:pPr>
            <w:r>
              <w:rPr>
                <w:rFonts w:ascii="Arial" w:cs="Arial" w:eastAsia="Arial" w:hAnsi="Arial"/>
                <w:sz w:val="14"/>
                <w:szCs w:val="14"/>
                <w:b w:val="1"/>
                <w:bCs w:val="1"/>
                <w:color w:val="auto"/>
              </w:rPr>
              <w:t>Total</w:t>
            </w:r>
          </w:p>
        </w:tc>
        <w:tc>
          <w:tcPr>
            <w:tcW w:w="20" w:type="dxa"/>
            <w:vAlign w:val="bottom"/>
            <w:vMerge w:val="restart"/>
          </w:tcPr>
          <w:p>
            <w:pPr>
              <w:spacing w:after="0"/>
              <w:rPr>
                <w:sz w:val="23"/>
                <w:szCs w:val="23"/>
                <w:color w:val="auto"/>
              </w:rPr>
            </w:pP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54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gridSpan w:val="2"/>
            <w:vMerge w:val="continue"/>
          </w:tcPr>
          <w:p>
            <w:pPr>
              <w:spacing w:after="0"/>
              <w:rPr>
                <w:sz w:val="16"/>
                <w:szCs w:val="16"/>
                <w:color w:val="auto"/>
              </w:rPr>
            </w:pPr>
          </w:p>
        </w:tc>
        <w:tc>
          <w:tcPr>
            <w:tcW w:w="40" w:type="dxa"/>
            <w:vAlign w:val="bottom"/>
            <w:tcBorders>
              <w:bottom w:val="single" w:sz="8" w:color="auto"/>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40" w:type="dxa"/>
            <w:vAlign w:val="bottom"/>
            <w:tcBorders>
              <w:bottom w:val="single" w:sz="8" w:color="CCEEFF"/>
            </w:tcBorders>
            <w:vMerge w:val="continue"/>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317"/>
              <w:spacing w:after="0"/>
              <w:rPr>
                <w:sz w:val="20"/>
                <w:szCs w:val="20"/>
                <w:color w:val="auto"/>
              </w:rPr>
            </w:pPr>
            <w:r>
              <w:rPr>
                <w:rFonts w:ascii="Arial" w:cs="Arial" w:eastAsia="Arial" w:hAnsi="Arial"/>
                <w:sz w:val="14"/>
                <w:szCs w:val="14"/>
                <w:b w:val="1"/>
                <w:bCs w:val="1"/>
                <w:color w:val="auto"/>
              </w:rPr>
              <w:t>Logistics</w:t>
            </w:r>
          </w:p>
        </w:tc>
        <w:tc>
          <w:tcPr>
            <w:tcW w:w="100" w:type="dxa"/>
            <w:vAlign w:val="bottom"/>
            <w:tcBorders>
              <w:bottom w:val="single" w:sz="8" w:color="CCEEFF"/>
            </w:tcBorders>
            <w:gridSpan w:val="2"/>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0" w:type="dxa"/>
            <w:vAlign w:val="bottom"/>
          </w:tcPr>
          <w:p>
            <w:pPr>
              <w:spacing w:after="0"/>
              <w:rPr>
                <w:sz w:val="21"/>
                <w:szCs w:val="21"/>
                <w:color w:val="auto"/>
              </w:rPr>
            </w:pPr>
          </w:p>
        </w:tc>
        <w:tc>
          <w:tcPr>
            <w:tcW w:w="55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Revenues from contracts with customers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920</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560</w:t>
            </w:r>
          </w:p>
        </w:tc>
        <w:tc>
          <w:tcPr>
            <w:tcW w:w="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16,298</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37"/>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17,778</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5580" w:type="dxa"/>
            <w:vAlign w:val="bottom"/>
            <w:gridSpan w:val="2"/>
          </w:tcPr>
          <w:p>
            <w:pPr>
              <w:ind w:left="20"/>
              <w:spacing w:after="0"/>
              <w:rPr>
                <w:sz w:val="20"/>
                <w:szCs w:val="20"/>
                <w:color w:val="auto"/>
              </w:rPr>
            </w:pPr>
            <w:r>
              <w:rPr>
                <w:rFonts w:ascii="Arial" w:cs="Arial" w:eastAsia="Arial" w:hAnsi="Arial"/>
                <w:sz w:val="18"/>
                <w:szCs w:val="18"/>
                <w:color w:val="auto"/>
              </w:rPr>
              <w:t>Other items in revenues</w:t>
            </w:r>
          </w:p>
        </w:tc>
        <w:tc>
          <w:tcPr>
            <w:tcW w:w="160" w:type="dxa"/>
            <w:vAlign w:val="bottom"/>
          </w:tcPr>
          <w:p>
            <w:pPr>
              <w:spacing w:after="0"/>
              <w:rPr>
                <w:sz w:val="21"/>
                <w:szCs w:val="21"/>
                <w:color w:val="auto"/>
              </w:rPr>
            </w:pPr>
          </w:p>
        </w:tc>
        <w:tc>
          <w:tcPr>
            <w:tcW w:w="1200" w:type="dxa"/>
            <w:vAlign w:val="bottom"/>
          </w:tcPr>
          <w:p>
            <w:pPr>
              <w:jc w:val="right"/>
              <w:ind w:right="34"/>
              <w:spacing w:after="0"/>
              <w:rPr>
                <w:sz w:val="20"/>
                <w:szCs w:val="20"/>
                <w:color w:val="auto"/>
              </w:rPr>
            </w:pPr>
            <w:r>
              <w:rPr>
                <w:rFonts w:ascii="Arial" w:cs="Arial" w:eastAsia="Arial" w:hAnsi="Arial"/>
                <w:sz w:val="18"/>
                <w:szCs w:val="18"/>
                <w:color w:val="auto"/>
              </w:rPr>
              <w:t>9</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80" w:type="dxa"/>
            <w:vAlign w:val="bottom"/>
          </w:tcPr>
          <w:p>
            <w:pPr>
              <w:jc w:val="right"/>
              <w:ind w:right="14"/>
              <w:spacing w:after="0"/>
              <w:rPr>
                <w:sz w:val="20"/>
                <w:szCs w:val="20"/>
                <w:color w:val="auto"/>
              </w:rPr>
            </w:pPr>
            <w:r>
              <w:rPr>
                <w:rFonts w:ascii="Arial" w:cs="Arial" w:eastAsia="Arial" w:hAnsi="Arial"/>
                <w:sz w:val="18"/>
                <w:szCs w:val="18"/>
                <w:color w:val="auto"/>
              </w:rPr>
              <w:t>16</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(405)</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(380)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5580" w:type="dxa"/>
            <w:vAlign w:val="bottom"/>
            <w:tcBorders>
              <w:bottom w:val="single" w:sz="8" w:color="CCEEFF"/>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gridSpan w:val="2"/>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558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Total revenues of reportable segments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929</w:t>
            </w: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576</w:t>
            </w:r>
          </w:p>
        </w:tc>
        <w:tc>
          <w:tcPr>
            <w:tcW w:w="4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15,893</w:t>
            </w: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137"/>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17,398</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5580" w:type="dxa"/>
            <w:vAlign w:val="bottom"/>
            <w:gridSpan w:val="2"/>
          </w:tcPr>
          <w:p>
            <w:pPr>
              <w:ind w:left="20"/>
              <w:spacing w:after="0"/>
              <w:rPr>
                <w:sz w:val="20"/>
                <w:szCs w:val="20"/>
                <w:color w:val="auto"/>
              </w:rPr>
            </w:pPr>
            <w:r>
              <w:rPr>
                <w:rFonts w:ascii="Arial" w:cs="Arial" w:eastAsia="Arial" w:hAnsi="Arial"/>
                <w:sz w:val="18"/>
                <w:szCs w:val="18"/>
                <w:color w:val="auto"/>
              </w:rPr>
              <w:t>Intersegment revenues</w:t>
            </w: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(920)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5580" w:type="dxa"/>
            <w:vAlign w:val="bottom"/>
            <w:tcBorders>
              <w:bottom w:val="single" w:sz="8" w:color="CCEEFF"/>
            </w:tcBorders>
            <w:gridSpan w:val="2"/>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0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12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0" w:type="dxa"/>
            <w:vAlign w:val="bottom"/>
          </w:tcPr>
          <w:p>
            <w:pPr>
              <w:spacing w:after="0"/>
              <w:rPr>
                <w:sz w:val="22"/>
                <w:szCs w:val="22"/>
                <w:color w:val="auto"/>
              </w:rPr>
            </w:pPr>
          </w:p>
        </w:tc>
        <w:tc>
          <w:tcPr>
            <w:tcW w:w="558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Total revenues</w:t>
            </w:r>
          </w:p>
        </w:tc>
        <w:tc>
          <w:tcPr>
            <w:tcW w:w="1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auto"/>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137"/>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16,478</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5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i w:val="1"/>
          <w:iCs w:val="1"/>
          <w:color w:val="auto"/>
        </w:rPr>
        <w:t xml:space="preserve">Trade Accounts Receivable and Other Receivables. </w:t>
      </w:r>
      <w:r>
        <w:rPr>
          <w:rFonts w:ascii="Arial" w:cs="Arial" w:eastAsia="Arial" w:hAnsi="Arial"/>
          <w:sz w:val="18"/>
          <w:szCs w:val="18"/>
          <w:color w:val="auto"/>
        </w:rPr>
        <w:t>We generally invoice customers in the month following that in which products or services were</w:t>
      </w:r>
      <w:r>
        <w:rPr>
          <w:rFonts w:ascii="Arial" w:cs="Arial" w:eastAsia="Arial" w:hAnsi="Arial"/>
          <w:sz w:val="18"/>
          <w:szCs w:val="18"/>
          <w:i w:val="1"/>
          <w:iCs w:val="1"/>
          <w:color w:val="auto"/>
        </w:rPr>
        <w:t xml:space="preserve"> </w:t>
      </w:r>
      <w:r>
        <w:rPr>
          <w:rFonts w:ascii="Arial" w:cs="Arial" w:eastAsia="Arial" w:hAnsi="Arial"/>
          <w:sz w:val="18"/>
          <w:szCs w:val="18"/>
          <w:color w:val="auto"/>
        </w:rPr>
        <w:t>provided and generally require payment within 30 days of the invoice date. The following is a reconciliation of trade accounts receivable from revenues from contracts with customers to total Trade accounts receivable and other receivables, net as presented on our Condensed Consolidated Balance Sheet (in millions):</w:t>
      </w:r>
    </w:p>
    <w:p>
      <w:pPr>
        <w:spacing w:after="0" w:line="328"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8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00" w:type="dxa"/>
            <w:vAlign w:val="bottom"/>
            <w:gridSpan w:val="2"/>
          </w:tcPr>
          <w:p>
            <w:pPr>
              <w:ind w:left="200"/>
              <w:spacing w:after="0"/>
              <w:rPr>
                <w:sz w:val="20"/>
                <w:szCs w:val="20"/>
                <w:color w:val="auto"/>
              </w:rPr>
            </w:pPr>
            <w:r>
              <w:rPr>
                <w:rFonts w:ascii="Arial" w:cs="Arial" w:eastAsia="Arial" w:hAnsi="Arial"/>
                <w:sz w:val="14"/>
                <w:szCs w:val="14"/>
                <w:b w:val="1"/>
                <w:bCs w:val="1"/>
                <w:color w:val="auto"/>
              </w:rPr>
              <w:t>June 30,</w:t>
            </w:r>
          </w:p>
        </w:tc>
        <w:tc>
          <w:tcPr>
            <w:tcW w:w="140" w:type="dxa"/>
            <w:vAlign w:val="bottom"/>
          </w:tcPr>
          <w:p>
            <w:pPr>
              <w:spacing w:after="0"/>
              <w:rPr>
                <w:sz w:val="14"/>
                <w:szCs w:val="14"/>
                <w:color w:val="auto"/>
              </w:rPr>
            </w:pPr>
          </w:p>
        </w:tc>
        <w:tc>
          <w:tcPr>
            <w:tcW w:w="1340" w:type="dxa"/>
            <w:vAlign w:val="bottom"/>
            <w:vMerge w:val="restart"/>
          </w:tcPr>
          <w:p>
            <w:pPr>
              <w:jc w:val="right"/>
              <w:ind w:right="74"/>
              <w:spacing w:after="0"/>
              <w:rPr>
                <w:sz w:val="20"/>
                <w:szCs w:val="20"/>
                <w:color w:val="auto"/>
              </w:rPr>
            </w:pPr>
            <w:r>
              <w:rPr>
                <w:rFonts w:ascii="Arial" w:cs="Arial" w:eastAsia="Arial" w:hAnsi="Arial"/>
                <w:sz w:val="14"/>
                <w:szCs w:val="14"/>
                <w:b w:val="1"/>
                <w:bCs w:val="1"/>
                <w:color w:val="auto"/>
                <w:w w:val="91"/>
              </w:rPr>
              <w:t>December 31, 2017</w:t>
            </w:r>
          </w:p>
        </w:tc>
        <w:tc>
          <w:tcPr>
            <w:tcW w:w="0" w:type="dxa"/>
            <w:vAlign w:val="bottom"/>
          </w:tcPr>
          <w:p>
            <w:pPr>
              <w:spacing w:after="0"/>
              <w:rPr>
                <w:sz w:val="1"/>
                <w:szCs w:val="1"/>
                <w:color w:val="auto"/>
              </w:rPr>
            </w:pPr>
          </w:p>
        </w:tc>
      </w:tr>
      <w:tr>
        <w:trPr>
          <w:trHeight w:val="192"/>
        </w:trPr>
        <w:tc>
          <w:tcPr>
            <w:tcW w:w="828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8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Trade accounts receivable arising from revenues from contracts with customers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2,721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2,584</w:t>
            </w:r>
          </w:p>
        </w:tc>
        <w:tc>
          <w:tcPr>
            <w:tcW w:w="0" w:type="dxa"/>
            <w:vAlign w:val="bottom"/>
          </w:tcPr>
          <w:p>
            <w:pPr>
              <w:spacing w:after="0"/>
              <w:rPr>
                <w:sz w:val="1"/>
                <w:szCs w:val="1"/>
                <w:color w:val="auto"/>
              </w:rPr>
            </w:pPr>
          </w:p>
        </w:tc>
      </w:tr>
      <w:tr>
        <w:trPr>
          <w:trHeight w:val="270"/>
        </w:trPr>
        <w:tc>
          <w:tcPr>
            <w:tcW w:w="8280" w:type="dxa"/>
            <w:vAlign w:val="bottom"/>
          </w:tcPr>
          <w:p>
            <w:pPr>
              <w:ind w:left="20"/>
              <w:spacing w:after="0" w:line="270" w:lineRule="exact"/>
              <w:rPr>
                <w:sz w:val="20"/>
                <w:szCs w:val="20"/>
                <w:color w:val="auto"/>
              </w:rPr>
            </w:pPr>
            <w:r>
              <w:rPr>
                <w:rFonts w:ascii="Arial" w:cs="Arial" w:eastAsia="Arial" w:hAnsi="Arial"/>
                <w:sz w:val="18"/>
                <w:szCs w:val="18"/>
                <w:color w:val="auto"/>
              </w:rPr>
              <w:t xml:space="preserve">Other trade accounts receivables and other receivables </w:t>
            </w:r>
            <w:r>
              <w:rPr>
                <w:rFonts w:ascii="Arial" w:cs="Arial" w:eastAsia="Arial" w:hAnsi="Arial"/>
                <w:sz w:val="25"/>
                <w:szCs w:val="25"/>
                <w:color w:val="auto"/>
                <w:vertAlign w:val="superscript"/>
              </w:rPr>
              <w:t>(1)</w:t>
            </w:r>
          </w:p>
        </w:tc>
        <w:tc>
          <w:tcPr>
            <w:tcW w:w="300" w:type="dxa"/>
            <w:vAlign w:val="bottom"/>
          </w:tcPr>
          <w:p>
            <w:pPr>
              <w:spacing w:after="0"/>
              <w:rPr>
                <w:sz w:val="23"/>
                <w:szCs w:val="23"/>
                <w:color w:val="auto"/>
              </w:rPr>
            </w:pPr>
          </w:p>
        </w:tc>
        <w:tc>
          <w:tcPr>
            <w:tcW w:w="1200" w:type="dxa"/>
            <w:vAlign w:val="bottom"/>
          </w:tcPr>
          <w:p>
            <w:pPr>
              <w:jc w:val="right"/>
              <w:ind w:right="36"/>
              <w:spacing w:after="0"/>
              <w:rPr>
                <w:sz w:val="20"/>
                <w:szCs w:val="20"/>
                <w:color w:val="auto"/>
              </w:rPr>
            </w:pPr>
            <w:r>
              <w:rPr>
                <w:rFonts w:ascii="Arial" w:cs="Arial" w:eastAsia="Arial" w:hAnsi="Arial"/>
                <w:sz w:val="18"/>
                <w:szCs w:val="18"/>
                <w:color w:val="auto"/>
              </w:rPr>
              <w:t>3,763</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40" w:type="dxa"/>
            <w:vAlign w:val="bottom"/>
          </w:tcPr>
          <w:p>
            <w:pPr>
              <w:jc w:val="right"/>
              <w:ind w:right="34"/>
              <w:spacing w:after="0"/>
              <w:rPr>
                <w:sz w:val="20"/>
                <w:szCs w:val="20"/>
                <w:color w:val="auto"/>
              </w:rPr>
            </w:pPr>
            <w:r>
              <w:rPr>
                <w:rFonts w:ascii="Arial" w:cs="Arial" w:eastAsia="Arial" w:hAnsi="Arial"/>
                <w:sz w:val="18"/>
                <w:szCs w:val="18"/>
                <w:color w:val="auto"/>
              </w:rPr>
              <w:t>3,709</w:t>
            </w:r>
          </w:p>
        </w:tc>
        <w:tc>
          <w:tcPr>
            <w:tcW w:w="0" w:type="dxa"/>
            <w:vAlign w:val="bottom"/>
          </w:tcPr>
          <w:p>
            <w:pPr>
              <w:spacing w:after="0"/>
              <w:rPr>
                <w:sz w:val="1"/>
                <w:szCs w:val="1"/>
                <w:color w:val="auto"/>
              </w:rPr>
            </w:pPr>
          </w:p>
        </w:tc>
      </w:tr>
      <w:tr>
        <w:trPr>
          <w:trHeight w:val="270"/>
        </w:trPr>
        <w:tc>
          <w:tcPr>
            <w:tcW w:w="8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Impact due to contractual rights of offset with counterparties</w:t>
            </w:r>
          </w:p>
        </w:tc>
        <w:tc>
          <w:tcPr>
            <w:tcW w:w="3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(3,660)</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(3,264)</w:t>
            </w:r>
          </w:p>
        </w:tc>
        <w:tc>
          <w:tcPr>
            <w:tcW w:w="0" w:type="dxa"/>
            <w:vAlign w:val="bottom"/>
          </w:tcPr>
          <w:p>
            <w:pPr>
              <w:spacing w:after="0"/>
              <w:rPr>
                <w:sz w:val="1"/>
                <w:szCs w:val="1"/>
                <w:color w:val="auto"/>
              </w:rPr>
            </w:pPr>
          </w:p>
        </w:tc>
      </w:tr>
      <w:tr>
        <w:trPr>
          <w:trHeight w:val="257"/>
        </w:trPr>
        <w:tc>
          <w:tcPr>
            <w:tcW w:w="8280" w:type="dxa"/>
            <w:vAlign w:val="bottom"/>
          </w:tcPr>
          <w:p>
            <w:pPr>
              <w:ind w:left="160"/>
              <w:spacing w:after="0"/>
              <w:rPr>
                <w:sz w:val="20"/>
                <w:szCs w:val="20"/>
                <w:color w:val="auto"/>
              </w:rPr>
            </w:pPr>
            <w:r>
              <w:rPr>
                <w:rFonts w:ascii="Arial" w:cs="Arial" w:eastAsia="Arial" w:hAnsi="Arial"/>
                <w:sz w:val="18"/>
                <w:szCs w:val="18"/>
                <w:color w:val="auto"/>
              </w:rPr>
              <w:t>Trade accounts receivable and other receivables, net</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8"/>
                <w:szCs w:val="18"/>
                <w:color w:val="auto"/>
              </w:rPr>
              <w:t>2,824</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3,029</w:t>
            </w:r>
          </w:p>
        </w:tc>
        <w:tc>
          <w:tcPr>
            <w:tcW w:w="0" w:type="dxa"/>
            <w:vAlign w:val="bottom"/>
          </w:tcPr>
          <w:p>
            <w:pPr>
              <w:spacing w:after="0"/>
              <w:rPr>
                <w:sz w:val="1"/>
                <w:szCs w:val="1"/>
                <w:color w:val="auto"/>
              </w:rPr>
            </w:pPr>
          </w:p>
        </w:tc>
      </w:tr>
      <w:tr>
        <w:trPr>
          <w:trHeight w:val="20"/>
        </w:trPr>
        <w:tc>
          <w:tcPr>
            <w:tcW w:w="82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250444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504440" cy="8890"/>
                    </a:xfrm>
                    <a:prstGeom prst="rect">
                      <a:avLst/>
                    </a:prstGeom>
                    <a:noFill/>
                  </pic:spPr>
                </pic:pic>
              </a:graphicData>
            </a:graphic>
          </wp:anchor>
        </w:drawing>
      </w:r>
    </w:p>
    <w:p>
      <w:pPr>
        <w:spacing w:after="0" w:line="244" w:lineRule="exact"/>
        <w:rPr>
          <w:sz w:val="20"/>
          <w:szCs w:val="20"/>
          <w:color w:val="auto"/>
        </w:rPr>
      </w:pPr>
    </w:p>
    <w:p>
      <w:pPr>
        <w:ind w:left="660" w:hanging="652"/>
        <w:spacing w:after="0"/>
        <w:tabs>
          <w:tab w:leader="none" w:pos="660" w:val="left"/>
        </w:tabs>
        <w:numPr>
          <w:ilvl w:val="0"/>
          <w:numId w:val="4"/>
        </w:numPr>
        <w:rPr>
          <w:rFonts w:ascii="Arial" w:cs="Arial" w:eastAsia="Arial" w:hAnsi="Arial"/>
          <w:sz w:val="24"/>
          <w:szCs w:val="24"/>
          <w:color w:val="auto"/>
          <w:vertAlign w:val="superscript"/>
        </w:rPr>
      </w:pPr>
      <w:r>
        <w:rPr>
          <w:rFonts w:ascii="Arial" w:cs="Arial" w:eastAsia="Arial" w:hAnsi="Arial"/>
          <w:sz w:val="17"/>
          <w:szCs w:val="17"/>
          <w:color w:val="auto"/>
        </w:rPr>
        <w:t>The balance is comprised primarily of accounts receivable associated with buy/sell arrangements that are not within the scope of Topic 606.</w:t>
      </w:r>
    </w:p>
    <w:p>
      <w:pPr>
        <w:spacing w:after="0" w:line="202" w:lineRule="exact"/>
        <w:rPr>
          <w:sz w:val="20"/>
          <w:szCs w:val="20"/>
          <w:color w:val="auto"/>
        </w:rPr>
      </w:pPr>
    </w:p>
    <w:p>
      <w:pPr>
        <w:ind w:right="180" w:firstLine="648"/>
        <w:spacing w:after="0" w:line="273" w:lineRule="auto"/>
        <w:rPr>
          <w:sz w:val="20"/>
          <w:szCs w:val="20"/>
          <w:color w:val="auto"/>
        </w:rPr>
      </w:pPr>
      <w:r>
        <w:rPr>
          <w:rFonts w:ascii="Arial" w:cs="Arial" w:eastAsia="Arial" w:hAnsi="Arial"/>
          <w:sz w:val="17"/>
          <w:szCs w:val="17"/>
          <w:i w:val="1"/>
          <w:iCs w:val="1"/>
          <w:color w:val="auto"/>
        </w:rPr>
        <w:t xml:space="preserve">Minimum Volume Commitments. </w:t>
      </w:r>
      <w:r>
        <w:rPr>
          <w:rFonts w:ascii="Arial" w:cs="Arial" w:eastAsia="Arial" w:hAnsi="Arial"/>
          <w:sz w:val="17"/>
          <w:szCs w:val="17"/>
          <w:color w:val="auto"/>
        </w:rPr>
        <w:t>We have certain agreements that require counterparties to transport or throughput a minimum volume over an</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agreed upon period. These contracts are within the scope of Topic 606. In addition, we have certain buy/sell agreements that require customers to deliver a minimum volume over an agreed upon period that are within the scope of ASC Topic 845, </w:t>
      </w:r>
      <w:r>
        <w:rPr>
          <w:rFonts w:ascii="Arial" w:cs="Arial" w:eastAsia="Arial" w:hAnsi="Arial"/>
          <w:sz w:val="17"/>
          <w:szCs w:val="17"/>
          <w:i w:val="1"/>
          <w:iCs w:val="1"/>
          <w:color w:val="auto"/>
        </w:rPr>
        <w:t>Nonmonetary Transactions</w:t>
      </w:r>
      <w:r>
        <w:rPr>
          <w:rFonts w:ascii="Arial" w:cs="Arial" w:eastAsia="Arial" w:hAnsi="Arial"/>
          <w:sz w:val="17"/>
          <w:szCs w:val="17"/>
          <w:color w:val="auto"/>
        </w:rPr>
        <w:t xml:space="preserve"> (“Topic 845”). Some of these agreements include make-up rights if the minimum volume is not met. We record a receivable from the counterparty in the period that services are provided or when the transaction occurs, including amounts for deficiency obligations from counterparties associated with minimum volume commitments. If a counterparty has a make-up right associated with a deficiency, we defer the revenue attributable to the</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125" w:right="239" w:bottom="1440" w:gutter="0" w:footer="0" w:header="0"/>
        </w:sectPr>
      </w:pPr>
    </w:p>
    <w:bookmarkStart w:id="13" w:name="page14"/>
    <w:bookmarkEnd w:id="1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560"/>
        <w:spacing w:after="0" w:line="342" w:lineRule="auto"/>
        <w:rPr>
          <w:sz w:val="20"/>
          <w:szCs w:val="20"/>
          <w:color w:val="auto"/>
        </w:rPr>
      </w:pPr>
      <w:r>
        <w:rPr>
          <w:rFonts w:ascii="Arial" w:cs="Arial" w:eastAsia="Arial" w:hAnsi="Arial"/>
          <w:sz w:val="16"/>
          <w:szCs w:val="16"/>
          <w:color w:val="auto"/>
        </w:rPr>
        <w:t>counterparty’s make-up right as a contract liability and subsequently recognize the revenue at the earlier of when the deficiency volume is delivered or shipped, when the make-up right expires or when it is determined that the counterparty’s ability to utilize the make-up right is remote.</w:t>
      </w:r>
    </w:p>
    <w:p>
      <w:pPr>
        <w:spacing w:after="0" w:line="124" w:lineRule="exact"/>
        <w:rPr>
          <w:sz w:val="20"/>
          <w:szCs w:val="20"/>
          <w:color w:val="auto"/>
        </w:rPr>
      </w:pPr>
    </w:p>
    <w:p>
      <w:pPr>
        <w:ind w:right="400" w:firstLine="648"/>
        <w:spacing w:after="0" w:line="276" w:lineRule="auto"/>
        <w:rPr>
          <w:sz w:val="20"/>
          <w:szCs w:val="20"/>
          <w:color w:val="auto"/>
        </w:rPr>
      </w:pPr>
      <w:r>
        <w:rPr>
          <w:rFonts w:ascii="Arial" w:cs="Arial" w:eastAsia="Arial" w:hAnsi="Arial"/>
          <w:sz w:val="17"/>
          <w:szCs w:val="17"/>
          <w:color w:val="auto"/>
        </w:rPr>
        <w:t>At June 30, 2018 and December 31, 2017, counterparty deficiencies associated with agreements (under Topic 606 and Topic 845) that include minimum volume commitments totaled $62 million and $57 million, respectively, of which $44 million and $37 million, respectively, was recorded as a contract liability, which we refer to as deferred revenue. The remaining balance of $18 million and $20 million at June 30, 2018 and December 31, 2017, respectively, was related to deficiencies for which the counterparties had not met their contractual minimum commitments and were not reflected in our Condensed Consolidated Financial Statements as we had not yet billed or collected such amounts.</w:t>
      </w:r>
    </w:p>
    <w:p>
      <w:pPr>
        <w:spacing w:after="0" w:line="173" w:lineRule="exact"/>
        <w:rPr>
          <w:sz w:val="20"/>
          <w:szCs w:val="20"/>
          <w:color w:val="auto"/>
        </w:rPr>
      </w:pPr>
    </w:p>
    <w:p>
      <w:pPr>
        <w:ind w:right="360" w:firstLine="648"/>
        <w:spacing w:after="0" w:line="264" w:lineRule="auto"/>
        <w:rPr>
          <w:sz w:val="20"/>
          <w:szCs w:val="20"/>
          <w:color w:val="auto"/>
        </w:rPr>
      </w:pPr>
      <w:r>
        <w:rPr>
          <w:rFonts w:ascii="Arial" w:cs="Arial" w:eastAsia="Arial" w:hAnsi="Arial"/>
          <w:sz w:val="18"/>
          <w:szCs w:val="18"/>
          <w:i w:val="1"/>
          <w:iCs w:val="1"/>
          <w:color w:val="auto"/>
        </w:rPr>
        <w:t>Contract Balances</w:t>
      </w:r>
      <w:r>
        <w:rPr>
          <w:rFonts w:ascii="Arial" w:cs="Arial" w:eastAsia="Arial" w:hAnsi="Arial"/>
          <w:sz w:val="18"/>
          <w:szCs w:val="18"/>
          <w:color w:val="auto"/>
        </w:rPr>
        <w:t>. Our contract balances consist of amounts received associated with services or sales for which we have not yet completed the</w:t>
      </w:r>
      <w:r>
        <w:rPr>
          <w:rFonts w:ascii="Arial" w:cs="Arial" w:eastAsia="Arial" w:hAnsi="Arial"/>
          <w:sz w:val="18"/>
          <w:szCs w:val="18"/>
          <w:i w:val="1"/>
          <w:iCs w:val="1"/>
          <w:color w:val="auto"/>
        </w:rPr>
        <w:t xml:space="preserve"> </w:t>
      </w:r>
      <w:r>
        <w:rPr>
          <w:rFonts w:ascii="Arial" w:cs="Arial" w:eastAsia="Arial" w:hAnsi="Arial"/>
          <w:sz w:val="18"/>
          <w:szCs w:val="18"/>
          <w:color w:val="auto"/>
        </w:rPr>
        <w:t>related performance obligation. The following table presents the change in the contract liability balance during the six months ended June 30, 2018 (in millions):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36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Contract Liabilities</w:t>
            </w:r>
          </w:p>
        </w:tc>
      </w:tr>
      <w:tr>
        <w:trPr>
          <w:trHeight w:val="263"/>
        </w:trPr>
        <w:tc>
          <w:tcPr>
            <w:tcW w:w="9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December 31, 2017</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7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90</w:t>
            </w:r>
          </w:p>
        </w:tc>
      </w:tr>
      <w:tr>
        <w:trPr>
          <w:trHeight w:val="20"/>
        </w:trPr>
        <w:tc>
          <w:tcPr>
            <w:tcW w:w="93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r>
      <w:tr>
        <w:trPr>
          <w:trHeight w:val="230"/>
        </w:trPr>
        <w:tc>
          <w:tcPr>
            <w:tcW w:w="9360" w:type="dxa"/>
            <w:vAlign w:val="bottom"/>
          </w:tcPr>
          <w:p>
            <w:pPr>
              <w:ind w:left="180"/>
              <w:spacing w:after="0"/>
              <w:rPr>
                <w:sz w:val="20"/>
                <w:szCs w:val="20"/>
                <w:color w:val="auto"/>
              </w:rPr>
            </w:pPr>
            <w:r>
              <w:rPr>
                <w:rFonts w:ascii="Arial" w:cs="Arial" w:eastAsia="Arial" w:hAnsi="Arial"/>
                <w:sz w:val="18"/>
                <w:szCs w:val="18"/>
                <w:color w:val="auto"/>
              </w:rPr>
              <w:t>Amounts recognized as revenue</w:t>
            </w:r>
          </w:p>
        </w:tc>
        <w:tc>
          <w:tcPr>
            <w:tcW w:w="280" w:type="dxa"/>
            <w:vAlign w:val="bottom"/>
          </w:tcPr>
          <w:p>
            <w:pPr>
              <w:spacing w:after="0"/>
              <w:rPr>
                <w:sz w:val="20"/>
                <w:szCs w:val="20"/>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(79)</w:t>
            </w:r>
          </w:p>
        </w:tc>
      </w:tr>
      <w:tr>
        <w:trPr>
          <w:trHeight w:val="27"/>
        </w:trPr>
        <w:tc>
          <w:tcPr>
            <w:tcW w:w="9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780" w:type="dxa"/>
            <w:vAlign w:val="bottom"/>
          </w:tcPr>
          <w:p>
            <w:pPr>
              <w:spacing w:after="0"/>
              <w:rPr>
                <w:sz w:val="2"/>
                <w:szCs w:val="2"/>
                <w:color w:val="auto"/>
              </w:rPr>
            </w:pPr>
          </w:p>
        </w:tc>
      </w:tr>
      <w:tr>
        <w:trPr>
          <w:trHeight w:val="270"/>
        </w:trPr>
        <w:tc>
          <w:tcPr>
            <w:tcW w:w="9360" w:type="dxa"/>
            <w:vAlign w:val="bottom"/>
            <w:shd w:val="clear" w:color="auto" w:fill="CCEEFF"/>
          </w:tcPr>
          <w:p>
            <w:pPr>
              <w:ind w:left="180"/>
              <w:spacing w:after="0" w:line="270" w:lineRule="exact"/>
              <w:rPr>
                <w:sz w:val="20"/>
                <w:szCs w:val="20"/>
                <w:color w:val="auto"/>
              </w:rPr>
            </w:pPr>
            <w:r>
              <w:rPr>
                <w:rFonts w:ascii="Arial" w:cs="Arial" w:eastAsia="Arial" w:hAnsi="Arial"/>
                <w:sz w:val="18"/>
                <w:szCs w:val="18"/>
                <w:color w:val="auto"/>
              </w:rPr>
              <w:t xml:space="preserve">Additions </w:t>
            </w:r>
            <w:r>
              <w:rPr>
                <w:rFonts w:ascii="Arial" w:cs="Arial" w:eastAsia="Arial" w:hAnsi="Arial"/>
                <w:sz w:val="25"/>
                <w:szCs w:val="25"/>
                <w:color w:val="auto"/>
                <w:vertAlign w:val="superscript"/>
              </w:rPr>
              <w:t>(1) (2)</w:t>
            </w:r>
          </w:p>
        </w:tc>
        <w:tc>
          <w:tcPr>
            <w:tcW w:w="280" w:type="dxa"/>
            <w:vAlign w:val="bottom"/>
            <w:shd w:val="clear" w:color="auto" w:fill="CCEEFF"/>
          </w:tcPr>
          <w:p>
            <w:pPr>
              <w:spacing w:after="0"/>
              <w:rPr>
                <w:sz w:val="23"/>
                <w:szCs w:val="23"/>
                <w:color w:val="auto"/>
              </w:rPr>
            </w:pPr>
          </w:p>
        </w:tc>
        <w:tc>
          <w:tcPr>
            <w:tcW w:w="17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445</w:t>
            </w:r>
          </w:p>
        </w:tc>
      </w:tr>
      <w:tr>
        <w:trPr>
          <w:trHeight w:val="243"/>
        </w:trPr>
        <w:tc>
          <w:tcPr>
            <w:tcW w:w="9360" w:type="dxa"/>
            <w:vAlign w:val="bottom"/>
          </w:tcPr>
          <w:p>
            <w:pPr>
              <w:ind w:left="180"/>
              <w:spacing w:after="0"/>
              <w:rPr>
                <w:sz w:val="20"/>
                <w:szCs w:val="20"/>
                <w:color w:val="auto"/>
              </w:rPr>
            </w:pPr>
            <w:r>
              <w:rPr>
                <w:rFonts w:ascii="Arial" w:cs="Arial" w:eastAsia="Arial" w:hAnsi="Arial"/>
                <w:sz w:val="18"/>
                <w:szCs w:val="18"/>
                <w:color w:val="auto"/>
              </w:rPr>
              <w:t>Other</w:t>
            </w:r>
          </w:p>
        </w:tc>
        <w:tc>
          <w:tcPr>
            <w:tcW w:w="280" w:type="dxa"/>
            <w:vAlign w:val="bottom"/>
          </w:tcPr>
          <w:p>
            <w:pPr>
              <w:spacing w:after="0"/>
              <w:rPr>
                <w:sz w:val="21"/>
                <w:szCs w:val="21"/>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7"/>
        </w:trPr>
        <w:tc>
          <w:tcPr>
            <w:tcW w:w="93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r>
      <w:tr>
        <w:trPr>
          <w:trHeight w:val="257"/>
        </w:trPr>
        <w:tc>
          <w:tcPr>
            <w:tcW w:w="9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June 30, 2018</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7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453</w:t>
            </w:r>
          </w:p>
        </w:tc>
      </w:tr>
      <w:tr>
        <w:trPr>
          <w:trHeight w:val="20"/>
        </w:trPr>
        <w:tc>
          <w:tcPr>
            <w:tcW w:w="93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250444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504440" cy="8890"/>
                    </a:xfrm>
                    <a:prstGeom prst="rect">
                      <a:avLst/>
                    </a:prstGeom>
                    <a:noFill/>
                  </pic:spPr>
                </pic:pic>
              </a:graphicData>
            </a:graphic>
          </wp:anchor>
        </w:drawing>
      </w:r>
    </w:p>
    <w:p>
      <w:pPr>
        <w:spacing w:after="0" w:line="290" w:lineRule="exact"/>
        <w:rPr>
          <w:sz w:val="20"/>
          <w:szCs w:val="20"/>
          <w:color w:val="auto"/>
        </w:rPr>
      </w:pPr>
    </w:p>
    <w:p>
      <w:pPr>
        <w:ind w:left="660" w:right="200" w:hanging="652"/>
        <w:spacing w:after="0" w:line="216" w:lineRule="auto"/>
        <w:tabs>
          <w:tab w:leader="none" w:pos="660" w:val="left"/>
        </w:tabs>
        <w:numPr>
          <w:ilvl w:val="0"/>
          <w:numId w:val="5"/>
        </w:numPr>
        <w:rPr>
          <w:rFonts w:ascii="Arial" w:cs="Arial" w:eastAsia="Arial" w:hAnsi="Arial"/>
          <w:sz w:val="25"/>
          <w:szCs w:val="25"/>
          <w:color w:val="auto"/>
          <w:vertAlign w:val="superscript"/>
        </w:rPr>
      </w:pPr>
      <w:r>
        <w:rPr>
          <w:rFonts w:ascii="Arial" w:cs="Arial" w:eastAsia="Arial" w:hAnsi="Arial"/>
          <w:sz w:val="18"/>
          <w:szCs w:val="18"/>
          <w:color w:val="auto"/>
        </w:rPr>
        <w:t>Includes approximately $197 million associated with crude oil sales agreements that are entered into in conjunction with storage arrangements and future inventory exchanges. Such amount is expected to be recognized as revenue in the second half of 2018.</w:t>
      </w:r>
    </w:p>
    <w:p>
      <w:pPr>
        <w:spacing w:after="0" w:line="49" w:lineRule="exact"/>
        <w:rPr>
          <w:rFonts w:ascii="Arial" w:cs="Arial" w:eastAsia="Arial" w:hAnsi="Arial"/>
          <w:sz w:val="25"/>
          <w:szCs w:val="25"/>
          <w:color w:val="auto"/>
          <w:vertAlign w:val="superscript"/>
        </w:rPr>
      </w:pPr>
    </w:p>
    <w:p>
      <w:pPr>
        <w:ind w:left="660" w:hanging="652"/>
        <w:spacing w:after="0"/>
        <w:tabs>
          <w:tab w:leader="none" w:pos="660" w:val="left"/>
        </w:tabs>
        <w:numPr>
          <w:ilvl w:val="0"/>
          <w:numId w:val="5"/>
        </w:numPr>
        <w:rPr>
          <w:rFonts w:ascii="Arial" w:cs="Arial" w:eastAsia="Arial" w:hAnsi="Arial"/>
          <w:sz w:val="24"/>
          <w:szCs w:val="24"/>
          <w:color w:val="auto"/>
          <w:vertAlign w:val="superscript"/>
        </w:rPr>
      </w:pPr>
      <w:r>
        <w:rPr>
          <w:rFonts w:ascii="Arial" w:cs="Arial" w:eastAsia="Arial" w:hAnsi="Arial"/>
          <w:sz w:val="17"/>
          <w:szCs w:val="17"/>
          <w:color w:val="auto"/>
        </w:rPr>
        <w:t>Includes $100 million associated with long-term capacity agreements with Cactus II Pipeline LLC. See Note 12 for additional information.</w:t>
      </w:r>
    </w:p>
    <w:p>
      <w:pPr>
        <w:spacing w:after="0" w:line="202" w:lineRule="exact"/>
        <w:rPr>
          <w:sz w:val="20"/>
          <w:szCs w:val="20"/>
          <w:color w:val="auto"/>
        </w:rPr>
      </w:pPr>
    </w:p>
    <w:p>
      <w:pPr>
        <w:ind w:right="160" w:firstLine="648"/>
        <w:spacing w:after="0" w:line="272" w:lineRule="auto"/>
        <w:rPr>
          <w:sz w:val="20"/>
          <w:szCs w:val="20"/>
          <w:color w:val="auto"/>
        </w:rPr>
      </w:pPr>
      <w:r>
        <w:rPr>
          <w:rFonts w:ascii="Arial" w:cs="Arial" w:eastAsia="Arial" w:hAnsi="Arial"/>
          <w:sz w:val="17"/>
          <w:szCs w:val="17"/>
          <w:i w:val="1"/>
          <w:iCs w:val="1"/>
          <w:color w:val="auto"/>
        </w:rPr>
        <w:t>Remaining Performance Obligations</w:t>
      </w:r>
      <w:r>
        <w:rPr>
          <w:rFonts w:ascii="Arial" w:cs="Arial" w:eastAsia="Arial" w:hAnsi="Arial"/>
          <w:sz w:val="17"/>
          <w:szCs w:val="17"/>
          <w:color w:val="auto"/>
        </w:rPr>
        <w:t>. Topic 606 requires a presentation of information about partially and wholly unsatisfied performance</w:t>
      </w:r>
      <w:r>
        <w:rPr>
          <w:rFonts w:ascii="Arial" w:cs="Arial" w:eastAsia="Arial" w:hAnsi="Arial"/>
          <w:sz w:val="17"/>
          <w:szCs w:val="17"/>
          <w:i w:val="1"/>
          <w:iCs w:val="1"/>
          <w:color w:val="auto"/>
        </w:rPr>
        <w:t xml:space="preserve"> </w:t>
      </w:r>
      <w:r>
        <w:rPr>
          <w:rFonts w:ascii="Arial" w:cs="Arial" w:eastAsia="Arial" w:hAnsi="Arial"/>
          <w:sz w:val="17"/>
          <w:szCs w:val="17"/>
          <w:color w:val="auto"/>
        </w:rPr>
        <w:t>obligations under contracts that exist as of the end of the period. The information includes the amount of consideration allocated to those remaining performance obligations and the timing of revenue recognition of those remaining performance obligations. Certain contracts meet the requirements for the presentation as remaining performance obligations. These arrangements include a fixed minimum level of service, typically a set volume of service, and do not contain any variability other than expected timing within a limited range. These contracts are all within the scope of Topic 606. The following table presents the amount of consideration associated with remaining performance obligations for the population of contracts with external customers meeting the presentation requirements as of June 30, 2018 (in millions):</w:t>
      </w:r>
    </w:p>
    <w:p>
      <w:pPr>
        <w:spacing w:after="0" w:line="3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gridSpan w:val="2"/>
          </w:tcPr>
          <w:p>
            <w:pPr>
              <w:ind w:left="40"/>
              <w:spacing w:after="0"/>
              <w:rPr>
                <w:sz w:val="20"/>
                <w:szCs w:val="20"/>
                <w:color w:val="auto"/>
              </w:rPr>
            </w:pPr>
            <w:r>
              <w:rPr>
                <w:rFonts w:ascii="Arial" w:cs="Arial" w:eastAsia="Arial" w:hAnsi="Arial"/>
                <w:sz w:val="14"/>
                <w:szCs w:val="14"/>
                <w:b w:val="1"/>
                <w:bCs w:val="1"/>
                <w:color w:val="auto"/>
              </w:rPr>
              <w:t>Remainder of</w:t>
            </w:r>
          </w:p>
        </w:tc>
        <w:tc>
          <w:tcPr>
            <w:tcW w:w="280" w:type="dxa"/>
            <w:vAlign w:val="bottom"/>
          </w:tcPr>
          <w:p>
            <w:pPr>
              <w:spacing w:after="0"/>
              <w:rPr>
                <w:sz w:val="14"/>
                <w:szCs w:val="14"/>
                <w:color w:val="auto"/>
              </w:rPr>
            </w:pPr>
          </w:p>
        </w:tc>
        <w:tc>
          <w:tcPr>
            <w:tcW w:w="880" w:type="dxa"/>
            <w:vAlign w:val="bottom"/>
            <w:vMerge w:val="restart"/>
          </w:tcPr>
          <w:p>
            <w:pPr>
              <w:jc w:val="right"/>
              <w:ind w:right="354"/>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vMerge w:val="restart"/>
          </w:tcPr>
          <w:p>
            <w:pPr>
              <w:jc w:val="right"/>
              <w:ind w:right="354"/>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60" w:type="dxa"/>
            <w:vAlign w:val="bottom"/>
            <w:vMerge w:val="restart"/>
          </w:tcPr>
          <w:p>
            <w:pPr>
              <w:jc w:val="right"/>
              <w:ind w:right="334"/>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60" w:type="dxa"/>
            <w:vAlign w:val="bottom"/>
            <w:vMerge w:val="restart"/>
          </w:tcPr>
          <w:p>
            <w:pPr>
              <w:jc w:val="right"/>
              <w:ind w:right="334"/>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jc w:val="right"/>
              <w:ind w:right="197"/>
              <w:spacing w:after="0"/>
              <w:rPr>
                <w:sz w:val="20"/>
                <w:szCs w:val="20"/>
                <w:color w:val="auto"/>
              </w:rPr>
            </w:pPr>
            <w:r>
              <w:rPr>
                <w:rFonts w:ascii="Arial" w:cs="Arial" w:eastAsia="Arial" w:hAnsi="Arial"/>
                <w:sz w:val="14"/>
                <w:szCs w:val="14"/>
                <w:b w:val="1"/>
                <w:bCs w:val="1"/>
                <w:color w:val="auto"/>
              </w:rPr>
              <w:t>2023 and</w:t>
            </w:r>
          </w:p>
        </w:tc>
        <w:tc>
          <w:tcPr>
            <w:tcW w:w="0" w:type="dxa"/>
            <w:vAlign w:val="bottom"/>
          </w:tcPr>
          <w:p>
            <w:pPr>
              <w:spacing w:after="0"/>
              <w:rPr>
                <w:sz w:val="1"/>
                <w:szCs w:val="1"/>
                <w:color w:val="auto"/>
              </w:rPr>
            </w:pPr>
          </w:p>
        </w:tc>
      </w:tr>
      <w:tr>
        <w:trPr>
          <w:trHeight w:val="192"/>
        </w:trPr>
        <w:tc>
          <w:tcPr>
            <w:tcW w:w="40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57"/>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157"/>
              <w:spacing w:after="0"/>
              <w:rPr>
                <w:sz w:val="20"/>
                <w:szCs w:val="20"/>
                <w:color w:val="auto"/>
              </w:rPr>
            </w:pPr>
            <w:r>
              <w:rPr>
                <w:rFonts w:ascii="Arial" w:cs="Arial" w:eastAsia="Arial" w:hAnsi="Arial"/>
                <w:sz w:val="14"/>
                <w:szCs w:val="14"/>
                <w:b w:val="1"/>
                <w:bCs w:val="1"/>
                <w:color w:val="auto"/>
              </w:rPr>
              <w:t>Thereafter</w:t>
            </w:r>
          </w:p>
        </w:tc>
        <w:tc>
          <w:tcPr>
            <w:tcW w:w="0" w:type="dxa"/>
            <w:vAlign w:val="bottom"/>
          </w:tcPr>
          <w:p>
            <w:pPr>
              <w:spacing w:after="0"/>
              <w:rPr>
                <w:sz w:val="1"/>
                <w:szCs w:val="1"/>
                <w:color w:val="auto"/>
              </w:rPr>
            </w:pPr>
          </w:p>
        </w:tc>
      </w:tr>
      <w:tr>
        <w:trPr>
          <w:trHeight w:val="215"/>
        </w:trPr>
        <w:tc>
          <w:tcPr>
            <w:tcW w:w="4000" w:type="dxa"/>
            <w:vAlign w:val="bottom"/>
            <w:shd w:val="clear" w:color="auto" w:fill="CCEEFF"/>
          </w:tcPr>
          <w:p>
            <w:pPr>
              <w:ind w:left="40"/>
              <w:spacing w:after="0"/>
              <w:rPr>
                <w:sz w:val="20"/>
                <w:szCs w:val="20"/>
                <w:color w:val="auto"/>
              </w:rPr>
            </w:pPr>
            <w:r>
              <w:rPr>
                <w:rFonts w:ascii="Arial" w:cs="Arial" w:eastAsia="Arial" w:hAnsi="Arial"/>
                <w:sz w:val="18"/>
                <w:szCs w:val="18"/>
                <w:color w:val="auto"/>
              </w:rPr>
              <w:t>Pipeline revenues supported by minimum volume</w:t>
            </w: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4000" w:type="dxa"/>
            <w:vAlign w:val="bottom"/>
            <w:shd w:val="clear" w:color="auto" w:fill="CCEEFF"/>
          </w:tcPr>
          <w:p>
            <w:pPr>
              <w:ind w:left="200"/>
              <w:spacing w:after="0" w:line="257" w:lineRule="exact"/>
              <w:rPr>
                <w:sz w:val="20"/>
                <w:szCs w:val="20"/>
                <w:color w:val="auto"/>
              </w:rPr>
            </w:pPr>
            <w:r>
              <w:rPr>
                <w:rFonts w:ascii="Arial" w:cs="Arial" w:eastAsia="Arial" w:hAnsi="Arial"/>
                <w:sz w:val="18"/>
                <w:szCs w:val="18"/>
                <w:color w:val="auto"/>
                <w:w w:val="90"/>
              </w:rPr>
              <w:t xml:space="preserve">commitments and long-term capacity agreements </w:t>
            </w:r>
            <w:r>
              <w:rPr>
                <w:rFonts w:ascii="Arial" w:cs="Arial" w:eastAsia="Arial" w:hAnsi="Arial"/>
                <w:sz w:val="25"/>
                <w:szCs w:val="25"/>
                <w:color w:val="auto"/>
                <w:w w:val="90"/>
                <w:vertAlign w:val="superscript"/>
              </w:rPr>
              <w:t>(1)</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51</w:t>
            </w: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150</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193</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181</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180</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799</w:t>
            </w:r>
          </w:p>
        </w:tc>
        <w:tc>
          <w:tcPr>
            <w:tcW w:w="0" w:type="dxa"/>
            <w:vAlign w:val="bottom"/>
          </w:tcPr>
          <w:p>
            <w:pPr>
              <w:spacing w:after="0"/>
              <w:rPr>
                <w:sz w:val="1"/>
                <w:szCs w:val="1"/>
                <w:color w:val="auto"/>
              </w:rPr>
            </w:pPr>
          </w:p>
        </w:tc>
      </w:tr>
      <w:tr>
        <w:trPr>
          <w:trHeight w:val="229"/>
        </w:trPr>
        <w:tc>
          <w:tcPr>
            <w:tcW w:w="4000" w:type="dxa"/>
            <w:vAlign w:val="bottom"/>
          </w:tcPr>
          <w:p>
            <w:pPr>
              <w:ind w:left="40"/>
              <w:spacing w:after="0"/>
              <w:rPr>
                <w:sz w:val="20"/>
                <w:szCs w:val="20"/>
                <w:color w:val="auto"/>
              </w:rPr>
            </w:pPr>
            <w:r>
              <w:rPr>
                <w:rFonts w:ascii="Arial" w:cs="Arial" w:eastAsia="Arial" w:hAnsi="Arial"/>
                <w:sz w:val="18"/>
                <w:szCs w:val="18"/>
                <w:color w:val="auto"/>
              </w:rPr>
              <w:t>Long-term storage, terminalling and throughput</w:t>
            </w: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00" w:type="dxa"/>
            <w:vAlign w:val="bottom"/>
          </w:tcPr>
          <w:p>
            <w:pPr>
              <w:ind w:left="200"/>
              <w:spacing w:after="0"/>
              <w:rPr>
                <w:sz w:val="20"/>
                <w:szCs w:val="20"/>
                <w:color w:val="auto"/>
              </w:rPr>
            </w:pPr>
            <w:r>
              <w:rPr>
                <w:rFonts w:ascii="Arial" w:cs="Arial" w:eastAsia="Arial" w:hAnsi="Arial"/>
                <w:sz w:val="18"/>
                <w:szCs w:val="18"/>
                <w:color w:val="auto"/>
              </w:rPr>
              <w:t>agreements revenues</w:t>
            </w:r>
          </w:p>
        </w:tc>
        <w:tc>
          <w:tcPr>
            <w:tcW w:w="140" w:type="dxa"/>
            <w:vAlign w:val="bottom"/>
          </w:tcPr>
          <w:p>
            <w:pPr>
              <w:spacing w:after="0"/>
              <w:rPr>
                <w:sz w:val="20"/>
                <w:szCs w:val="20"/>
                <w:color w:val="auto"/>
              </w:rPr>
            </w:pPr>
          </w:p>
        </w:tc>
        <w:tc>
          <w:tcPr>
            <w:tcW w:w="1040" w:type="dxa"/>
            <w:vAlign w:val="bottom"/>
          </w:tcPr>
          <w:p>
            <w:pPr>
              <w:jc w:val="right"/>
              <w:ind w:right="37"/>
              <w:spacing w:after="0"/>
              <w:rPr>
                <w:sz w:val="20"/>
                <w:szCs w:val="20"/>
                <w:color w:val="auto"/>
              </w:rPr>
            </w:pPr>
            <w:r>
              <w:rPr>
                <w:rFonts w:ascii="Arial" w:cs="Arial" w:eastAsia="Arial" w:hAnsi="Arial"/>
                <w:sz w:val="18"/>
                <w:szCs w:val="18"/>
                <w:color w:val="auto"/>
              </w:rPr>
              <w:t>225</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80" w:type="dxa"/>
            <w:vAlign w:val="bottom"/>
          </w:tcPr>
          <w:p>
            <w:pPr>
              <w:jc w:val="right"/>
              <w:ind w:right="34"/>
              <w:spacing w:after="0"/>
              <w:rPr>
                <w:sz w:val="20"/>
                <w:szCs w:val="20"/>
                <w:color w:val="auto"/>
              </w:rPr>
            </w:pPr>
            <w:r>
              <w:rPr>
                <w:rFonts w:ascii="Arial" w:cs="Arial" w:eastAsia="Arial" w:hAnsi="Arial"/>
                <w:sz w:val="18"/>
                <w:szCs w:val="18"/>
                <w:color w:val="auto"/>
              </w:rPr>
              <w:t>354</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34"/>
              <w:spacing w:after="0"/>
              <w:rPr>
                <w:sz w:val="20"/>
                <w:szCs w:val="20"/>
                <w:color w:val="auto"/>
              </w:rPr>
            </w:pPr>
            <w:r>
              <w:rPr>
                <w:rFonts w:ascii="Arial" w:cs="Arial" w:eastAsia="Arial" w:hAnsi="Arial"/>
                <w:sz w:val="18"/>
                <w:szCs w:val="18"/>
                <w:color w:val="auto"/>
              </w:rPr>
              <w:t>274</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60" w:type="dxa"/>
            <w:vAlign w:val="bottom"/>
          </w:tcPr>
          <w:p>
            <w:pPr>
              <w:jc w:val="right"/>
              <w:ind w:right="34"/>
              <w:spacing w:after="0"/>
              <w:rPr>
                <w:sz w:val="20"/>
                <w:szCs w:val="20"/>
                <w:color w:val="auto"/>
              </w:rPr>
            </w:pPr>
            <w:r>
              <w:rPr>
                <w:rFonts w:ascii="Arial" w:cs="Arial" w:eastAsia="Arial" w:hAnsi="Arial"/>
                <w:sz w:val="18"/>
                <w:szCs w:val="18"/>
                <w:color w:val="auto"/>
              </w:rPr>
              <w:t>207</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60" w:type="dxa"/>
            <w:vAlign w:val="bottom"/>
          </w:tcPr>
          <w:p>
            <w:pPr>
              <w:jc w:val="right"/>
              <w:ind w:right="34"/>
              <w:spacing w:after="0"/>
              <w:rPr>
                <w:sz w:val="20"/>
                <w:szCs w:val="20"/>
                <w:color w:val="auto"/>
              </w:rPr>
            </w:pPr>
            <w:r>
              <w:rPr>
                <w:rFonts w:ascii="Arial" w:cs="Arial" w:eastAsia="Arial" w:hAnsi="Arial"/>
                <w:sz w:val="18"/>
                <w:szCs w:val="18"/>
                <w:color w:val="auto"/>
              </w:rPr>
              <w:t>158</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jc w:val="right"/>
              <w:ind w:right="17"/>
              <w:spacing w:after="0"/>
              <w:rPr>
                <w:sz w:val="20"/>
                <w:szCs w:val="20"/>
                <w:color w:val="auto"/>
              </w:rPr>
            </w:pPr>
            <w:r>
              <w:rPr>
                <w:rFonts w:ascii="Arial" w:cs="Arial" w:eastAsia="Arial" w:hAnsi="Arial"/>
                <w:sz w:val="18"/>
                <w:szCs w:val="18"/>
                <w:color w:val="auto"/>
              </w:rPr>
              <w:t>554</w:t>
            </w:r>
          </w:p>
        </w:tc>
        <w:tc>
          <w:tcPr>
            <w:tcW w:w="0" w:type="dxa"/>
            <w:vAlign w:val="bottom"/>
          </w:tcPr>
          <w:p>
            <w:pPr>
              <w:spacing w:after="0"/>
              <w:rPr>
                <w:sz w:val="1"/>
                <w:szCs w:val="1"/>
                <w:color w:val="auto"/>
              </w:rPr>
            </w:pPr>
          </w:p>
        </w:tc>
      </w:tr>
      <w:tr>
        <w:trPr>
          <w:trHeight w:val="27"/>
        </w:trPr>
        <w:tc>
          <w:tcPr>
            <w:tcW w:w="40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0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8"/>
                <w:szCs w:val="18"/>
                <w:color w:val="auto"/>
              </w:rPr>
              <w:t>276</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504</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467</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388</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338</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1,353</w:t>
            </w: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250444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504440" cy="8890"/>
                    </a:xfrm>
                    <a:prstGeom prst="rect">
                      <a:avLst/>
                    </a:prstGeom>
                    <a:noFill/>
                  </pic:spPr>
                </pic:pic>
              </a:graphicData>
            </a:graphic>
          </wp:anchor>
        </w:drawing>
      </w:r>
    </w:p>
    <w:p>
      <w:pPr>
        <w:spacing w:after="0" w:line="290" w:lineRule="exact"/>
        <w:rPr>
          <w:sz w:val="20"/>
          <w:szCs w:val="20"/>
          <w:color w:val="auto"/>
        </w:rPr>
      </w:pPr>
    </w:p>
    <w:p>
      <w:pPr>
        <w:ind w:left="660" w:right="640" w:hanging="652"/>
        <w:spacing w:after="0" w:line="216" w:lineRule="auto"/>
        <w:tabs>
          <w:tab w:leader="none" w:pos="660" w:val="left"/>
        </w:tabs>
        <w:numPr>
          <w:ilvl w:val="0"/>
          <w:numId w:val="6"/>
        </w:numPr>
        <w:rPr>
          <w:rFonts w:ascii="Arial" w:cs="Arial" w:eastAsia="Arial" w:hAnsi="Arial"/>
          <w:sz w:val="25"/>
          <w:szCs w:val="25"/>
          <w:color w:val="auto"/>
          <w:vertAlign w:val="superscript"/>
        </w:rPr>
      </w:pPr>
      <w:r>
        <w:rPr>
          <w:rFonts w:ascii="Arial" w:cs="Arial" w:eastAsia="Arial" w:hAnsi="Arial"/>
          <w:sz w:val="18"/>
          <w:szCs w:val="18"/>
          <w:color w:val="auto"/>
        </w:rPr>
        <w:t>Includes revenues from certain contracts for which the amount and timing of revenue is subject to the completion of underlying construction projects.</w:t>
      </w: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125" w:right="23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40" w:firstLine="648"/>
        <w:spacing w:after="0" w:line="297" w:lineRule="auto"/>
        <w:rPr>
          <w:sz w:val="20"/>
          <w:szCs w:val="20"/>
          <w:color w:val="auto"/>
        </w:rPr>
      </w:pPr>
      <w:r>
        <w:rPr>
          <w:rFonts w:ascii="Arial" w:cs="Arial" w:eastAsia="Arial" w:hAnsi="Arial"/>
          <w:sz w:val="16"/>
          <w:szCs w:val="16"/>
          <w:color w:val="auto"/>
        </w:rPr>
        <w:t>The presentation above does not include (i) expected revenues from legacy shippers not underpinned by minimum volume commitments, including pipelines where there are no or limited alternative pipeline transportation options, (ii) intersegment revenues and (iii) the amount of consideration associated with certain income generating contracts, which include a fixed minimum level of service, that are either not within the scope of Topic 606 or do not meet the requirements for presentation as remaining performance obligations under Topic 606. The following are examples of contracts that are not included in the table above because they are not within the scope of Topic 606 or do not meet the Topic 606 requirements for presentation:</w:t>
      </w:r>
    </w:p>
    <w:p>
      <w:pPr>
        <w:spacing w:after="0" w:line="158" w:lineRule="exact"/>
        <w:rPr>
          <w:sz w:val="20"/>
          <w:szCs w:val="20"/>
          <w:color w:val="auto"/>
        </w:rPr>
      </w:pPr>
    </w:p>
    <w:p>
      <w:pPr>
        <w:ind w:left="820" w:right="140" w:hanging="164"/>
        <w:spacing w:after="0" w:line="277" w:lineRule="auto"/>
        <w:tabs>
          <w:tab w:leader="none" w:pos="820" w:val="left"/>
        </w:tabs>
        <w:numPr>
          <w:ilvl w:val="0"/>
          <w:numId w:val="7"/>
        </w:numPr>
        <w:rPr>
          <w:rFonts w:ascii="Arial" w:cs="Arial" w:eastAsia="Arial" w:hAnsi="Arial"/>
          <w:sz w:val="18"/>
          <w:szCs w:val="18"/>
          <w:color w:val="auto"/>
        </w:rPr>
      </w:pPr>
      <w:r>
        <w:rPr>
          <w:rFonts w:ascii="Arial" w:cs="Arial" w:eastAsia="Arial" w:hAnsi="Arial"/>
          <w:sz w:val="18"/>
          <w:szCs w:val="18"/>
          <w:color w:val="auto"/>
        </w:rPr>
        <w:t>Minimum volume commitments related to the assets of equity method investees — Contracts include those related to the Eagle Ford, BridgeTex, STACK, Caddo, Saddlehorn, White Cliffs, Cheyenne and Diamond pipeline systems;</w:t>
      </w:r>
    </w:p>
    <w:p>
      <w:pPr>
        <w:spacing w:after="0" w:line="62" w:lineRule="exact"/>
        <w:rPr>
          <w:rFonts w:ascii="Arial" w:cs="Arial" w:eastAsia="Arial" w:hAnsi="Arial"/>
          <w:sz w:val="18"/>
          <w:szCs w:val="18"/>
          <w:color w:val="auto"/>
        </w:rPr>
      </w:pPr>
    </w:p>
    <w:p>
      <w:pPr>
        <w:ind w:left="820" w:hanging="164"/>
        <w:spacing w:after="0"/>
        <w:tabs>
          <w:tab w:leader="none" w:pos="820" w:val="left"/>
        </w:tabs>
        <w:numPr>
          <w:ilvl w:val="0"/>
          <w:numId w:val="7"/>
        </w:numPr>
        <w:rPr>
          <w:rFonts w:ascii="Arial" w:cs="Arial" w:eastAsia="Arial" w:hAnsi="Arial"/>
          <w:sz w:val="17"/>
          <w:szCs w:val="17"/>
          <w:color w:val="auto"/>
        </w:rPr>
      </w:pPr>
      <w:r>
        <w:rPr>
          <w:rFonts w:ascii="Arial" w:cs="Arial" w:eastAsia="Arial" w:hAnsi="Arial"/>
          <w:sz w:val="17"/>
          <w:szCs w:val="17"/>
          <w:color w:val="auto"/>
        </w:rPr>
        <w:t>Acreage dedications — Contracts include those related to the Permian Basin, Eagle Ford, Central, Rocky Mountain and Canada regions;</w:t>
      </w:r>
    </w:p>
    <w:p>
      <w:pPr>
        <w:spacing w:after="0" w:line="128" w:lineRule="exact"/>
        <w:rPr>
          <w:rFonts w:ascii="Arial" w:cs="Arial" w:eastAsia="Arial" w:hAnsi="Arial"/>
          <w:sz w:val="17"/>
          <w:szCs w:val="17"/>
          <w:color w:val="auto"/>
        </w:rPr>
      </w:pPr>
    </w:p>
    <w:p>
      <w:pPr>
        <w:ind w:left="820" w:right="480" w:hanging="164"/>
        <w:spacing w:after="0" w:line="277" w:lineRule="auto"/>
        <w:tabs>
          <w:tab w:leader="none" w:pos="820" w:val="left"/>
        </w:tabs>
        <w:numPr>
          <w:ilvl w:val="0"/>
          <w:numId w:val="7"/>
        </w:numPr>
        <w:rPr>
          <w:rFonts w:ascii="Arial" w:cs="Arial" w:eastAsia="Arial" w:hAnsi="Arial"/>
          <w:sz w:val="18"/>
          <w:szCs w:val="18"/>
          <w:color w:val="auto"/>
        </w:rPr>
      </w:pPr>
      <w:r>
        <w:rPr>
          <w:rFonts w:ascii="Arial" w:cs="Arial" w:eastAsia="Arial" w:hAnsi="Arial"/>
          <w:sz w:val="18"/>
          <w:szCs w:val="18"/>
          <w:color w:val="auto"/>
        </w:rPr>
        <w:t>Supply and Logistics contracts within the scope of Topic 845 — Contracts include buy/sell arrangements with future committed volumes on certain Permian Basin, Eagle Ford, Central and Canada region systems;</w:t>
      </w:r>
    </w:p>
    <w:p>
      <w:pPr>
        <w:spacing w:after="0" w:line="62" w:lineRule="exact"/>
        <w:rPr>
          <w:rFonts w:ascii="Arial" w:cs="Arial" w:eastAsia="Arial" w:hAnsi="Arial"/>
          <w:sz w:val="18"/>
          <w:szCs w:val="18"/>
          <w:color w:val="auto"/>
        </w:rPr>
      </w:pPr>
    </w:p>
    <w:p>
      <w:pPr>
        <w:ind w:left="820" w:right="200" w:hanging="164"/>
        <w:spacing w:after="0" w:line="277" w:lineRule="auto"/>
        <w:tabs>
          <w:tab w:leader="none" w:pos="820" w:val="left"/>
        </w:tabs>
        <w:numPr>
          <w:ilvl w:val="0"/>
          <w:numId w:val="7"/>
        </w:numPr>
        <w:rPr>
          <w:rFonts w:ascii="Arial" w:cs="Arial" w:eastAsia="Arial" w:hAnsi="Arial"/>
          <w:sz w:val="18"/>
          <w:szCs w:val="18"/>
          <w:color w:val="auto"/>
        </w:rPr>
      </w:pPr>
      <w:r>
        <w:rPr>
          <w:rFonts w:ascii="Arial" w:cs="Arial" w:eastAsia="Arial" w:hAnsi="Arial"/>
          <w:sz w:val="18"/>
          <w:szCs w:val="18"/>
          <w:color w:val="auto"/>
        </w:rPr>
        <w:t>All other Supply and Logistics contracts, due to the election of practical expedients related to variable consideration and short-term contracts, as discussed below;</w:t>
      </w:r>
    </w:p>
    <w:p>
      <w:pPr>
        <w:spacing w:after="0" w:line="62" w:lineRule="exact"/>
        <w:rPr>
          <w:rFonts w:ascii="Arial" w:cs="Arial" w:eastAsia="Arial" w:hAnsi="Arial"/>
          <w:sz w:val="18"/>
          <w:szCs w:val="18"/>
          <w:color w:val="auto"/>
        </w:rPr>
      </w:pPr>
    </w:p>
    <w:p>
      <w:pPr>
        <w:ind w:left="820" w:hanging="164"/>
        <w:spacing w:after="0"/>
        <w:tabs>
          <w:tab w:leader="none" w:pos="820" w:val="left"/>
        </w:tabs>
        <w:numPr>
          <w:ilvl w:val="0"/>
          <w:numId w:val="7"/>
        </w:numPr>
        <w:rPr>
          <w:rFonts w:ascii="Arial" w:cs="Arial" w:eastAsia="Arial" w:hAnsi="Arial"/>
          <w:sz w:val="18"/>
          <w:szCs w:val="18"/>
          <w:color w:val="auto"/>
        </w:rPr>
      </w:pPr>
      <w:r>
        <w:rPr>
          <w:rFonts w:ascii="Arial" w:cs="Arial" w:eastAsia="Arial" w:hAnsi="Arial"/>
          <w:sz w:val="18"/>
          <w:szCs w:val="18"/>
          <w:color w:val="auto"/>
        </w:rPr>
        <w:t>Transportation and Facilities contracts that are short-term, as discussed below;</w:t>
      </w:r>
    </w:p>
    <w:p>
      <w:pPr>
        <w:spacing w:after="0" w:line="117" w:lineRule="exact"/>
        <w:rPr>
          <w:rFonts w:ascii="Arial" w:cs="Arial" w:eastAsia="Arial" w:hAnsi="Arial"/>
          <w:sz w:val="18"/>
          <w:szCs w:val="18"/>
          <w:color w:val="auto"/>
        </w:rPr>
      </w:pPr>
    </w:p>
    <w:p>
      <w:pPr>
        <w:ind w:left="820" w:hanging="164"/>
        <w:spacing w:after="0"/>
        <w:tabs>
          <w:tab w:leader="none" w:pos="820" w:val="left"/>
        </w:tabs>
        <w:numPr>
          <w:ilvl w:val="0"/>
          <w:numId w:val="7"/>
        </w:numPr>
        <w:rPr>
          <w:rFonts w:ascii="Arial" w:cs="Arial" w:eastAsia="Arial" w:hAnsi="Arial"/>
          <w:sz w:val="18"/>
          <w:szCs w:val="18"/>
          <w:color w:val="auto"/>
        </w:rPr>
      </w:pPr>
      <w:r>
        <w:rPr>
          <w:rFonts w:ascii="Arial" w:cs="Arial" w:eastAsia="Arial" w:hAnsi="Arial"/>
          <w:sz w:val="18"/>
          <w:szCs w:val="18"/>
          <w:color w:val="auto"/>
        </w:rPr>
        <w:t xml:space="preserve">Contracts within the scope of ASC Topic 840, </w:t>
      </w:r>
      <w:r>
        <w:rPr>
          <w:rFonts w:ascii="Arial" w:cs="Arial" w:eastAsia="Arial" w:hAnsi="Arial"/>
          <w:sz w:val="18"/>
          <w:szCs w:val="18"/>
          <w:i w:val="1"/>
          <w:iCs w:val="1"/>
          <w:color w:val="auto"/>
        </w:rPr>
        <w:t>Leases</w:t>
      </w:r>
      <w:r>
        <w:rPr>
          <w:rFonts w:ascii="Arial" w:cs="Arial" w:eastAsia="Arial" w:hAnsi="Arial"/>
          <w:sz w:val="18"/>
          <w:szCs w:val="18"/>
          <w:color w:val="auto"/>
        </w:rPr>
        <w:t>; and</w:t>
      </w:r>
    </w:p>
    <w:p>
      <w:pPr>
        <w:spacing w:after="0" w:line="117" w:lineRule="exact"/>
        <w:rPr>
          <w:rFonts w:ascii="Arial" w:cs="Arial" w:eastAsia="Arial" w:hAnsi="Arial"/>
          <w:sz w:val="18"/>
          <w:szCs w:val="18"/>
          <w:color w:val="auto"/>
        </w:rPr>
      </w:pPr>
    </w:p>
    <w:p>
      <w:pPr>
        <w:ind w:left="820" w:hanging="164"/>
        <w:spacing w:after="0"/>
        <w:tabs>
          <w:tab w:leader="none" w:pos="820" w:val="left"/>
        </w:tabs>
        <w:numPr>
          <w:ilvl w:val="0"/>
          <w:numId w:val="7"/>
        </w:numPr>
        <w:rPr>
          <w:rFonts w:ascii="Arial" w:cs="Arial" w:eastAsia="Arial" w:hAnsi="Arial"/>
          <w:sz w:val="18"/>
          <w:szCs w:val="18"/>
          <w:color w:val="auto"/>
        </w:rPr>
      </w:pPr>
      <w:r>
        <w:rPr>
          <w:rFonts w:ascii="Arial" w:cs="Arial" w:eastAsia="Arial" w:hAnsi="Arial"/>
          <w:sz w:val="18"/>
          <w:szCs w:val="18"/>
          <w:color w:val="auto"/>
        </w:rPr>
        <w:t xml:space="preserve">Contracts within the scope of ASC Topic 815, </w:t>
      </w:r>
      <w:r>
        <w:rPr>
          <w:rFonts w:ascii="Arial" w:cs="Arial" w:eastAsia="Arial" w:hAnsi="Arial"/>
          <w:sz w:val="18"/>
          <w:szCs w:val="18"/>
          <w:i w:val="1"/>
          <w:iCs w:val="1"/>
          <w:color w:val="auto"/>
        </w:rPr>
        <w:t>Derivatives and Hedging</w:t>
      </w:r>
      <w:r>
        <w:rPr>
          <w:rFonts w:ascii="Arial" w:cs="Arial" w:eastAsia="Arial" w:hAnsi="Arial"/>
          <w:sz w:val="18"/>
          <w:szCs w:val="18"/>
          <w:color w:val="auto"/>
        </w:rPr>
        <w:t>.</w:t>
      </w:r>
    </w:p>
    <w:p>
      <w:pPr>
        <w:spacing w:after="0" w:line="225" w:lineRule="exact"/>
        <w:rPr>
          <w:sz w:val="20"/>
          <w:szCs w:val="20"/>
          <w:color w:val="auto"/>
        </w:rPr>
      </w:pPr>
    </w:p>
    <w:p>
      <w:pPr>
        <w:ind w:right="120" w:firstLine="648"/>
        <w:spacing w:after="0" w:line="255" w:lineRule="auto"/>
        <w:rPr>
          <w:sz w:val="20"/>
          <w:szCs w:val="20"/>
          <w:color w:val="auto"/>
        </w:rPr>
      </w:pPr>
      <w:r>
        <w:rPr>
          <w:rFonts w:ascii="Arial" w:cs="Arial" w:eastAsia="Arial" w:hAnsi="Arial"/>
          <w:sz w:val="18"/>
          <w:szCs w:val="18"/>
          <w:color w:val="auto"/>
        </w:rPr>
        <w:t>We have elected practical expedients to exclude the presentation of remaining performance obligations for variable consideration which relates to wholly unsatisfied performance obligations. Certain contracts do not meet the requirements for presentation of remaining performance obligations under Topic 606 due to variability in amount of performance obligation remaining, variability in the timing of recognition or variability in consideration. Acreage dedications do require us to perform future services but do not contain a minimum level of services and are therefore excluded from this presentation. Long-term supply and logistics arrangements contain variable timing, volumes and/or consideration and are excluded from this presentation. The duration of these contracts varies across the periods presented above.</w:t>
      </w:r>
    </w:p>
    <w:p>
      <w:pPr>
        <w:spacing w:after="0" w:line="193" w:lineRule="exact"/>
        <w:rPr>
          <w:sz w:val="20"/>
          <w:szCs w:val="20"/>
          <w:color w:val="auto"/>
        </w:rPr>
      </w:pPr>
    </w:p>
    <w:p>
      <w:pPr>
        <w:jc w:val="both"/>
        <w:ind w:right="440" w:firstLine="648"/>
        <w:spacing w:after="0" w:line="312" w:lineRule="auto"/>
        <w:rPr>
          <w:sz w:val="20"/>
          <w:szCs w:val="20"/>
          <w:color w:val="auto"/>
        </w:rPr>
      </w:pPr>
      <w:r>
        <w:rPr>
          <w:rFonts w:ascii="Arial" w:cs="Arial" w:eastAsia="Arial" w:hAnsi="Arial"/>
          <w:sz w:val="16"/>
          <w:szCs w:val="16"/>
          <w:color w:val="auto"/>
        </w:rPr>
        <w:t>Additionally, we have elected practical expedients to exclude contracts with terms of one year or less, and therefore exclude the presentation of remaining performance obligations for short-term transportation, storage and processing services, supply and logistics arrangements, including the non-cancelable period of evergreen arrangements, and any other types of arrangements with terms of one year or less.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4—Net Income Per Class A Share</w:t>
      </w:r>
    </w:p>
    <w:p>
      <w:pPr>
        <w:spacing w:after="0" w:line="229" w:lineRule="exact"/>
        <w:rPr>
          <w:sz w:val="20"/>
          <w:szCs w:val="20"/>
          <w:color w:val="auto"/>
        </w:rPr>
      </w:pPr>
    </w:p>
    <w:p>
      <w:pPr>
        <w:jc w:val="both"/>
        <w:ind w:right="180" w:firstLine="648"/>
        <w:spacing w:after="0" w:line="264" w:lineRule="auto"/>
        <w:rPr>
          <w:sz w:val="20"/>
          <w:szCs w:val="20"/>
          <w:color w:val="auto"/>
        </w:rPr>
      </w:pPr>
      <w:r>
        <w:rPr>
          <w:rFonts w:ascii="Arial" w:cs="Arial" w:eastAsia="Arial" w:hAnsi="Arial"/>
          <w:sz w:val="18"/>
          <w:szCs w:val="18"/>
          <w:color w:val="auto"/>
        </w:rPr>
        <w:t>Basic net income per Class A share is determined by dividing net income attributable to PAGP by the weighted average number of Class A shares outstanding during the period. Our Class B and Class C shares do not share in the earnings of the Partnership; accordingly, basic and diluted net income per Class B and Class C share has not been presented.</w:t>
      </w:r>
    </w:p>
    <w:p>
      <w:pPr>
        <w:spacing w:after="0" w:line="181" w:lineRule="exact"/>
        <w:rPr>
          <w:sz w:val="20"/>
          <w:szCs w:val="20"/>
          <w:color w:val="auto"/>
        </w:rPr>
      </w:pPr>
    </w:p>
    <w:p>
      <w:pPr>
        <w:ind w:right="60" w:firstLine="648"/>
        <w:spacing w:after="0" w:line="273" w:lineRule="auto"/>
        <w:rPr>
          <w:sz w:val="20"/>
          <w:szCs w:val="20"/>
          <w:color w:val="auto"/>
        </w:rPr>
      </w:pPr>
      <w:r>
        <w:rPr>
          <w:rFonts w:ascii="Arial" w:cs="Arial" w:eastAsia="Arial" w:hAnsi="Arial"/>
          <w:sz w:val="17"/>
          <w:szCs w:val="17"/>
          <w:color w:val="auto"/>
        </w:rPr>
        <w:t>Diluted net income per Class A share is determined by dividing net income attributable to PAGP by the diluted weighted average number of Class A shares outstanding during the period. For purposes of calculating diluted net income per Class A share, both the net income attributable to PAGP and the diluted weighted average number of Class A shares outstanding consider the impact of possible future exchanges of (i) AAP units and the associated Class B shares into our Class A shares and (ii) certain Class B units of AAP (referred to herein as “AAP Management Units”) into our Class A shares. In addition, the calculation of the diluted weighted average number of Class A shares outstanding considers the effect of potentially dilutive awards under the Plains GP Holdings, L.P. Long-Term Incentive Plan (the “PAGP LTIP”).</w:t>
      </w:r>
    </w:p>
    <w:p>
      <w:pPr>
        <w:spacing w:after="0" w:line="178"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All AAP Management Units that have satisfied the applicable performance conditions are considered potentially dilutive. Exchanges of potentially dilutive AAP units and AAP Management Units are assumed to have occurred at the beginning of the period and the incremental income attributable to PAGP resulting from the assumed exchanges is representative of the incremental income that would have been attributable to PAGP if the assumed exchanges occurred on that date. See Note 11 to our Consolidated Financial Statements included in Part IV of our 2017 Annual Report on Form 10-K for information regarding exchanges of AAP units and AAP Management Units. PAGP LTIP awards that are deemed to be dilutive are reduced by a hypothetical share repurchase based on the remaining unamortized fair value, as prescribed by the treasury stock method in guidance issued by the FASB. See Note 16 to our Consolidated Financial Statements included in Part IV of our 2017 Annual Report on Form 10-K for information regarding PAGP LTIP awards.</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00"/>
          </w:cols>
          <w:pgMar w:left="240" w:top="125" w:right="25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For the three and six months ended June 30, 2018 and 2017, the possible exchange of any AAP units and certain AAP Management Units would not have had a dilutive effect on basic net income per Class A share. For the three and six months ended June 30, 2018 and 2017, our PAGP LTIP awards were dilutive; however, there were less than 0.1 million dilutive LTIP awards for each period, which did not change the presentation of weighted average Class A shares outstanding or net income per Class A share.</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sets forth the computation of basic and diluted net income per Class A share (in millions, except per share data):</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60" w:type="dxa"/>
            <w:vAlign w:val="bottom"/>
          </w:tcPr>
          <w:p>
            <w:pPr>
              <w:spacing w:after="0"/>
              <w:rPr>
                <w:sz w:val="14"/>
                <w:szCs w:val="14"/>
                <w:color w:val="auto"/>
              </w:rPr>
            </w:pPr>
          </w:p>
        </w:tc>
        <w:tc>
          <w:tcPr>
            <w:tcW w:w="2180" w:type="dxa"/>
            <w:vAlign w:val="bottom"/>
            <w:gridSpan w:val="4"/>
          </w:tcPr>
          <w:p>
            <w:pPr>
              <w:jc w:val="right"/>
              <w:ind w:right="116"/>
              <w:spacing w:after="0"/>
              <w:rPr>
                <w:sz w:val="20"/>
                <w:szCs w:val="20"/>
                <w:color w:val="auto"/>
              </w:rPr>
            </w:pPr>
            <w:r>
              <w:rPr>
                <w:rFonts w:ascii="Arial" w:cs="Arial" w:eastAsia="Arial" w:hAnsi="Arial"/>
                <w:sz w:val="14"/>
                <w:szCs w:val="14"/>
                <w:b w:val="1"/>
                <w:bCs w:val="1"/>
                <w:color w:val="auto"/>
              </w:rPr>
              <w:t>Three Months Ended</w:t>
            </w: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320" w:type="dxa"/>
            <w:vAlign w:val="bottom"/>
            <w:gridSpan w:val="4"/>
          </w:tcPr>
          <w:p>
            <w:pPr>
              <w:jc w:val="right"/>
              <w:ind w:right="634"/>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92"/>
        </w:trPr>
        <w:tc>
          <w:tcPr>
            <w:tcW w:w="6060" w:type="dxa"/>
            <w:vAlign w:val="bottom"/>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3"/>
          </w:tcPr>
          <w:p>
            <w:pPr>
              <w:jc w:val="right"/>
              <w:ind w:right="516"/>
              <w:spacing w:after="0"/>
              <w:rPr>
                <w:sz w:val="20"/>
                <w:szCs w:val="20"/>
                <w:color w:val="auto"/>
              </w:rPr>
            </w:pPr>
            <w:r>
              <w:rPr>
                <w:rFonts w:ascii="Arial" w:cs="Arial" w:eastAsia="Arial" w:hAnsi="Arial"/>
                <w:sz w:val="14"/>
                <w:szCs w:val="14"/>
                <w:b w:val="1"/>
                <w:bCs w:val="1"/>
                <w:color w:val="auto"/>
              </w:rPr>
              <w:t>June 30,</w:t>
            </w:r>
          </w:p>
        </w:tc>
        <w:tc>
          <w:tcPr>
            <w:tcW w:w="4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4"/>
                <w:szCs w:val="14"/>
                <w:b w:val="1"/>
                <w:bCs w:val="1"/>
                <w:color w:val="auto"/>
              </w:rPr>
              <w:t>June 30,</w:t>
            </w:r>
          </w:p>
        </w:tc>
        <w:tc>
          <w:tcPr>
            <w:tcW w:w="9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6060" w:type="dxa"/>
            <w:vAlign w:val="bottom"/>
            <w:tcBorders>
              <w:bottom w:val="single" w:sz="8" w:color="CCEEFF"/>
            </w:tcBorders>
          </w:tcPr>
          <w:p>
            <w:pPr>
              <w:spacing w:after="0"/>
              <w:rPr>
                <w:sz w:val="22"/>
                <w:szCs w:val="22"/>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44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46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99"/>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Basic and Diluted Net Income per Class A Share</w:t>
            </w:r>
          </w:p>
        </w:tc>
        <w:tc>
          <w:tcPr>
            <w:tcW w:w="8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060" w:type="dxa"/>
            <w:vAlign w:val="bottom"/>
          </w:tcPr>
          <w:p>
            <w:pPr>
              <w:ind w:left="180"/>
              <w:spacing w:after="0"/>
              <w:rPr>
                <w:sz w:val="20"/>
                <w:szCs w:val="20"/>
                <w:color w:val="auto"/>
              </w:rPr>
            </w:pPr>
            <w:r>
              <w:rPr>
                <w:rFonts w:ascii="Arial" w:cs="Arial" w:eastAsia="Arial" w:hAnsi="Arial"/>
                <w:sz w:val="18"/>
                <w:szCs w:val="18"/>
                <w:color w:val="auto"/>
              </w:rPr>
              <w:t>Net income attributable to PAGP</w:t>
            </w:r>
          </w:p>
        </w:tc>
        <w:tc>
          <w:tcPr>
            <w:tcW w:w="820" w:type="dxa"/>
            <w:vAlign w:val="bottom"/>
          </w:tcPr>
          <w:p>
            <w:pPr>
              <w:jc w:val="right"/>
              <w:ind w:right="619"/>
              <w:spacing w:after="0"/>
              <w:rPr>
                <w:sz w:val="20"/>
                <w:szCs w:val="20"/>
                <w:color w:val="auto"/>
              </w:rPr>
            </w:pPr>
            <w:r>
              <w:rPr>
                <w:rFonts w:ascii="Arial" w:cs="Arial" w:eastAsia="Arial" w:hAnsi="Arial"/>
                <w:sz w:val="18"/>
                <w:szCs w:val="18"/>
                <w:color w:val="auto"/>
                <w:w w:val="99"/>
              </w:rPr>
              <w:t>$</w:t>
            </w:r>
          </w:p>
        </w:tc>
        <w:tc>
          <w:tcPr>
            <w:tcW w:w="440" w:type="dxa"/>
            <w:vAlign w:val="bottom"/>
          </w:tcPr>
          <w:p>
            <w:pPr>
              <w:jc w:val="right"/>
              <w:ind w:right="14"/>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21"/>
                <w:szCs w:val="21"/>
                <w:color w:val="auto"/>
              </w:rPr>
            </w:pPr>
          </w:p>
        </w:tc>
        <w:tc>
          <w:tcPr>
            <w:tcW w:w="800" w:type="dxa"/>
            <w:vAlign w:val="bottom"/>
          </w:tcPr>
          <w:p>
            <w:pPr>
              <w:jc w:val="right"/>
              <w:ind w:right="596"/>
              <w:spacing w:after="0"/>
              <w:rPr>
                <w:sz w:val="20"/>
                <w:szCs w:val="20"/>
                <w:color w:val="auto"/>
              </w:rPr>
            </w:pPr>
            <w:r>
              <w:rPr>
                <w:rFonts w:ascii="Arial" w:cs="Arial" w:eastAsia="Arial" w:hAnsi="Arial"/>
                <w:sz w:val="18"/>
                <w:szCs w:val="18"/>
                <w:color w:val="auto"/>
                <w:w w:val="99"/>
              </w:rPr>
              <w:t>$</w:t>
            </w:r>
          </w:p>
        </w:tc>
        <w:tc>
          <w:tcPr>
            <w:tcW w:w="460" w:type="dxa"/>
            <w:vAlign w:val="bottom"/>
          </w:tcPr>
          <w:p>
            <w:pPr>
              <w:jc w:val="right"/>
              <w:ind w:right="30"/>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9"/>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4"/>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8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Basic and diluted weighted average Class A shares outstanding</w:t>
            </w:r>
          </w:p>
        </w:tc>
        <w:tc>
          <w:tcPr>
            <w:tcW w:w="8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157</w:t>
            </w: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157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136</w:t>
            </w:r>
          </w:p>
        </w:tc>
        <w:tc>
          <w:tcPr>
            <w:tcW w:w="0" w:type="dxa"/>
            <w:vAlign w:val="bottom"/>
          </w:tcPr>
          <w:p>
            <w:pPr>
              <w:spacing w:after="0"/>
              <w:rPr>
                <w:sz w:val="1"/>
                <w:szCs w:val="1"/>
                <w:color w:val="auto"/>
              </w:rPr>
            </w:pPr>
          </w:p>
        </w:tc>
      </w:tr>
      <w:tr>
        <w:trPr>
          <w:trHeight w:val="297"/>
        </w:trPr>
        <w:tc>
          <w:tcPr>
            <w:tcW w:w="60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5"/>
        </w:trPr>
        <w:tc>
          <w:tcPr>
            <w:tcW w:w="60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Basic and diluted net income per Class A share</w:t>
            </w:r>
          </w:p>
        </w:tc>
        <w:tc>
          <w:tcPr>
            <w:tcW w:w="820" w:type="dxa"/>
            <w:vAlign w:val="bottom"/>
            <w:tcBorders>
              <w:bottom w:val="single" w:sz="8" w:color="CCEEFF"/>
            </w:tcBorders>
            <w:shd w:val="clear" w:color="auto" w:fill="CCEEFF"/>
          </w:tcPr>
          <w:p>
            <w:pPr>
              <w:jc w:val="right"/>
              <w:ind w:right="619"/>
              <w:spacing w:after="0"/>
              <w:rPr>
                <w:sz w:val="20"/>
                <w:szCs w:val="20"/>
                <w:color w:val="auto"/>
              </w:rPr>
            </w:pPr>
            <w:r>
              <w:rPr>
                <w:rFonts w:ascii="Arial" w:cs="Arial" w:eastAsia="Arial" w:hAnsi="Arial"/>
                <w:sz w:val="18"/>
                <w:szCs w:val="18"/>
                <w:color w:val="auto"/>
                <w:w w:val="99"/>
              </w:rPr>
              <w:t>$</w:t>
            </w:r>
          </w:p>
        </w:tc>
        <w:tc>
          <w:tcPr>
            <w:tcW w:w="4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w w:val="91"/>
              </w:rPr>
              <w:t>0.05</w:t>
            </w:r>
          </w:p>
        </w:tc>
        <w:tc>
          <w:tcPr>
            <w:tcW w:w="1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596"/>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1"/>
              </w:rPr>
              <w:t>0.16</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0.28</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0.47</w:t>
            </w:r>
          </w:p>
        </w:tc>
        <w:tc>
          <w:tcPr>
            <w:tcW w:w="0" w:type="dxa"/>
            <w:vAlign w:val="bottom"/>
          </w:tcPr>
          <w:p>
            <w:pPr>
              <w:spacing w:after="0"/>
              <w:rPr>
                <w:sz w:val="1"/>
                <w:szCs w:val="1"/>
                <w:color w:val="auto"/>
              </w:rPr>
            </w:pPr>
          </w:p>
        </w:tc>
      </w:tr>
      <w:tr>
        <w:trPr>
          <w:trHeight w:val="20"/>
        </w:trPr>
        <w:tc>
          <w:tcPr>
            <w:tcW w:w="606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b w:val="1"/>
                <w:bCs w:val="1"/>
                <w:color w:val="auto"/>
              </w:rPr>
              <w:t>Note 5—Accounts Receivable, Net</w:t>
            </w:r>
          </w:p>
        </w:tc>
        <w:tc>
          <w:tcPr>
            <w:tcW w:w="8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6060" w:type="dxa"/>
            <w:vAlign w:val="bottom"/>
            <w:vMerge w:val="continue"/>
          </w:tcPr>
          <w:p>
            <w:pPr>
              <w:spacing w:after="0"/>
              <w:rPr>
                <w:sz w:val="24"/>
                <w:szCs w:val="24"/>
                <w:color w:val="auto"/>
              </w:rPr>
            </w:pPr>
          </w:p>
        </w:tc>
        <w:tc>
          <w:tcPr>
            <w:tcW w:w="8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Our accounts receivable are primarily from purchasers and shippers of crude oil and, to a lesser extent, purchasers of NGL and natural gas. To mitigate credit risk related to our accounts receivable, we utilize a rigorous credit review process. We closely monitor market conditions and perform credit reviews of each customer to make a determination with respect to the amount, if any, of open credit to be extended to any given customer and the form and amount of financial performance assurances we require. Such financial assurances are commonly provided to us in the form of advance cash payments, standby letters of credit, credit insurance or parental guarantees. As of June 30, 2018 and December 31, 2017, we had received $164 million and $117 million, respectively, of advance cash payments from third parties to mitigate credit risk. We also received $42 million and $54 million as of June 30, 2018 and December 31, 2017, respectively, of standby letters of credit to support obligations due from third parties, a portion of which applies to future business. Additionally, in an effort to mitigate credit risk, a significant portion of our transactions with counterparties are settled on a net-cash basis. Furthermore, we also enter into netting agreements (contractual agreements that allow us to offset receivables and payables with those counterparties against each other on our balance sheet) for the majority of our net-cash arrangements.</w:t>
      </w:r>
    </w:p>
    <w:p>
      <w:pPr>
        <w:spacing w:after="0" w:line="178" w:lineRule="exact"/>
        <w:rPr>
          <w:sz w:val="20"/>
          <w:szCs w:val="20"/>
          <w:color w:val="auto"/>
        </w:rPr>
      </w:pPr>
    </w:p>
    <w:p>
      <w:pPr>
        <w:ind w:firstLine="648"/>
        <w:spacing w:after="0" w:line="276" w:lineRule="auto"/>
        <w:rPr>
          <w:sz w:val="20"/>
          <w:szCs w:val="20"/>
          <w:color w:val="auto"/>
        </w:rPr>
      </w:pPr>
      <w:r>
        <w:rPr>
          <w:rFonts w:ascii="Arial" w:cs="Arial" w:eastAsia="Arial" w:hAnsi="Arial"/>
          <w:sz w:val="17"/>
          <w:szCs w:val="17"/>
          <w:color w:val="auto"/>
        </w:rPr>
        <w:t>We review all outstanding accounts receivable balances on a monthly basis and record a reserve for amounts that we expect will not be fully recovered. We do not apply actual balances against the reserve until we have exhausted substantially all collection efforts. At June 30, 2018 and December 31, 2017, substantially all of our trade accounts receivable (net of allowance for doubtful accounts) were less than 30 days past their scheduled invoice date. Our allowance for doubtful accounts receivable totaled $3 million at both June 30, 2018 and December 31, 2017. Although we consider our allowance for doubtful accounts receivable to be adequate, actual amounts could vary significantly from estimated amounts.</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125" w:right="23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6—Inventory, Linefill and Base Gas and Long-term Inventory</w:t>
      </w:r>
    </w:p>
    <w:p>
      <w:pPr>
        <w:spacing w:after="0" w:line="229"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Inventory, linefill and base gas and long-term inventory consisted of the following (barrels and natural gas volumes in thousands and carrying value in millions):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740" w:type="dxa"/>
            <w:vAlign w:val="bottom"/>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080" w:type="dxa"/>
            <w:vAlign w:val="bottom"/>
            <w:tcBorders>
              <w:bottom w:val="single" w:sz="8" w:color="auto"/>
            </w:tcBorders>
            <w:gridSpan w:val="4"/>
          </w:tcPr>
          <w:p>
            <w:pPr>
              <w:jc w:val="right"/>
              <w:ind w:right="593"/>
              <w:spacing w:after="0"/>
              <w:rPr>
                <w:sz w:val="20"/>
                <w:szCs w:val="20"/>
                <w:color w:val="auto"/>
              </w:rPr>
            </w:pPr>
            <w:r>
              <w:rPr>
                <w:rFonts w:ascii="Arial" w:cs="Arial" w:eastAsia="Arial" w:hAnsi="Arial"/>
                <w:sz w:val="14"/>
                <w:szCs w:val="14"/>
                <w:b w:val="1"/>
                <w:bCs w:val="1"/>
                <w:color w:val="auto"/>
              </w:rPr>
              <w:t>June 30, 2018</w:t>
            </w: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40" w:type="dxa"/>
            <w:vAlign w:val="bottom"/>
            <w:tcBorders>
              <w:bottom w:val="single" w:sz="8" w:color="auto"/>
            </w:tcBorders>
            <w:gridSpan w:val="4"/>
          </w:tcPr>
          <w:p>
            <w:pPr>
              <w:jc w:val="right"/>
              <w:ind w:right="393"/>
              <w:spacing w:after="0"/>
              <w:rPr>
                <w:sz w:val="20"/>
                <w:szCs w:val="20"/>
                <w:color w:val="auto"/>
              </w:rPr>
            </w:pPr>
            <w:r>
              <w:rPr>
                <w:rFonts w:ascii="Arial" w:cs="Arial" w:eastAsia="Arial" w:hAnsi="Arial"/>
                <w:sz w:val="14"/>
                <w:szCs w:val="14"/>
                <w:b w:val="1"/>
                <w:bCs w:val="1"/>
                <w:color w:val="auto"/>
              </w:rPr>
              <w:t>December 31, 2017</w:t>
            </w: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2740" w:type="dxa"/>
            <w:vAlign w:val="bottom"/>
          </w:tcPr>
          <w:p>
            <w:pPr>
              <w:spacing w:after="0"/>
              <w:rPr>
                <w:sz w:val="13"/>
                <w:szCs w:val="13"/>
                <w:color w:val="auto"/>
              </w:rPr>
            </w:pPr>
          </w:p>
        </w:tc>
        <w:tc>
          <w:tcPr>
            <w:tcW w:w="1180" w:type="dxa"/>
            <w:vAlign w:val="bottom"/>
            <w:gridSpan w:val="2"/>
            <w:vMerge w:val="restart"/>
          </w:tcPr>
          <w:p>
            <w:pPr>
              <w:ind w:left="260"/>
              <w:spacing w:after="0"/>
              <w:rPr>
                <w:sz w:val="20"/>
                <w:szCs w:val="20"/>
                <w:color w:val="auto"/>
              </w:rPr>
            </w:pPr>
            <w:r>
              <w:rPr>
                <w:rFonts w:ascii="Arial" w:cs="Arial" w:eastAsia="Arial" w:hAnsi="Arial"/>
                <w:sz w:val="14"/>
                <w:szCs w:val="14"/>
                <w:b w:val="1"/>
                <w:bCs w:val="1"/>
                <w:color w:val="auto"/>
              </w:rPr>
              <w:t>Volumes</w:t>
            </w:r>
          </w:p>
        </w:tc>
        <w:tc>
          <w:tcPr>
            <w:tcW w:w="1160" w:type="dxa"/>
            <w:vAlign w:val="bottom"/>
            <w:gridSpan w:val="2"/>
          </w:tcPr>
          <w:p>
            <w:pPr>
              <w:ind w:left="300"/>
              <w:spacing w:after="0" w:line="153" w:lineRule="exact"/>
              <w:rPr>
                <w:sz w:val="20"/>
                <w:szCs w:val="20"/>
                <w:color w:val="auto"/>
              </w:rPr>
            </w:pPr>
            <w:r>
              <w:rPr>
                <w:rFonts w:ascii="Arial" w:cs="Arial" w:eastAsia="Arial" w:hAnsi="Arial"/>
                <w:sz w:val="14"/>
                <w:szCs w:val="14"/>
                <w:b w:val="1"/>
                <w:bCs w:val="1"/>
                <w:color w:val="auto"/>
              </w:rPr>
              <w:t>Unit of</w:t>
            </w:r>
          </w:p>
        </w:tc>
        <w:tc>
          <w:tcPr>
            <w:tcW w:w="140" w:type="dxa"/>
            <w:vAlign w:val="bottom"/>
          </w:tcPr>
          <w:p>
            <w:pPr>
              <w:spacing w:after="0"/>
              <w:rPr>
                <w:sz w:val="13"/>
                <w:szCs w:val="13"/>
                <w:color w:val="auto"/>
              </w:rPr>
            </w:pPr>
          </w:p>
        </w:tc>
        <w:tc>
          <w:tcPr>
            <w:tcW w:w="780" w:type="dxa"/>
            <w:vAlign w:val="bottom"/>
          </w:tcPr>
          <w:p>
            <w:pPr>
              <w:jc w:val="right"/>
              <w:ind w:right="93"/>
              <w:spacing w:after="0" w:line="153" w:lineRule="exact"/>
              <w:rPr>
                <w:sz w:val="20"/>
                <w:szCs w:val="20"/>
                <w:color w:val="auto"/>
              </w:rPr>
            </w:pPr>
            <w:r>
              <w:rPr>
                <w:rFonts w:ascii="Arial" w:cs="Arial" w:eastAsia="Arial" w:hAnsi="Arial"/>
                <w:sz w:val="14"/>
                <w:szCs w:val="14"/>
                <w:b w:val="1"/>
                <w:bCs w:val="1"/>
                <w:color w:val="auto"/>
              </w:rPr>
              <w:t>Carrying</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gridSpan w:val="2"/>
          </w:tcPr>
          <w:p>
            <w:pPr>
              <w:jc w:val="center"/>
              <w:ind w:right="320"/>
              <w:spacing w:after="0" w:line="153" w:lineRule="exact"/>
              <w:rPr>
                <w:sz w:val="20"/>
                <w:szCs w:val="20"/>
                <w:color w:val="auto"/>
              </w:rPr>
            </w:pPr>
            <w:r>
              <w:rPr>
                <w:rFonts w:ascii="Arial" w:cs="Arial" w:eastAsia="Arial" w:hAnsi="Arial"/>
                <w:sz w:val="14"/>
                <w:szCs w:val="14"/>
                <w:b w:val="1"/>
                <w:bCs w:val="1"/>
                <w:color w:val="auto"/>
                <w:w w:val="94"/>
              </w:rPr>
              <w:t>Price/</w:t>
            </w:r>
          </w:p>
        </w:tc>
        <w:tc>
          <w:tcPr>
            <w:tcW w:w="100" w:type="dxa"/>
            <w:vAlign w:val="bottom"/>
          </w:tcPr>
          <w:p>
            <w:pPr>
              <w:spacing w:after="0"/>
              <w:rPr>
                <w:sz w:val="13"/>
                <w:szCs w:val="13"/>
                <w:color w:val="auto"/>
              </w:rPr>
            </w:pPr>
          </w:p>
        </w:tc>
        <w:tc>
          <w:tcPr>
            <w:tcW w:w="1120" w:type="dxa"/>
            <w:vAlign w:val="bottom"/>
            <w:gridSpan w:val="2"/>
            <w:vMerge w:val="restart"/>
          </w:tcPr>
          <w:p>
            <w:pPr>
              <w:ind w:left="260"/>
              <w:spacing w:after="0"/>
              <w:rPr>
                <w:sz w:val="20"/>
                <w:szCs w:val="20"/>
                <w:color w:val="auto"/>
              </w:rPr>
            </w:pPr>
            <w:r>
              <w:rPr>
                <w:rFonts w:ascii="Arial" w:cs="Arial" w:eastAsia="Arial" w:hAnsi="Arial"/>
                <w:sz w:val="14"/>
                <w:szCs w:val="14"/>
                <w:b w:val="1"/>
                <w:bCs w:val="1"/>
                <w:color w:val="auto"/>
              </w:rPr>
              <w:t>Volumes</w:t>
            </w:r>
          </w:p>
        </w:tc>
        <w:tc>
          <w:tcPr>
            <w:tcW w:w="1140" w:type="dxa"/>
            <w:vAlign w:val="bottom"/>
            <w:gridSpan w:val="2"/>
          </w:tcPr>
          <w:p>
            <w:pPr>
              <w:ind w:left="300"/>
              <w:spacing w:after="0" w:line="153" w:lineRule="exact"/>
              <w:rPr>
                <w:sz w:val="20"/>
                <w:szCs w:val="20"/>
                <w:color w:val="auto"/>
              </w:rPr>
            </w:pPr>
            <w:r>
              <w:rPr>
                <w:rFonts w:ascii="Arial" w:cs="Arial" w:eastAsia="Arial" w:hAnsi="Arial"/>
                <w:sz w:val="14"/>
                <w:szCs w:val="14"/>
                <w:b w:val="1"/>
                <w:bCs w:val="1"/>
                <w:color w:val="auto"/>
              </w:rPr>
              <w:t>Unit of</w:t>
            </w:r>
          </w:p>
        </w:tc>
        <w:tc>
          <w:tcPr>
            <w:tcW w:w="140" w:type="dxa"/>
            <w:vAlign w:val="bottom"/>
          </w:tcPr>
          <w:p>
            <w:pPr>
              <w:spacing w:after="0"/>
              <w:rPr>
                <w:sz w:val="13"/>
                <w:szCs w:val="13"/>
                <w:color w:val="auto"/>
              </w:rPr>
            </w:pPr>
          </w:p>
        </w:tc>
        <w:tc>
          <w:tcPr>
            <w:tcW w:w="760" w:type="dxa"/>
            <w:vAlign w:val="bottom"/>
          </w:tcPr>
          <w:p>
            <w:pPr>
              <w:jc w:val="right"/>
              <w:ind w:right="73"/>
              <w:spacing w:after="0" w:line="153" w:lineRule="exact"/>
              <w:rPr>
                <w:sz w:val="20"/>
                <w:szCs w:val="20"/>
                <w:color w:val="auto"/>
              </w:rPr>
            </w:pPr>
            <w:r>
              <w:rPr>
                <w:rFonts w:ascii="Arial" w:cs="Arial" w:eastAsia="Arial" w:hAnsi="Arial"/>
                <w:sz w:val="14"/>
                <w:szCs w:val="14"/>
                <w:b w:val="1"/>
                <w:bCs w:val="1"/>
                <w:color w:val="auto"/>
              </w:rPr>
              <w:t>Carrying</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jc w:val="right"/>
              <w:ind w:right="194"/>
              <w:spacing w:after="0" w:line="153" w:lineRule="exact"/>
              <w:rPr>
                <w:sz w:val="20"/>
                <w:szCs w:val="20"/>
                <w:color w:val="auto"/>
              </w:rPr>
            </w:pPr>
            <w:r>
              <w:rPr>
                <w:rFonts w:ascii="Arial" w:cs="Arial" w:eastAsia="Arial" w:hAnsi="Arial"/>
                <w:sz w:val="14"/>
                <w:szCs w:val="14"/>
                <w:b w:val="1"/>
                <w:bCs w:val="1"/>
                <w:color w:val="auto"/>
              </w:rPr>
              <w:t>Price/</w:t>
            </w:r>
          </w:p>
        </w:tc>
        <w:tc>
          <w:tcPr>
            <w:tcW w:w="0" w:type="dxa"/>
            <w:vAlign w:val="bottom"/>
          </w:tcPr>
          <w:p>
            <w:pPr>
              <w:spacing w:after="0"/>
              <w:rPr>
                <w:sz w:val="1"/>
                <w:szCs w:val="1"/>
                <w:color w:val="auto"/>
              </w:rPr>
            </w:pPr>
          </w:p>
        </w:tc>
      </w:tr>
      <w:tr>
        <w:trPr>
          <w:trHeight w:val="192"/>
        </w:trPr>
        <w:tc>
          <w:tcPr>
            <w:tcW w:w="2740" w:type="dxa"/>
            <w:vAlign w:val="bottom"/>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1160" w:type="dxa"/>
            <w:vAlign w:val="bottom"/>
            <w:gridSpan w:val="2"/>
          </w:tcPr>
          <w:p>
            <w:pPr>
              <w:ind w:left="240"/>
              <w:spacing w:after="0"/>
              <w:rPr>
                <w:sz w:val="20"/>
                <w:szCs w:val="20"/>
                <w:color w:val="auto"/>
              </w:rPr>
            </w:pPr>
            <w:r>
              <w:rPr>
                <w:rFonts w:ascii="Arial" w:cs="Arial" w:eastAsia="Arial" w:hAnsi="Arial"/>
                <w:sz w:val="14"/>
                <w:szCs w:val="14"/>
                <w:b w:val="1"/>
                <w:bCs w:val="1"/>
                <w:color w:val="auto"/>
              </w:rPr>
              <w:t>Measure</w:t>
            </w:r>
          </w:p>
        </w:tc>
        <w:tc>
          <w:tcPr>
            <w:tcW w:w="140" w:type="dxa"/>
            <w:vAlign w:val="bottom"/>
          </w:tcPr>
          <w:p>
            <w:pPr>
              <w:spacing w:after="0"/>
              <w:rPr>
                <w:sz w:val="16"/>
                <w:szCs w:val="16"/>
                <w:color w:val="auto"/>
              </w:rPr>
            </w:pPr>
          </w:p>
        </w:tc>
        <w:tc>
          <w:tcPr>
            <w:tcW w:w="780" w:type="dxa"/>
            <w:vAlign w:val="bottom"/>
          </w:tcPr>
          <w:p>
            <w:pPr>
              <w:jc w:val="right"/>
              <w:ind w:right="193"/>
              <w:spacing w:after="0"/>
              <w:rPr>
                <w:sz w:val="20"/>
                <w:szCs w:val="20"/>
                <w:color w:val="auto"/>
              </w:rPr>
            </w:pPr>
            <w:r>
              <w:rPr>
                <w:rFonts w:ascii="Arial" w:cs="Arial" w:eastAsia="Arial" w:hAnsi="Arial"/>
                <w:sz w:val="14"/>
                <w:szCs w:val="14"/>
                <w:b w:val="1"/>
                <w:bCs w:val="1"/>
                <w:color w:val="auto"/>
              </w:rPr>
              <w:t>Value</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 xml:space="preserve">Unit </w:t>
            </w:r>
            <w:r>
              <w:rPr>
                <w:rFonts w:ascii="Arial" w:cs="Arial" w:eastAsia="Arial" w:hAnsi="Arial"/>
                <w:sz w:val="8"/>
                <w:szCs w:val="8"/>
                <w:b w:val="1"/>
                <w:bCs w:val="1"/>
                <w:color w:val="auto"/>
              </w:rPr>
              <w:t>(1)</w:t>
            </w:r>
          </w:p>
        </w:tc>
        <w:tc>
          <w:tcPr>
            <w:tcW w:w="100" w:type="dxa"/>
            <w:vAlign w:val="bottom"/>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1140" w:type="dxa"/>
            <w:vAlign w:val="bottom"/>
            <w:gridSpan w:val="2"/>
          </w:tcPr>
          <w:p>
            <w:pPr>
              <w:ind w:left="260"/>
              <w:spacing w:after="0"/>
              <w:rPr>
                <w:sz w:val="20"/>
                <w:szCs w:val="20"/>
                <w:color w:val="auto"/>
              </w:rPr>
            </w:pPr>
            <w:r>
              <w:rPr>
                <w:rFonts w:ascii="Arial" w:cs="Arial" w:eastAsia="Arial" w:hAnsi="Arial"/>
                <w:sz w:val="14"/>
                <w:szCs w:val="14"/>
                <w:b w:val="1"/>
                <w:bCs w:val="1"/>
                <w:color w:val="auto"/>
              </w:rPr>
              <w:t>Measure</w:t>
            </w:r>
          </w:p>
        </w:tc>
        <w:tc>
          <w:tcPr>
            <w:tcW w:w="140" w:type="dxa"/>
            <w:vAlign w:val="bottom"/>
          </w:tcPr>
          <w:p>
            <w:pPr>
              <w:spacing w:after="0"/>
              <w:rPr>
                <w:sz w:val="16"/>
                <w:szCs w:val="16"/>
                <w:color w:val="auto"/>
              </w:rPr>
            </w:pPr>
          </w:p>
        </w:tc>
        <w:tc>
          <w:tcPr>
            <w:tcW w:w="760" w:type="dxa"/>
            <w:vAlign w:val="bottom"/>
          </w:tcPr>
          <w:p>
            <w:pPr>
              <w:jc w:val="right"/>
              <w:ind w:right="193"/>
              <w:spacing w:after="0"/>
              <w:rPr>
                <w:sz w:val="20"/>
                <w:szCs w:val="20"/>
                <w:color w:val="auto"/>
              </w:rPr>
            </w:pPr>
            <w:r>
              <w:rPr>
                <w:rFonts w:ascii="Arial" w:cs="Arial" w:eastAsia="Arial" w:hAnsi="Arial"/>
                <w:sz w:val="14"/>
                <w:szCs w:val="14"/>
                <w:b w:val="1"/>
                <w:bCs w:val="1"/>
                <w:color w:val="auto"/>
              </w:rPr>
              <w:t>Value</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jc w:val="right"/>
              <w:ind w:right="154"/>
              <w:spacing w:after="0"/>
              <w:rPr>
                <w:sz w:val="20"/>
                <w:szCs w:val="20"/>
                <w:color w:val="auto"/>
              </w:rPr>
            </w:pPr>
            <w:r>
              <w:rPr>
                <w:rFonts w:ascii="Arial" w:cs="Arial" w:eastAsia="Arial" w:hAnsi="Arial"/>
                <w:sz w:val="14"/>
                <w:szCs w:val="14"/>
                <w:b w:val="1"/>
                <w:bCs w:val="1"/>
                <w:color w:val="auto"/>
              </w:rPr>
              <w:t xml:space="preserve">Unit </w:t>
            </w:r>
            <w:r>
              <w:rPr>
                <w:rFonts w:ascii="Arial" w:cs="Arial" w:eastAsia="Arial" w:hAnsi="Arial"/>
                <w:sz w:val="8"/>
                <w:szCs w:val="8"/>
                <w:b w:val="1"/>
                <w:bCs w:val="1"/>
                <w:color w:val="auto"/>
              </w:rPr>
              <w:t>(1)</w:t>
            </w:r>
          </w:p>
        </w:tc>
        <w:tc>
          <w:tcPr>
            <w:tcW w:w="0" w:type="dxa"/>
            <w:vAlign w:val="bottom"/>
          </w:tcPr>
          <w:p>
            <w:pPr>
              <w:spacing w:after="0"/>
              <w:rPr>
                <w:sz w:val="1"/>
                <w:szCs w:val="1"/>
                <w:color w:val="auto"/>
              </w:rPr>
            </w:pPr>
          </w:p>
        </w:tc>
      </w:tr>
      <w:tr>
        <w:trPr>
          <w:trHeight w:val="236"/>
        </w:trPr>
        <w:tc>
          <w:tcPr>
            <w:tcW w:w="27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Inventory</w:t>
            </w:r>
          </w:p>
        </w:tc>
        <w:tc>
          <w:tcPr>
            <w:tcW w:w="1040" w:type="dxa"/>
            <w:vAlign w:val="bottom"/>
            <w:tcBorders>
              <w:top w:val="single" w:sz="8" w:color="auto"/>
              <w:bottom w:val="single" w:sz="8" w:color="CCEEFF"/>
            </w:tcBorders>
            <w:shd w:val="clear" w:color="auto" w:fill="CCEEFF"/>
          </w:tcPr>
          <w:p>
            <w:pPr>
              <w:spacing w:after="0"/>
              <w:rPr>
                <w:sz w:val="20"/>
                <w:szCs w:val="20"/>
                <w:color w:val="auto"/>
              </w:rPr>
            </w:pPr>
          </w:p>
        </w:tc>
        <w:tc>
          <w:tcPr>
            <w:tcW w:w="140" w:type="dxa"/>
            <w:vAlign w:val="bottom"/>
            <w:tcBorders>
              <w:top w:val="single" w:sz="8" w:color="CCEEFF"/>
              <w:bottom w:val="single" w:sz="8" w:color="CCEEFF"/>
            </w:tcBorders>
            <w:shd w:val="clear" w:color="auto" w:fill="CCEEFF"/>
          </w:tcPr>
          <w:p>
            <w:pPr>
              <w:spacing w:after="0"/>
              <w:rPr>
                <w:sz w:val="20"/>
                <w:szCs w:val="20"/>
                <w:color w:val="auto"/>
              </w:rPr>
            </w:pPr>
          </w:p>
        </w:tc>
        <w:tc>
          <w:tcPr>
            <w:tcW w:w="1040" w:type="dxa"/>
            <w:vAlign w:val="bottom"/>
            <w:tcBorders>
              <w:top w:val="single" w:sz="8" w:color="auto"/>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CCEEFF"/>
            </w:tcBorders>
            <w:shd w:val="clear" w:color="auto" w:fill="CCEEFF"/>
          </w:tcPr>
          <w:p>
            <w:pPr>
              <w:spacing w:after="0"/>
              <w:rPr>
                <w:sz w:val="20"/>
                <w:szCs w:val="20"/>
                <w:color w:val="auto"/>
              </w:rPr>
            </w:pPr>
          </w:p>
        </w:tc>
        <w:tc>
          <w:tcPr>
            <w:tcW w:w="780" w:type="dxa"/>
            <w:vAlign w:val="bottom"/>
            <w:tcBorders>
              <w:top w:val="single" w:sz="8" w:color="auto"/>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CCEEFF"/>
            </w:tcBorders>
            <w:shd w:val="clear" w:color="auto" w:fill="CCEEFF"/>
          </w:tcPr>
          <w:p>
            <w:pPr>
              <w:spacing w:after="0"/>
              <w:rPr>
                <w:sz w:val="20"/>
                <w:szCs w:val="20"/>
                <w:color w:val="auto"/>
              </w:rPr>
            </w:pPr>
          </w:p>
        </w:tc>
        <w:tc>
          <w:tcPr>
            <w:tcW w:w="720" w:type="dxa"/>
            <w:vAlign w:val="bottom"/>
            <w:tcBorders>
              <w:top w:val="single" w:sz="8" w:color="auto"/>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right w:val="single" w:sz="8" w:color="auto"/>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02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04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CCEEFF"/>
            </w:tcBorders>
            <w:shd w:val="clear" w:color="auto" w:fill="CCEEFF"/>
          </w:tcPr>
          <w:p>
            <w:pPr>
              <w:spacing w:after="0"/>
              <w:rPr>
                <w:sz w:val="20"/>
                <w:szCs w:val="20"/>
                <w:color w:val="auto"/>
              </w:rPr>
            </w:pPr>
          </w:p>
        </w:tc>
        <w:tc>
          <w:tcPr>
            <w:tcW w:w="760" w:type="dxa"/>
            <w:vAlign w:val="bottom"/>
            <w:tcBorders>
              <w:top w:val="single" w:sz="8" w:color="auto"/>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CCEEFF"/>
            </w:tcBorders>
            <w:shd w:val="clear" w:color="auto" w:fill="CCEEFF"/>
          </w:tcPr>
          <w:p>
            <w:pPr>
              <w:spacing w:after="0"/>
              <w:rPr>
                <w:sz w:val="20"/>
                <w:szCs w:val="20"/>
                <w:color w:val="auto"/>
              </w:rPr>
            </w:pPr>
          </w:p>
        </w:tc>
        <w:tc>
          <w:tcPr>
            <w:tcW w:w="720" w:type="dxa"/>
            <w:vAlign w:val="bottom"/>
            <w:tcBorders>
              <w:top w:val="single" w:sz="8" w:color="auto"/>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740" w:type="dxa"/>
            <w:vAlign w:val="bottom"/>
          </w:tcPr>
          <w:p>
            <w:pPr>
              <w:ind w:left="40"/>
              <w:spacing w:after="0"/>
              <w:rPr>
                <w:sz w:val="20"/>
                <w:szCs w:val="20"/>
                <w:color w:val="auto"/>
              </w:rPr>
            </w:pPr>
            <w:r>
              <w:rPr>
                <w:rFonts w:ascii="Arial" w:cs="Arial" w:eastAsia="Arial" w:hAnsi="Arial"/>
                <w:sz w:val="18"/>
                <w:szCs w:val="18"/>
                <w:color w:val="auto"/>
              </w:rPr>
              <w:t>Crude oil</w:t>
            </w: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5,188</w:t>
            </w:r>
          </w:p>
        </w:tc>
        <w:tc>
          <w:tcPr>
            <w:tcW w:w="140" w:type="dxa"/>
            <w:vAlign w:val="bottom"/>
          </w:tcPr>
          <w:p>
            <w:pPr>
              <w:spacing w:after="0"/>
              <w:rPr>
                <w:sz w:val="21"/>
                <w:szCs w:val="21"/>
                <w:color w:val="auto"/>
              </w:rPr>
            </w:pPr>
          </w:p>
        </w:tc>
        <w:tc>
          <w:tcPr>
            <w:tcW w:w="1160" w:type="dxa"/>
            <w:vAlign w:val="bottom"/>
            <w:gridSpan w:val="2"/>
          </w:tcPr>
          <w:p>
            <w:pPr>
              <w:ind w:left="20"/>
              <w:spacing w:after="0"/>
              <w:rPr>
                <w:sz w:val="20"/>
                <w:szCs w:val="20"/>
                <w:color w:val="auto"/>
              </w:rPr>
            </w:pPr>
            <w:r>
              <w:rPr>
                <w:rFonts w:ascii="Arial" w:cs="Arial" w:eastAsia="Arial" w:hAnsi="Arial"/>
                <w:sz w:val="18"/>
                <w:szCs w:val="18"/>
                <w:color w:val="auto"/>
              </w:rPr>
              <w:t>barrels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ind w:right="13"/>
              <w:spacing w:after="0"/>
              <w:rPr>
                <w:sz w:val="20"/>
                <w:szCs w:val="20"/>
                <w:color w:val="auto"/>
              </w:rPr>
            </w:pPr>
            <w:r>
              <w:rPr>
                <w:rFonts w:ascii="Arial" w:cs="Arial" w:eastAsia="Arial" w:hAnsi="Arial"/>
                <w:sz w:val="18"/>
                <w:szCs w:val="18"/>
                <w:color w:val="auto"/>
              </w:rPr>
              <w:t>359</w:t>
            </w:r>
          </w:p>
        </w:tc>
        <w:tc>
          <w:tcPr>
            <w:tcW w:w="3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34"/>
              <w:spacing w:after="0"/>
              <w:rPr>
                <w:sz w:val="20"/>
                <w:szCs w:val="20"/>
                <w:color w:val="auto"/>
              </w:rPr>
            </w:pPr>
            <w:r>
              <w:rPr>
                <w:rFonts w:ascii="Arial" w:cs="Arial" w:eastAsia="Arial" w:hAnsi="Arial"/>
                <w:sz w:val="18"/>
                <w:szCs w:val="18"/>
                <w:color w:val="auto"/>
              </w:rPr>
              <w:t>69.20</w:t>
            </w:r>
          </w:p>
        </w:tc>
        <w:tc>
          <w:tcPr>
            <w:tcW w:w="120" w:type="dxa"/>
            <w:vAlign w:val="bottom"/>
            <w:tcBorders>
              <w:right w:val="single" w:sz="8" w:color="auto"/>
            </w:tcBorders>
          </w:tcPr>
          <w:p>
            <w:pPr>
              <w:spacing w:after="0"/>
              <w:rPr>
                <w:sz w:val="21"/>
                <w:szCs w:val="21"/>
                <w:color w:val="auto"/>
              </w:rPr>
            </w:pPr>
          </w:p>
        </w:tc>
        <w:tc>
          <w:tcPr>
            <w:tcW w:w="1120" w:type="dxa"/>
            <w:vAlign w:val="bottom"/>
            <w:gridSpan w:val="2"/>
          </w:tcPr>
          <w:p>
            <w:pPr>
              <w:jc w:val="right"/>
              <w:ind w:right="19"/>
              <w:spacing w:after="0"/>
              <w:rPr>
                <w:sz w:val="20"/>
                <w:szCs w:val="20"/>
                <w:color w:val="auto"/>
              </w:rPr>
            </w:pPr>
            <w:r>
              <w:rPr>
                <w:rFonts w:ascii="Arial" w:cs="Arial" w:eastAsia="Arial" w:hAnsi="Arial"/>
                <w:sz w:val="18"/>
                <w:szCs w:val="18"/>
                <w:color w:val="auto"/>
              </w:rPr>
              <w:t>7,800</w:t>
            </w:r>
          </w:p>
        </w:tc>
        <w:tc>
          <w:tcPr>
            <w:tcW w:w="100" w:type="dxa"/>
            <w:vAlign w:val="bottom"/>
          </w:tcPr>
          <w:p>
            <w:pPr>
              <w:spacing w:after="0"/>
              <w:rPr>
                <w:sz w:val="21"/>
                <w:szCs w:val="21"/>
                <w:color w:val="auto"/>
              </w:rPr>
            </w:pPr>
          </w:p>
        </w:tc>
        <w:tc>
          <w:tcPr>
            <w:tcW w:w="1140" w:type="dxa"/>
            <w:vAlign w:val="bottom"/>
            <w:gridSpan w:val="2"/>
          </w:tcPr>
          <w:p>
            <w:pPr>
              <w:ind w:left="40"/>
              <w:spacing w:after="0"/>
              <w:rPr>
                <w:sz w:val="20"/>
                <w:szCs w:val="20"/>
                <w:color w:val="auto"/>
              </w:rPr>
            </w:pPr>
            <w:r>
              <w:rPr>
                <w:rFonts w:ascii="Arial" w:cs="Arial" w:eastAsia="Arial" w:hAnsi="Arial"/>
                <w:sz w:val="18"/>
                <w:szCs w:val="18"/>
                <w:color w:val="auto"/>
              </w:rPr>
              <w:t>barrels</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ind w:right="13"/>
              <w:spacing w:after="0"/>
              <w:rPr>
                <w:sz w:val="20"/>
                <w:szCs w:val="20"/>
                <w:color w:val="auto"/>
              </w:rPr>
            </w:pPr>
            <w:r>
              <w:rPr>
                <w:rFonts w:ascii="Arial" w:cs="Arial" w:eastAsia="Arial" w:hAnsi="Arial"/>
                <w:sz w:val="18"/>
                <w:szCs w:val="18"/>
                <w:color w:val="auto"/>
              </w:rPr>
              <w:t>402</w:t>
            </w:r>
          </w:p>
        </w:tc>
        <w:tc>
          <w:tcPr>
            <w:tcW w:w="3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14"/>
              <w:spacing w:after="0"/>
              <w:rPr>
                <w:sz w:val="20"/>
                <w:szCs w:val="20"/>
                <w:color w:val="auto"/>
              </w:rPr>
            </w:pPr>
            <w:r>
              <w:rPr>
                <w:rFonts w:ascii="Arial" w:cs="Arial" w:eastAsia="Arial" w:hAnsi="Arial"/>
                <w:sz w:val="18"/>
                <w:szCs w:val="18"/>
                <w:color w:val="auto"/>
              </w:rPr>
              <w:t>51.54</w:t>
            </w:r>
          </w:p>
        </w:tc>
        <w:tc>
          <w:tcPr>
            <w:tcW w:w="0" w:type="dxa"/>
            <w:vAlign w:val="bottom"/>
          </w:tcPr>
          <w:p>
            <w:pPr>
              <w:spacing w:after="0"/>
              <w:rPr>
                <w:sz w:val="1"/>
                <w:szCs w:val="1"/>
                <w:color w:val="auto"/>
              </w:rPr>
            </w:pPr>
          </w:p>
        </w:tc>
      </w:tr>
      <w:tr>
        <w:trPr>
          <w:trHeight w:val="27"/>
        </w:trPr>
        <w:tc>
          <w:tcPr>
            <w:tcW w:w="27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NGL</w:t>
            </w: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10,583</w:t>
            </w:r>
          </w:p>
        </w:tc>
        <w:tc>
          <w:tcPr>
            <w:tcW w:w="1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barrels</w:t>
            </w:r>
          </w:p>
        </w:tc>
        <w:tc>
          <w:tcPr>
            <w:tcW w:w="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262</w:t>
            </w:r>
          </w:p>
        </w:tc>
        <w:tc>
          <w:tcPr>
            <w:tcW w:w="3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24.76</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19"/>
              <w:spacing w:after="0"/>
              <w:rPr>
                <w:sz w:val="20"/>
                <w:szCs w:val="20"/>
                <w:color w:val="auto"/>
              </w:rPr>
            </w:pPr>
            <w:r>
              <w:rPr>
                <w:rFonts w:ascii="Arial" w:cs="Arial" w:eastAsia="Arial" w:hAnsi="Arial"/>
                <w:sz w:val="18"/>
                <w:szCs w:val="18"/>
                <w:color w:val="auto"/>
              </w:rPr>
              <w:t>10,774</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barrels</w:t>
            </w: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294</w:t>
            </w:r>
          </w:p>
        </w:tc>
        <w:tc>
          <w:tcPr>
            <w:tcW w:w="3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27.29</w:t>
            </w:r>
          </w:p>
        </w:tc>
        <w:tc>
          <w:tcPr>
            <w:tcW w:w="0" w:type="dxa"/>
            <w:vAlign w:val="bottom"/>
          </w:tcPr>
          <w:p>
            <w:pPr>
              <w:spacing w:after="0"/>
              <w:rPr>
                <w:sz w:val="1"/>
                <w:szCs w:val="1"/>
                <w:color w:val="auto"/>
              </w:rPr>
            </w:pPr>
          </w:p>
        </w:tc>
      </w:tr>
      <w:tr>
        <w:trPr>
          <w:trHeight w:val="243"/>
        </w:trPr>
        <w:tc>
          <w:tcPr>
            <w:tcW w:w="2740" w:type="dxa"/>
            <w:vAlign w:val="bottom"/>
          </w:tcPr>
          <w:p>
            <w:pPr>
              <w:ind w:left="40"/>
              <w:spacing w:after="0"/>
              <w:rPr>
                <w:sz w:val="20"/>
                <w:szCs w:val="20"/>
                <w:color w:val="auto"/>
              </w:rPr>
            </w:pPr>
            <w:r>
              <w:rPr>
                <w:rFonts w:ascii="Arial" w:cs="Arial" w:eastAsia="Arial" w:hAnsi="Arial"/>
                <w:sz w:val="18"/>
                <w:szCs w:val="18"/>
                <w:color w:val="auto"/>
              </w:rPr>
              <w:t>Other</w:t>
            </w:r>
          </w:p>
        </w:tc>
        <w:tc>
          <w:tcPr>
            <w:tcW w:w="1180" w:type="dxa"/>
            <w:vAlign w:val="bottom"/>
            <w:gridSpan w:val="2"/>
          </w:tcPr>
          <w:p>
            <w:pPr>
              <w:ind w:left="620"/>
              <w:spacing w:after="0"/>
              <w:rPr>
                <w:sz w:val="20"/>
                <w:szCs w:val="20"/>
                <w:color w:val="auto"/>
              </w:rPr>
            </w:pPr>
            <w:r>
              <w:rPr>
                <w:rFonts w:ascii="Arial" w:cs="Arial" w:eastAsia="Arial" w:hAnsi="Arial"/>
                <w:sz w:val="18"/>
                <w:szCs w:val="18"/>
                <w:color w:val="auto"/>
              </w:rPr>
              <w:t>N/A</w:t>
            </w: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tcPr>
          <w:p>
            <w:pPr>
              <w:jc w:val="right"/>
              <w:ind w:right="13"/>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Borders>
              <w:right w:val="single" w:sz="8" w:color="auto"/>
            </w:tcBorders>
            <w:gridSpan w:val="2"/>
          </w:tcPr>
          <w:p>
            <w:pPr>
              <w:ind w:left="300"/>
              <w:spacing w:after="0"/>
              <w:rPr>
                <w:sz w:val="20"/>
                <w:szCs w:val="20"/>
                <w:color w:val="auto"/>
              </w:rPr>
            </w:pPr>
            <w:r>
              <w:rPr>
                <w:rFonts w:ascii="Arial" w:cs="Arial" w:eastAsia="Arial" w:hAnsi="Arial"/>
                <w:sz w:val="18"/>
                <w:szCs w:val="18"/>
                <w:color w:val="auto"/>
              </w:rPr>
              <w:t>N/A</w:t>
            </w:r>
          </w:p>
        </w:tc>
        <w:tc>
          <w:tcPr>
            <w:tcW w:w="100" w:type="dxa"/>
            <w:vAlign w:val="bottom"/>
          </w:tcPr>
          <w:p>
            <w:pPr>
              <w:spacing w:after="0"/>
              <w:rPr>
                <w:sz w:val="21"/>
                <w:szCs w:val="21"/>
                <w:color w:val="auto"/>
              </w:rPr>
            </w:pPr>
          </w:p>
        </w:tc>
        <w:tc>
          <w:tcPr>
            <w:tcW w:w="1120" w:type="dxa"/>
            <w:vAlign w:val="bottom"/>
            <w:gridSpan w:val="2"/>
          </w:tcPr>
          <w:p>
            <w:pPr>
              <w:ind w:left="600"/>
              <w:spacing w:after="0"/>
              <w:rPr>
                <w:sz w:val="20"/>
                <w:szCs w:val="20"/>
                <w:color w:val="auto"/>
              </w:rPr>
            </w:pPr>
            <w:r>
              <w:rPr>
                <w:rFonts w:ascii="Arial" w:cs="Arial" w:eastAsia="Arial" w:hAnsi="Arial"/>
                <w:sz w:val="18"/>
                <w:szCs w:val="18"/>
                <w:color w:val="auto"/>
              </w:rPr>
              <w:t>N/A</w:t>
            </w: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jc w:val="right"/>
              <w:ind w:right="13"/>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ind w:right="14"/>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7"/>
        </w:trPr>
        <w:tc>
          <w:tcPr>
            <w:tcW w:w="2740" w:type="dxa"/>
            <w:vAlign w:val="bottom"/>
            <w:tcBorders>
              <w:bottom w:val="single" w:sz="8" w:color="CCEEFF"/>
            </w:tcBorders>
          </w:tcPr>
          <w:p>
            <w:pPr>
              <w:spacing w:after="0"/>
              <w:rPr>
                <w:sz w:val="2"/>
                <w:szCs w:val="2"/>
                <w:color w:val="auto"/>
              </w:rPr>
            </w:pPr>
          </w:p>
        </w:tc>
        <w:tc>
          <w:tcPr>
            <w:tcW w:w="104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720" w:type="dxa"/>
            <w:vAlign w:val="bottom"/>
            <w:tcBorders>
              <w:bottom w:val="single" w:sz="8" w:color="CCEEFF"/>
            </w:tcBorders>
          </w:tcPr>
          <w:p>
            <w:pPr>
              <w:spacing w:after="0"/>
              <w:rPr>
                <w:sz w:val="2"/>
                <w:szCs w:val="2"/>
                <w:color w:val="auto"/>
              </w:rPr>
            </w:pPr>
          </w:p>
        </w:tc>
        <w:tc>
          <w:tcPr>
            <w:tcW w:w="120" w:type="dxa"/>
            <w:vAlign w:val="bottom"/>
            <w:tcBorders>
              <w:bottom w:val="single" w:sz="8" w:color="CCEEFF"/>
              <w:right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7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2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Inventory subtotal</w:t>
            </w:r>
          </w:p>
        </w:tc>
        <w:tc>
          <w:tcPr>
            <w:tcW w:w="10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636</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right w:val="single" w:sz="8" w:color="auto"/>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713</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91"/>
        </w:trPr>
        <w:tc>
          <w:tcPr>
            <w:tcW w:w="27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Linefill and base gas</w:t>
            </w:r>
          </w:p>
        </w:tc>
        <w:tc>
          <w:tcPr>
            <w:tcW w:w="10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740" w:type="dxa"/>
            <w:vAlign w:val="bottom"/>
          </w:tcPr>
          <w:p>
            <w:pPr>
              <w:ind w:left="40"/>
              <w:spacing w:after="0"/>
              <w:rPr>
                <w:sz w:val="20"/>
                <w:szCs w:val="20"/>
                <w:color w:val="auto"/>
              </w:rPr>
            </w:pPr>
            <w:r>
              <w:rPr>
                <w:rFonts w:ascii="Arial" w:cs="Arial" w:eastAsia="Arial" w:hAnsi="Arial"/>
                <w:sz w:val="18"/>
                <w:szCs w:val="18"/>
                <w:color w:val="auto"/>
              </w:rPr>
              <w:t>Crude oil</w:t>
            </w: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12,410</w:t>
            </w:r>
          </w:p>
        </w:tc>
        <w:tc>
          <w:tcPr>
            <w:tcW w:w="140" w:type="dxa"/>
            <w:vAlign w:val="bottom"/>
          </w:tcPr>
          <w:p>
            <w:pPr>
              <w:spacing w:after="0"/>
              <w:rPr>
                <w:sz w:val="21"/>
                <w:szCs w:val="21"/>
                <w:color w:val="auto"/>
              </w:rPr>
            </w:pPr>
          </w:p>
        </w:tc>
        <w:tc>
          <w:tcPr>
            <w:tcW w:w="1160" w:type="dxa"/>
            <w:vAlign w:val="bottom"/>
            <w:gridSpan w:val="2"/>
          </w:tcPr>
          <w:p>
            <w:pPr>
              <w:ind w:left="20"/>
              <w:spacing w:after="0"/>
              <w:rPr>
                <w:sz w:val="20"/>
                <w:szCs w:val="20"/>
                <w:color w:val="auto"/>
              </w:rPr>
            </w:pPr>
            <w:r>
              <w:rPr>
                <w:rFonts w:ascii="Arial" w:cs="Arial" w:eastAsia="Arial" w:hAnsi="Arial"/>
                <w:sz w:val="18"/>
                <w:szCs w:val="18"/>
                <w:color w:val="auto"/>
              </w:rPr>
              <w:t>barrels</w:t>
            </w:r>
          </w:p>
        </w:tc>
        <w:tc>
          <w:tcPr>
            <w:tcW w:w="140" w:type="dxa"/>
            <w:vAlign w:val="bottom"/>
          </w:tcPr>
          <w:p>
            <w:pPr>
              <w:spacing w:after="0"/>
              <w:rPr>
                <w:sz w:val="21"/>
                <w:szCs w:val="21"/>
                <w:color w:val="auto"/>
              </w:rPr>
            </w:pPr>
          </w:p>
        </w:tc>
        <w:tc>
          <w:tcPr>
            <w:tcW w:w="780" w:type="dxa"/>
            <w:vAlign w:val="bottom"/>
          </w:tcPr>
          <w:p>
            <w:pPr>
              <w:jc w:val="right"/>
              <w:ind w:right="13"/>
              <w:spacing w:after="0"/>
              <w:rPr>
                <w:sz w:val="20"/>
                <w:szCs w:val="20"/>
                <w:color w:val="auto"/>
              </w:rPr>
            </w:pPr>
            <w:r>
              <w:rPr>
                <w:rFonts w:ascii="Arial" w:cs="Arial" w:eastAsia="Arial" w:hAnsi="Arial"/>
                <w:sz w:val="18"/>
                <w:szCs w:val="18"/>
                <w:color w:val="auto"/>
              </w:rPr>
              <w:t>716</w:t>
            </w:r>
          </w:p>
        </w:tc>
        <w:tc>
          <w:tcPr>
            <w:tcW w:w="3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34"/>
              <w:spacing w:after="0"/>
              <w:rPr>
                <w:sz w:val="20"/>
                <w:szCs w:val="20"/>
                <w:color w:val="auto"/>
              </w:rPr>
            </w:pPr>
            <w:r>
              <w:rPr>
                <w:rFonts w:ascii="Arial" w:cs="Arial" w:eastAsia="Arial" w:hAnsi="Arial"/>
                <w:sz w:val="18"/>
                <w:szCs w:val="18"/>
                <w:color w:val="auto"/>
              </w:rPr>
              <w:t>57.70</w:t>
            </w:r>
          </w:p>
        </w:tc>
        <w:tc>
          <w:tcPr>
            <w:tcW w:w="120" w:type="dxa"/>
            <w:vAlign w:val="bottom"/>
            <w:tcBorders>
              <w:right w:val="single" w:sz="8" w:color="auto"/>
            </w:tcBorders>
          </w:tcPr>
          <w:p>
            <w:pPr>
              <w:spacing w:after="0"/>
              <w:rPr>
                <w:sz w:val="21"/>
                <w:szCs w:val="21"/>
                <w:color w:val="auto"/>
              </w:rPr>
            </w:pPr>
          </w:p>
        </w:tc>
        <w:tc>
          <w:tcPr>
            <w:tcW w:w="1120" w:type="dxa"/>
            <w:vAlign w:val="bottom"/>
            <w:gridSpan w:val="2"/>
          </w:tcPr>
          <w:p>
            <w:pPr>
              <w:jc w:val="right"/>
              <w:ind w:right="19"/>
              <w:spacing w:after="0"/>
              <w:rPr>
                <w:sz w:val="20"/>
                <w:szCs w:val="20"/>
                <w:color w:val="auto"/>
              </w:rPr>
            </w:pPr>
            <w:r>
              <w:rPr>
                <w:rFonts w:ascii="Arial" w:cs="Arial" w:eastAsia="Arial" w:hAnsi="Arial"/>
                <w:sz w:val="18"/>
                <w:szCs w:val="18"/>
                <w:color w:val="auto"/>
              </w:rPr>
              <w:t>12,340</w:t>
            </w:r>
          </w:p>
        </w:tc>
        <w:tc>
          <w:tcPr>
            <w:tcW w:w="100" w:type="dxa"/>
            <w:vAlign w:val="bottom"/>
          </w:tcPr>
          <w:p>
            <w:pPr>
              <w:spacing w:after="0"/>
              <w:rPr>
                <w:sz w:val="21"/>
                <w:szCs w:val="21"/>
                <w:color w:val="auto"/>
              </w:rPr>
            </w:pPr>
          </w:p>
        </w:tc>
        <w:tc>
          <w:tcPr>
            <w:tcW w:w="1140" w:type="dxa"/>
            <w:vAlign w:val="bottom"/>
            <w:gridSpan w:val="2"/>
          </w:tcPr>
          <w:p>
            <w:pPr>
              <w:ind w:left="40"/>
              <w:spacing w:after="0"/>
              <w:rPr>
                <w:sz w:val="20"/>
                <w:szCs w:val="20"/>
                <w:color w:val="auto"/>
              </w:rPr>
            </w:pPr>
            <w:r>
              <w:rPr>
                <w:rFonts w:ascii="Arial" w:cs="Arial" w:eastAsia="Arial" w:hAnsi="Arial"/>
                <w:sz w:val="18"/>
                <w:szCs w:val="18"/>
                <w:color w:val="auto"/>
              </w:rPr>
              <w:t>barrels</w:t>
            </w:r>
          </w:p>
        </w:tc>
        <w:tc>
          <w:tcPr>
            <w:tcW w:w="140" w:type="dxa"/>
            <w:vAlign w:val="bottom"/>
          </w:tcPr>
          <w:p>
            <w:pPr>
              <w:spacing w:after="0"/>
              <w:rPr>
                <w:sz w:val="21"/>
                <w:szCs w:val="21"/>
                <w:color w:val="auto"/>
              </w:rPr>
            </w:pPr>
          </w:p>
        </w:tc>
        <w:tc>
          <w:tcPr>
            <w:tcW w:w="760" w:type="dxa"/>
            <w:vAlign w:val="bottom"/>
          </w:tcPr>
          <w:p>
            <w:pPr>
              <w:jc w:val="right"/>
              <w:ind w:right="13"/>
              <w:spacing w:after="0"/>
              <w:rPr>
                <w:sz w:val="20"/>
                <w:szCs w:val="20"/>
                <w:color w:val="auto"/>
              </w:rPr>
            </w:pPr>
            <w:r>
              <w:rPr>
                <w:rFonts w:ascii="Arial" w:cs="Arial" w:eastAsia="Arial" w:hAnsi="Arial"/>
                <w:sz w:val="18"/>
                <w:szCs w:val="18"/>
                <w:color w:val="auto"/>
              </w:rPr>
              <w:t>719</w:t>
            </w:r>
          </w:p>
        </w:tc>
        <w:tc>
          <w:tcPr>
            <w:tcW w:w="3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14"/>
              <w:spacing w:after="0"/>
              <w:rPr>
                <w:sz w:val="20"/>
                <w:szCs w:val="20"/>
                <w:color w:val="auto"/>
              </w:rPr>
            </w:pPr>
            <w:r>
              <w:rPr>
                <w:rFonts w:ascii="Arial" w:cs="Arial" w:eastAsia="Arial" w:hAnsi="Arial"/>
                <w:sz w:val="18"/>
                <w:szCs w:val="18"/>
                <w:color w:val="auto"/>
              </w:rPr>
              <w:t>58.27</w:t>
            </w:r>
          </w:p>
        </w:tc>
        <w:tc>
          <w:tcPr>
            <w:tcW w:w="0" w:type="dxa"/>
            <w:vAlign w:val="bottom"/>
          </w:tcPr>
          <w:p>
            <w:pPr>
              <w:spacing w:after="0"/>
              <w:rPr>
                <w:sz w:val="1"/>
                <w:szCs w:val="1"/>
                <w:color w:val="auto"/>
              </w:rPr>
            </w:pPr>
          </w:p>
        </w:tc>
      </w:tr>
      <w:tr>
        <w:trPr>
          <w:trHeight w:val="27"/>
        </w:trPr>
        <w:tc>
          <w:tcPr>
            <w:tcW w:w="27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NGL</w:t>
            </w: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1,562</w:t>
            </w:r>
          </w:p>
        </w:tc>
        <w:tc>
          <w:tcPr>
            <w:tcW w:w="1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barrels</w:t>
            </w:r>
          </w:p>
        </w:tc>
        <w:tc>
          <w:tcPr>
            <w:tcW w:w="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42</w:t>
            </w:r>
          </w:p>
        </w:tc>
        <w:tc>
          <w:tcPr>
            <w:tcW w:w="3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26.89</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19"/>
              <w:spacing w:after="0"/>
              <w:rPr>
                <w:sz w:val="20"/>
                <w:szCs w:val="20"/>
                <w:color w:val="auto"/>
              </w:rPr>
            </w:pPr>
            <w:r>
              <w:rPr>
                <w:rFonts w:ascii="Arial" w:cs="Arial" w:eastAsia="Arial" w:hAnsi="Arial"/>
                <w:sz w:val="18"/>
                <w:szCs w:val="18"/>
                <w:color w:val="auto"/>
              </w:rPr>
              <w:t>1,597</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barrels</w:t>
            </w: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45</w:t>
            </w:r>
          </w:p>
        </w:tc>
        <w:tc>
          <w:tcPr>
            <w:tcW w:w="3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28.18</w:t>
            </w:r>
          </w:p>
        </w:tc>
        <w:tc>
          <w:tcPr>
            <w:tcW w:w="0" w:type="dxa"/>
            <w:vAlign w:val="bottom"/>
          </w:tcPr>
          <w:p>
            <w:pPr>
              <w:spacing w:after="0"/>
              <w:rPr>
                <w:sz w:val="1"/>
                <w:szCs w:val="1"/>
                <w:color w:val="auto"/>
              </w:rPr>
            </w:pPr>
          </w:p>
        </w:tc>
      </w:tr>
      <w:tr>
        <w:trPr>
          <w:trHeight w:val="243"/>
        </w:trPr>
        <w:tc>
          <w:tcPr>
            <w:tcW w:w="2740" w:type="dxa"/>
            <w:vAlign w:val="bottom"/>
          </w:tcPr>
          <w:p>
            <w:pPr>
              <w:ind w:left="40"/>
              <w:spacing w:after="0"/>
              <w:rPr>
                <w:sz w:val="20"/>
                <w:szCs w:val="20"/>
                <w:color w:val="auto"/>
              </w:rPr>
            </w:pPr>
            <w:r>
              <w:rPr>
                <w:rFonts w:ascii="Arial" w:cs="Arial" w:eastAsia="Arial" w:hAnsi="Arial"/>
                <w:sz w:val="18"/>
                <w:szCs w:val="18"/>
                <w:color w:val="auto"/>
              </w:rPr>
              <w:t>Natural gas</w:t>
            </w: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24,976</w:t>
            </w:r>
          </w:p>
        </w:tc>
        <w:tc>
          <w:tcPr>
            <w:tcW w:w="140" w:type="dxa"/>
            <w:vAlign w:val="bottom"/>
          </w:tcPr>
          <w:p>
            <w:pPr>
              <w:spacing w:after="0"/>
              <w:rPr>
                <w:sz w:val="21"/>
                <w:szCs w:val="21"/>
                <w:color w:val="auto"/>
              </w:rPr>
            </w:pPr>
          </w:p>
        </w:tc>
        <w:tc>
          <w:tcPr>
            <w:tcW w:w="1160" w:type="dxa"/>
            <w:vAlign w:val="bottom"/>
            <w:gridSpan w:val="2"/>
          </w:tcPr>
          <w:p>
            <w:pPr>
              <w:ind w:left="20"/>
              <w:spacing w:after="0"/>
              <w:rPr>
                <w:sz w:val="20"/>
                <w:szCs w:val="20"/>
                <w:color w:val="auto"/>
              </w:rPr>
            </w:pPr>
            <w:r>
              <w:rPr>
                <w:rFonts w:ascii="Arial" w:cs="Arial" w:eastAsia="Arial" w:hAnsi="Arial"/>
                <w:sz w:val="18"/>
                <w:szCs w:val="18"/>
                <w:color w:val="auto"/>
              </w:rPr>
              <w:t>Mcf</w:t>
            </w:r>
          </w:p>
        </w:tc>
        <w:tc>
          <w:tcPr>
            <w:tcW w:w="140" w:type="dxa"/>
            <w:vAlign w:val="bottom"/>
          </w:tcPr>
          <w:p>
            <w:pPr>
              <w:spacing w:after="0"/>
              <w:rPr>
                <w:sz w:val="21"/>
                <w:szCs w:val="21"/>
                <w:color w:val="auto"/>
              </w:rPr>
            </w:pPr>
          </w:p>
        </w:tc>
        <w:tc>
          <w:tcPr>
            <w:tcW w:w="780" w:type="dxa"/>
            <w:vAlign w:val="bottom"/>
          </w:tcPr>
          <w:p>
            <w:pPr>
              <w:jc w:val="right"/>
              <w:ind w:right="13"/>
              <w:spacing w:after="0"/>
              <w:rPr>
                <w:sz w:val="20"/>
                <w:szCs w:val="20"/>
                <w:color w:val="auto"/>
              </w:rPr>
            </w:pPr>
            <w:r>
              <w:rPr>
                <w:rFonts w:ascii="Arial" w:cs="Arial" w:eastAsia="Arial" w:hAnsi="Arial"/>
                <w:sz w:val="18"/>
                <w:szCs w:val="18"/>
                <w:color w:val="auto"/>
              </w:rPr>
              <w:t>108</w:t>
            </w:r>
          </w:p>
        </w:tc>
        <w:tc>
          <w:tcPr>
            <w:tcW w:w="3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34"/>
              <w:spacing w:after="0"/>
              <w:rPr>
                <w:sz w:val="20"/>
                <w:szCs w:val="20"/>
                <w:color w:val="auto"/>
              </w:rPr>
            </w:pPr>
            <w:r>
              <w:rPr>
                <w:rFonts w:ascii="Arial" w:cs="Arial" w:eastAsia="Arial" w:hAnsi="Arial"/>
                <w:sz w:val="18"/>
                <w:szCs w:val="18"/>
                <w:color w:val="auto"/>
              </w:rPr>
              <w:t>4.32</w:t>
            </w:r>
          </w:p>
        </w:tc>
        <w:tc>
          <w:tcPr>
            <w:tcW w:w="120" w:type="dxa"/>
            <w:vAlign w:val="bottom"/>
            <w:tcBorders>
              <w:right w:val="single" w:sz="8" w:color="auto"/>
            </w:tcBorders>
          </w:tcPr>
          <w:p>
            <w:pPr>
              <w:spacing w:after="0"/>
              <w:rPr>
                <w:sz w:val="21"/>
                <w:szCs w:val="21"/>
                <w:color w:val="auto"/>
              </w:rPr>
            </w:pPr>
          </w:p>
        </w:tc>
        <w:tc>
          <w:tcPr>
            <w:tcW w:w="1120" w:type="dxa"/>
            <w:vAlign w:val="bottom"/>
            <w:gridSpan w:val="2"/>
          </w:tcPr>
          <w:p>
            <w:pPr>
              <w:jc w:val="right"/>
              <w:ind w:right="19"/>
              <w:spacing w:after="0"/>
              <w:rPr>
                <w:sz w:val="20"/>
                <w:szCs w:val="20"/>
                <w:color w:val="auto"/>
              </w:rPr>
            </w:pPr>
            <w:r>
              <w:rPr>
                <w:rFonts w:ascii="Arial" w:cs="Arial" w:eastAsia="Arial" w:hAnsi="Arial"/>
                <w:sz w:val="18"/>
                <w:szCs w:val="18"/>
                <w:color w:val="auto"/>
              </w:rPr>
              <w:t>24,976</w:t>
            </w:r>
          </w:p>
        </w:tc>
        <w:tc>
          <w:tcPr>
            <w:tcW w:w="100" w:type="dxa"/>
            <w:vAlign w:val="bottom"/>
          </w:tcPr>
          <w:p>
            <w:pPr>
              <w:spacing w:after="0"/>
              <w:rPr>
                <w:sz w:val="21"/>
                <w:szCs w:val="21"/>
                <w:color w:val="auto"/>
              </w:rPr>
            </w:pPr>
          </w:p>
        </w:tc>
        <w:tc>
          <w:tcPr>
            <w:tcW w:w="1140" w:type="dxa"/>
            <w:vAlign w:val="bottom"/>
            <w:gridSpan w:val="2"/>
          </w:tcPr>
          <w:p>
            <w:pPr>
              <w:ind w:left="40"/>
              <w:spacing w:after="0"/>
              <w:rPr>
                <w:sz w:val="20"/>
                <w:szCs w:val="20"/>
                <w:color w:val="auto"/>
              </w:rPr>
            </w:pPr>
            <w:r>
              <w:rPr>
                <w:rFonts w:ascii="Arial" w:cs="Arial" w:eastAsia="Arial" w:hAnsi="Arial"/>
                <w:sz w:val="18"/>
                <w:szCs w:val="18"/>
                <w:color w:val="auto"/>
              </w:rPr>
              <w:t>Mcf</w:t>
            </w:r>
          </w:p>
        </w:tc>
        <w:tc>
          <w:tcPr>
            <w:tcW w:w="140" w:type="dxa"/>
            <w:vAlign w:val="bottom"/>
          </w:tcPr>
          <w:p>
            <w:pPr>
              <w:spacing w:after="0"/>
              <w:rPr>
                <w:sz w:val="21"/>
                <w:szCs w:val="21"/>
                <w:color w:val="auto"/>
              </w:rPr>
            </w:pPr>
          </w:p>
        </w:tc>
        <w:tc>
          <w:tcPr>
            <w:tcW w:w="760" w:type="dxa"/>
            <w:vAlign w:val="bottom"/>
          </w:tcPr>
          <w:p>
            <w:pPr>
              <w:jc w:val="right"/>
              <w:ind w:right="13"/>
              <w:spacing w:after="0"/>
              <w:rPr>
                <w:sz w:val="20"/>
                <w:szCs w:val="20"/>
                <w:color w:val="auto"/>
              </w:rPr>
            </w:pPr>
            <w:r>
              <w:rPr>
                <w:rFonts w:ascii="Arial" w:cs="Arial" w:eastAsia="Arial" w:hAnsi="Arial"/>
                <w:sz w:val="18"/>
                <w:szCs w:val="18"/>
                <w:color w:val="auto"/>
              </w:rPr>
              <w:t>108</w:t>
            </w:r>
          </w:p>
        </w:tc>
        <w:tc>
          <w:tcPr>
            <w:tcW w:w="3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14"/>
              <w:spacing w:after="0"/>
              <w:rPr>
                <w:sz w:val="20"/>
                <w:szCs w:val="20"/>
                <w:color w:val="auto"/>
              </w:rPr>
            </w:pPr>
            <w:r>
              <w:rPr>
                <w:rFonts w:ascii="Arial" w:cs="Arial" w:eastAsia="Arial" w:hAnsi="Arial"/>
                <w:sz w:val="18"/>
                <w:szCs w:val="18"/>
                <w:color w:val="auto"/>
              </w:rPr>
              <w:t>4.32</w:t>
            </w:r>
          </w:p>
        </w:tc>
        <w:tc>
          <w:tcPr>
            <w:tcW w:w="0" w:type="dxa"/>
            <w:vAlign w:val="bottom"/>
          </w:tcPr>
          <w:p>
            <w:pPr>
              <w:spacing w:after="0"/>
              <w:rPr>
                <w:sz w:val="1"/>
                <w:szCs w:val="1"/>
                <w:color w:val="auto"/>
              </w:rPr>
            </w:pPr>
          </w:p>
        </w:tc>
      </w:tr>
      <w:tr>
        <w:trPr>
          <w:trHeight w:val="27"/>
        </w:trPr>
        <w:tc>
          <w:tcPr>
            <w:tcW w:w="2740" w:type="dxa"/>
            <w:vAlign w:val="bottom"/>
            <w:tcBorders>
              <w:bottom w:val="single" w:sz="8" w:color="CCEEFF"/>
            </w:tcBorders>
          </w:tcPr>
          <w:p>
            <w:pPr>
              <w:spacing w:after="0"/>
              <w:rPr>
                <w:sz w:val="2"/>
                <w:szCs w:val="2"/>
                <w:color w:val="auto"/>
              </w:rPr>
            </w:pPr>
          </w:p>
        </w:tc>
        <w:tc>
          <w:tcPr>
            <w:tcW w:w="104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720" w:type="dxa"/>
            <w:vAlign w:val="bottom"/>
            <w:tcBorders>
              <w:bottom w:val="single" w:sz="8" w:color="CCEEFF"/>
            </w:tcBorders>
          </w:tcPr>
          <w:p>
            <w:pPr>
              <w:spacing w:after="0"/>
              <w:rPr>
                <w:sz w:val="2"/>
                <w:szCs w:val="2"/>
                <w:color w:val="auto"/>
              </w:rPr>
            </w:pPr>
          </w:p>
        </w:tc>
        <w:tc>
          <w:tcPr>
            <w:tcW w:w="120" w:type="dxa"/>
            <w:vAlign w:val="bottom"/>
            <w:tcBorders>
              <w:bottom w:val="single" w:sz="8" w:color="CCEEFF"/>
              <w:right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7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2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Linefill and base gas subtotal</w:t>
            </w:r>
          </w:p>
        </w:tc>
        <w:tc>
          <w:tcPr>
            <w:tcW w:w="10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866</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right w:val="single" w:sz="8" w:color="auto"/>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872</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91"/>
        </w:trPr>
        <w:tc>
          <w:tcPr>
            <w:tcW w:w="27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Long-term inventory</w:t>
            </w:r>
          </w:p>
        </w:tc>
        <w:tc>
          <w:tcPr>
            <w:tcW w:w="10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740" w:type="dxa"/>
            <w:vAlign w:val="bottom"/>
          </w:tcPr>
          <w:p>
            <w:pPr>
              <w:ind w:left="40"/>
              <w:spacing w:after="0"/>
              <w:rPr>
                <w:sz w:val="20"/>
                <w:szCs w:val="20"/>
                <w:color w:val="auto"/>
              </w:rPr>
            </w:pPr>
            <w:r>
              <w:rPr>
                <w:rFonts w:ascii="Arial" w:cs="Arial" w:eastAsia="Arial" w:hAnsi="Arial"/>
                <w:sz w:val="18"/>
                <w:szCs w:val="18"/>
                <w:color w:val="auto"/>
              </w:rPr>
              <w:t>Crude oil</w:t>
            </w: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1,903</w:t>
            </w:r>
          </w:p>
        </w:tc>
        <w:tc>
          <w:tcPr>
            <w:tcW w:w="140" w:type="dxa"/>
            <w:vAlign w:val="bottom"/>
          </w:tcPr>
          <w:p>
            <w:pPr>
              <w:spacing w:after="0"/>
              <w:rPr>
                <w:sz w:val="21"/>
                <w:szCs w:val="21"/>
                <w:color w:val="auto"/>
              </w:rPr>
            </w:pPr>
          </w:p>
        </w:tc>
        <w:tc>
          <w:tcPr>
            <w:tcW w:w="1160" w:type="dxa"/>
            <w:vAlign w:val="bottom"/>
            <w:gridSpan w:val="2"/>
          </w:tcPr>
          <w:p>
            <w:pPr>
              <w:ind w:left="20"/>
              <w:spacing w:after="0"/>
              <w:rPr>
                <w:sz w:val="20"/>
                <w:szCs w:val="20"/>
                <w:color w:val="auto"/>
              </w:rPr>
            </w:pPr>
            <w:r>
              <w:rPr>
                <w:rFonts w:ascii="Arial" w:cs="Arial" w:eastAsia="Arial" w:hAnsi="Arial"/>
                <w:sz w:val="18"/>
                <w:szCs w:val="18"/>
                <w:color w:val="auto"/>
              </w:rPr>
              <w:t>barrels</w:t>
            </w:r>
          </w:p>
        </w:tc>
        <w:tc>
          <w:tcPr>
            <w:tcW w:w="140" w:type="dxa"/>
            <w:vAlign w:val="bottom"/>
          </w:tcPr>
          <w:p>
            <w:pPr>
              <w:spacing w:after="0"/>
              <w:rPr>
                <w:sz w:val="21"/>
                <w:szCs w:val="21"/>
                <w:color w:val="auto"/>
              </w:rPr>
            </w:pPr>
          </w:p>
        </w:tc>
        <w:tc>
          <w:tcPr>
            <w:tcW w:w="780" w:type="dxa"/>
            <w:vAlign w:val="bottom"/>
          </w:tcPr>
          <w:p>
            <w:pPr>
              <w:jc w:val="right"/>
              <w:ind w:right="13"/>
              <w:spacing w:after="0"/>
              <w:rPr>
                <w:sz w:val="20"/>
                <w:szCs w:val="20"/>
                <w:color w:val="auto"/>
              </w:rPr>
            </w:pPr>
            <w:r>
              <w:rPr>
                <w:rFonts w:ascii="Arial" w:cs="Arial" w:eastAsia="Arial" w:hAnsi="Arial"/>
                <w:sz w:val="18"/>
                <w:szCs w:val="18"/>
                <w:color w:val="auto"/>
              </w:rPr>
              <w:t>113</w:t>
            </w:r>
          </w:p>
        </w:tc>
        <w:tc>
          <w:tcPr>
            <w:tcW w:w="3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34"/>
              <w:spacing w:after="0"/>
              <w:rPr>
                <w:sz w:val="20"/>
                <w:szCs w:val="20"/>
                <w:color w:val="auto"/>
              </w:rPr>
            </w:pPr>
            <w:r>
              <w:rPr>
                <w:rFonts w:ascii="Arial" w:cs="Arial" w:eastAsia="Arial" w:hAnsi="Arial"/>
                <w:sz w:val="18"/>
                <w:szCs w:val="18"/>
                <w:color w:val="auto"/>
              </w:rPr>
              <w:t>59.38</w:t>
            </w:r>
          </w:p>
        </w:tc>
        <w:tc>
          <w:tcPr>
            <w:tcW w:w="120" w:type="dxa"/>
            <w:vAlign w:val="bottom"/>
            <w:tcBorders>
              <w:right w:val="single" w:sz="8" w:color="auto"/>
            </w:tcBorders>
          </w:tcPr>
          <w:p>
            <w:pPr>
              <w:spacing w:after="0"/>
              <w:rPr>
                <w:sz w:val="21"/>
                <w:szCs w:val="21"/>
                <w:color w:val="auto"/>
              </w:rPr>
            </w:pPr>
          </w:p>
        </w:tc>
        <w:tc>
          <w:tcPr>
            <w:tcW w:w="1120" w:type="dxa"/>
            <w:vAlign w:val="bottom"/>
            <w:gridSpan w:val="2"/>
          </w:tcPr>
          <w:p>
            <w:pPr>
              <w:jc w:val="right"/>
              <w:ind w:right="19"/>
              <w:spacing w:after="0"/>
              <w:rPr>
                <w:sz w:val="20"/>
                <w:szCs w:val="20"/>
                <w:color w:val="auto"/>
              </w:rPr>
            </w:pPr>
            <w:r>
              <w:rPr>
                <w:rFonts w:ascii="Arial" w:cs="Arial" w:eastAsia="Arial" w:hAnsi="Arial"/>
                <w:sz w:val="18"/>
                <w:szCs w:val="18"/>
                <w:color w:val="auto"/>
              </w:rPr>
              <w:t>1,870</w:t>
            </w:r>
          </w:p>
        </w:tc>
        <w:tc>
          <w:tcPr>
            <w:tcW w:w="100" w:type="dxa"/>
            <w:vAlign w:val="bottom"/>
          </w:tcPr>
          <w:p>
            <w:pPr>
              <w:spacing w:after="0"/>
              <w:rPr>
                <w:sz w:val="21"/>
                <w:szCs w:val="21"/>
                <w:color w:val="auto"/>
              </w:rPr>
            </w:pPr>
          </w:p>
        </w:tc>
        <w:tc>
          <w:tcPr>
            <w:tcW w:w="1140" w:type="dxa"/>
            <w:vAlign w:val="bottom"/>
            <w:gridSpan w:val="2"/>
          </w:tcPr>
          <w:p>
            <w:pPr>
              <w:ind w:left="40"/>
              <w:spacing w:after="0"/>
              <w:rPr>
                <w:sz w:val="20"/>
                <w:szCs w:val="20"/>
                <w:color w:val="auto"/>
              </w:rPr>
            </w:pPr>
            <w:r>
              <w:rPr>
                <w:rFonts w:ascii="Arial" w:cs="Arial" w:eastAsia="Arial" w:hAnsi="Arial"/>
                <w:sz w:val="18"/>
                <w:szCs w:val="18"/>
                <w:color w:val="auto"/>
              </w:rPr>
              <w:t>barrels</w:t>
            </w:r>
          </w:p>
        </w:tc>
        <w:tc>
          <w:tcPr>
            <w:tcW w:w="140" w:type="dxa"/>
            <w:vAlign w:val="bottom"/>
          </w:tcPr>
          <w:p>
            <w:pPr>
              <w:spacing w:after="0"/>
              <w:rPr>
                <w:sz w:val="21"/>
                <w:szCs w:val="21"/>
                <w:color w:val="auto"/>
              </w:rPr>
            </w:pPr>
          </w:p>
        </w:tc>
        <w:tc>
          <w:tcPr>
            <w:tcW w:w="760" w:type="dxa"/>
            <w:vAlign w:val="bottom"/>
          </w:tcPr>
          <w:p>
            <w:pPr>
              <w:jc w:val="right"/>
              <w:ind w:right="13"/>
              <w:spacing w:after="0"/>
              <w:rPr>
                <w:sz w:val="20"/>
                <w:szCs w:val="20"/>
                <w:color w:val="auto"/>
              </w:rPr>
            </w:pPr>
            <w:r>
              <w:rPr>
                <w:rFonts w:ascii="Arial" w:cs="Arial" w:eastAsia="Arial" w:hAnsi="Arial"/>
                <w:sz w:val="18"/>
                <w:szCs w:val="18"/>
                <w:color w:val="auto"/>
              </w:rPr>
              <w:t>105</w:t>
            </w:r>
          </w:p>
        </w:tc>
        <w:tc>
          <w:tcPr>
            <w:tcW w:w="3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14"/>
              <w:spacing w:after="0"/>
              <w:rPr>
                <w:sz w:val="20"/>
                <w:szCs w:val="20"/>
                <w:color w:val="auto"/>
              </w:rPr>
            </w:pPr>
            <w:r>
              <w:rPr>
                <w:rFonts w:ascii="Arial" w:cs="Arial" w:eastAsia="Arial" w:hAnsi="Arial"/>
                <w:sz w:val="18"/>
                <w:szCs w:val="18"/>
                <w:color w:val="auto"/>
              </w:rPr>
              <w:t>56.15</w:t>
            </w:r>
          </w:p>
        </w:tc>
        <w:tc>
          <w:tcPr>
            <w:tcW w:w="0" w:type="dxa"/>
            <w:vAlign w:val="bottom"/>
          </w:tcPr>
          <w:p>
            <w:pPr>
              <w:spacing w:after="0"/>
              <w:rPr>
                <w:sz w:val="1"/>
                <w:szCs w:val="1"/>
                <w:color w:val="auto"/>
              </w:rPr>
            </w:pPr>
          </w:p>
        </w:tc>
      </w:tr>
      <w:tr>
        <w:trPr>
          <w:trHeight w:val="27"/>
        </w:trPr>
        <w:tc>
          <w:tcPr>
            <w:tcW w:w="27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NGL</w:t>
            </w: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2,352</w:t>
            </w:r>
          </w:p>
        </w:tc>
        <w:tc>
          <w:tcPr>
            <w:tcW w:w="1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barrels</w:t>
            </w:r>
          </w:p>
        </w:tc>
        <w:tc>
          <w:tcPr>
            <w:tcW w:w="1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56</w:t>
            </w:r>
          </w:p>
        </w:tc>
        <w:tc>
          <w:tcPr>
            <w:tcW w:w="3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23.81</w:t>
            </w:r>
          </w:p>
        </w:tc>
        <w:tc>
          <w:tcPr>
            <w:tcW w:w="120" w:type="dxa"/>
            <w:vAlign w:val="bottom"/>
            <w:tcBorders>
              <w:bottom w:val="single" w:sz="8" w:color="CCEEFF"/>
              <w:right w:val="single" w:sz="8" w:color="auto"/>
            </w:tcBorders>
            <w:shd w:val="clear" w:color="auto" w:fill="CCEEFF"/>
          </w:tcPr>
          <w:p>
            <w:pPr>
              <w:spacing w:after="0"/>
              <w:rPr>
                <w:sz w:val="23"/>
                <w:szCs w:val="23"/>
                <w:color w:val="auto"/>
              </w:rPr>
            </w:pPr>
          </w:p>
        </w:tc>
        <w:tc>
          <w:tcPr>
            <w:tcW w:w="1120" w:type="dxa"/>
            <w:vAlign w:val="bottom"/>
            <w:tcBorders>
              <w:bottom w:val="single" w:sz="8" w:color="CCEEFF"/>
            </w:tcBorders>
            <w:gridSpan w:val="2"/>
            <w:shd w:val="clear" w:color="auto" w:fill="CCEEFF"/>
          </w:tcPr>
          <w:p>
            <w:pPr>
              <w:jc w:val="right"/>
              <w:ind w:right="19"/>
              <w:spacing w:after="0"/>
              <w:rPr>
                <w:sz w:val="20"/>
                <w:szCs w:val="20"/>
                <w:color w:val="auto"/>
              </w:rPr>
            </w:pPr>
            <w:r>
              <w:rPr>
                <w:rFonts w:ascii="Arial" w:cs="Arial" w:eastAsia="Arial" w:hAnsi="Arial"/>
                <w:sz w:val="18"/>
                <w:szCs w:val="18"/>
                <w:color w:val="auto"/>
              </w:rPr>
              <w:t>2,167</w:t>
            </w:r>
          </w:p>
        </w:tc>
        <w:tc>
          <w:tcPr>
            <w:tcW w:w="10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barrels</w:t>
            </w:r>
          </w:p>
        </w:tc>
        <w:tc>
          <w:tcPr>
            <w:tcW w:w="14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59</w:t>
            </w:r>
          </w:p>
        </w:tc>
        <w:tc>
          <w:tcPr>
            <w:tcW w:w="3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27.23</w:t>
            </w:r>
          </w:p>
        </w:tc>
        <w:tc>
          <w:tcPr>
            <w:tcW w:w="0" w:type="dxa"/>
            <w:vAlign w:val="bottom"/>
          </w:tcPr>
          <w:p>
            <w:pPr>
              <w:spacing w:after="0"/>
              <w:rPr>
                <w:sz w:val="1"/>
                <w:szCs w:val="1"/>
                <w:color w:val="auto"/>
              </w:rPr>
            </w:pPr>
          </w:p>
        </w:tc>
      </w:tr>
      <w:tr>
        <w:trPr>
          <w:trHeight w:val="237"/>
        </w:trPr>
        <w:tc>
          <w:tcPr>
            <w:tcW w:w="2740" w:type="dxa"/>
            <w:vAlign w:val="bottom"/>
          </w:tcPr>
          <w:p>
            <w:pPr>
              <w:ind w:left="180"/>
              <w:spacing w:after="0"/>
              <w:rPr>
                <w:sz w:val="20"/>
                <w:szCs w:val="20"/>
                <w:color w:val="auto"/>
              </w:rPr>
            </w:pPr>
            <w:r>
              <w:rPr>
                <w:rFonts w:ascii="Arial" w:cs="Arial" w:eastAsia="Arial" w:hAnsi="Arial"/>
                <w:sz w:val="18"/>
                <w:szCs w:val="18"/>
                <w:color w:val="auto"/>
              </w:rPr>
              <w:t>Long-term inventory subtotal</w:t>
            </w:r>
          </w:p>
        </w:tc>
        <w:tc>
          <w:tcPr>
            <w:tcW w:w="10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169</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164</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740" w:type="dxa"/>
            <w:vAlign w:val="bottom"/>
            <w:tcBorders>
              <w:bottom w:val="single" w:sz="8" w:color="CCEEFF"/>
            </w:tcBorders>
          </w:tcPr>
          <w:p>
            <w:pPr>
              <w:spacing w:after="0"/>
              <w:rPr>
                <w:sz w:val="2"/>
                <w:szCs w:val="2"/>
                <w:color w:val="auto"/>
              </w:rPr>
            </w:pPr>
          </w:p>
        </w:tc>
        <w:tc>
          <w:tcPr>
            <w:tcW w:w="104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720" w:type="dxa"/>
            <w:vAlign w:val="bottom"/>
            <w:tcBorders>
              <w:bottom w:val="single" w:sz="8" w:color="CCEEFF"/>
            </w:tcBorders>
          </w:tcPr>
          <w:p>
            <w:pPr>
              <w:spacing w:after="0"/>
              <w:rPr>
                <w:sz w:val="2"/>
                <w:szCs w:val="2"/>
                <w:color w:val="auto"/>
              </w:rPr>
            </w:pPr>
          </w:p>
        </w:tc>
        <w:tc>
          <w:tcPr>
            <w:tcW w:w="120" w:type="dxa"/>
            <w:vAlign w:val="bottom"/>
            <w:tcBorders>
              <w:bottom w:val="single" w:sz="8" w:color="CCEEFF"/>
              <w:right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7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91"/>
        </w:trPr>
        <w:tc>
          <w:tcPr>
            <w:tcW w:w="274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120" w:type="dxa"/>
            <w:vAlign w:val="bottom"/>
            <w:tcBorders>
              <w:right w:val="single" w:sz="8" w:color="auto"/>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2740" w:type="dxa"/>
            <w:vAlign w:val="bottom"/>
          </w:tcPr>
          <w:p>
            <w:pPr>
              <w:ind w:left="40"/>
              <w:spacing w:after="0"/>
              <w:rPr>
                <w:sz w:val="20"/>
                <w:szCs w:val="20"/>
                <w:color w:val="auto"/>
              </w:rPr>
            </w:pPr>
            <w:r>
              <w:rPr>
                <w:rFonts w:ascii="Arial" w:cs="Arial" w:eastAsia="Arial" w:hAnsi="Arial"/>
                <w:sz w:val="18"/>
                <w:szCs w:val="18"/>
                <w:b w:val="1"/>
                <w:bCs w:val="1"/>
                <w:color w:val="auto"/>
              </w:rPr>
              <w:t>Total</w:t>
            </w:r>
          </w:p>
        </w:tc>
        <w:tc>
          <w:tcPr>
            <w:tcW w:w="10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1,671</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20" w:type="dxa"/>
            <w:vAlign w:val="bottom"/>
            <w:tcBorders>
              <w:right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1,749</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7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250444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504440" cy="8890"/>
                    </a:xfrm>
                    <a:prstGeom prst="rect">
                      <a:avLst/>
                    </a:prstGeom>
                    <a:noFill/>
                  </pic:spPr>
                </pic:pic>
              </a:graphicData>
            </a:graphic>
          </wp:anchor>
        </w:drawing>
      </w:r>
    </w:p>
    <w:p>
      <w:pPr>
        <w:spacing w:after="0" w:line="290" w:lineRule="exact"/>
        <w:rPr>
          <w:sz w:val="20"/>
          <w:szCs w:val="20"/>
          <w:color w:val="auto"/>
        </w:rPr>
      </w:pPr>
    </w:p>
    <w:p>
      <w:pPr>
        <w:ind w:left="660" w:right="160" w:hanging="652"/>
        <w:spacing w:after="0" w:line="216" w:lineRule="auto"/>
        <w:tabs>
          <w:tab w:leader="none" w:pos="660" w:val="left"/>
        </w:tabs>
        <w:numPr>
          <w:ilvl w:val="0"/>
          <w:numId w:val="8"/>
        </w:numPr>
        <w:rPr>
          <w:rFonts w:ascii="Arial" w:cs="Arial" w:eastAsia="Arial" w:hAnsi="Arial"/>
          <w:sz w:val="25"/>
          <w:szCs w:val="25"/>
          <w:color w:val="auto"/>
          <w:vertAlign w:val="superscript"/>
        </w:rPr>
      </w:pPr>
      <w:r>
        <w:rPr>
          <w:rFonts w:ascii="Arial" w:cs="Arial" w:eastAsia="Arial" w:hAnsi="Arial"/>
          <w:sz w:val="18"/>
          <w:szCs w:val="18"/>
          <w:color w:val="auto"/>
        </w:rPr>
        <w:t>Price per unit of measure is comprised of a weighted average associated with various grades, qualities and locations. Accordingly, these prices may not coincide with any published benchmarks for such products.</w:t>
      </w:r>
    </w:p>
    <w:p>
      <w:pPr>
        <w:spacing w:after="0" w:line="203" w:lineRule="exact"/>
        <w:rPr>
          <w:sz w:val="20"/>
          <w:szCs w:val="20"/>
          <w:color w:val="auto"/>
        </w:rPr>
      </w:pPr>
    </w:p>
    <w:p>
      <w:pPr>
        <w:ind w:right="120" w:firstLine="648"/>
        <w:spacing w:after="0" w:line="255" w:lineRule="auto"/>
        <w:rPr>
          <w:sz w:val="20"/>
          <w:szCs w:val="20"/>
          <w:color w:val="auto"/>
        </w:rPr>
      </w:pPr>
      <w:r>
        <w:rPr>
          <w:rFonts w:ascii="Arial" w:cs="Arial" w:eastAsia="Arial" w:hAnsi="Arial"/>
          <w:sz w:val="18"/>
          <w:szCs w:val="18"/>
          <w:color w:val="auto"/>
        </w:rPr>
        <w:t>At the end of each reporting period, we assess the carrying value of our inventory and make any adjustments necessary to reduce the carrying value to the applicable net realizable value. Any resulting adjustments are a component of “Purchases and related costs” on our accompanying Condensed Consolidated Statements of Operations. We recorded a charge of $35 million during the three and six months ended June 30, 2017 primarily related to the writedown of our crude oil inventory due to a decline in prices. Substantially all of this inventory valuation adjustment was offset by the recognition of gains on derivative instruments being utilized to hedge future sales of our crude oil inventory. Such gains were recorded to “Supply and Logistics segment revenues” on our accompanying Condensed Consolidated Statements of Operations. See Note 11 for discussion of our derivative and risk management activities. We did not record such charges during 2018.</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7—Divestitures</w:t>
      </w:r>
    </w:p>
    <w:p>
      <w:pPr>
        <w:spacing w:after="0" w:line="229" w:lineRule="exact"/>
        <w:rPr>
          <w:sz w:val="20"/>
          <w:szCs w:val="20"/>
          <w:color w:val="auto"/>
        </w:rPr>
      </w:pPr>
    </w:p>
    <w:p>
      <w:pPr>
        <w:ind w:right="220" w:firstLine="648"/>
        <w:spacing w:after="0" w:line="257" w:lineRule="auto"/>
        <w:rPr>
          <w:sz w:val="20"/>
          <w:szCs w:val="20"/>
          <w:color w:val="auto"/>
        </w:rPr>
      </w:pPr>
      <w:r>
        <w:rPr>
          <w:rFonts w:ascii="Arial" w:cs="Arial" w:eastAsia="Arial" w:hAnsi="Arial"/>
          <w:sz w:val="18"/>
          <w:szCs w:val="18"/>
          <w:color w:val="auto"/>
        </w:rPr>
        <w:t>During the six months ended June 30, 2018, we received proceeds from asset sales of $426 million. The assets sold primarily included non-core property and equipment or are associated with the formation of strategic joint ventures and were previously reported in our Facilities and Transportation segments. We recognized a net gain related to these asset sales of approximately $81 million during the three and six months ended June 30, 2018, which is included in “Depreciation and amortization” on our Condensed Consolidated Statements of Operations. Such amount is comprised of gains of $105 million and losses of $24 million.</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125" w:right="23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8—Goodwill</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Goodwill by segment and changes in goodwill are reflected in the following table (in millions):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0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20" w:type="dxa"/>
            <w:vAlign w:val="bottom"/>
            <w:gridSpan w:val="2"/>
          </w:tcPr>
          <w:p>
            <w:pPr>
              <w:ind w:left="80"/>
              <w:spacing w:after="0"/>
              <w:rPr>
                <w:sz w:val="20"/>
                <w:szCs w:val="20"/>
                <w:color w:val="auto"/>
              </w:rPr>
            </w:pPr>
            <w:r>
              <w:rPr>
                <w:rFonts w:ascii="Arial" w:cs="Arial" w:eastAsia="Arial" w:hAnsi="Arial"/>
                <w:sz w:val="14"/>
                <w:szCs w:val="14"/>
                <w:b w:val="1"/>
                <w:bCs w:val="1"/>
                <w:color w:val="auto"/>
              </w:rPr>
              <w:t>Transportation</w:t>
            </w:r>
          </w:p>
        </w:tc>
        <w:tc>
          <w:tcPr>
            <w:tcW w:w="280" w:type="dxa"/>
            <w:vAlign w:val="bottom"/>
          </w:tcPr>
          <w:p>
            <w:pPr>
              <w:spacing w:after="0"/>
              <w:rPr>
                <w:sz w:val="16"/>
                <w:szCs w:val="16"/>
                <w:color w:val="auto"/>
              </w:rPr>
            </w:pPr>
          </w:p>
        </w:tc>
        <w:tc>
          <w:tcPr>
            <w:tcW w:w="1300" w:type="dxa"/>
            <w:vAlign w:val="bottom"/>
            <w:gridSpan w:val="2"/>
          </w:tcPr>
          <w:p>
            <w:pPr>
              <w:ind w:left="180"/>
              <w:spacing w:after="0"/>
              <w:rPr>
                <w:sz w:val="20"/>
                <w:szCs w:val="20"/>
                <w:color w:val="auto"/>
              </w:rPr>
            </w:pPr>
            <w:r>
              <w:rPr>
                <w:rFonts w:ascii="Arial" w:cs="Arial" w:eastAsia="Arial" w:hAnsi="Arial"/>
                <w:sz w:val="14"/>
                <w:szCs w:val="14"/>
                <w:b w:val="1"/>
                <w:bCs w:val="1"/>
                <w:color w:val="auto"/>
              </w:rPr>
              <w:t>Facilities</w:t>
            </w:r>
          </w:p>
        </w:tc>
        <w:tc>
          <w:tcPr>
            <w:tcW w:w="180" w:type="dxa"/>
            <w:vAlign w:val="bottom"/>
          </w:tcPr>
          <w:p>
            <w:pPr>
              <w:spacing w:after="0"/>
              <w:rPr>
                <w:sz w:val="16"/>
                <w:szCs w:val="16"/>
                <w:color w:val="auto"/>
              </w:rPr>
            </w:pPr>
          </w:p>
        </w:tc>
        <w:tc>
          <w:tcPr>
            <w:tcW w:w="1740" w:type="dxa"/>
            <w:vAlign w:val="bottom"/>
            <w:gridSpan w:val="2"/>
          </w:tcPr>
          <w:p>
            <w:pPr>
              <w:ind w:left="80"/>
              <w:spacing w:after="0"/>
              <w:rPr>
                <w:sz w:val="20"/>
                <w:szCs w:val="20"/>
                <w:color w:val="auto"/>
              </w:rPr>
            </w:pPr>
            <w:r>
              <w:rPr>
                <w:rFonts w:ascii="Arial" w:cs="Arial" w:eastAsia="Arial" w:hAnsi="Arial"/>
                <w:sz w:val="14"/>
                <w:szCs w:val="14"/>
                <w:b w:val="1"/>
                <w:bCs w:val="1"/>
                <w:color w:val="auto"/>
              </w:rPr>
              <w:t>Supply and Logistics</w:t>
            </w:r>
          </w:p>
        </w:tc>
        <w:tc>
          <w:tcPr>
            <w:tcW w:w="300" w:type="dxa"/>
            <w:vAlign w:val="bottom"/>
          </w:tcPr>
          <w:p>
            <w:pPr>
              <w:spacing w:after="0"/>
              <w:rPr>
                <w:sz w:val="16"/>
                <w:szCs w:val="16"/>
                <w:color w:val="auto"/>
              </w:rPr>
            </w:pPr>
          </w:p>
        </w:tc>
        <w:tc>
          <w:tcPr>
            <w:tcW w:w="960" w:type="dxa"/>
            <w:vAlign w:val="bottom"/>
          </w:tcPr>
          <w:p>
            <w:pPr>
              <w:jc w:val="right"/>
              <w:ind w:right="394"/>
              <w:spacing w:after="0"/>
              <w:rPr>
                <w:sz w:val="20"/>
                <w:szCs w:val="20"/>
                <w:color w:val="auto"/>
              </w:rPr>
            </w:pPr>
            <w:r>
              <w:rPr>
                <w:rFonts w:ascii="Arial" w:cs="Arial" w:eastAsia="Arial" w:hAnsi="Arial"/>
                <w:sz w:val="14"/>
                <w:szCs w:val="14"/>
                <w:b w:val="1"/>
                <w:bCs w:val="1"/>
                <w:color w:val="auto"/>
              </w:rPr>
              <w:t>Total</w:t>
            </w:r>
          </w:p>
        </w:tc>
      </w:tr>
      <w:tr>
        <w:trPr>
          <w:trHeight w:val="263"/>
        </w:trPr>
        <w:tc>
          <w:tcPr>
            <w:tcW w:w="50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December 31, 2017</w:t>
            </w: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1,070</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988</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40" w:type="dxa"/>
            <w:vAlign w:val="bottom"/>
            <w:tcBorders>
              <w:top w:val="single" w:sz="8" w:color="auto"/>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508</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30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2,566</w:t>
            </w:r>
          </w:p>
        </w:tc>
      </w:tr>
      <w:tr>
        <w:trPr>
          <w:trHeight w:val="20"/>
        </w:trPr>
        <w:tc>
          <w:tcPr>
            <w:tcW w:w="50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230"/>
        </w:trPr>
        <w:tc>
          <w:tcPr>
            <w:tcW w:w="5040" w:type="dxa"/>
            <w:vAlign w:val="bottom"/>
          </w:tcPr>
          <w:p>
            <w:pPr>
              <w:ind w:left="180"/>
              <w:spacing w:after="0"/>
              <w:rPr>
                <w:sz w:val="20"/>
                <w:szCs w:val="20"/>
                <w:color w:val="auto"/>
              </w:rPr>
            </w:pPr>
            <w:r>
              <w:rPr>
                <w:rFonts w:ascii="Arial" w:cs="Arial" w:eastAsia="Arial" w:hAnsi="Arial"/>
                <w:sz w:val="18"/>
                <w:szCs w:val="18"/>
                <w:color w:val="auto"/>
              </w:rPr>
              <w:t>Foreign currency translation adjustments</w:t>
            </w:r>
          </w:p>
        </w:tc>
        <w:tc>
          <w:tcPr>
            <w:tcW w:w="20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7"/>
        </w:trPr>
        <w:tc>
          <w:tcPr>
            <w:tcW w:w="50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50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Dispositions and reclassifications to assets held for sale</w:t>
            </w:r>
          </w:p>
        </w:tc>
        <w:tc>
          <w:tcPr>
            <w:tcW w:w="2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7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r>
      <w:tr>
        <w:trPr>
          <w:trHeight w:val="257"/>
        </w:trPr>
        <w:tc>
          <w:tcPr>
            <w:tcW w:w="5040" w:type="dxa"/>
            <w:vAlign w:val="bottom"/>
          </w:tcPr>
          <w:p>
            <w:pPr>
              <w:ind w:left="40"/>
              <w:spacing w:after="0"/>
              <w:rPr>
                <w:sz w:val="20"/>
                <w:szCs w:val="20"/>
                <w:color w:val="auto"/>
              </w:rPr>
            </w:pPr>
            <w:r>
              <w:rPr>
                <w:rFonts w:ascii="Arial" w:cs="Arial" w:eastAsia="Arial" w:hAnsi="Arial"/>
                <w:sz w:val="18"/>
                <w:szCs w:val="18"/>
                <w:color w:val="auto"/>
              </w:rPr>
              <w:t>Balance at June 30, 2018</w:t>
            </w: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1,050</w:t>
            </w:r>
          </w:p>
        </w:tc>
        <w:tc>
          <w:tcPr>
            <w:tcW w:w="12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980</w:t>
            </w:r>
          </w:p>
        </w:tc>
        <w:tc>
          <w:tcPr>
            <w:tcW w:w="12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64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505</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2,535</w:t>
            </w:r>
          </w:p>
        </w:tc>
      </w:tr>
      <w:tr>
        <w:trPr>
          <w:trHeight w:val="20"/>
        </w:trPr>
        <w:tc>
          <w:tcPr>
            <w:tcW w:w="50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completed our goodwill impairment test as of June 30, 2018 and determined that there was no impairment of goodwill.</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9—Debt</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Debt consisted of the following (in millions):</w:t>
      </w:r>
    </w:p>
    <w:p>
      <w:pPr>
        <w:spacing w:after="0" w:line="163" w:lineRule="exact"/>
        <w:rPr>
          <w:sz w:val="20"/>
          <w:szCs w:val="20"/>
          <w:color w:val="auto"/>
        </w:rPr>
      </w:pPr>
    </w:p>
    <w:p>
      <w:pPr>
        <w:ind w:left="8980"/>
        <w:spacing w:after="0"/>
        <w:tabs>
          <w:tab w:leader="none" w:pos="10300" w:val="left"/>
        </w:tabs>
        <w:rPr>
          <w:sz w:val="20"/>
          <w:szCs w:val="20"/>
          <w:color w:val="auto"/>
        </w:rPr>
      </w:pPr>
      <w:r>
        <w:rPr>
          <w:rFonts w:ascii="Arial" w:cs="Arial" w:eastAsia="Arial" w:hAnsi="Arial"/>
          <w:sz w:val="14"/>
          <w:szCs w:val="14"/>
          <w:b w:val="1"/>
          <w:bCs w:val="1"/>
          <w:color w:val="auto"/>
        </w:rPr>
        <w:t>June 30,</w:t>
      </w:r>
      <w:r>
        <w:rPr>
          <w:sz w:val="20"/>
          <w:szCs w:val="20"/>
          <w:color w:val="auto"/>
        </w:rPr>
        <w:tab/>
      </w:r>
      <w:r>
        <w:rPr>
          <w:rFonts w:ascii="Arial" w:cs="Arial" w:eastAsia="Arial" w:hAnsi="Arial"/>
          <w:sz w:val="12"/>
          <w:szCs w:val="12"/>
          <w:b w:val="1"/>
          <w:bCs w:val="1"/>
          <w:color w:val="auto"/>
        </w:rPr>
        <w:t>December 31,</w:t>
      </w:r>
    </w:p>
    <w:p>
      <w:pPr>
        <w:spacing w:after="0" w:line="4" w:lineRule="exact"/>
        <w:rPr>
          <w:sz w:val="20"/>
          <w:szCs w:val="20"/>
          <w:color w:val="auto"/>
        </w:rPr>
      </w:pPr>
    </w:p>
    <w:p>
      <w:pPr>
        <w:ind w:left="9120"/>
        <w:spacing w:after="0"/>
        <w:tabs>
          <w:tab w:leader="none" w:pos="10580" w:val="left"/>
        </w:tabs>
        <w:rPr>
          <w:sz w:val="20"/>
          <w:szCs w:val="20"/>
          <w:color w:val="auto"/>
        </w:rPr>
      </w:pPr>
      <w:r>
        <w:rPr>
          <w:rFonts w:ascii="Arial" w:cs="Arial" w:eastAsia="Arial" w:hAnsi="Arial"/>
          <w:sz w:val="14"/>
          <w:szCs w:val="14"/>
          <w:b w:val="1"/>
          <w:bCs w:val="1"/>
          <w:color w:val="auto"/>
        </w:rPr>
        <w:t>2018</w:t>
      </w:r>
      <w:r>
        <w:rPr>
          <w:sz w:val="20"/>
          <w:szCs w:val="20"/>
          <w:color w:val="auto"/>
        </w:rPr>
        <w:tab/>
      </w:r>
      <w:r>
        <w:rPr>
          <w:rFonts w:ascii="Arial" w:cs="Arial" w:eastAsia="Arial" w:hAnsi="Arial"/>
          <w:sz w:val="14"/>
          <w:szCs w:val="14"/>
          <w:b w:val="1"/>
          <w:bCs w:val="1"/>
          <w:color w:val="auto"/>
        </w:rPr>
        <w:t>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7246620" cy="1714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p>
      <w:pPr>
        <w:spacing w:after="0" w:line="30"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SHORT-TERM DEBT</w:t>
      </w:r>
    </w:p>
    <w:p>
      <w:pPr>
        <w:spacing w:after="0" w:line="67" w:lineRule="exact"/>
        <w:rPr>
          <w:sz w:val="20"/>
          <w:szCs w:val="20"/>
          <w:color w:val="auto"/>
        </w:rPr>
      </w:pPr>
    </w:p>
    <w:p>
      <w:pPr>
        <w:ind w:left="40"/>
        <w:spacing w:after="0"/>
        <w:rPr>
          <w:sz w:val="20"/>
          <w:szCs w:val="20"/>
          <w:color w:val="auto"/>
        </w:rPr>
      </w:pPr>
      <w:r>
        <w:rPr>
          <w:rFonts w:ascii="Arial" w:cs="Arial" w:eastAsia="Arial" w:hAnsi="Arial"/>
          <w:sz w:val="16"/>
          <w:szCs w:val="16"/>
          <w:color w:val="auto"/>
        </w:rPr>
        <w:t xml:space="preserve">PAA commercial paper notes, bearing a weighted-average interest rate of 3.1% and 2.4%, respectively </w:t>
      </w:r>
      <w:r>
        <w:rPr>
          <w:rFonts w:ascii="Arial" w:cs="Arial" w:eastAsia="Arial" w:hAnsi="Arial"/>
          <w:sz w:val="22"/>
          <w:szCs w:val="22"/>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36830</wp:posOffset>
            </wp:positionV>
            <wp:extent cx="7246620" cy="3086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308610"/>
                    </a:xfrm>
                    <a:prstGeom prst="rect">
                      <a:avLst/>
                    </a:prstGeom>
                    <a:noFill/>
                  </pic:spPr>
                </pic:pic>
              </a:graphicData>
            </a:graphic>
          </wp:anchor>
        </w:drawing>
      </w:r>
    </w:p>
    <w:p>
      <w:pPr>
        <w:spacing w:after="0" w:line="56" w:lineRule="exact"/>
        <w:rPr>
          <w:sz w:val="20"/>
          <w:szCs w:val="20"/>
          <w:color w:val="auto"/>
        </w:rPr>
      </w:pPr>
    </w:p>
    <w:p>
      <w:pPr>
        <w:ind w:left="200" w:right="220" w:hanging="161"/>
        <w:spacing w:after="0" w:line="238" w:lineRule="auto"/>
        <w:rPr>
          <w:sz w:val="20"/>
          <w:szCs w:val="20"/>
          <w:color w:val="auto"/>
        </w:rPr>
      </w:pPr>
      <w:r>
        <w:rPr>
          <w:rFonts w:ascii="Arial" w:cs="Arial" w:eastAsia="Arial" w:hAnsi="Arial"/>
          <w:sz w:val="18"/>
          <w:szCs w:val="18"/>
          <w:color w:val="auto"/>
        </w:rPr>
        <w:t xml:space="preserve">PAA senior secured hedged inventory facility, bearing a weighted-average interest rate of 3.1% and 2.6%, respectively </w:t>
      </w:r>
      <w:r>
        <w:rPr>
          <w:rFonts w:ascii="Arial" w:cs="Arial" w:eastAsia="Arial" w:hAnsi="Arial"/>
          <w:sz w:val="25"/>
          <w:szCs w:val="25"/>
          <w:color w:val="auto"/>
          <w:vertAlign w:val="superscript"/>
        </w:rPr>
        <w:t>(1)</w:t>
      </w:r>
    </w:p>
    <w:p>
      <w:pPr>
        <w:spacing w:after="0" w:line="1" w:lineRule="exact"/>
        <w:rPr>
          <w:sz w:val="20"/>
          <w:szCs w:val="20"/>
          <w:color w:val="auto"/>
        </w:rPr>
      </w:pPr>
    </w:p>
    <w:p>
      <w:pPr>
        <w:ind w:left="40"/>
        <w:spacing w:after="0"/>
        <w:rPr>
          <w:sz w:val="20"/>
          <w:szCs w:val="20"/>
          <w:color w:val="auto"/>
        </w:rPr>
      </w:pPr>
      <w:r>
        <w:rPr>
          <w:rFonts w:ascii="Arial" w:cs="Arial" w:eastAsia="Arial" w:hAnsi="Arial"/>
          <w:sz w:val="17"/>
          <w:szCs w:val="17"/>
          <w:color w:val="auto"/>
        </w:rPr>
        <w:t xml:space="preserve">PAA senior unsecured revolving credit facility, bearing a weighted-average interest rate of 3.4% </w:t>
      </w:r>
      <w:r>
        <w:rPr>
          <w:rFonts w:ascii="Arial" w:cs="Arial" w:eastAsia="Arial" w:hAnsi="Arial"/>
          <w:sz w:val="24"/>
          <w:szCs w:val="24"/>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7246620" cy="1714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3" w:lineRule="exact"/>
        <w:rPr>
          <w:sz w:val="20"/>
          <w:szCs w:val="20"/>
          <w:color w:val="auto"/>
        </w:rPr>
      </w:pPr>
    </w:p>
    <w:p>
      <w:pPr>
        <w:ind w:left="40"/>
        <w:spacing w:after="0"/>
        <w:rPr>
          <w:sz w:val="20"/>
          <w:szCs w:val="20"/>
          <w:color w:val="auto"/>
        </w:rPr>
      </w:pPr>
      <w:r>
        <w:rPr>
          <w:rFonts w:ascii="Arial" w:cs="Arial" w:eastAsia="Arial" w:hAnsi="Arial"/>
          <w:sz w:val="18"/>
          <w:szCs w:val="18"/>
          <w:color w:val="auto"/>
        </w:rPr>
        <w:t>Other</w:t>
      </w:r>
    </w:p>
    <w:p>
      <w:pPr>
        <w:spacing w:after="0" w:line="72" w:lineRule="exact"/>
        <w:rPr>
          <w:sz w:val="20"/>
          <w:szCs w:val="20"/>
          <w:color w:val="auto"/>
        </w:rPr>
      </w:pPr>
    </w:p>
    <w:p>
      <w:pPr>
        <w:ind w:left="380"/>
        <w:spacing w:after="0"/>
        <w:rPr>
          <w:sz w:val="20"/>
          <w:szCs w:val="20"/>
          <w:color w:val="auto"/>
        </w:rPr>
      </w:pPr>
      <w:r>
        <w:rPr>
          <w:rFonts w:ascii="Arial" w:cs="Arial" w:eastAsia="Arial" w:hAnsi="Arial"/>
          <w:sz w:val="18"/>
          <w:szCs w:val="18"/>
          <w:color w:val="auto"/>
        </w:rPr>
        <w:t xml:space="preserve">Total short-term debt </w:t>
      </w:r>
      <w:r>
        <w:rPr>
          <w:rFonts w:ascii="Arial" w:cs="Arial" w:eastAsia="Arial" w:hAnsi="Arial"/>
          <w:sz w:val="25"/>
          <w:szCs w:val="25"/>
          <w:color w:val="auto"/>
          <w:vertAlign w:val="superscript"/>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-18415</wp:posOffset>
            </wp:positionV>
            <wp:extent cx="7246620" cy="18859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88595"/>
                    </a:xfrm>
                    <a:prstGeom prst="rect">
                      <a:avLst/>
                    </a:prstGeom>
                    <a:noFill/>
                  </pic:spPr>
                </pic:pic>
              </a:graphicData>
            </a:graphic>
          </wp:anchor>
        </w:drawing>
      </w:r>
    </w:p>
    <w:p>
      <w:pPr>
        <w:spacing w:after="0" w:line="256"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LONG-TERM DEBT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246620" cy="1714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7" w:lineRule="exact"/>
        <w:rPr>
          <w:sz w:val="20"/>
          <w:szCs w:val="20"/>
          <w:color w:val="auto"/>
        </w:rPr>
      </w:pPr>
    </w:p>
    <w:p>
      <w:pPr>
        <w:ind w:left="40"/>
        <w:spacing w:after="0"/>
        <w:rPr>
          <w:sz w:val="20"/>
          <w:szCs w:val="20"/>
          <w:color w:val="auto"/>
        </w:rPr>
      </w:pPr>
      <w:r>
        <w:rPr>
          <w:rFonts w:ascii="Arial" w:cs="Arial" w:eastAsia="Arial" w:hAnsi="Arial"/>
          <w:sz w:val="16"/>
          <w:szCs w:val="16"/>
          <w:color w:val="auto"/>
        </w:rPr>
        <w:t>PAA senior notes, net of unamortized discounts and debt issuance costs of $63 and $67, respectively</w:t>
      </w:r>
    </w:p>
    <w:p>
      <w:pPr>
        <w:spacing w:after="0" w:line="79" w:lineRule="exact"/>
        <w:rPr>
          <w:sz w:val="20"/>
          <w:szCs w:val="20"/>
          <w:color w:val="auto"/>
        </w:rPr>
      </w:pPr>
    </w:p>
    <w:p>
      <w:pPr>
        <w:ind w:left="40"/>
        <w:spacing w:after="0"/>
        <w:rPr>
          <w:sz w:val="20"/>
          <w:szCs w:val="20"/>
          <w:color w:val="auto"/>
        </w:rPr>
      </w:pPr>
      <w:r>
        <w:rPr>
          <w:rFonts w:ascii="Arial" w:cs="Arial" w:eastAsia="Arial" w:hAnsi="Arial"/>
          <w:sz w:val="18"/>
          <w:szCs w:val="18"/>
          <w:color w:val="auto"/>
        </w:rPr>
        <w:t xml:space="preserve">PAA commercial paper notes and senior secured hedged inventory facility borrowings </w:t>
      </w:r>
      <w:r>
        <w:rPr>
          <w:rFonts w:ascii="Arial" w:cs="Arial" w:eastAsia="Arial" w:hAnsi="Arial"/>
          <w:sz w:val="25"/>
          <w:szCs w:val="25"/>
          <w:color w:val="auto"/>
          <w:vertAlign w:val="superscript"/>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6620" cy="1714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ind w:left="40"/>
        <w:spacing w:after="0"/>
        <w:rPr>
          <w:sz w:val="20"/>
          <w:szCs w:val="20"/>
          <w:color w:val="auto"/>
        </w:rPr>
      </w:pPr>
      <w:r>
        <w:rPr>
          <w:rFonts w:ascii="Arial" w:cs="Arial" w:eastAsia="Arial" w:hAnsi="Arial"/>
          <w:sz w:val="17"/>
          <w:szCs w:val="17"/>
          <w:color w:val="auto"/>
        </w:rPr>
        <w:t xml:space="preserve">PAA senior unsecured revolving credit facility, bearing a weighted-average interest rate of 3.4% </w:t>
      </w:r>
      <w:r>
        <w:rPr>
          <w:rFonts w:ascii="Arial" w:cs="Arial" w:eastAsia="Arial" w:hAnsi="Arial"/>
          <w:sz w:val="24"/>
          <w:szCs w:val="24"/>
          <w:color w:val="auto"/>
          <w:vertAlign w:val="superscript"/>
        </w:rPr>
        <w:t>(3)</w:t>
      </w:r>
    </w:p>
    <w:p>
      <w:pPr>
        <w:ind w:left="40"/>
        <w:spacing w:after="0"/>
        <w:rPr>
          <w:sz w:val="20"/>
          <w:szCs w:val="20"/>
          <w:color w:val="auto"/>
        </w:rPr>
      </w:pPr>
      <w:r>
        <w:rPr>
          <w:rFonts w:ascii="Arial" w:cs="Arial" w:eastAsia="Arial" w:hAnsi="Arial"/>
          <w:sz w:val="18"/>
          <w:szCs w:val="18"/>
          <w:color w:val="auto"/>
        </w:rPr>
        <w:t>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21590</wp:posOffset>
            </wp:positionV>
            <wp:extent cx="7246620" cy="1803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41"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Total long-term debt</w:t>
      </w:r>
    </w:p>
    <w:p>
      <w:pPr>
        <w:spacing w:after="0" w:line="90" w:lineRule="exact"/>
        <w:rPr>
          <w:sz w:val="20"/>
          <w:szCs w:val="20"/>
          <w:color w:val="auto"/>
        </w:rPr>
      </w:pPr>
    </w:p>
    <w:p>
      <w:pPr>
        <w:ind w:left="580"/>
        <w:spacing w:after="0"/>
        <w:rPr>
          <w:sz w:val="20"/>
          <w:szCs w:val="20"/>
          <w:color w:val="auto"/>
        </w:rPr>
      </w:pPr>
      <w:r>
        <w:rPr>
          <w:rFonts w:ascii="Arial" w:cs="Arial" w:eastAsia="Arial" w:hAnsi="Arial"/>
          <w:sz w:val="18"/>
          <w:szCs w:val="18"/>
          <w:color w:val="auto"/>
        </w:rPr>
        <w:t xml:space="preserve">Total debt </w:t>
      </w:r>
      <w:r>
        <w:rPr>
          <w:rFonts w:ascii="Arial" w:cs="Arial" w:eastAsia="Arial" w:hAnsi="Arial"/>
          <w:sz w:val="25"/>
          <w:szCs w:val="25"/>
          <w:color w:val="auto"/>
          <w:vertAlign w:val="superscript"/>
        </w:rPr>
        <w:t>(4)</w:t>
      </w:r>
    </w:p>
    <w:p>
      <w:pPr>
        <w:spacing w:after="0" w:line="20" w:lineRule="exact"/>
        <w:rPr>
          <w:sz w:val="20"/>
          <w:szCs w:val="20"/>
          <w:color w:val="auto"/>
        </w:rPr>
      </w:pPr>
      <w:r>
        <w:rPr>
          <w:sz w:val="20"/>
          <w:szCs w:val="20"/>
          <w:color w:val="auto"/>
        </w:rPr>
        <w:br w:type="column"/>
      </w:r>
    </w:p>
    <w:p>
      <w:pPr>
        <w:spacing w:after="0" w:line="338" w:lineRule="exact"/>
        <w:rPr>
          <w:sz w:val="20"/>
          <w:szCs w:val="20"/>
          <w:color w:val="auto"/>
        </w:rPr>
      </w:pPr>
    </w:p>
    <w:p>
      <w:pPr>
        <w:spacing w:after="0"/>
        <w:tabs>
          <w:tab w:leader="none" w:pos="960" w:val="left"/>
          <w:tab w:leader="none" w:pos="1460" w:val="left"/>
          <w:tab w:leader="none" w:pos="252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259</w:t>
        <w:tab/>
        <w:t>$</w:t>
      </w:r>
      <w:r>
        <w:rPr>
          <w:sz w:val="20"/>
          <w:szCs w:val="20"/>
          <w:color w:val="auto"/>
        </w:rPr>
        <w:tab/>
      </w:r>
      <w:r>
        <w:rPr>
          <w:rFonts w:ascii="Arial" w:cs="Arial" w:eastAsia="Arial" w:hAnsi="Arial"/>
          <w:sz w:val="18"/>
          <w:szCs w:val="18"/>
          <w:color w:val="auto"/>
        </w:rPr>
        <w:t>—</w:t>
      </w:r>
    </w:p>
    <w:p>
      <w:pPr>
        <w:spacing w:after="0" w:line="279" w:lineRule="exact"/>
        <w:rPr>
          <w:sz w:val="20"/>
          <w:szCs w:val="20"/>
          <w:color w:val="auto"/>
        </w:rPr>
      </w:pPr>
    </w:p>
    <w:p>
      <w:pPr>
        <w:jc w:val="both"/>
        <w:ind w:left="980"/>
        <w:spacing w:after="0"/>
        <w:tabs>
          <w:tab w:leader="none" w:pos="2420" w:val="left"/>
        </w:tabs>
        <w:rPr>
          <w:sz w:val="20"/>
          <w:szCs w:val="20"/>
          <w:color w:val="auto"/>
        </w:rPr>
      </w:pPr>
      <w:r>
        <w:rPr>
          <w:rFonts w:ascii="Arial" w:cs="Arial" w:eastAsia="Arial" w:hAnsi="Arial"/>
          <w:sz w:val="18"/>
          <w:szCs w:val="18"/>
          <w:color w:val="auto"/>
        </w:rPr>
        <w:t>450</w:t>
      </w:r>
      <w:r>
        <w:rPr>
          <w:sz w:val="20"/>
          <w:szCs w:val="20"/>
          <w:color w:val="auto"/>
        </w:rPr>
        <w:tab/>
      </w:r>
      <w:r>
        <w:rPr>
          <w:rFonts w:ascii="Arial" w:cs="Arial" w:eastAsia="Arial" w:hAnsi="Arial"/>
          <w:sz w:val="18"/>
          <w:szCs w:val="18"/>
          <w:color w:val="auto"/>
        </w:rPr>
        <w:t>664</w:t>
      </w:r>
    </w:p>
    <w:p>
      <w:pPr>
        <w:spacing w:after="0" w:line="117" w:lineRule="exact"/>
        <w:rPr>
          <w:sz w:val="20"/>
          <w:szCs w:val="20"/>
          <w:color w:val="auto"/>
        </w:rPr>
      </w:pPr>
    </w:p>
    <w:p>
      <w:pPr>
        <w:jc w:val="both"/>
        <w:ind w:left="980"/>
        <w:spacing w:after="0"/>
        <w:tabs>
          <w:tab w:leader="none" w:pos="2520" w:val="left"/>
        </w:tabs>
        <w:rPr>
          <w:sz w:val="20"/>
          <w:szCs w:val="20"/>
          <w:color w:val="auto"/>
        </w:rPr>
      </w:pPr>
      <w:r>
        <w:rPr>
          <w:rFonts w:ascii="Arial" w:cs="Arial" w:eastAsia="Arial" w:hAnsi="Arial"/>
          <w:sz w:val="18"/>
          <w:szCs w:val="18"/>
          <w:color w:val="auto"/>
        </w:rPr>
        <w:t>100</w:t>
      </w:r>
      <w:r>
        <w:rPr>
          <w:sz w:val="20"/>
          <w:szCs w:val="20"/>
          <w:color w:val="auto"/>
        </w:rPr>
        <w:tab/>
      </w:r>
      <w:r>
        <w:rPr>
          <w:rFonts w:ascii="Arial" w:cs="Arial" w:eastAsia="Arial" w:hAnsi="Arial"/>
          <w:sz w:val="18"/>
          <w:szCs w:val="18"/>
          <w:color w:val="auto"/>
        </w:rPr>
        <w:t>—</w:t>
      </w:r>
    </w:p>
    <w:p>
      <w:pPr>
        <w:spacing w:after="0" w:line="63" w:lineRule="exact"/>
        <w:rPr>
          <w:sz w:val="20"/>
          <w:szCs w:val="20"/>
          <w:color w:val="auto"/>
        </w:rPr>
      </w:pPr>
    </w:p>
    <w:p>
      <w:pPr>
        <w:jc w:val="both"/>
        <w:ind w:left="980"/>
        <w:spacing w:after="0"/>
        <w:tabs>
          <w:tab w:leader="none" w:pos="2520" w:val="left"/>
        </w:tabs>
        <w:rPr>
          <w:sz w:val="20"/>
          <w:szCs w:val="20"/>
          <w:color w:val="auto"/>
        </w:rPr>
      </w:pPr>
      <w:r>
        <w:rPr>
          <w:rFonts w:ascii="Arial" w:cs="Arial" w:eastAsia="Arial" w:hAnsi="Arial"/>
          <w:sz w:val="18"/>
          <w:szCs w:val="18"/>
          <w:color w:val="auto"/>
        </w:rPr>
        <w:t>134</w:t>
      </w:r>
      <w:r>
        <w:rPr>
          <w:sz w:val="20"/>
          <w:szCs w:val="20"/>
          <w:color w:val="auto"/>
        </w:rPr>
        <w:tab/>
      </w: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31750</wp:posOffset>
            </wp:positionV>
            <wp:extent cx="180975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57" w:lineRule="exact"/>
        <w:rPr>
          <w:sz w:val="20"/>
          <w:szCs w:val="20"/>
          <w:color w:val="auto"/>
        </w:rPr>
      </w:pPr>
    </w:p>
    <w:p>
      <w:pPr>
        <w:jc w:val="both"/>
        <w:ind w:left="980"/>
        <w:spacing w:after="0"/>
        <w:tabs>
          <w:tab w:leader="none" w:pos="2420" w:val="left"/>
        </w:tabs>
        <w:rPr>
          <w:sz w:val="20"/>
          <w:szCs w:val="20"/>
          <w:color w:val="auto"/>
        </w:rPr>
      </w:pPr>
      <w:r>
        <w:rPr>
          <w:rFonts w:ascii="Arial" w:cs="Arial" w:eastAsia="Arial" w:hAnsi="Arial"/>
          <w:sz w:val="18"/>
          <w:szCs w:val="18"/>
          <w:color w:val="auto"/>
        </w:rPr>
        <w:t>943</w:t>
      </w:r>
      <w:r>
        <w:rPr>
          <w:sz w:val="20"/>
          <w:szCs w:val="20"/>
          <w:color w:val="auto"/>
        </w:rPr>
        <w:tab/>
      </w:r>
      <w:r>
        <w:rPr>
          <w:rFonts w:ascii="Arial" w:cs="Arial" w:eastAsia="Arial" w:hAnsi="Arial"/>
          <w:sz w:val="18"/>
          <w:szCs w:val="18"/>
          <w:color w:val="auto"/>
        </w:rPr>
        <w:t>737</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both"/>
        <w:ind w:left="840"/>
        <w:spacing w:after="0"/>
        <w:tabs>
          <w:tab w:leader="none" w:pos="2280" w:val="left"/>
        </w:tabs>
        <w:rPr>
          <w:sz w:val="20"/>
          <w:szCs w:val="20"/>
          <w:color w:val="auto"/>
        </w:rPr>
      </w:pPr>
      <w:r>
        <w:rPr>
          <w:rFonts w:ascii="Arial" w:cs="Arial" w:eastAsia="Arial" w:hAnsi="Arial"/>
          <w:sz w:val="18"/>
          <w:szCs w:val="18"/>
          <w:color w:val="auto"/>
        </w:rPr>
        <w:t>8,937</w:t>
      </w:r>
      <w:r>
        <w:rPr>
          <w:sz w:val="20"/>
          <w:szCs w:val="20"/>
          <w:color w:val="auto"/>
        </w:rPr>
        <w:tab/>
      </w:r>
      <w:r>
        <w:rPr>
          <w:rFonts w:ascii="Arial" w:cs="Arial" w:eastAsia="Arial" w:hAnsi="Arial"/>
          <w:sz w:val="18"/>
          <w:szCs w:val="18"/>
          <w:color w:val="auto"/>
        </w:rPr>
        <w:t>8,933</w:t>
      </w:r>
    </w:p>
    <w:p>
      <w:pPr>
        <w:spacing w:after="0" w:line="63" w:lineRule="exact"/>
        <w:rPr>
          <w:sz w:val="20"/>
          <w:szCs w:val="20"/>
          <w:color w:val="auto"/>
        </w:rPr>
      </w:pPr>
    </w:p>
    <w:p>
      <w:pPr>
        <w:ind w:left="1060"/>
        <w:spacing w:after="0"/>
        <w:rPr>
          <w:sz w:val="20"/>
          <w:szCs w:val="20"/>
          <w:color w:val="auto"/>
        </w:rPr>
      </w:pPr>
      <w:r>
        <w:rPr>
          <w:rFonts w:ascii="Arial" w:cs="Arial" w:eastAsia="Arial" w:hAnsi="Arial"/>
          <w:sz w:val="18"/>
          <w:szCs w:val="18"/>
          <w:color w:val="auto"/>
        </w:rPr>
        <w:t>—</w:t>
      </w:r>
      <w:r>
        <w:rPr>
          <w:rFonts w:ascii="Arial" w:cs="Arial" w:eastAsia="Arial" w:hAnsi="Arial"/>
          <w:sz w:val="16"/>
          <w:szCs w:val="16"/>
          <w:color w:val="auto"/>
        </w:rPr>
        <w:t>247</w:t>
      </w:r>
    </w:p>
    <w:p>
      <w:pPr>
        <w:spacing w:after="0" w:line="63" w:lineRule="exact"/>
        <w:rPr>
          <w:sz w:val="20"/>
          <w:szCs w:val="20"/>
          <w:color w:val="auto"/>
        </w:rPr>
      </w:pPr>
    </w:p>
    <w:p>
      <w:pPr>
        <w:jc w:val="both"/>
        <w:ind w:left="1060"/>
        <w:spacing w:after="0"/>
        <w:tabs>
          <w:tab w:leader="none" w:pos="2520" w:val="left"/>
        </w:tabs>
        <w:rPr>
          <w:sz w:val="20"/>
          <w:szCs w:val="20"/>
          <w:color w:val="auto"/>
        </w:rPr>
      </w:pPr>
      <w:r>
        <w:rPr>
          <w:rFonts w:ascii="Arial" w:cs="Arial" w:eastAsia="Arial" w:hAnsi="Arial"/>
          <w:sz w:val="18"/>
          <w:szCs w:val="18"/>
          <w:color w:val="auto"/>
        </w:rPr>
        <w:t>26</w:t>
      </w:r>
      <w:r>
        <w:rPr>
          <w:sz w:val="20"/>
          <w:szCs w:val="20"/>
          <w:color w:val="auto"/>
        </w:rPr>
        <w:tab/>
      </w:r>
      <w:r>
        <w:rPr>
          <w:rFonts w:ascii="Arial" w:cs="Arial" w:eastAsia="Arial" w:hAnsi="Arial"/>
          <w:sz w:val="18"/>
          <w:szCs w:val="18"/>
          <w:color w:val="auto"/>
        </w:rPr>
        <w:t>—</w:t>
      </w:r>
    </w:p>
    <w:p>
      <w:pPr>
        <w:spacing w:after="0" w:line="63" w:lineRule="exact"/>
        <w:rPr>
          <w:sz w:val="20"/>
          <w:szCs w:val="20"/>
          <w:color w:val="auto"/>
        </w:rPr>
      </w:pPr>
    </w:p>
    <w:p>
      <w:pPr>
        <w:jc w:val="both"/>
        <w:ind w:left="1160"/>
        <w:spacing w:after="0"/>
        <w:tabs>
          <w:tab w:leader="none" w:pos="2600" w:val="left"/>
        </w:tabs>
        <w:rPr>
          <w:sz w:val="20"/>
          <w:szCs w:val="20"/>
          <w:color w:val="auto"/>
        </w:rPr>
      </w:pPr>
      <w:r>
        <w:rPr>
          <w:rFonts w:ascii="Arial" w:cs="Arial" w:eastAsia="Arial" w:hAnsi="Arial"/>
          <w:sz w:val="18"/>
          <w:szCs w:val="18"/>
          <w:color w:val="auto"/>
        </w:rPr>
        <w:t>3</w:t>
      </w:r>
      <w:r>
        <w:rPr>
          <w:sz w:val="20"/>
          <w:szCs w:val="20"/>
          <w:color w:val="auto"/>
        </w:rPr>
        <w:tab/>
      </w:r>
      <w:r>
        <w:rPr>
          <w:rFonts w:ascii="Arial" w:cs="Arial" w:eastAsia="Arial" w:hAnsi="Arial"/>
          <w:sz w:val="18"/>
          <w:szCs w:val="18"/>
          <w:color w:val="auto"/>
        </w:rPr>
        <w:t>3</w:t>
      </w:r>
    </w:p>
    <w:p>
      <w:pPr>
        <w:spacing w:after="0" w:line="77" w:lineRule="exact"/>
        <w:rPr>
          <w:sz w:val="20"/>
          <w:szCs w:val="20"/>
          <w:color w:val="auto"/>
        </w:rPr>
      </w:pPr>
    </w:p>
    <w:p>
      <w:pPr>
        <w:jc w:val="both"/>
        <w:ind w:left="840"/>
        <w:spacing w:after="0"/>
        <w:tabs>
          <w:tab w:leader="none" w:pos="2280" w:val="left"/>
        </w:tabs>
        <w:rPr>
          <w:sz w:val="20"/>
          <w:szCs w:val="20"/>
          <w:color w:val="auto"/>
        </w:rPr>
      </w:pPr>
      <w:r>
        <w:rPr>
          <w:rFonts w:ascii="Arial" w:cs="Arial" w:eastAsia="Arial" w:hAnsi="Arial"/>
          <w:sz w:val="18"/>
          <w:szCs w:val="18"/>
          <w:color w:val="auto"/>
        </w:rPr>
        <w:t>8,966</w:t>
      </w:r>
      <w:r>
        <w:rPr>
          <w:sz w:val="20"/>
          <w:szCs w:val="20"/>
          <w:color w:val="auto"/>
        </w:rPr>
        <w:tab/>
      </w:r>
      <w:r>
        <w:rPr>
          <w:rFonts w:ascii="Arial" w:cs="Arial" w:eastAsia="Arial" w:hAnsi="Arial"/>
          <w:sz w:val="18"/>
          <w:szCs w:val="18"/>
          <w:color w:val="auto"/>
        </w:rPr>
        <w:t>9,183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31750</wp:posOffset>
            </wp:positionV>
            <wp:extent cx="180975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57" w:lineRule="exact"/>
        <w:rPr>
          <w:sz w:val="20"/>
          <w:szCs w:val="20"/>
          <w:color w:val="auto"/>
        </w:rPr>
      </w:pPr>
    </w:p>
    <w:p>
      <w:pPr>
        <w:spacing w:after="0"/>
        <w:tabs>
          <w:tab w:leader="none" w:pos="820" w:val="left"/>
          <w:tab w:leader="none" w:pos="1460" w:val="left"/>
          <w:tab w:leader="none" w:pos="228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9,909</w:t>
        <w:tab/>
        <w:t>$</w:t>
      </w:r>
      <w:r>
        <w:rPr>
          <w:sz w:val="20"/>
          <w:szCs w:val="20"/>
          <w:color w:val="auto"/>
        </w:rPr>
        <w:tab/>
      </w:r>
      <w:r>
        <w:rPr>
          <w:rFonts w:ascii="Arial" w:cs="Arial" w:eastAsia="Arial" w:hAnsi="Arial"/>
          <w:sz w:val="16"/>
          <w:szCs w:val="16"/>
          <w:color w:val="auto"/>
        </w:rPr>
        <w:t>9,920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31750</wp:posOffset>
            </wp:positionV>
            <wp:extent cx="1809750" cy="260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809750" cy="26035"/>
                    </a:xfrm>
                    <a:prstGeom prst="rect">
                      <a:avLst/>
                    </a:prstGeom>
                    <a:noFill/>
                  </pic:spPr>
                </pic:pic>
              </a:graphicData>
            </a:graphic>
          </wp:anchor>
        </w:drawing>
      </w:r>
    </w:p>
    <w:p>
      <w:pPr>
        <w:spacing w:after="0" w:line="293" w:lineRule="exact"/>
        <w:rPr>
          <w:sz w:val="20"/>
          <w:szCs w:val="20"/>
          <w:color w:val="auto"/>
        </w:rPr>
      </w:pPr>
    </w:p>
    <w:p>
      <w:pPr>
        <w:sectPr>
          <w:pgSz w:w="11900" w:h="16838" w:orient="portrait"/>
          <w:cols w:equalWidth="0" w:num="2">
            <w:col w:w="7880" w:space="720"/>
            <w:col w:w="2820"/>
          </w:cols>
          <w:pgMar w:left="240" w:top="125" w:right="239" w:bottom="1440" w:gutter="0" w:footer="0" w:header="0"/>
          <w:type w:val="continuous"/>
        </w:sectPr>
      </w:pPr>
    </w:p>
    <w:p>
      <w:pPr>
        <w:spacing w:after="0" w:line="53" w:lineRule="exact"/>
        <w:rPr>
          <w:sz w:val="20"/>
          <w:szCs w:val="20"/>
          <w:color w:val="auto"/>
        </w:rPr>
      </w:pPr>
    </w:p>
    <w:p>
      <w:pPr>
        <w:jc w:val="both"/>
        <w:ind w:left="660" w:right="200" w:hanging="652"/>
        <w:spacing w:after="0" w:line="226" w:lineRule="auto"/>
        <w:tabs>
          <w:tab w:leader="none" w:pos="660" w:val="left"/>
        </w:tabs>
        <w:numPr>
          <w:ilvl w:val="0"/>
          <w:numId w:val="10"/>
        </w:numPr>
        <w:rPr>
          <w:rFonts w:ascii="Arial" w:cs="Arial" w:eastAsia="Arial" w:hAnsi="Arial"/>
          <w:sz w:val="25"/>
          <w:szCs w:val="25"/>
          <w:color w:val="auto"/>
          <w:vertAlign w:val="superscript"/>
        </w:rPr>
      </w:pPr>
      <w:r>
        <w:rPr>
          <w:rFonts w:ascii="Arial" w:cs="Arial" w:eastAsia="Arial" w:hAnsi="Arial"/>
          <w:sz w:val="18"/>
          <w:szCs w:val="18"/>
          <w:color w:val="auto"/>
        </w:rPr>
        <w:t>We classified these PAA commercial paper notes and credit facility borrowings as short-term as of June 30, 2018 and December 31, 2017, as these notes and borrowings were primarily designated as working capital borrowings, were required to be repaid within one year and were primarily for hedged NGL and crude oil inventory and NYMEX and ICE margin deposits.</w:t>
      </w:r>
    </w:p>
    <w:p>
      <w:pPr>
        <w:spacing w:after="0" w:line="95" w:lineRule="exact"/>
        <w:rPr>
          <w:rFonts w:ascii="Arial" w:cs="Arial" w:eastAsia="Arial" w:hAnsi="Arial"/>
          <w:sz w:val="25"/>
          <w:szCs w:val="25"/>
          <w:color w:val="auto"/>
          <w:vertAlign w:val="superscript"/>
        </w:rPr>
      </w:pPr>
    </w:p>
    <w:p>
      <w:pPr>
        <w:ind w:left="660" w:right="160" w:hanging="652"/>
        <w:spacing w:after="0" w:line="216" w:lineRule="auto"/>
        <w:tabs>
          <w:tab w:leader="none" w:pos="660" w:val="left"/>
        </w:tabs>
        <w:numPr>
          <w:ilvl w:val="0"/>
          <w:numId w:val="10"/>
        </w:numPr>
        <w:rPr>
          <w:rFonts w:ascii="Arial" w:cs="Arial" w:eastAsia="Arial" w:hAnsi="Arial"/>
          <w:sz w:val="25"/>
          <w:szCs w:val="25"/>
          <w:color w:val="auto"/>
          <w:vertAlign w:val="superscript"/>
        </w:rPr>
      </w:pPr>
      <w:r>
        <w:rPr>
          <w:rFonts w:ascii="Arial" w:cs="Arial" w:eastAsia="Arial" w:hAnsi="Arial"/>
          <w:sz w:val="18"/>
          <w:szCs w:val="18"/>
          <w:color w:val="auto"/>
        </w:rPr>
        <w:t>As of June 30, 2018 and December 31, 2017, balance includes borrowings of $426 million and $212 million, respectively, for cash margin deposits with NYMEX and ICE, which are associated with financial derivatives used for hedging purposes.</w:t>
      </w:r>
    </w:p>
    <w:p>
      <w:pPr>
        <w:spacing w:after="0" w:line="95" w:lineRule="exact"/>
        <w:rPr>
          <w:rFonts w:ascii="Arial" w:cs="Arial" w:eastAsia="Arial" w:hAnsi="Arial"/>
          <w:sz w:val="25"/>
          <w:szCs w:val="25"/>
          <w:color w:val="auto"/>
          <w:vertAlign w:val="superscript"/>
        </w:rPr>
      </w:pPr>
    </w:p>
    <w:p>
      <w:pPr>
        <w:ind w:left="660" w:right="100" w:hanging="652"/>
        <w:spacing w:after="0" w:line="216" w:lineRule="auto"/>
        <w:tabs>
          <w:tab w:leader="none" w:pos="660" w:val="left"/>
        </w:tabs>
        <w:numPr>
          <w:ilvl w:val="0"/>
          <w:numId w:val="10"/>
        </w:numPr>
        <w:rPr>
          <w:rFonts w:ascii="Arial" w:cs="Arial" w:eastAsia="Arial" w:hAnsi="Arial"/>
          <w:sz w:val="25"/>
          <w:szCs w:val="25"/>
          <w:color w:val="auto"/>
          <w:vertAlign w:val="superscript"/>
        </w:rPr>
      </w:pPr>
      <w:r>
        <w:rPr>
          <w:rFonts w:ascii="Arial" w:cs="Arial" w:eastAsia="Arial" w:hAnsi="Arial"/>
          <w:sz w:val="18"/>
          <w:szCs w:val="18"/>
          <w:color w:val="auto"/>
        </w:rPr>
        <w:t>As of June 30, 2018 and December 31, 2017, we classified a portion of PAA's commercial paper notes and PAA's credit facility borrowings as long-term based on PAA's ability and intent to refinance such amounts on a long-term basis.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-1104900</wp:posOffset>
            </wp:positionV>
            <wp:extent cx="250444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504440" cy="8890"/>
                    </a:xfrm>
                    <a:prstGeom prst="rect">
                      <a:avLst/>
                    </a:prstGeom>
                    <a:noFill/>
                  </pic:spPr>
                </pic:pic>
              </a:graphicData>
            </a:graphic>
          </wp:anchor>
        </w:drawing>
      </w: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125" w:right="239" w:bottom="1440" w:gutter="0" w:footer="0" w:header="0"/>
          <w:type w:val="continuous"/>
        </w:sectPr>
      </w:pPr>
    </w:p>
    <w:bookmarkStart w:id="18" w:name="page19"/>
    <w:bookmarkEnd w:id="1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660" w:right="40" w:hanging="652"/>
        <w:spacing w:after="0" w:line="239" w:lineRule="auto"/>
        <w:tabs>
          <w:tab w:leader="none" w:pos="660" w:val="left"/>
        </w:tabs>
        <w:numPr>
          <w:ilvl w:val="0"/>
          <w:numId w:val="11"/>
        </w:numPr>
        <w:rPr>
          <w:rFonts w:ascii="Arial" w:cs="Arial" w:eastAsia="Arial" w:hAnsi="Arial"/>
          <w:sz w:val="25"/>
          <w:szCs w:val="25"/>
          <w:color w:val="auto"/>
          <w:vertAlign w:val="superscript"/>
        </w:rPr>
      </w:pPr>
      <w:r>
        <w:rPr>
          <w:rFonts w:ascii="Arial" w:cs="Arial" w:eastAsia="Arial" w:hAnsi="Arial"/>
          <w:sz w:val="18"/>
          <w:szCs w:val="18"/>
          <w:color w:val="auto"/>
        </w:rPr>
        <w:t>PAA’s fixed-rate senior notes had a face value of approximately $9.0 billion at both June 30, 2018 and December 31, 2017. We estimated the aggregate fair value of these notes as of June 30, 2018 and December 31, 2017 to be approximately $8.7 billion and $9.1 billion, respectively. PAA’s fixed-rate senior notes are traded among institutions, and these trades are routinely published by a reporting service. Our determination of fair value is based on reported trading activity near the end of the reporting period. We estimate that the carrying value of outstanding borrowings under the credit facilities and the PAA commercial paper program approximates fair value as interest rates reflect current market rates. The fair value estimates for the PAA senior notes, the credit facilities and the PAA commercial paper program are based upon observable market data and are classified in Level 2 of the fair value hierarchy.</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Borrowings and Repayments</w:t>
      </w:r>
    </w:p>
    <w:p>
      <w:pPr>
        <w:spacing w:after="0" w:line="225" w:lineRule="exact"/>
        <w:rPr>
          <w:sz w:val="20"/>
          <w:szCs w:val="20"/>
          <w:color w:val="auto"/>
        </w:rPr>
      </w:pPr>
    </w:p>
    <w:p>
      <w:pPr>
        <w:ind w:right="320" w:firstLine="648"/>
        <w:spacing w:after="0" w:line="257" w:lineRule="auto"/>
        <w:rPr>
          <w:sz w:val="20"/>
          <w:szCs w:val="20"/>
          <w:color w:val="auto"/>
        </w:rPr>
      </w:pPr>
      <w:r>
        <w:rPr>
          <w:rFonts w:ascii="Arial" w:cs="Arial" w:eastAsia="Arial" w:hAnsi="Arial"/>
          <w:sz w:val="18"/>
          <w:szCs w:val="18"/>
          <w:color w:val="auto"/>
        </w:rPr>
        <w:t>Total borrowings under the PAA credit facilities and commercial paper program for the six months ended June 30, 2018 and 2017 were approximately $23.5 billion and $36.8 billion, respectively. Total repayments under the PAA credit facilities and commercial paper program were approximately $23.6 billion and $37.2 billion for the six months ended June 30, 2018 and 2017, respectively. The variance in total gross borrowings and repayments is impacted by various business and financial factors including, but not limited to, the timing, average term and method of general partnership borrowing activities.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Letters of Credit</w:t>
      </w:r>
    </w:p>
    <w:p>
      <w:pPr>
        <w:spacing w:after="0" w:line="225"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In connection with our supply and logistics activities, we provide certain suppliers with irrevocable standby letters of credit to secure our obligation for the purchase and transportation of crude oil, NGL and natural gas. Additionally, we issue letters of credit to support insurance programs, derivative transactions including hedging related margin obligations and construction activities. At June 30, 2018 and December 31, 2017, we had outstanding letters of credit of $168 million and $166 million, respectively.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10—Partners’ Capital and Distributions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Shares Outstanding</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tables present the activity for our Class A shares, Class B shares and Class C shares: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Pr>
          <w:p>
            <w:pPr>
              <w:spacing w:after="0"/>
              <w:rPr>
                <w:sz w:val="16"/>
                <w:szCs w:val="16"/>
                <w:color w:val="auto"/>
              </w:rPr>
            </w:pPr>
          </w:p>
        </w:tc>
        <w:tc>
          <w:tcPr>
            <w:tcW w:w="1620" w:type="dxa"/>
            <w:vAlign w:val="bottom"/>
            <w:gridSpan w:val="2"/>
          </w:tcPr>
          <w:p>
            <w:pPr>
              <w:ind w:left="300"/>
              <w:spacing w:after="0"/>
              <w:rPr>
                <w:sz w:val="20"/>
                <w:szCs w:val="20"/>
                <w:color w:val="auto"/>
              </w:rPr>
            </w:pPr>
            <w:r>
              <w:rPr>
                <w:rFonts w:ascii="Arial" w:cs="Arial" w:eastAsia="Arial" w:hAnsi="Arial"/>
                <w:sz w:val="14"/>
                <w:szCs w:val="14"/>
                <w:b w:val="1"/>
                <w:bCs w:val="1"/>
                <w:color w:val="auto"/>
              </w:rPr>
              <w:t>Class A Shares</w:t>
            </w:r>
          </w:p>
        </w:tc>
        <w:tc>
          <w:tcPr>
            <w:tcW w:w="1580" w:type="dxa"/>
            <w:vAlign w:val="bottom"/>
            <w:gridSpan w:val="2"/>
          </w:tcPr>
          <w:p>
            <w:pPr>
              <w:ind w:left="280"/>
              <w:spacing w:after="0"/>
              <w:rPr>
                <w:sz w:val="20"/>
                <w:szCs w:val="20"/>
                <w:color w:val="auto"/>
              </w:rPr>
            </w:pPr>
            <w:r>
              <w:rPr>
                <w:rFonts w:ascii="Arial" w:cs="Arial" w:eastAsia="Arial" w:hAnsi="Arial"/>
                <w:sz w:val="14"/>
                <w:szCs w:val="14"/>
                <w:b w:val="1"/>
                <w:bCs w:val="1"/>
                <w:color w:val="auto"/>
              </w:rPr>
              <w:t>Class B Shares</w:t>
            </w:r>
          </w:p>
        </w:tc>
        <w:tc>
          <w:tcPr>
            <w:tcW w:w="1480" w:type="dxa"/>
            <w:vAlign w:val="bottom"/>
          </w:tcPr>
          <w:p>
            <w:pPr>
              <w:jc w:val="right"/>
              <w:ind w:right="192"/>
              <w:spacing w:after="0"/>
              <w:rPr>
                <w:sz w:val="20"/>
                <w:szCs w:val="20"/>
                <w:color w:val="auto"/>
              </w:rPr>
            </w:pPr>
            <w:r>
              <w:rPr>
                <w:rFonts w:ascii="Arial" w:cs="Arial" w:eastAsia="Arial" w:hAnsi="Arial"/>
                <w:sz w:val="14"/>
                <w:szCs w:val="14"/>
                <w:b w:val="1"/>
                <w:bCs w:val="1"/>
                <w:color w:val="auto"/>
              </w:rPr>
              <w:t>Class C Shares</w:t>
            </w:r>
          </w:p>
        </w:tc>
        <w:tc>
          <w:tcPr>
            <w:tcW w:w="0" w:type="dxa"/>
            <w:vAlign w:val="bottom"/>
          </w:tcPr>
          <w:p>
            <w:pPr>
              <w:spacing w:after="0"/>
              <w:rPr>
                <w:sz w:val="1"/>
                <w:szCs w:val="1"/>
                <w:color w:val="auto"/>
              </w:rPr>
            </w:pPr>
          </w:p>
        </w:tc>
      </w:tr>
      <w:tr>
        <w:trPr>
          <w:trHeight w:val="275"/>
        </w:trPr>
        <w:tc>
          <w:tcPr>
            <w:tcW w:w="67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at December 31, 2017</w:t>
            </w:r>
          </w:p>
        </w:tc>
        <w:tc>
          <w:tcPr>
            <w:tcW w:w="1500" w:type="dxa"/>
            <w:vAlign w:val="bottom"/>
            <w:tcBorders>
              <w:top w:val="single" w:sz="8" w:color="auto"/>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156,111,139</w:t>
            </w:r>
          </w:p>
        </w:tc>
        <w:tc>
          <w:tcPr>
            <w:tcW w:w="120" w:type="dxa"/>
            <w:vAlign w:val="bottom"/>
            <w:tcBorders>
              <w:top w:val="single" w:sz="8" w:color="CCEEFF"/>
              <w:bottom w:val="single" w:sz="8" w:color="CCEEFF"/>
            </w:tcBorders>
            <w:shd w:val="clear" w:color="auto" w:fill="CCEEFF"/>
          </w:tcPr>
          <w:p>
            <w:pPr>
              <w:spacing w:after="0"/>
              <w:rPr>
                <w:sz w:val="23"/>
                <w:szCs w:val="23"/>
                <w:color w:val="auto"/>
              </w:rPr>
            </w:pPr>
          </w:p>
        </w:tc>
        <w:tc>
          <w:tcPr>
            <w:tcW w:w="148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126,984,572</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148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510,925,432</w:t>
            </w:r>
          </w:p>
        </w:tc>
        <w:tc>
          <w:tcPr>
            <w:tcW w:w="0" w:type="dxa"/>
            <w:vAlign w:val="bottom"/>
          </w:tcPr>
          <w:p>
            <w:pPr>
              <w:spacing w:after="0"/>
              <w:rPr>
                <w:sz w:val="1"/>
                <w:szCs w:val="1"/>
                <w:color w:val="auto"/>
              </w:rPr>
            </w:pPr>
          </w:p>
        </w:tc>
      </w:tr>
      <w:tr>
        <w:trPr>
          <w:trHeight w:val="20"/>
        </w:trPr>
        <w:tc>
          <w:tcPr>
            <w:tcW w:w="6740" w:type="dxa"/>
            <w:vAlign w:val="bottom"/>
            <w:tcBorders>
              <w:top w:val="single" w:sz="8" w:color="CCEEFF"/>
              <w:bottom w:val="single" w:sz="8" w:color="CCEEFF"/>
            </w:tcBorders>
            <w:vMerge w:val="restart"/>
          </w:tcPr>
          <w:p>
            <w:pPr>
              <w:ind w:left="180"/>
              <w:spacing w:after="0"/>
              <w:rPr>
                <w:sz w:val="20"/>
                <w:szCs w:val="20"/>
                <w:color w:val="auto"/>
              </w:rPr>
            </w:pPr>
            <w:r>
              <w:rPr>
                <w:rFonts w:ascii="Arial" w:cs="Arial" w:eastAsia="Arial" w:hAnsi="Arial"/>
                <w:sz w:val="18"/>
                <w:szCs w:val="18"/>
                <w:color w:val="auto"/>
              </w:rPr>
              <w:t xml:space="preserve">Exchange Right exercises </w:t>
            </w:r>
            <w:r>
              <w:rPr>
                <w:rFonts w:ascii="Arial" w:cs="Arial" w:eastAsia="Arial" w:hAnsi="Arial"/>
                <w:sz w:val="25"/>
                <w:szCs w:val="25"/>
                <w:color w:val="auto"/>
                <w:vertAlign w:val="superscript"/>
              </w:rPr>
              <w:t>(1)</w:t>
            </w: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6740" w:type="dxa"/>
            <w:vAlign w:val="bottom"/>
            <w:vMerge w:val="continue"/>
          </w:tcPr>
          <w:p>
            <w:pPr>
              <w:spacing w:after="0"/>
              <w:rPr>
                <w:sz w:val="21"/>
                <w:szCs w:val="21"/>
                <w:color w:val="auto"/>
              </w:rPr>
            </w:pPr>
          </w:p>
        </w:tc>
        <w:tc>
          <w:tcPr>
            <w:tcW w:w="1500" w:type="dxa"/>
            <w:vAlign w:val="bottom"/>
          </w:tcPr>
          <w:p>
            <w:pPr>
              <w:jc w:val="right"/>
              <w:ind w:right="32"/>
              <w:spacing w:after="0"/>
              <w:rPr>
                <w:sz w:val="20"/>
                <w:szCs w:val="20"/>
                <w:color w:val="auto"/>
              </w:rPr>
            </w:pPr>
            <w:r>
              <w:rPr>
                <w:rFonts w:ascii="Arial" w:cs="Arial" w:eastAsia="Arial" w:hAnsi="Arial"/>
                <w:sz w:val="18"/>
                <w:szCs w:val="18"/>
                <w:color w:val="auto"/>
              </w:rPr>
              <w:t>1,842,991</w:t>
            </w:r>
          </w:p>
        </w:tc>
        <w:tc>
          <w:tcPr>
            <w:tcW w:w="12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(1,842,991)</w:t>
            </w:r>
          </w:p>
        </w:tc>
        <w:tc>
          <w:tcPr>
            <w:tcW w:w="100" w:type="dxa"/>
            <w:vAlign w:val="bottom"/>
          </w:tcPr>
          <w:p>
            <w:pPr>
              <w:spacing w:after="0"/>
              <w:rPr>
                <w:sz w:val="21"/>
                <w:szCs w:val="21"/>
                <w:color w:val="auto"/>
              </w:rPr>
            </w:pPr>
          </w:p>
        </w:tc>
        <w:tc>
          <w:tcPr>
            <w:tcW w:w="14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6740" w:type="dxa"/>
            <w:vAlign w:val="bottom"/>
            <w:shd w:val="clear" w:color="auto" w:fill="CCEEFF"/>
          </w:tcPr>
          <w:p>
            <w:pPr>
              <w:ind w:left="180"/>
              <w:spacing w:after="0" w:line="270" w:lineRule="exact"/>
              <w:rPr>
                <w:sz w:val="20"/>
                <w:szCs w:val="20"/>
                <w:color w:val="auto"/>
              </w:rPr>
            </w:pPr>
            <w:r>
              <w:rPr>
                <w:rFonts w:ascii="Arial" w:cs="Arial" w:eastAsia="Arial" w:hAnsi="Arial"/>
                <w:sz w:val="18"/>
                <w:szCs w:val="18"/>
                <w:color w:val="auto"/>
              </w:rPr>
              <w:t xml:space="preserve">Redemption Right exercises </w:t>
            </w:r>
            <w:r>
              <w:rPr>
                <w:rFonts w:ascii="Arial" w:cs="Arial" w:eastAsia="Arial" w:hAnsi="Arial"/>
                <w:sz w:val="25"/>
                <w:szCs w:val="25"/>
                <w:color w:val="auto"/>
                <w:vertAlign w:val="superscript"/>
              </w:rPr>
              <w:t>(1)</w:t>
            </w:r>
          </w:p>
        </w:tc>
        <w:tc>
          <w:tcPr>
            <w:tcW w:w="16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(3,123,251)</w:t>
            </w:r>
          </w:p>
        </w:tc>
        <w:tc>
          <w:tcPr>
            <w:tcW w:w="100" w:type="dxa"/>
            <w:vAlign w:val="bottom"/>
            <w:shd w:val="clear" w:color="auto" w:fill="CCEEFF"/>
          </w:tcPr>
          <w:p>
            <w:pPr>
              <w:spacing w:after="0"/>
              <w:rPr>
                <w:sz w:val="23"/>
                <w:szCs w:val="23"/>
                <w:color w:val="auto"/>
              </w:rPr>
            </w:pPr>
          </w:p>
        </w:tc>
        <w:tc>
          <w:tcPr>
            <w:tcW w:w="14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3,123,251</w:t>
            </w:r>
          </w:p>
        </w:tc>
        <w:tc>
          <w:tcPr>
            <w:tcW w:w="0" w:type="dxa"/>
            <w:vAlign w:val="bottom"/>
          </w:tcPr>
          <w:p>
            <w:pPr>
              <w:spacing w:after="0"/>
              <w:rPr>
                <w:sz w:val="1"/>
                <w:szCs w:val="1"/>
                <w:color w:val="auto"/>
              </w:rPr>
            </w:pP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rPr>
              <w:t>Issuance of Series A preferred units by a subsidiary</w:t>
            </w:r>
          </w:p>
        </w:tc>
        <w:tc>
          <w:tcPr>
            <w:tcW w:w="16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5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12"/>
              <w:spacing w:after="0"/>
              <w:rPr>
                <w:sz w:val="20"/>
                <w:szCs w:val="20"/>
                <w:color w:val="auto"/>
              </w:rPr>
            </w:pPr>
            <w:r>
              <w:rPr>
                <w:rFonts w:ascii="Arial" w:cs="Arial" w:eastAsia="Arial" w:hAnsi="Arial"/>
                <w:sz w:val="18"/>
                <w:szCs w:val="18"/>
                <w:color w:val="auto"/>
              </w:rPr>
              <w:t>1,393,926</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w:t>
            </w:r>
          </w:p>
        </w:tc>
        <w:tc>
          <w:tcPr>
            <w:tcW w:w="16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5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17,766</w:t>
            </w:r>
          </w:p>
        </w:tc>
        <w:tc>
          <w:tcPr>
            <w:tcW w:w="0" w:type="dxa"/>
            <w:vAlign w:val="bottom"/>
          </w:tcPr>
          <w:p>
            <w:pPr>
              <w:spacing w:after="0"/>
              <w:rPr>
                <w:sz w:val="1"/>
                <w:szCs w:val="1"/>
                <w:color w:val="auto"/>
              </w:rPr>
            </w:pPr>
          </w:p>
        </w:tc>
      </w:tr>
      <w:tr>
        <w:trPr>
          <w:trHeight w:val="237"/>
        </w:trPr>
        <w:tc>
          <w:tcPr>
            <w:tcW w:w="6740" w:type="dxa"/>
            <w:vAlign w:val="bottom"/>
          </w:tcPr>
          <w:p>
            <w:pPr>
              <w:ind w:left="40"/>
              <w:spacing w:after="0"/>
              <w:rPr>
                <w:sz w:val="20"/>
                <w:szCs w:val="20"/>
                <w:color w:val="auto"/>
              </w:rPr>
            </w:pPr>
            <w:r>
              <w:rPr>
                <w:rFonts w:ascii="Arial" w:cs="Arial" w:eastAsia="Arial" w:hAnsi="Arial"/>
                <w:sz w:val="18"/>
                <w:szCs w:val="18"/>
                <w:color w:val="auto"/>
              </w:rPr>
              <w:t>Outstanding at June 30, 2018</w:t>
            </w:r>
          </w:p>
        </w:tc>
        <w:tc>
          <w:tcPr>
            <w:tcW w:w="15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157,954,130</w:t>
            </w:r>
          </w:p>
        </w:tc>
        <w:tc>
          <w:tcPr>
            <w:tcW w:w="120" w:type="dxa"/>
            <w:vAlign w:val="bottom"/>
          </w:tcPr>
          <w:p>
            <w:pPr>
              <w:spacing w:after="0"/>
              <w:rPr>
                <w:sz w:val="20"/>
                <w:szCs w:val="20"/>
                <w:color w:val="auto"/>
              </w:rPr>
            </w:pPr>
          </w:p>
        </w:tc>
        <w:tc>
          <w:tcPr>
            <w:tcW w:w="14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122,018,330</w:t>
            </w:r>
          </w:p>
        </w:tc>
        <w:tc>
          <w:tcPr>
            <w:tcW w:w="100" w:type="dxa"/>
            <w:vAlign w:val="bottom"/>
          </w:tcPr>
          <w:p>
            <w:pPr>
              <w:spacing w:after="0"/>
              <w:rPr>
                <w:sz w:val="20"/>
                <w:szCs w:val="20"/>
                <w:color w:val="auto"/>
              </w:rPr>
            </w:pPr>
          </w:p>
        </w:tc>
        <w:tc>
          <w:tcPr>
            <w:tcW w:w="14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515,460,375</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74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96"/>
        </w:trPr>
        <w:tc>
          <w:tcPr>
            <w:tcW w:w="6740" w:type="dxa"/>
            <w:vAlign w:val="bottom"/>
          </w:tcPr>
          <w:p>
            <w:pPr>
              <w:spacing w:after="0"/>
              <w:rPr>
                <w:sz w:val="24"/>
                <w:szCs w:val="24"/>
                <w:color w:val="auto"/>
              </w:rPr>
            </w:pPr>
          </w:p>
        </w:tc>
        <w:tc>
          <w:tcPr>
            <w:tcW w:w="1620" w:type="dxa"/>
            <w:vAlign w:val="bottom"/>
            <w:gridSpan w:val="2"/>
          </w:tcPr>
          <w:p>
            <w:pPr>
              <w:ind w:left="300"/>
              <w:spacing w:after="0"/>
              <w:rPr>
                <w:sz w:val="20"/>
                <w:szCs w:val="20"/>
                <w:color w:val="auto"/>
              </w:rPr>
            </w:pPr>
            <w:r>
              <w:rPr>
                <w:rFonts w:ascii="Arial" w:cs="Arial" w:eastAsia="Arial" w:hAnsi="Arial"/>
                <w:sz w:val="14"/>
                <w:szCs w:val="14"/>
                <w:b w:val="1"/>
                <w:bCs w:val="1"/>
                <w:color w:val="auto"/>
              </w:rPr>
              <w:t>Class A Shares</w:t>
            </w:r>
          </w:p>
        </w:tc>
        <w:tc>
          <w:tcPr>
            <w:tcW w:w="1580" w:type="dxa"/>
            <w:vAlign w:val="bottom"/>
            <w:gridSpan w:val="2"/>
          </w:tcPr>
          <w:p>
            <w:pPr>
              <w:ind w:left="280"/>
              <w:spacing w:after="0"/>
              <w:rPr>
                <w:sz w:val="20"/>
                <w:szCs w:val="20"/>
                <w:color w:val="auto"/>
              </w:rPr>
            </w:pPr>
            <w:r>
              <w:rPr>
                <w:rFonts w:ascii="Arial" w:cs="Arial" w:eastAsia="Arial" w:hAnsi="Arial"/>
                <w:sz w:val="14"/>
                <w:szCs w:val="14"/>
                <w:b w:val="1"/>
                <w:bCs w:val="1"/>
                <w:color w:val="auto"/>
              </w:rPr>
              <w:t>Class B Shares</w:t>
            </w:r>
          </w:p>
        </w:tc>
        <w:tc>
          <w:tcPr>
            <w:tcW w:w="1480" w:type="dxa"/>
            <w:vAlign w:val="bottom"/>
          </w:tcPr>
          <w:p>
            <w:pPr>
              <w:jc w:val="right"/>
              <w:ind w:right="192"/>
              <w:spacing w:after="0"/>
              <w:rPr>
                <w:sz w:val="20"/>
                <w:szCs w:val="20"/>
                <w:color w:val="auto"/>
              </w:rPr>
            </w:pPr>
            <w:r>
              <w:rPr>
                <w:rFonts w:ascii="Arial" w:cs="Arial" w:eastAsia="Arial" w:hAnsi="Arial"/>
                <w:sz w:val="14"/>
                <w:szCs w:val="14"/>
                <w:b w:val="1"/>
                <w:bCs w:val="1"/>
                <w:color w:val="auto"/>
              </w:rPr>
              <w:t>Class C Shares</w:t>
            </w:r>
          </w:p>
        </w:tc>
        <w:tc>
          <w:tcPr>
            <w:tcW w:w="0" w:type="dxa"/>
            <w:vAlign w:val="bottom"/>
          </w:tcPr>
          <w:p>
            <w:pPr>
              <w:spacing w:after="0"/>
              <w:rPr>
                <w:sz w:val="1"/>
                <w:szCs w:val="1"/>
                <w:color w:val="auto"/>
              </w:rPr>
            </w:pPr>
          </w:p>
        </w:tc>
      </w:tr>
      <w:tr>
        <w:trPr>
          <w:trHeight w:val="275"/>
        </w:trPr>
        <w:tc>
          <w:tcPr>
            <w:tcW w:w="67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at December 31, 2016</w:t>
            </w:r>
          </w:p>
        </w:tc>
        <w:tc>
          <w:tcPr>
            <w:tcW w:w="1500" w:type="dxa"/>
            <w:vAlign w:val="bottom"/>
            <w:tcBorders>
              <w:top w:val="single" w:sz="8" w:color="auto"/>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101,206,526</w:t>
            </w:r>
          </w:p>
        </w:tc>
        <w:tc>
          <w:tcPr>
            <w:tcW w:w="120" w:type="dxa"/>
            <w:vAlign w:val="bottom"/>
            <w:tcBorders>
              <w:top w:val="single" w:sz="8" w:color="CCEEFF"/>
              <w:bottom w:val="single" w:sz="8" w:color="CCEEFF"/>
            </w:tcBorders>
            <w:shd w:val="clear" w:color="auto" w:fill="CCEEFF"/>
          </w:tcPr>
          <w:p>
            <w:pPr>
              <w:spacing w:after="0"/>
              <w:rPr>
                <w:sz w:val="23"/>
                <w:szCs w:val="23"/>
                <w:color w:val="auto"/>
              </w:rPr>
            </w:pPr>
          </w:p>
        </w:tc>
        <w:tc>
          <w:tcPr>
            <w:tcW w:w="148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138,043,486</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148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491,910,863</w:t>
            </w:r>
          </w:p>
        </w:tc>
        <w:tc>
          <w:tcPr>
            <w:tcW w:w="0" w:type="dxa"/>
            <w:vAlign w:val="bottom"/>
          </w:tcPr>
          <w:p>
            <w:pPr>
              <w:spacing w:after="0"/>
              <w:rPr>
                <w:sz w:val="1"/>
                <w:szCs w:val="1"/>
                <w:color w:val="auto"/>
              </w:rPr>
            </w:pPr>
          </w:p>
        </w:tc>
      </w:tr>
      <w:tr>
        <w:trPr>
          <w:trHeight w:val="20"/>
        </w:trPr>
        <w:tc>
          <w:tcPr>
            <w:tcW w:w="6740" w:type="dxa"/>
            <w:vAlign w:val="bottom"/>
            <w:tcBorders>
              <w:top w:val="single" w:sz="8" w:color="CCEEFF"/>
              <w:bottom w:val="single" w:sz="8" w:color="CCEEFF"/>
            </w:tcBorders>
            <w:vMerge w:val="restart"/>
          </w:tcPr>
          <w:p>
            <w:pPr>
              <w:ind w:left="180"/>
              <w:spacing w:after="0"/>
              <w:rPr>
                <w:sz w:val="20"/>
                <w:szCs w:val="20"/>
                <w:color w:val="auto"/>
              </w:rPr>
            </w:pPr>
            <w:r>
              <w:rPr>
                <w:rFonts w:ascii="Arial" w:cs="Arial" w:eastAsia="Arial" w:hAnsi="Arial"/>
                <w:sz w:val="18"/>
                <w:szCs w:val="18"/>
                <w:color w:val="auto"/>
              </w:rPr>
              <w:t xml:space="preserve">Conversion of AAP Management Units </w:t>
            </w:r>
            <w:r>
              <w:rPr>
                <w:rFonts w:ascii="Arial" w:cs="Arial" w:eastAsia="Arial" w:hAnsi="Arial"/>
                <w:sz w:val="25"/>
                <w:szCs w:val="25"/>
                <w:color w:val="auto"/>
                <w:vertAlign w:val="superscript"/>
              </w:rPr>
              <w:t>(1)</w:t>
            </w: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6740" w:type="dxa"/>
            <w:vAlign w:val="bottom"/>
            <w:vMerge w:val="continue"/>
          </w:tcPr>
          <w:p>
            <w:pPr>
              <w:spacing w:after="0"/>
              <w:rPr>
                <w:sz w:val="21"/>
                <w:szCs w:val="21"/>
                <w:color w:val="auto"/>
              </w:rPr>
            </w:pPr>
          </w:p>
        </w:tc>
        <w:tc>
          <w:tcPr>
            <w:tcW w:w="16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12"/>
              <w:spacing w:after="0"/>
              <w:rPr>
                <w:sz w:val="20"/>
                <w:szCs w:val="20"/>
                <w:color w:val="auto"/>
              </w:rPr>
            </w:pPr>
            <w:r>
              <w:rPr>
                <w:rFonts w:ascii="Arial" w:cs="Arial" w:eastAsia="Arial" w:hAnsi="Arial"/>
                <w:sz w:val="18"/>
                <w:szCs w:val="18"/>
                <w:color w:val="auto"/>
              </w:rPr>
              <w:t>1,557,860</w:t>
            </w:r>
          </w:p>
        </w:tc>
        <w:tc>
          <w:tcPr>
            <w:tcW w:w="100" w:type="dxa"/>
            <w:vAlign w:val="bottom"/>
          </w:tcPr>
          <w:p>
            <w:pPr>
              <w:spacing w:after="0"/>
              <w:rPr>
                <w:sz w:val="21"/>
                <w:szCs w:val="21"/>
                <w:color w:val="auto"/>
              </w:rPr>
            </w:pPr>
          </w:p>
        </w:tc>
        <w:tc>
          <w:tcPr>
            <w:tcW w:w="14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6740" w:type="dxa"/>
            <w:vAlign w:val="bottom"/>
            <w:shd w:val="clear" w:color="auto" w:fill="CCEEFF"/>
          </w:tcPr>
          <w:p>
            <w:pPr>
              <w:ind w:left="180"/>
              <w:spacing w:after="0" w:line="270" w:lineRule="exact"/>
              <w:rPr>
                <w:sz w:val="20"/>
                <w:szCs w:val="20"/>
                <w:color w:val="auto"/>
              </w:rPr>
            </w:pPr>
            <w:r>
              <w:rPr>
                <w:rFonts w:ascii="Arial" w:cs="Arial" w:eastAsia="Arial" w:hAnsi="Arial"/>
                <w:sz w:val="18"/>
                <w:szCs w:val="18"/>
                <w:color w:val="auto"/>
              </w:rPr>
              <w:t xml:space="preserve">Exchange Right exercises </w:t>
            </w:r>
            <w:r>
              <w:rPr>
                <w:rFonts w:ascii="Arial" w:cs="Arial" w:eastAsia="Arial" w:hAnsi="Arial"/>
                <w:sz w:val="25"/>
                <w:szCs w:val="25"/>
                <w:color w:val="auto"/>
                <w:vertAlign w:val="superscript"/>
              </w:rPr>
              <w:t>(1)</w:t>
            </w:r>
          </w:p>
        </w:tc>
        <w:tc>
          <w:tcPr>
            <w:tcW w:w="15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2,172,236</w:t>
            </w:r>
          </w:p>
        </w:tc>
        <w:tc>
          <w:tcPr>
            <w:tcW w:w="120" w:type="dxa"/>
            <w:vAlign w:val="bottom"/>
            <w:shd w:val="clear" w:color="auto" w:fill="CCEEFF"/>
          </w:tcPr>
          <w:p>
            <w:pPr>
              <w:spacing w:after="0"/>
              <w:rPr>
                <w:sz w:val="23"/>
                <w:szCs w:val="23"/>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(2,172,236)</w:t>
            </w:r>
          </w:p>
        </w:tc>
        <w:tc>
          <w:tcPr>
            <w:tcW w:w="100" w:type="dxa"/>
            <w:vAlign w:val="bottom"/>
            <w:shd w:val="clear" w:color="auto" w:fill="CCEEFF"/>
          </w:tcPr>
          <w:p>
            <w:pPr>
              <w:spacing w:after="0"/>
              <w:rPr>
                <w:sz w:val="23"/>
                <w:szCs w:val="23"/>
                <w:color w:val="auto"/>
              </w:rPr>
            </w:pPr>
          </w:p>
        </w:tc>
        <w:tc>
          <w:tcPr>
            <w:tcW w:w="14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6740" w:type="dxa"/>
            <w:vAlign w:val="bottom"/>
          </w:tcPr>
          <w:p>
            <w:pPr>
              <w:ind w:left="180"/>
              <w:spacing w:after="0" w:line="270" w:lineRule="exact"/>
              <w:rPr>
                <w:sz w:val="20"/>
                <w:szCs w:val="20"/>
                <w:color w:val="auto"/>
              </w:rPr>
            </w:pPr>
            <w:r>
              <w:rPr>
                <w:rFonts w:ascii="Arial" w:cs="Arial" w:eastAsia="Arial" w:hAnsi="Arial"/>
                <w:sz w:val="18"/>
                <w:szCs w:val="18"/>
                <w:color w:val="auto"/>
              </w:rPr>
              <w:t xml:space="preserve">Redemption Right exercises </w:t>
            </w:r>
            <w:r>
              <w:rPr>
                <w:rFonts w:ascii="Arial" w:cs="Arial" w:eastAsia="Arial" w:hAnsi="Arial"/>
                <w:sz w:val="25"/>
                <w:szCs w:val="25"/>
                <w:color w:val="auto"/>
                <w:vertAlign w:val="superscript"/>
              </w:rPr>
              <w:t>(1)</w:t>
            </w:r>
          </w:p>
        </w:tc>
        <w:tc>
          <w:tcPr>
            <w:tcW w:w="16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(3,486,333)</w:t>
            </w:r>
          </w:p>
        </w:tc>
        <w:tc>
          <w:tcPr>
            <w:tcW w:w="100" w:type="dxa"/>
            <w:vAlign w:val="bottom"/>
          </w:tcPr>
          <w:p>
            <w:pPr>
              <w:spacing w:after="0"/>
              <w:rPr>
                <w:sz w:val="23"/>
                <w:szCs w:val="23"/>
                <w:color w:val="auto"/>
              </w:rPr>
            </w:pPr>
          </w:p>
        </w:tc>
        <w:tc>
          <w:tcPr>
            <w:tcW w:w="1480" w:type="dxa"/>
            <w:vAlign w:val="bottom"/>
          </w:tcPr>
          <w:p>
            <w:pPr>
              <w:jc w:val="right"/>
              <w:ind w:right="12"/>
              <w:spacing w:after="0"/>
              <w:rPr>
                <w:sz w:val="20"/>
                <w:szCs w:val="20"/>
                <w:color w:val="auto"/>
              </w:rPr>
            </w:pPr>
            <w:r>
              <w:rPr>
                <w:rFonts w:ascii="Arial" w:cs="Arial" w:eastAsia="Arial" w:hAnsi="Arial"/>
                <w:sz w:val="18"/>
                <w:szCs w:val="18"/>
                <w:color w:val="auto"/>
              </w:rPr>
              <w:t>3,486,333</w:t>
            </w:r>
          </w:p>
        </w:tc>
        <w:tc>
          <w:tcPr>
            <w:tcW w:w="0" w:type="dxa"/>
            <w:vAlign w:val="bottom"/>
          </w:tcPr>
          <w:p>
            <w:pPr>
              <w:spacing w:after="0"/>
              <w:rPr>
                <w:sz w:val="1"/>
                <w:szCs w:val="1"/>
                <w:color w:val="auto"/>
              </w:rPr>
            </w:pPr>
          </w:p>
        </w:tc>
      </w:tr>
      <w:tr>
        <w:trPr>
          <w:trHeight w:val="25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Sales of Class A shares</w:t>
            </w:r>
          </w:p>
        </w:tc>
        <w:tc>
          <w:tcPr>
            <w:tcW w:w="15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50,086,326</w:t>
            </w: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rPr>
              <w:t>Sales of common units by a subsidiary</w:t>
            </w:r>
          </w:p>
        </w:tc>
        <w:tc>
          <w:tcPr>
            <w:tcW w:w="16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5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12"/>
              <w:spacing w:after="0"/>
              <w:rPr>
                <w:sz w:val="20"/>
                <w:szCs w:val="20"/>
                <w:color w:val="auto"/>
              </w:rPr>
            </w:pPr>
            <w:r>
              <w:rPr>
                <w:rFonts w:ascii="Arial" w:cs="Arial" w:eastAsia="Arial" w:hAnsi="Arial"/>
                <w:sz w:val="18"/>
                <w:szCs w:val="18"/>
                <w:color w:val="auto"/>
              </w:rPr>
              <w:t>4,033,567</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674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5"/>
              </w:rPr>
              <w:t>Issuance of common units by a subsidiary for acquisition of interest in Advantage Joint</w:t>
            </w:r>
          </w:p>
        </w:tc>
        <w:tc>
          <w:tcPr>
            <w:tcW w:w="15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67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Venture</w:t>
            </w:r>
          </w:p>
        </w:tc>
        <w:tc>
          <w:tcPr>
            <w:tcW w:w="16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5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1,252,269</w:t>
            </w:r>
          </w:p>
        </w:tc>
        <w:tc>
          <w:tcPr>
            <w:tcW w:w="0" w:type="dxa"/>
            <w:vAlign w:val="bottom"/>
          </w:tcPr>
          <w:p>
            <w:pPr>
              <w:spacing w:after="0"/>
              <w:rPr>
                <w:sz w:val="1"/>
                <w:szCs w:val="1"/>
                <w:color w:val="auto"/>
              </w:rPr>
            </w:pP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rPr>
              <w:t>Issuances of Series A preferred units by a subsidiary</w:t>
            </w:r>
          </w:p>
        </w:tc>
        <w:tc>
          <w:tcPr>
            <w:tcW w:w="16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5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12"/>
              <w:spacing w:after="0"/>
              <w:rPr>
                <w:sz w:val="20"/>
                <w:szCs w:val="20"/>
                <w:color w:val="auto"/>
              </w:rPr>
            </w:pPr>
            <w:r>
              <w:rPr>
                <w:rFonts w:ascii="Arial" w:cs="Arial" w:eastAsia="Arial" w:hAnsi="Arial"/>
                <w:sz w:val="18"/>
                <w:szCs w:val="18"/>
                <w:color w:val="auto"/>
              </w:rPr>
              <w:t>2,601,300</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gridSpan w:val="2"/>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w:t>
            </w:r>
          </w:p>
        </w:tc>
        <w:tc>
          <w:tcPr>
            <w:tcW w:w="15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7,810</w:t>
            </w:r>
          </w:p>
        </w:tc>
        <w:tc>
          <w:tcPr>
            <w:tcW w:w="12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122,344</w:t>
            </w:r>
          </w:p>
        </w:tc>
        <w:tc>
          <w:tcPr>
            <w:tcW w:w="0" w:type="dxa"/>
            <w:vAlign w:val="bottom"/>
          </w:tcPr>
          <w:p>
            <w:pPr>
              <w:spacing w:after="0"/>
              <w:rPr>
                <w:sz w:val="1"/>
                <w:szCs w:val="1"/>
                <w:color w:val="auto"/>
              </w:rPr>
            </w:pPr>
          </w:p>
        </w:tc>
      </w:tr>
      <w:tr>
        <w:trPr>
          <w:trHeight w:val="237"/>
        </w:trPr>
        <w:tc>
          <w:tcPr>
            <w:tcW w:w="6740" w:type="dxa"/>
            <w:vAlign w:val="bottom"/>
          </w:tcPr>
          <w:p>
            <w:pPr>
              <w:ind w:left="40"/>
              <w:spacing w:after="0"/>
              <w:rPr>
                <w:sz w:val="20"/>
                <w:szCs w:val="20"/>
                <w:color w:val="auto"/>
              </w:rPr>
            </w:pPr>
            <w:r>
              <w:rPr>
                <w:rFonts w:ascii="Arial" w:cs="Arial" w:eastAsia="Arial" w:hAnsi="Arial"/>
                <w:sz w:val="18"/>
                <w:szCs w:val="18"/>
                <w:color w:val="auto"/>
              </w:rPr>
              <w:t>Outstanding at June 30, 2017</w:t>
            </w:r>
          </w:p>
        </w:tc>
        <w:tc>
          <w:tcPr>
            <w:tcW w:w="15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153,472,898</w:t>
            </w:r>
          </w:p>
        </w:tc>
        <w:tc>
          <w:tcPr>
            <w:tcW w:w="120" w:type="dxa"/>
            <w:vAlign w:val="bottom"/>
          </w:tcPr>
          <w:p>
            <w:pPr>
              <w:spacing w:after="0"/>
              <w:rPr>
                <w:sz w:val="20"/>
                <w:szCs w:val="20"/>
                <w:color w:val="auto"/>
              </w:rPr>
            </w:pPr>
          </w:p>
        </w:tc>
        <w:tc>
          <w:tcPr>
            <w:tcW w:w="14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133,942,777</w:t>
            </w:r>
          </w:p>
        </w:tc>
        <w:tc>
          <w:tcPr>
            <w:tcW w:w="100" w:type="dxa"/>
            <w:vAlign w:val="bottom"/>
          </w:tcPr>
          <w:p>
            <w:pPr>
              <w:spacing w:after="0"/>
              <w:rPr>
                <w:sz w:val="20"/>
                <w:szCs w:val="20"/>
                <w:color w:val="auto"/>
              </w:rPr>
            </w:pPr>
          </w:p>
        </w:tc>
        <w:tc>
          <w:tcPr>
            <w:tcW w:w="14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503,406,676</w:t>
            </w:r>
          </w:p>
        </w:tc>
        <w:tc>
          <w:tcPr>
            <w:tcW w:w="0" w:type="dxa"/>
            <w:vAlign w:val="bottom"/>
          </w:tcPr>
          <w:p>
            <w:pPr>
              <w:spacing w:after="0"/>
              <w:rPr>
                <w:sz w:val="1"/>
                <w:szCs w:val="1"/>
                <w:color w:val="auto"/>
              </w:rPr>
            </w:pPr>
          </w:p>
        </w:tc>
      </w:tr>
      <w:tr>
        <w:trPr>
          <w:trHeight w:val="27"/>
        </w:trPr>
        <w:tc>
          <w:tcPr>
            <w:tcW w:w="6740" w:type="dxa"/>
            <w:vAlign w:val="bottom"/>
            <w:vMerge w:val="restart"/>
          </w:tcPr>
          <w:p>
            <w:pPr>
              <w:ind w:left="60"/>
              <w:spacing w:after="0"/>
              <w:rPr>
                <w:sz w:val="20"/>
                <w:szCs w:val="20"/>
                <w:color w:val="auto"/>
              </w:rPr>
            </w:pPr>
            <w:r>
              <w:rPr>
                <w:rFonts w:ascii="Arial" w:cs="Arial" w:eastAsia="Arial" w:hAnsi="Arial"/>
                <w:sz w:val="18"/>
                <w:szCs w:val="18"/>
                <w:color w:val="auto"/>
              </w:rPr>
              <w:t>___________________________________________</w:t>
            </w:r>
          </w:p>
        </w:tc>
        <w:tc>
          <w:tcPr>
            <w:tcW w:w="1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740" w:type="dxa"/>
            <w:vAlign w:val="bottom"/>
            <w:vMerge w:val="continue"/>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740" w:type="dxa"/>
            <w:vAlign w:val="bottom"/>
            <w:vMerge w:val="continue"/>
          </w:tcPr>
          <w:p>
            <w:pPr>
              <w:spacing w:after="0"/>
              <w:rPr>
                <w:sz w:val="17"/>
                <w:szCs w:val="17"/>
                <w:color w:val="auto"/>
              </w:rPr>
            </w:pPr>
          </w:p>
        </w:tc>
        <w:tc>
          <w:tcPr>
            <w:tcW w:w="1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660" w:right="500" w:hanging="652"/>
        <w:spacing w:after="0" w:line="216" w:lineRule="auto"/>
        <w:tabs>
          <w:tab w:leader="none" w:pos="660" w:val="left"/>
        </w:tabs>
        <w:numPr>
          <w:ilvl w:val="0"/>
          <w:numId w:val="12"/>
        </w:numPr>
        <w:rPr>
          <w:rFonts w:ascii="Arial" w:cs="Arial" w:eastAsia="Arial" w:hAnsi="Arial"/>
          <w:sz w:val="25"/>
          <w:szCs w:val="25"/>
          <w:color w:val="auto"/>
          <w:vertAlign w:val="superscript"/>
        </w:rPr>
      </w:pPr>
      <w:r>
        <w:rPr>
          <w:rFonts w:ascii="Arial" w:cs="Arial" w:eastAsia="Arial" w:hAnsi="Arial"/>
          <w:sz w:val="18"/>
          <w:szCs w:val="18"/>
          <w:color w:val="auto"/>
        </w:rPr>
        <w:t>See Note 11 to our Consolidated Financial Statements included in Part IV of our 2017 Annual Report on Form 10-K for information regarding conversions of AAP Management Units, Exchange Rights and Redemption Rights.</w:t>
      </w:r>
    </w:p>
    <w:p>
      <w:pPr>
        <w:sectPr>
          <w:pgSz w:w="11900" w:h="16838" w:orient="portrait"/>
          <w:cols w:equalWidth="0" w:num="1">
            <w:col w:w="11420"/>
          </w:cols>
          <w:pgMar w:left="240" w:top="125" w:right="239" w:bottom="1440" w:gutter="0" w:footer="0" w:header="0"/>
        </w:sect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19</w:t>
      </w:r>
    </w:p>
    <w:p>
      <w:pPr>
        <w:sectPr>
          <w:pgSz w:w="11900" w:h="16838" w:orient="portrait"/>
          <w:cols w:equalWidth="0" w:num="1">
            <w:col w:w="11420"/>
          </w:cols>
          <w:pgMar w:left="240" w:top="125" w:right="239" w:bottom="1440" w:gutter="0" w:footer="0" w:header="0"/>
          <w:type w:val="continuous"/>
        </w:sectPr>
      </w:pPr>
    </w:p>
    <w:bookmarkStart w:id="19" w:name="page20"/>
    <w:bookmarkEnd w:id="1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Distributions</w:t>
      </w:r>
    </w:p>
    <w:p>
      <w:pPr>
        <w:spacing w:after="0" w:line="225"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The following table details the distributions paid to Class A shareholders during or pertaining to the first six months of 2018 (in millions, except per share data):</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9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Distribution Payment Date</w:t>
            </w:r>
          </w:p>
        </w:tc>
        <w:tc>
          <w:tcPr>
            <w:tcW w:w="100" w:type="dxa"/>
            <w:vAlign w:val="bottom"/>
            <w:vMerge w:val="restart"/>
          </w:tcPr>
          <w:p>
            <w:pPr>
              <w:spacing w:after="0"/>
              <w:rPr>
                <w:sz w:val="14"/>
                <w:szCs w:val="14"/>
                <w:color w:val="auto"/>
              </w:rPr>
            </w:pPr>
          </w:p>
        </w:tc>
        <w:tc>
          <w:tcPr>
            <w:tcW w:w="360" w:type="dxa"/>
            <w:vAlign w:val="bottom"/>
          </w:tcPr>
          <w:p>
            <w:pPr>
              <w:spacing w:after="0"/>
              <w:rPr>
                <w:sz w:val="14"/>
                <w:szCs w:val="14"/>
                <w:color w:val="auto"/>
              </w:rPr>
            </w:pPr>
          </w:p>
        </w:tc>
        <w:tc>
          <w:tcPr>
            <w:tcW w:w="2240" w:type="dxa"/>
            <w:vAlign w:val="bottom"/>
            <w:gridSpan w:val="2"/>
          </w:tcPr>
          <w:p>
            <w:pPr>
              <w:ind w:left="400"/>
              <w:spacing w:after="0"/>
              <w:rPr>
                <w:sz w:val="20"/>
                <w:szCs w:val="20"/>
                <w:color w:val="auto"/>
              </w:rPr>
            </w:pPr>
            <w:r>
              <w:rPr>
                <w:rFonts w:ascii="Arial" w:cs="Arial" w:eastAsia="Arial" w:hAnsi="Arial"/>
                <w:sz w:val="14"/>
                <w:szCs w:val="14"/>
                <w:b w:val="1"/>
                <w:bCs w:val="1"/>
                <w:color w:val="auto"/>
              </w:rPr>
              <w:t>Distributions to</w:t>
            </w:r>
          </w:p>
        </w:tc>
        <w:tc>
          <w:tcPr>
            <w:tcW w:w="440" w:type="dxa"/>
            <w:vAlign w:val="bottom"/>
          </w:tcPr>
          <w:p>
            <w:pPr>
              <w:spacing w:after="0"/>
              <w:rPr>
                <w:sz w:val="14"/>
                <w:szCs w:val="14"/>
                <w:color w:val="auto"/>
              </w:rPr>
            </w:pPr>
          </w:p>
        </w:tc>
        <w:tc>
          <w:tcPr>
            <w:tcW w:w="2140" w:type="dxa"/>
            <w:vAlign w:val="bottom"/>
          </w:tcPr>
          <w:p>
            <w:pPr>
              <w:jc w:val="right"/>
              <w:ind w:right="677"/>
              <w:spacing w:after="0"/>
              <w:rPr>
                <w:sz w:val="20"/>
                <w:szCs w:val="20"/>
                <w:color w:val="auto"/>
              </w:rPr>
            </w:pPr>
            <w:r>
              <w:rPr>
                <w:rFonts w:ascii="Arial" w:cs="Arial" w:eastAsia="Arial" w:hAnsi="Arial"/>
                <w:sz w:val="14"/>
                <w:szCs w:val="14"/>
                <w:b w:val="1"/>
                <w:bCs w:val="1"/>
                <w:color w:val="auto"/>
              </w:rPr>
              <w:t>Distributions per</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59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2120" w:type="dxa"/>
            <w:vAlign w:val="bottom"/>
            <w:tcBorders>
              <w:bottom w:val="single" w:sz="8" w:color="auto"/>
            </w:tcBorders>
          </w:tcPr>
          <w:p>
            <w:pPr>
              <w:jc w:val="right"/>
              <w:ind w:right="497"/>
              <w:spacing w:after="0"/>
              <w:rPr>
                <w:sz w:val="20"/>
                <w:szCs w:val="20"/>
                <w:color w:val="auto"/>
              </w:rPr>
            </w:pPr>
            <w:r>
              <w:rPr>
                <w:rFonts w:ascii="Arial" w:cs="Arial" w:eastAsia="Arial" w:hAnsi="Arial"/>
                <w:sz w:val="14"/>
                <w:szCs w:val="14"/>
                <w:b w:val="1"/>
                <w:bCs w:val="1"/>
                <w:color w:val="auto"/>
              </w:rPr>
              <w:t>Class A Shareholders</w:t>
            </w:r>
          </w:p>
        </w:tc>
        <w:tc>
          <w:tcPr>
            <w:tcW w:w="120" w:type="dxa"/>
            <w:vAlign w:val="bottom"/>
            <w:tcBorders>
              <w:bottom w:val="single" w:sz="8" w:color="CCEEFF"/>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2140" w:type="dxa"/>
            <w:vAlign w:val="bottom"/>
            <w:tcBorders>
              <w:bottom w:val="single" w:sz="8" w:color="auto"/>
            </w:tcBorders>
          </w:tcPr>
          <w:p>
            <w:pPr>
              <w:jc w:val="right"/>
              <w:ind w:right="777"/>
              <w:spacing w:after="0"/>
              <w:rPr>
                <w:sz w:val="20"/>
                <w:szCs w:val="20"/>
                <w:color w:val="auto"/>
              </w:rPr>
            </w:pPr>
            <w:r>
              <w:rPr>
                <w:rFonts w:ascii="Arial" w:cs="Arial" w:eastAsia="Arial" w:hAnsi="Arial"/>
                <w:sz w:val="14"/>
                <w:szCs w:val="14"/>
                <w:b w:val="1"/>
                <w:bCs w:val="1"/>
                <w:color w:val="auto"/>
              </w:rPr>
              <w:t>Class A Share</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6080" w:type="dxa"/>
            <w:vAlign w:val="bottom"/>
            <w:gridSpan w:val="2"/>
            <w:shd w:val="clear" w:color="auto" w:fill="CCEEFF"/>
          </w:tcPr>
          <w:p>
            <w:pPr>
              <w:ind w:left="20"/>
              <w:spacing w:after="0" w:line="270" w:lineRule="exact"/>
              <w:rPr>
                <w:sz w:val="20"/>
                <w:szCs w:val="20"/>
                <w:color w:val="auto"/>
              </w:rPr>
            </w:pPr>
            <w:r>
              <w:rPr>
                <w:rFonts w:ascii="Arial" w:cs="Arial" w:eastAsia="Arial" w:hAnsi="Arial"/>
                <w:sz w:val="18"/>
                <w:szCs w:val="18"/>
                <w:color w:val="auto"/>
              </w:rPr>
              <w:t xml:space="preserve">August 14, 2018 </w:t>
            </w:r>
            <w:r>
              <w:rPr>
                <w:rFonts w:ascii="Arial" w:cs="Arial" w:eastAsia="Arial" w:hAnsi="Arial"/>
                <w:sz w:val="25"/>
                <w:szCs w:val="25"/>
                <w:color w:val="auto"/>
                <w:vertAlign w:val="superscript"/>
              </w:rPr>
              <w:t>(1)</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212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48</w:t>
            </w:r>
          </w:p>
        </w:tc>
        <w:tc>
          <w:tcPr>
            <w:tcW w:w="120" w:type="dxa"/>
            <w:vAlign w:val="bottom"/>
            <w:shd w:val="clear" w:color="auto" w:fill="CCEEFF"/>
          </w:tcPr>
          <w:p>
            <w:pPr>
              <w:spacing w:after="0"/>
              <w:rPr>
                <w:sz w:val="23"/>
                <w:szCs w:val="23"/>
                <w:color w:val="auto"/>
              </w:rPr>
            </w:pPr>
          </w:p>
        </w:tc>
        <w:tc>
          <w:tcPr>
            <w:tcW w:w="4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214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0.30</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080" w:type="dxa"/>
            <w:vAlign w:val="bottom"/>
            <w:gridSpan w:val="2"/>
          </w:tcPr>
          <w:p>
            <w:pPr>
              <w:ind w:left="20"/>
              <w:spacing w:after="0"/>
              <w:rPr>
                <w:sz w:val="20"/>
                <w:szCs w:val="20"/>
                <w:color w:val="auto"/>
              </w:rPr>
            </w:pPr>
            <w:r>
              <w:rPr>
                <w:rFonts w:ascii="Arial" w:cs="Arial" w:eastAsia="Arial" w:hAnsi="Arial"/>
                <w:sz w:val="18"/>
                <w:szCs w:val="18"/>
                <w:color w:val="auto"/>
              </w:rPr>
              <w:t>May 15, 2018</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2120" w:type="dxa"/>
            <w:vAlign w:val="bottom"/>
          </w:tcPr>
          <w:p>
            <w:pPr>
              <w:jc w:val="right"/>
              <w:ind w:right="17"/>
              <w:spacing w:after="0"/>
              <w:rPr>
                <w:sz w:val="20"/>
                <w:szCs w:val="20"/>
                <w:color w:val="auto"/>
              </w:rPr>
            </w:pPr>
            <w:r>
              <w:rPr>
                <w:rFonts w:ascii="Arial" w:cs="Arial" w:eastAsia="Arial" w:hAnsi="Arial"/>
                <w:sz w:val="18"/>
                <w:szCs w:val="18"/>
                <w:color w:val="auto"/>
              </w:rPr>
              <w:t>47</w:t>
            </w:r>
          </w:p>
        </w:tc>
        <w:tc>
          <w:tcPr>
            <w:tcW w:w="120" w:type="dxa"/>
            <w:vAlign w:val="bottom"/>
          </w:tcPr>
          <w:p>
            <w:pPr>
              <w:spacing w:after="0"/>
              <w:rPr>
                <w:sz w:val="21"/>
                <w:szCs w:val="21"/>
                <w:color w:val="auto"/>
              </w:rPr>
            </w:pP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2140" w:type="dxa"/>
            <w:vAlign w:val="bottom"/>
          </w:tcPr>
          <w:p>
            <w:pPr>
              <w:jc w:val="right"/>
              <w:ind w:right="17"/>
              <w:spacing w:after="0"/>
              <w:rPr>
                <w:sz w:val="20"/>
                <w:szCs w:val="20"/>
                <w:color w:val="auto"/>
              </w:rPr>
            </w:pPr>
            <w:r>
              <w:rPr>
                <w:rFonts w:ascii="Arial" w:cs="Arial" w:eastAsia="Arial" w:hAnsi="Arial"/>
                <w:sz w:val="18"/>
                <w:szCs w:val="18"/>
                <w:color w:val="auto"/>
              </w:rPr>
              <w:t>0.30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2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2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60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February 14, 2018</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21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47</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21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0.30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980" w:type="dxa"/>
            <w:vAlign w:val="bottom"/>
          </w:tcPr>
          <w:p>
            <w:pPr>
              <w:spacing w:after="0"/>
              <w:rPr>
                <w:sz w:val="20"/>
                <w:szCs w:val="20"/>
                <w:color w:val="auto"/>
              </w:rPr>
            </w:pPr>
            <w:r>
              <w:rPr>
                <w:rFonts w:ascii="Arial" w:cs="Arial" w:eastAsia="Arial" w:hAnsi="Arial"/>
                <w:sz w:val="18"/>
                <w:szCs w:val="18"/>
                <w:color w:val="auto"/>
              </w:rPr>
              <w:t>___________________________________________</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ind w:left="660" w:hanging="652"/>
        <w:spacing w:after="0" w:line="213" w:lineRule="auto"/>
        <w:tabs>
          <w:tab w:leader="none" w:pos="660" w:val="left"/>
        </w:tabs>
        <w:numPr>
          <w:ilvl w:val="0"/>
          <w:numId w:val="13"/>
        </w:numPr>
        <w:rPr>
          <w:rFonts w:ascii="Arial" w:cs="Arial" w:eastAsia="Arial" w:hAnsi="Arial"/>
          <w:sz w:val="25"/>
          <w:szCs w:val="25"/>
          <w:color w:val="auto"/>
          <w:vertAlign w:val="superscript"/>
        </w:rPr>
      </w:pPr>
      <w:r>
        <w:rPr>
          <w:rFonts w:ascii="Arial" w:cs="Arial" w:eastAsia="Arial" w:hAnsi="Arial"/>
          <w:sz w:val="18"/>
          <w:szCs w:val="18"/>
          <w:color w:val="auto"/>
        </w:rPr>
        <w:t>Payable to shareholders of record at the close of business on July 31, 2018 for the period from April 1, 2018 through June 30, 2018.</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Consolidated Subsidiaries</w:t>
      </w:r>
    </w:p>
    <w:p>
      <w:pPr>
        <w:spacing w:after="0" w:line="221"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Noncontrolling Interests in Subsidiaries</w:t>
      </w:r>
    </w:p>
    <w:p>
      <w:pPr>
        <w:spacing w:after="0" w:line="229" w:lineRule="exact"/>
        <w:rPr>
          <w:sz w:val="20"/>
          <w:szCs w:val="20"/>
          <w:color w:val="auto"/>
        </w:rPr>
      </w:pPr>
    </w:p>
    <w:p>
      <w:pPr>
        <w:ind w:right="80" w:firstLine="648"/>
        <w:spacing w:after="0" w:line="264" w:lineRule="auto"/>
        <w:rPr>
          <w:sz w:val="20"/>
          <w:szCs w:val="20"/>
          <w:color w:val="auto"/>
        </w:rPr>
      </w:pPr>
      <w:r>
        <w:rPr>
          <w:rFonts w:ascii="Arial" w:cs="Arial" w:eastAsia="Arial" w:hAnsi="Arial"/>
          <w:sz w:val="18"/>
          <w:szCs w:val="18"/>
          <w:color w:val="auto"/>
        </w:rPr>
        <w:t>As of June 30, 2018, noncontrolling interests in our subsidiaries consisted of (i) limited partner interests in PAA including a 65% interest in PAA's common units and PAA's Series A preferred units combined and 100% of PAA's Series B preferred units and (ii) an approximate 44% limited partner interest in AAP.</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Subsidiary Distributions</w:t>
      </w:r>
    </w:p>
    <w:p>
      <w:pPr>
        <w:spacing w:after="0" w:line="229"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i w:val="1"/>
          <w:iCs w:val="1"/>
          <w:color w:val="auto"/>
        </w:rPr>
        <w:t>PAA Series A Preferred Unit Distributions</w:t>
      </w:r>
      <w:r>
        <w:rPr>
          <w:rFonts w:ascii="Arial" w:cs="Arial" w:eastAsia="Arial" w:hAnsi="Arial"/>
          <w:sz w:val="18"/>
          <w:szCs w:val="18"/>
          <w:color w:val="auto"/>
        </w:rPr>
        <w:t>. The following table details distributions paid to PAA's Series A preferred unitholders during or pertaining</w:t>
      </w:r>
      <w:r>
        <w:rPr>
          <w:rFonts w:ascii="Arial" w:cs="Arial" w:eastAsia="Arial" w:hAnsi="Arial"/>
          <w:sz w:val="18"/>
          <w:szCs w:val="18"/>
          <w:i w:val="1"/>
          <w:iCs w:val="1"/>
          <w:color w:val="auto"/>
        </w:rPr>
        <w:t xml:space="preserve"> </w:t>
      </w:r>
      <w:r>
        <w:rPr>
          <w:rFonts w:ascii="Arial" w:cs="Arial" w:eastAsia="Arial" w:hAnsi="Arial"/>
          <w:sz w:val="18"/>
          <w:szCs w:val="18"/>
          <w:color w:val="auto"/>
        </w:rPr>
        <w:t>to the first six months of 2018 (in millions, except unit and per unit data):</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gridSpan w:val="5"/>
          </w:tcPr>
          <w:p>
            <w:pPr>
              <w:spacing w:after="0"/>
              <w:rPr>
                <w:sz w:val="20"/>
                <w:szCs w:val="20"/>
                <w:color w:val="auto"/>
              </w:rPr>
            </w:pPr>
            <w:r>
              <w:rPr>
                <w:rFonts w:ascii="Arial" w:cs="Arial" w:eastAsia="Arial" w:hAnsi="Arial"/>
                <w:sz w:val="14"/>
                <w:szCs w:val="14"/>
                <w:b w:val="1"/>
                <w:bCs w:val="1"/>
                <w:color w:val="auto"/>
                <w:w w:val="93"/>
              </w:rPr>
              <w:t>Series A Preferred Unitholders</w:t>
            </w:r>
          </w:p>
        </w:tc>
        <w:tc>
          <w:tcPr>
            <w:tcW w:w="12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spacing w:after="0"/>
              <w:rPr>
                <w:sz w:val="16"/>
                <w:szCs w:val="16"/>
                <w:color w:val="auto"/>
              </w:rPr>
            </w:pPr>
          </w:p>
        </w:tc>
      </w:tr>
      <w:tr>
        <w:trPr>
          <w:trHeight w:val="264"/>
        </w:trPr>
        <w:tc>
          <w:tcPr>
            <w:tcW w:w="6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80" w:type="dxa"/>
            <w:vAlign w:val="bottom"/>
            <w:tcBorders>
              <w:bottom w:val="single" w:sz="8" w:color="auto"/>
            </w:tcBorders>
          </w:tcPr>
          <w:p>
            <w:pPr>
              <w:spacing w:after="0"/>
              <w:rPr>
                <w:sz w:val="22"/>
                <w:szCs w:val="22"/>
                <w:color w:val="auto"/>
              </w:rPr>
            </w:pPr>
          </w:p>
        </w:tc>
        <w:tc>
          <w:tcPr>
            <w:tcW w:w="2200" w:type="dxa"/>
            <w:vAlign w:val="bottom"/>
            <w:tcBorders>
              <w:bottom w:val="single" w:sz="8" w:color="auto"/>
            </w:tcBorders>
            <w:gridSpan w:val="3"/>
          </w:tcPr>
          <w:p>
            <w:pPr>
              <w:jc w:val="right"/>
              <w:ind w:right="1096"/>
              <w:spacing w:after="0"/>
              <w:rPr>
                <w:sz w:val="20"/>
                <w:szCs w:val="20"/>
                <w:color w:val="auto"/>
              </w:rPr>
            </w:pPr>
            <w:r>
              <w:rPr>
                <w:rFonts w:ascii="Arial" w:cs="Arial" w:eastAsia="Arial" w:hAnsi="Arial"/>
                <w:sz w:val="14"/>
                <w:szCs w:val="14"/>
                <w:b w:val="1"/>
                <w:bCs w:val="1"/>
                <w:color w:val="auto"/>
              </w:rPr>
              <w:t xml:space="preserve">Distribution </w:t>
            </w:r>
            <w:r>
              <w:rPr>
                <w:rFonts w:ascii="Arial" w:cs="Arial" w:eastAsia="Arial" w:hAnsi="Arial"/>
                <w:sz w:val="8"/>
                <w:szCs w:val="8"/>
                <w:b w:val="1"/>
                <w:bCs w:val="1"/>
                <w:color w:val="auto"/>
              </w:rPr>
              <w:t>(2)</w:t>
            </w:r>
          </w:p>
        </w:tc>
        <w:tc>
          <w:tcPr>
            <w:tcW w:w="240" w:type="dxa"/>
            <w:vAlign w:val="bottom"/>
            <w:gridSpan w:val="3"/>
          </w:tcPr>
          <w:p>
            <w:pPr>
              <w:spacing w:after="0"/>
              <w:rPr>
                <w:sz w:val="22"/>
                <w:szCs w:val="22"/>
                <w:color w:val="auto"/>
              </w:rPr>
            </w:pPr>
          </w:p>
        </w:tc>
        <w:tc>
          <w:tcPr>
            <w:tcW w:w="120" w:type="dxa"/>
            <w:vAlign w:val="bottom"/>
          </w:tcPr>
          <w:p>
            <w:pPr>
              <w:spacing w:after="0"/>
              <w:rPr>
                <w:sz w:val="22"/>
                <w:szCs w:val="22"/>
                <w:color w:val="auto"/>
              </w:rPr>
            </w:pPr>
          </w:p>
        </w:tc>
        <w:tc>
          <w:tcPr>
            <w:tcW w:w="1440" w:type="dxa"/>
            <w:vAlign w:val="bottom"/>
          </w:tcPr>
          <w:p>
            <w:pPr>
              <w:spacing w:after="0"/>
              <w:rPr>
                <w:sz w:val="22"/>
                <w:szCs w:val="22"/>
                <w:color w:val="auto"/>
              </w:rPr>
            </w:pPr>
          </w:p>
        </w:tc>
      </w:tr>
      <w:tr>
        <w:trPr>
          <w:trHeight w:val="264"/>
        </w:trPr>
        <w:tc>
          <w:tcPr>
            <w:tcW w:w="61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Distribution Payment Date</w:t>
            </w:r>
          </w:p>
        </w:tc>
        <w:tc>
          <w:tcPr>
            <w:tcW w:w="120" w:type="dxa"/>
            <w:vAlign w:val="bottom"/>
            <w:tcBorders>
              <w:bottom w:val="single" w:sz="8" w:color="CCEEFF"/>
            </w:tcBorders>
          </w:tcPr>
          <w:p>
            <w:pPr>
              <w:spacing w:after="0"/>
              <w:rPr>
                <w:sz w:val="22"/>
                <w:szCs w:val="22"/>
                <w:color w:val="auto"/>
              </w:rPr>
            </w:pPr>
          </w:p>
        </w:tc>
        <w:tc>
          <w:tcPr>
            <w:tcW w:w="1080" w:type="dxa"/>
            <w:vAlign w:val="bottom"/>
            <w:tcBorders>
              <w:bottom w:val="single" w:sz="8" w:color="auto"/>
            </w:tcBorders>
          </w:tcPr>
          <w:p>
            <w:pPr>
              <w:jc w:val="right"/>
              <w:ind w:right="34"/>
              <w:spacing w:after="0"/>
              <w:rPr>
                <w:sz w:val="20"/>
                <w:szCs w:val="20"/>
                <w:color w:val="auto"/>
              </w:rPr>
            </w:pPr>
            <w:r>
              <w:rPr>
                <w:rFonts w:ascii="Arial" w:cs="Arial" w:eastAsia="Arial" w:hAnsi="Arial"/>
                <w:sz w:val="14"/>
                <w:szCs w:val="14"/>
                <w:b w:val="1"/>
                <w:bCs w:val="1"/>
                <w:color w:val="auto"/>
              </w:rPr>
              <w:t>Cash</w:t>
            </w:r>
          </w:p>
        </w:tc>
        <w:tc>
          <w:tcPr>
            <w:tcW w:w="52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580" w:type="dxa"/>
            <w:vAlign w:val="bottom"/>
            <w:tcBorders>
              <w:bottom w:val="single" w:sz="8" w:color="auto"/>
            </w:tcBorders>
          </w:tcPr>
          <w:p>
            <w:pPr>
              <w:jc w:val="right"/>
              <w:ind w:right="536"/>
              <w:spacing w:after="0"/>
              <w:rPr>
                <w:sz w:val="20"/>
                <w:szCs w:val="20"/>
                <w:color w:val="auto"/>
              </w:rPr>
            </w:pPr>
            <w:r>
              <w:rPr>
                <w:rFonts w:ascii="Arial" w:cs="Arial" w:eastAsia="Arial" w:hAnsi="Arial"/>
                <w:sz w:val="14"/>
                <w:szCs w:val="14"/>
                <w:b w:val="1"/>
                <w:bCs w:val="1"/>
                <w:color w:val="auto"/>
              </w:rPr>
              <w:t>Units</w:t>
            </w: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tcPr>
          <w:p>
            <w:pPr>
              <w:jc w:val="right"/>
              <w:ind w:right="54"/>
              <w:spacing w:after="0"/>
              <w:rPr>
                <w:sz w:val="20"/>
                <w:szCs w:val="20"/>
                <w:color w:val="auto"/>
              </w:rPr>
            </w:pPr>
            <w:r>
              <w:rPr>
                <w:rFonts w:ascii="Arial" w:cs="Arial" w:eastAsia="Arial" w:hAnsi="Arial"/>
                <w:sz w:val="14"/>
                <w:szCs w:val="14"/>
                <w:b w:val="1"/>
                <w:bCs w:val="1"/>
                <w:color w:val="auto"/>
                <w:w w:val="94"/>
              </w:rPr>
              <w:t>Distribution per Unit</w:t>
            </w:r>
          </w:p>
        </w:tc>
      </w:tr>
      <w:tr>
        <w:trPr>
          <w:trHeight w:val="270"/>
        </w:trPr>
        <w:tc>
          <w:tcPr>
            <w:tcW w:w="6240" w:type="dxa"/>
            <w:vAlign w:val="bottom"/>
            <w:gridSpan w:val="2"/>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August 14, 2018 </w:t>
            </w:r>
            <w:r>
              <w:rPr>
                <w:rFonts w:ascii="Arial" w:cs="Arial" w:eastAsia="Arial" w:hAnsi="Arial"/>
                <w:sz w:val="25"/>
                <w:szCs w:val="25"/>
                <w:color w:val="auto"/>
                <w:vertAlign w:val="superscript"/>
              </w:rPr>
              <w:t>(1)</w:t>
            </w:r>
          </w:p>
        </w:tc>
        <w:tc>
          <w:tcPr>
            <w:tcW w:w="1080" w:type="dxa"/>
            <w:vAlign w:val="bottom"/>
            <w:shd w:val="clear" w:color="auto" w:fill="CCEEFF"/>
          </w:tcPr>
          <w:p>
            <w:pPr>
              <w:jc w:val="right"/>
              <w:ind w:right="874"/>
              <w:spacing w:after="0"/>
              <w:rPr>
                <w:sz w:val="20"/>
                <w:szCs w:val="20"/>
                <w:color w:val="auto"/>
              </w:rPr>
            </w:pPr>
            <w:r>
              <w:rPr>
                <w:rFonts w:ascii="Arial" w:cs="Arial" w:eastAsia="Arial" w:hAnsi="Arial"/>
                <w:sz w:val="18"/>
                <w:szCs w:val="18"/>
                <w:color w:val="auto"/>
                <w:w w:val="99"/>
              </w:rPr>
              <w:t>$</w:t>
            </w:r>
          </w:p>
        </w:tc>
        <w:tc>
          <w:tcPr>
            <w:tcW w:w="5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37</w:t>
            </w:r>
          </w:p>
        </w:tc>
        <w:tc>
          <w:tcPr>
            <w:tcW w:w="100" w:type="dxa"/>
            <w:vAlign w:val="bottom"/>
            <w:shd w:val="clear" w:color="auto" w:fill="CCEEFF"/>
          </w:tcPr>
          <w:p>
            <w:pPr>
              <w:spacing w:after="0"/>
              <w:rPr>
                <w:sz w:val="23"/>
                <w:szCs w:val="23"/>
                <w:color w:val="auto"/>
              </w:rPr>
            </w:pPr>
          </w:p>
        </w:tc>
        <w:tc>
          <w:tcPr>
            <w:tcW w:w="1700" w:type="dxa"/>
            <w:vAlign w:val="bottom"/>
            <w:tcBorders>
              <w:right w:val="single" w:sz="8" w:color="auto"/>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0.525</w:t>
            </w:r>
          </w:p>
        </w:tc>
      </w:tr>
      <w:tr>
        <w:trPr>
          <w:trHeight w:val="243"/>
        </w:trPr>
        <w:tc>
          <w:tcPr>
            <w:tcW w:w="6240" w:type="dxa"/>
            <w:vAlign w:val="bottom"/>
            <w:gridSpan w:val="2"/>
          </w:tcPr>
          <w:p>
            <w:pPr>
              <w:ind w:left="40"/>
              <w:spacing w:after="0"/>
              <w:rPr>
                <w:sz w:val="20"/>
                <w:szCs w:val="20"/>
                <w:color w:val="auto"/>
              </w:rPr>
            </w:pPr>
            <w:r>
              <w:rPr>
                <w:rFonts w:ascii="Arial" w:cs="Arial" w:eastAsia="Arial" w:hAnsi="Arial"/>
                <w:sz w:val="18"/>
                <w:szCs w:val="18"/>
                <w:color w:val="auto"/>
              </w:rPr>
              <w:t>May 15, 2018</w:t>
            </w:r>
          </w:p>
        </w:tc>
        <w:tc>
          <w:tcPr>
            <w:tcW w:w="1080" w:type="dxa"/>
            <w:vAlign w:val="bottom"/>
          </w:tcPr>
          <w:p>
            <w:pPr>
              <w:jc w:val="right"/>
              <w:ind w:right="874"/>
              <w:spacing w:after="0"/>
              <w:rPr>
                <w:sz w:val="20"/>
                <w:szCs w:val="20"/>
                <w:color w:val="auto"/>
              </w:rPr>
            </w:pPr>
            <w:r>
              <w:rPr>
                <w:rFonts w:ascii="Arial" w:cs="Arial" w:eastAsia="Arial" w:hAnsi="Arial"/>
                <w:sz w:val="18"/>
                <w:szCs w:val="18"/>
                <w:color w:val="auto"/>
                <w:w w:val="99"/>
              </w:rPr>
              <w:t>$</w:t>
            </w:r>
          </w:p>
        </w:tc>
        <w:tc>
          <w:tcPr>
            <w:tcW w:w="520" w:type="dxa"/>
            <w:vAlign w:val="bottom"/>
          </w:tcPr>
          <w:p>
            <w:pPr>
              <w:jc w:val="right"/>
              <w:ind w:right="14"/>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21"/>
                <w:szCs w:val="21"/>
                <w:color w:val="auto"/>
              </w:rPr>
            </w:pPr>
          </w:p>
        </w:tc>
        <w:tc>
          <w:tcPr>
            <w:tcW w:w="1700" w:type="dxa"/>
            <w:vAlign w:val="bottom"/>
            <w:tcBorders>
              <w:right w:val="single" w:sz="8" w:color="auto"/>
            </w:tcBorders>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Pr>
          <w:p>
            <w:pPr>
              <w:jc w:val="right"/>
              <w:ind w:right="14"/>
              <w:spacing w:after="0"/>
              <w:rPr>
                <w:sz w:val="20"/>
                <w:szCs w:val="20"/>
                <w:color w:val="auto"/>
              </w:rPr>
            </w:pPr>
            <w:r>
              <w:rPr>
                <w:rFonts w:ascii="Arial" w:cs="Arial" w:eastAsia="Arial" w:hAnsi="Arial"/>
                <w:sz w:val="18"/>
                <w:szCs w:val="18"/>
                <w:color w:val="auto"/>
              </w:rPr>
              <w:t>0.525</w:t>
            </w:r>
          </w:p>
        </w:tc>
      </w:tr>
      <w:tr>
        <w:trPr>
          <w:trHeight w:val="27"/>
        </w:trPr>
        <w:tc>
          <w:tcPr>
            <w:tcW w:w="6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43"/>
        </w:trPr>
        <w:tc>
          <w:tcPr>
            <w:tcW w:w="62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February 14, 2018</w:t>
            </w:r>
          </w:p>
        </w:tc>
        <w:tc>
          <w:tcPr>
            <w:tcW w:w="1080" w:type="dxa"/>
            <w:vAlign w:val="bottom"/>
            <w:shd w:val="clear" w:color="auto" w:fill="CCEEFF"/>
          </w:tcPr>
          <w:p>
            <w:pPr>
              <w:jc w:val="right"/>
              <w:ind w:right="874"/>
              <w:spacing w:after="0"/>
              <w:rPr>
                <w:sz w:val="20"/>
                <w:szCs w:val="20"/>
                <w:color w:val="auto"/>
              </w:rPr>
            </w:pPr>
            <w:r>
              <w:rPr>
                <w:rFonts w:ascii="Arial" w:cs="Arial" w:eastAsia="Arial" w:hAnsi="Arial"/>
                <w:sz w:val="18"/>
                <w:szCs w:val="18"/>
                <w:color w:val="auto"/>
                <w:w w:val="99"/>
              </w:rPr>
              <w:t>$</w:t>
            </w:r>
          </w:p>
        </w:tc>
        <w:tc>
          <w:tcPr>
            <w:tcW w:w="5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1680" w:type="dxa"/>
            <w:vAlign w:val="bottom"/>
            <w:gridSpan w:val="2"/>
            <w:shd w:val="clear" w:color="auto" w:fill="CCEEFF"/>
          </w:tcPr>
          <w:p>
            <w:pPr>
              <w:jc w:val="right"/>
              <w:ind w:right="36"/>
              <w:spacing w:after="0"/>
              <w:rPr>
                <w:sz w:val="20"/>
                <w:szCs w:val="20"/>
                <w:color w:val="auto"/>
              </w:rPr>
            </w:pPr>
            <w:r>
              <w:rPr>
                <w:rFonts w:ascii="Arial" w:cs="Arial" w:eastAsia="Arial" w:hAnsi="Arial"/>
                <w:sz w:val="18"/>
                <w:szCs w:val="18"/>
                <w:color w:val="auto"/>
              </w:rPr>
              <w:t>1,393,926</w:t>
            </w:r>
          </w:p>
        </w:tc>
        <w:tc>
          <w:tcPr>
            <w:tcW w:w="120" w:type="dxa"/>
            <w:vAlign w:val="bottom"/>
            <w:tcBorders>
              <w:right w:val="single" w:sz="8" w:color="auto"/>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0.525</w:t>
            </w:r>
          </w:p>
        </w:tc>
      </w:tr>
      <w:tr>
        <w:trPr>
          <w:trHeight w:val="27"/>
        </w:trPr>
        <w:tc>
          <w:tcPr>
            <w:tcW w:w="6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580" w:type="dxa"/>
            <w:vAlign w:val="bottom"/>
            <w:shd w:val="clear" w:color="auto" w:fill="CCEEFF"/>
          </w:tcPr>
          <w:p>
            <w:pPr>
              <w:spacing w:after="0"/>
              <w:rPr>
                <w:sz w:val="2"/>
                <w:szCs w:val="2"/>
                <w:color w:val="auto"/>
              </w:rPr>
            </w:pPr>
          </w:p>
        </w:tc>
        <w:tc>
          <w:tcPr>
            <w:tcW w:w="120" w:type="dxa"/>
            <w:vAlign w:val="bottom"/>
            <w:tcBorders>
              <w:right w:val="single" w:sz="8" w:color="auto"/>
            </w:tcBorders>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40" w:type="dxa"/>
            <w:vAlign w:val="bottom"/>
            <w:shd w:val="clear" w:color="auto" w:fill="CCEEFF"/>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202374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2023745" cy="8890"/>
                    </a:xfrm>
                    <a:prstGeom prst="rect">
                      <a:avLst/>
                    </a:prstGeom>
                    <a:noFill/>
                  </pic:spPr>
                </pic:pic>
              </a:graphicData>
            </a:graphic>
          </wp:anchor>
        </w:drawing>
      </w:r>
    </w:p>
    <w:p>
      <w:pPr>
        <w:spacing w:after="0" w:line="290" w:lineRule="exact"/>
        <w:rPr>
          <w:sz w:val="20"/>
          <w:szCs w:val="20"/>
          <w:color w:val="auto"/>
        </w:rPr>
      </w:pPr>
    </w:p>
    <w:p>
      <w:pPr>
        <w:ind w:left="660" w:right="60" w:hanging="652"/>
        <w:spacing w:after="0" w:line="252" w:lineRule="auto"/>
        <w:tabs>
          <w:tab w:leader="none" w:pos="660" w:val="left"/>
        </w:tabs>
        <w:numPr>
          <w:ilvl w:val="0"/>
          <w:numId w:val="14"/>
        </w:numPr>
        <w:rPr>
          <w:rFonts w:ascii="Arial" w:cs="Arial" w:eastAsia="Arial" w:hAnsi="Arial"/>
          <w:sz w:val="22"/>
          <w:szCs w:val="22"/>
          <w:color w:val="auto"/>
          <w:vertAlign w:val="superscript"/>
        </w:rPr>
      </w:pPr>
      <w:r>
        <w:rPr>
          <w:rFonts w:ascii="Arial" w:cs="Arial" w:eastAsia="Arial" w:hAnsi="Arial"/>
          <w:sz w:val="16"/>
          <w:szCs w:val="16"/>
          <w:color w:val="auto"/>
        </w:rPr>
        <w:t>Payable to unitholders of record at the close of business on July 31, 2018 for the period from April 1, 2018 through June 30, 2018. At June 30, 2018, such amount was accrued to distributions payable in “Accounts payable and accrued liabilities” on our Condensed Consolidated Balance Sheet.</w:t>
      </w:r>
    </w:p>
    <w:p>
      <w:pPr>
        <w:spacing w:after="0" w:line="27" w:lineRule="exact"/>
        <w:rPr>
          <w:rFonts w:ascii="Arial" w:cs="Arial" w:eastAsia="Arial" w:hAnsi="Arial"/>
          <w:sz w:val="22"/>
          <w:szCs w:val="22"/>
          <w:color w:val="auto"/>
          <w:vertAlign w:val="superscript"/>
        </w:rPr>
      </w:pPr>
    </w:p>
    <w:p>
      <w:pPr>
        <w:ind w:left="660" w:hanging="652"/>
        <w:spacing w:after="0" w:line="268" w:lineRule="auto"/>
        <w:tabs>
          <w:tab w:leader="none" w:pos="660" w:val="left"/>
        </w:tabs>
        <w:numPr>
          <w:ilvl w:val="0"/>
          <w:numId w:val="14"/>
        </w:numPr>
        <w:rPr>
          <w:rFonts w:ascii="Arial" w:cs="Arial" w:eastAsia="Arial" w:hAnsi="Arial"/>
          <w:sz w:val="22"/>
          <w:szCs w:val="22"/>
          <w:color w:val="auto"/>
          <w:vertAlign w:val="superscript"/>
        </w:rPr>
      </w:pPr>
      <w:r>
        <w:rPr>
          <w:rFonts w:ascii="Arial" w:cs="Arial" w:eastAsia="Arial" w:hAnsi="Arial"/>
          <w:sz w:val="16"/>
          <w:szCs w:val="16"/>
          <w:color w:val="auto"/>
        </w:rPr>
        <w:t>On February 14, 2018, PAA issued additional Series A preferred units in lieu of a cash distribution of $37 million. With respect to any quarter ending on or prior to December 31, 2017 (the “Initial Distribution Period”), PAA was able to elect to pay distributions on its Series A preferred units in additional Series A preferred units, in cash or a combination of both. The Initial Distribution Period ended with the February 2018 distribution; as such, with respect to any quarter ending after the Initial Distribution Period, PAA must pay distributions on its Series A preferred units in cash.</w:t>
      </w:r>
    </w:p>
    <w:p>
      <w:pPr>
        <w:spacing w:after="0" w:line="182" w:lineRule="exact"/>
        <w:rPr>
          <w:sz w:val="20"/>
          <w:szCs w:val="20"/>
          <w:color w:val="auto"/>
        </w:rPr>
      </w:pPr>
    </w:p>
    <w:p>
      <w:pPr>
        <w:jc w:val="both"/>
        <w:ind w:right="280" w:firstLine="648"/>
        <w:spacing w:after="0" w:line="264" w:lineRule="auto"/>
        <w:rPr>
          <w:sz w:val="20"/>
          <w:szCs w:val="20"/>
          <w:color w:val="auto"/>
        </w:rPr>
      </w:pPr>
      <w:r>
        <w:rPr>
          <w:rFonts w:ascii="Arial" w:cs="Arial" w:eastAsia="Arial" w:hAnsi="Arial"/>
          <w:sz w:val="18"/>
          <w:szCs w:val="18"/>
          <w:i w:val="1"/>
          <w:iCs w:val="1"/>
          <w:color w:val="auto"/>
        </w:rPr>
        <w:t>PAA Series B Preferred Unit Distributions</w:t>
      </w:r>
      <w:r>
        <w:rPr>
          <w:rFonts w:ascii="Arial" w:cs="Arial" w:eastAsia="Arial" w:hAnsi="Arial"/>
          <w:sz w:val="18"/>
          <w:szCs w:val="18"/>
          <w:color w:val="auto"/>
        </w:rPr>
        <w:t>. Distributions on PAA's Series B preferred units are payable semiannually in arrears on the 15th day of</w:t>
      </w:r>
      <w:r>
        <w:rPr>
          <w:rFonts w:ascii="Arial" w:cs="Arial" w:eastAsia="Arial" w:hAnsi="Arial"/>
          <w:sz w:val="18"/>
          <w:szCs w:val="18"/>
          <w:i w:val="1"/>
          <w:iCs w:val="1"/>
          <w:color w:val="auto"/>
        </w:rPr>
        <w:t xml:space="preserve"> </w:t>
      </w:r>
      <w:r>
        <w:rPr>
          <w:rFonts w:ascii="Arial" w:cs="Arial" w:eastAsia="Arial" w:hAnsi="Arial"/>
          <w:sz w:val="18"/>
          <w:szCs w:val="18"/>
          <w:color w:val="auto"/>
        </w:rPr>
        <w:t>May and November. The following table details distributions paid to PAA's Series B preferred unitholders during the first six months of 2018 (in millions, except per unit data):</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3240" w:type="dxa"/>
            <w:vAlign w:val="bottom"/>
            <w:tcBorders>
              <w:bottom w:val="single" w:sz="8" w:color="auto"/>
            </w:tcBorders>
            <w:gridSpan w:val="5"/>
          </w:tcPr>
          <w:p>
            <w:pPr>
              <w:jc w:val="right"/>
              <w:ind w:right="659"/>
              <w:spacing w:after="0"/>
              <w:rPr>
                <w:sz w:val="20"/>
                <w:szCs w:val="20"/>
                <w:color w:val="auto"/>
              </w:rPr>
            </w:pPr>
            <w:r>
              <w:rPr>
                <w:rFonts w:ascii="Arial" w:cs="Arial" w:eastAsia="Arial" w:hAnsi="Arial"/>
                <w:sz w:val="14"/>
                <w:szCs w:val="14"/>
                <w:b w:val="1"/>
                <w:bCs w:val="1"/>
                <w:color w:val="auto"/>
              </w:rPr>
              <w:t>Series B Preferred Unitholders</w:t>
            </w:r>
          </w:p>
        </w:tc>
      </w:tr>
      <w:tr>
        <w:trPr>
          <w:trHeight w:val="264"/>
        </w:trPr>
        <w:tc>
          <w:tcPr>
            <w:tcW w:w="79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Distribution Payment Date</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right"/>
              <w:ind w:right="182"/>
              <w:spacing w:after="0"/>
              <w:rPr>
                <w:sz w:val="20"/>
                <w:szCs w:val="20"/>
                <w:color w:val="auto"/>
              </w:rPr>
            </w:pPr>
            <w:r>
              <w:rPr>
                <w:rFonts w:ascii="Arial" w:cs="Arial" w:eastAsia="Arial" w:hAnsi="Arial"/>
                <w:sz w:val="14"/>
                <w:szCs w:val="14"/>
                <w:b w:val="1"/>
                <w:bCs w:val="1"/>
                <w:color w:val="auto"/>
                <w:w w:val="97"/>
              </w:rPr>
              <w:t>Cash Distribution</w:t>
            </w: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tcPr>
          <w:p>
            <w:pPr>
              <w:jc w:val="right"/>
              <w:ind w:right="59"/>
              <w:spacing w:after="0"/>
              <w:rPr>
                <w:sz w:val="20"/>
                <w:szCs w:val="20"/>
                <w:color w:val="auto"/>
              </w:rPr>
            </w:pPr>
            <w:r>
              <w:rPr>
                <w:rFonts w:ascii="Arial" w:cs="Arial" w:eastAsia="Arial" w:hAnsi="Arial"/>
                <w:sz w:val="14"/>
                <w:szCs w:val="14"/>
                <w:b w:val="1"/>
                <w:bCs w:val="1"/>
                <w:color w:val="auto"/>
                <w:w w:val="96"/>
              </w:rPr>
              <w:t>Distribution per Unit</w:t>
            </w:r>
          </w:p>
        </w:tc>
      </w:tr>
      <w:tr>
        <w:trPr>
          <w:trHeight w:val="243"/>
        </w:trPr>
        <w:tc>
          <w:tcPr>
            <w:tcW w:w="80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May 15, 2018</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shd w:val="clear" w:color="auto" w:fill="CCEEFF"/>
          </w:tcPr>
          <w:p>
            <w:pPr>
              <w:jc w:val="right"/>
              <w:ind w:right="42"/>
              <w:spacing w:after="0"/>
              <w:rPr>
                <w:sz w:val="20"/>
                <w:szCs w:val="20"/>
                <w:color w:val="auto"/>
              </w:rPr>
            </w:pPr>
            <w:r>
              <w:rPr>
                <w:rFonts w:ascii="Arial" w:cs="Arial" w:eastAsia="Arial" w:hAnsi="Arial"/>
                <w:sz w:val="18"/>
                <w:szCs w:val="18"/>
                <w:color w:val="auto"/>
              </w:rPr>
              <w:t>24.5</w:t>
            </w:r>
          </w:p>
        </w:tc>
        <w:tc>
          <w:tcPr>
            <w:tcW w:w="120" w:type="dxa"/>
            <w:vAlign w:val="bottom"/>
            <w:tcBorders>
              <w:right w:val="single" w:sz="8" w:color="auto"/>
            </w:tcBorders>
            <w:shd w:val="clear" w:color="auto" w:fill="CCEEFF"/>
          </w:tcPr>
          <w:p>
            <w:pPr>
              <w:spacing w:after="0"/>
              <w:rPr>
                <w:sz w:val="21"/>
                <w:szCs w:val="21"/>
                <w:color w:val="auto"/>
              </w:rPr>
            </w:pP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30.625</w:t>
            </w:r>
          </w:p>
        </w:tc>
      </w:tr>
      <w:tr>
        <w:trPr>
          <w:trHeight w:val="27"/>
        </w:trPr>
        <w:tc>
          <w:tcPr>
            <w:tcW w:w="79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420" w:type="dxa"/>
            <w:vAlign w:val="bottom"/>
            <w:shd w:val="clear" w:color="auto" w:fill="CCEEFF"/>
          </w:tcPr>
          <w:p>
            <w:pPr>
              <w:spacing w:after="0"/>
              <w:rPr>
                <w:sz w:val="2"/>
                <w:szCs w:val="2"/>
                <w:color w:val="auto"/>
              </w:rPr>
            </w:pPr>
          </w:p>
        </w:tc>
        <w:tc>
          <w:tcPr>
            <w:tcW w:w="120" w:type="dxa"/>
            <w:vAlign w:val="bottom"/>
            <w:tcBorders>
              <w:right w:val="single" w:sz="8" w:color="auto"/>
            </w:tcBorders>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46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As of June 30, 2018, we had accrued approximately $6 million of distributions payable to PAA's Series B preferred unitholders in “Accounts payable and accrued liabilities” on our Condensed Consolidated Balance Sheet.</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125" w:right="23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340" w:firstLine="648"/>
        <w:spacing w:after="0" w:line="277" w:lineRule="auto"/>
        <w:rPr>
          <w:sz w:val="20"/>
          <w:szCs w:val="20"/>
          <w:color w:val="auto"/>
        </w:rPr>
      </w:pPr>
      <w:r>
        <w:rPr>
          <w:rFonts w:ascii="Arial" w:cs="Arial" w:eastAsia="Arial" w:hAnsi="Arial"/>
          <w:sz w:val="18"/>
          <w:szCs w:val="18"/>
          <w:i w:val="1"/>
          <w:iCs w:val="1"/>
          <w:color w:val="auto"/>
        </w:rPr>
        <w:t xml:space="preserve">PAA Common Unit Distributions. </w:t>
      </w:r>
      <w:r>
        <w:rPr>
          <w:rFonts w:ascii="Arial" w:cs="Arial" w:eastAsia="Arial" w:hAnsi="Arial"/>
          <w:sz w:val="18"/>
          <w:szCs w:val="18"/>
          <w:color w:val="auto"/>
        </w:rPr>
        <w:t>The following table details distributions paid to PAA’s common unitholders during or pertaining to the first six</w:t>
      </w:r>
      <w:r>
        <w:rPr>
          <w:rFonts w:ascii="Arial" w:cs="Arial" w:eastAsia="Arial" w:hAnsi="Arial"/>
          <w:sz w:val="18"/>
          <w:szCs w:val="18"/>
          <w:i w:val="1"/>
          <w:iCs w:val="1"/>
          <w:color w:val="auto"/>
        </w:rPr>
        <w:t xml:space="preserve"> </w:t>
      </w:r>
      <w:r>
        <w:rPr>
          <w:rFonts w:ascii="Arial" w:cs="Arial" w:eastAsia="Arial" w:hAnsi="Arial"/>
          <w:sz w:val="18"/>
          <w:szCs w:val="18"/>
          <w:color w:val="auto"/>
        </w:rPr>
        <w:t>months of 2018 (in millions, except per unit data):</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Distributions</w:t>
            </w:r>
          </w:p>
        </w:tc>
        <w:tc>
          <w:tcPr>
            <w:tcW w:w="3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44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tcBorders>
              <w:bottom w:val="single" w:sz="8" w:color="auto"/>
            </w:tcBorders>
          </w:tcPr>
          <w:p>
            <w:pPr>
              <w:spacing w:after="0"/>
              <w:rPr>
                <w:sz w:val="22"/>
                <w:szCs w:val="22"/>
                <w:color w:val="auto"/>
              </w:rPr>
            </w:pPr>
          </w:p>
        </w:tc>
        <w:tc>
          <w:tcPr>
            <w:tcW w:w="1980" w:type="dxa"/>
            <w:vAlign w:val="bottom"/>
            <w:tcBorders>
              <w:bottom w:val="single" w:sz="8" w:color="auto"/>
            </w:tcBorders>
            <w:gridSpan w:val="3"/>
          </w:tcPr>
          <w:p>
            <w:pPr>
              <w:jc w:val="right"/>
              <w:ind w:right="557"/>
              <w:spacing w:after="0"/>
              <w:rPr>
                <w:sz w:val="20"/>
                <w:szCs w:val="20"/>
                <w:color w:val="auto"/>
              </w:rPr>
            </w:pPr>
            <w:r>
              <w:rPr>
                <w:rFonts w:ascii="Arial" w:cs="Arial" w:eastAsia="Arial" w:hAnsi="Arial"/>
                <w:sz w:val="14"/>
                <w:szCs w:val="14"/>
                <w:b w:val="1"/>
                <w:bCs w:val="1"/>
                <w:color w:val="auto"/>
                <w:w w:val="92"/>
              </w:rPr>
              <w:t>Common Unitholders</w:t>
            </w:r>
          </w:p>
        </w:tc>
        <w:tc>
          <w:tcPr>
            <w:tcW w:w="34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80" w:type="dxa"/>
            <w:vAlign w:val="bottom"/>
            <w:vMerge w:val="restart"/>
          </w:tcPr>
          <w:p>
            <w:pPr>
              <w:jc w:val="right"/>
              <w:ind w:right="37"/>
              <w:spacing w:after="0"/>
              <w:rPr>
                <w:sz w:val="20"/>
                <w:szCs w:val="20"/>
                <w:color w:val="auto"/>
              </w:rPr>
            </w:pPr>
            <w:r>
              <w:rPr>
                <w:rFonts w:ascii="Arial" w:cs="Arial" w:eastAsia="Arial" w:hAnsi="Arial"/>
                <w:sz w:val="14"/>
                <w:szCs w:val="14"/>
                <w:b w:val="1"/>
                <w:bCs w:val="1"/>
                <w:color w:val="auto"/>
                <w:w w:val="94"/>
              </w:rPr>
              <w:t>Cash Distribution per</w:t>
            </w:r>
          </w:p>
        </w:tc>
        <w:tc>
          <w:tcPr>
            <w:tcW w:w="0" w:type="dxa"/>
            <w:vAlign w:val="bottom"/>
          </w:tcPr>
          <w:p>
            <w:pPr>
              <w:spacing w:after="0"/>
              <w:rPr>
                <w:sz w:val="1"/>
                <w:szCs w:val="1"/>
                <w:color w:val="auto"/>
              </w:rPr>
            </w:pPr>
          </w:p>
        </w:tc>
      </w:tr>
      <w:tr>
        <w:trPr>
          <w:trHeight w:val="71"/>
        </w:trPr>
        <w:tc>
          <w:tcPr>
            <w:tcW w:w="446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Distribution Payment Date</w:t>
            </w:r>
          </w:p>
        </w:tc>
        <w:tc>
          <w:tcPr>
            <w:tcW w:w="120" w:type="dxa"/>
            <w:vAlign w:val="bottom"/>
            <w:vMerge w:val="restart"/>
          </w:tcPr>
          <w:p>
            <w:pPr>
              <w:spacing w:after="0"/>
              <w:rPr>
                <w:sz w:val="6"/>
                <w:szCs w:val="6"/>
                <w:color w:val="auto"/>
              </w:rPr>
            </w:pPr>
          </w:p>
        </w:tc>
        <w:tc>
          <w:tcPr>
            <w:tcW w:w="10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Public</w:t>
            </w:r>
          </w:p>
        </w:tc>
        <w:tc>
          <w:tcPr>
            <w:tcW w:w="6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60" w:type="dxa"/>
            <w:vAlign w:val="bottom"/>
            <w:vMerge w:val="restart"/>
          </w:tcPr>
          <w:p>
            <w:pPr>
              <w:jc w:val="right"/>
              <w:ind w:right="237"/>
              <w:spacing w:after="0"/>
              <w:rPr>
                <w:sz w:val="20"/>
                <w:szCs w:val="20"/>
                <w:color w:val="auto"/>
              </w:rPr>
            </w:pPr>
            <w:r>
              <w:rPr>
                <w:rFonts w:ascii="Arial" w:cs="Arial" w:eastAsia="Arial" w:hAnsi="Arial"/>
                <w:sz w:val="14"/>
                <w:szCs w:val="14"/>
                <w:b w:val="1"/>
                <w:bCs w:val="1"/>
                <w:color w:val="auto"/>
              </w:rPr>
              <w:t>AAP</w:t>
            </w:r>
          </w:p>
        </w:tc>
        <w:tc>
          <w:tcPr>
            <w:tcW w:w="3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60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7"/>
              </w:rPr>
              <w:t>Total Cash Distribution</w:t>
            </w:r>
          </w:p>
        </w:tc>
        <w:tc>
          <w:tcPr>
            <w:tcW w:w="120" w:type="dxa"/>
            <w:vAlign w:val="bottom"/>
            <w:vMerge w:val="restart"/>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4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2"/>
        </w:trPr>
        <w:tc>
          <w:tcPr>
            <w:tcW w:w="44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260" w:type="dxa"/>
            <w:vAlign w:val="bottom"/>
            <w:tcBorders>
              <w:bottom w:val="single" w:sz="8" w:color="auto"/>
            </w:tcBorders>
            <w:vMerge w:val="continue"/>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600" w:type="dxa"/>
            <w:vAlign w:val="bottom"/>
            <w:tcBorders>
              <w:bottom w:val="single" w:sz="8" w:color="auto"/>
            </w:tcBorders>
            <w:gridSpan w:val="2"/>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ind w:right="277"/>
              <w:spacing w:after="0"/>
              <w:rPr>
                <w:sz w:val="20"/>
                <w:szCs w:val="20"/>
                <w:color w:val="auto"/>
              </w:rPr>
            </w:pPr>
            <w:r>
              <w:rPr>
                <w:rFonts w:ascii="Arial" w:cs="Arial" w:eastAsia="Arial" w:hAnsi="Arial"/>
                <w:sz w:val="14"/>
                <w:szCs w:val="14"/>
                <w:b w:val="1"/>
                <w:bCs w:val="1"/>
                <w:color w:val="auto"/>
              </w:rPr>
              <w:t>Common Unit</w:t>
            </w:r>
          </w:p>
        </w:tc>
        <w:tc>
          <w:tcPr>
            <w:tcW w:w="0" w:type="dxa"/>
            <w:vAlign w:val="bottom"/>
          </w:tcPr>
          <w:p>
            <w:pPr>
              <w:spacing w:after="0"/>
              <w:rPr>
                <w:sz w:val="1"/>
                <w:szCs w:val="1"/>
                <w:color w:val="auto"/>
              </w:rPr>
            </w:pPr>
          </w:p>
        </w:tc>
      </w:tr>
      <w:tr>
        <w:trPr>
          <w:trHeight w:val="270"/>
        </w:trPr>
        <w:tc>
          <w:tcPr>
            <w:tcW w:w="4580" w:type="dxa"/>
            <w:vAlign w:val="bottom"/>
            <w:gridSpan w:val="2"/>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August 14, 2018 </w:t>
            </w:r>
            <w:r>
              <w:rPr>
                <w:rFonts w:ascii="Arial" w:cs="Arial" w:eastAsia="Arial" w:hAnsi="Arial"/>
                <w:sz w:val="25"/>
                <w:szCs w:val="25"/>
                <w:color w:val="auto"/>
                <w:vertAlign w:val="superscript"/>
              </w:rPr>
              <w:t>(1)</w:t>
            </w:r>
          </w:p>
        </w:tc>
        <w:tc>
          <w:tcPr>
            <w:tcW w:w="1000" w:type="dxa"/>
            <w:vAlign w:val="bottom"/>
            <w:shd w:val="clear" w:color="auto" w:fill="CCEEFF"/>
          </w:tcPr>
          <w:p>
            <w:pPr>
              <w:jc w:val="right"/>
              <w:ind w:right="794"/>
              <w:spacing w:after="0"/>
              <w:rPr>
                <w:sz w:val="20"/>
                <w:szCs w:val="20"/>
                <w:color w:val="auto"/>
              </w:rPr>
            </w:pPr>
            <w:r>
              <w:rPr>
                <w:rFonts w:ascii="Arial" w:cs="Arial" w:eastAsia="Arial" w:hAnsi="Arial"/>
                <w:sz w:val="18"/>
                <w:szCs w:val="18"/>
                <w:color w:val="auto"/>
                <w:w w:val="99"/>
              </w:rPr>
              <w:t>$</w:t>
            </w:r>
          </w:p>
        </w:tc>
        <w:tc>
          <w:tcPr>
            <w:tcW w:w="62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133</w:t>
            </w:r>
          </w:p>
        </w:tc>
        <w:tc>
          <w:tcPr>
            <w:tcW w:w="100" w:type="dxa"/>
            <w:vAlign w:val="bottom"/>
            <w:shd w:val="clear" w:color="auto" w:fill="CCEEFF"/>
          </w:tcPr>
          <w:p>
            <w:pPr>
              <w:spacing w:after="0"/>
              <w:rPr>
                <w:sz w:val="23"/>
                <w:szCs w:val="23"/>
                <w:color w:val="auto"/>
              </w:rPr>
            </w:pPr>
          </w:p>
        </w:tc>
        <w:tc>
          <w:tcPr>
            <w:tcW w:w="1260" w:type="dxa"/>
            <w:vAlign w:val="bottom"/>
            <w:shd w:val="clear" w:color="auto" w:fill="CCEEFF"/>
          </w:tcPr>
          <w:p>
            <w:pPr>
              <w:jc w:val="right"/>
              <w:ind w:right="1057"/>
              <w:spacing w:after="0"/>
              <w:rPr>
                <w:sz w:val="20"/>
                <w:szCs w:val="20"/>
                <w:color w:val="auto"/>
              </w:rPr>
            </w:pPr>
            <w:r>
              <w:rPr>
                <w:rFonts w:ascii="Arial" w:cs="Arial" w:eastAsia="Arial" w:hAnsi="Arial"/>
                <w:sz w:val="18"/>
                <w:szCs w:val="18"/>
                <w:color w:val="auto"/>
                <w:w w:val="99"/>
              </w:rPr>
              <w:t>$</w:t>
            </w:r>
          </w:p>
        </w:tc>
        <w:tc>
          <w:tcPr>
            <w:tcW w:w="3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85</w:t>
            </w:r>
          </w:p>
        </w:tc>
        <w:tc>
          <w:tcPr>
            <w:tcW w:w="760" w:type="dxa"/>
            <w:vAlign w:val="bottom"/>
            <w:gridSpan w:val="2"/>
            <w:shd w:val="clear" w:color="auto" w:fill="CCEEFF"/>
          </w:tcPr>
          <w:p>
            <w:pPr>
              <w:jc w:val="right"/>
              <w:ind w:right="468"/>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218</w:t>
            </w:r>
          </w:p>
        </w:tc>
        <w:tc>
          <w:tcPr>
            <w:tcW w:w="120" w:type="dxa"/>
            <w:vAlign w:val="bottom"/>
            <w:tcBorders>
              <w:right w:val="single" w:sz="8" w:color="auto"/>
            </w:tcBorders>
            <w:shd w:val="clear" w:color="auto" w:fill="CCEEFF"/>
          </w:tcPr>
          <w:p>
            <w:pPr>
              <w:spacing w:after="0"/>
              <w:rPr>
                <w:sz w:val="23"/>
                <w:szCs w:val="23"/>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0.30</w:t>
            </w:r>
          </w:p>
        </w:tc>
        <w:tc>
          <w:tcPr>
            <w:tcW w:w="0" w:type="dxa"/>
            <w:vAlign w:val="bottom"/>
          </w:tcPr>
          <w:p>
            <w:pPr>
              <w:spacing w:after="0"/>
              <w:rPr>
                <w:sz w:val="1"/>
                <w:szCs w:val="1"/>
                <w:color w:val="auto"/>
              </w:rPr>
            </w:pPr>
          </w:p>
        </w:tc>
      </w:tr>
      <w:tr>
        <w:trPr>
          <w:trHeight w:val="243"/>
        </w:trPr>
        <w:tc>
          <w:tcPr>
            <w:tcW w:w="4580" w:type="dxa"/>
            <w:vAlign w:val="bottom"/>
            <w:gridSpan w:val="2"/>
          </w:tcPr>
          <w:p>
            <w:pPr>
              <w:ind w:left="40"/>
              <w:spacing w:after="0"/>
              <w:rPr>
                <w:sz w:val="20"/>
                <w:szCs w:val="20"/>
                <w:color w:val="auto"/>
              </w:rPr>
            </w:pPr>
            <w:r>
              <w:rPr>
                <w:rFonts w:ascii="Arial" w:cs="Arial" w:eastAsia="Arial" w:hAnsi="Arial"/>
                <w:sz w:val="18"/>
                <w:szCs w:val="18"/>
                <w:color w:val="auto"/>
              </w:rPr>
              <w:t>May 15, 2018</w:t>
            </w:r>
          </w:p>
        </w:tc>
        <w:tc>
          <w:tcPr>
            <w:tcW w:w="1000" w:type="dxa"/>
            <w:vAlign w:val="bottom"/>
          </w:tcPr>
          <w:p>
            <w:pPr>
              <w:jc w:val="right"/>
              <w:ind w:right="794"/>
              <w:spacing w:after="0"/>
              <w:rPr>
                <w:sz w:val="20"/>
                <w:szCs w:val="20"/>
                <w:color w:val="auto"/>
              </w:rPr>
            </w:pPr>
            <w:r>
              <w:rPr>
                <w:rFonts w:ascii="Arial" w:cs="Arial" w:eastAsia="Arial" w:hAnsi="Arial"/>
                <w:sz w:val="18"/>
                <w:szCs w:val="18"/>
                <w:color w:val="auto"/>
                <w:w w:val="99"/>
              </w:rPr>
              <w:t>$</w:t>
            </w:r>
          </w:p>
        </w:tc>
        <w:tc>
          <w:tcPr>
            <w:tcW w:w="620" w:type="dxa"/>
            <w:vAlign w:val="bottom"/>
          </w:tcPr>
          <w:p>
            <w:pPr>
              <w:jc w:val="right"/>
              <w:ind w:right="34"/>
              <w:spacing w:after="0"/>
              <w:rPr>
                <w:sz w:val="20"/>
                <w:szCs w:val="20"/>
                <w:color w:val="auto"/>
              </w:rPr>
            </w:pPr>
            <w:r>
              <w:rPr>
                <w:rFonts w:ascii="Arial" w:cs="Arial" w:eastAsia="Arial" w:hAnsi="Arial"/>
                <w:sz w:val="18"/>
                <w:szCs w:val="18"/>
                <w:color w:val="auto"/>
              </w:rPr>
              <w:t>133</w:t>
            </w:r>
          </w:p>
        </w:tc>
        <w:tc>
          <w:tcPr>
            <w:tcW w:w="100" w:type="dxa"/>
            <w:vAlign w:val="bottom"/>
          </w:tcPr>
          <w:p>
            <w:pPr>
              <w:spacing w:after="0"/>
              <w:rPr>
                <w:sz w:val="21"/>
                <w:szCs w:val="21"/>
                <w:color w:val="auto"/>
              </w:rPr>
            </w:pPr>
          </w:p>
        </w:tc>
        <w:tc>
          <w:tcPr>
            <w:tcW w:w="1260" w:type="dxa"/>
            <w:vAlign w:val="bottom"/>
          </w:tcPr>
          <w:p>
            <w:pPr>
              <w:jc w:val="right"/>
              <w:ind w:right="1057"/>
              <w:spacing w:after="0"/>
              <w:rPr>
                <w:sz w:val="20"/>
                <w:szCs w:val="20"/>
                <w:color w:val="auto"/>
              </w:rPr>
            </w:pPr>
            <w:r>
              <w:rPr>
                <w:rFonts w:ascii="Arial" w:cs="Arial" w:eastAsia="Arial" w:hAnsi="Arial"/>
                <w:sz w:val="18"/>
                <w:szCs w:val="18"/>
                <w:color w:val="auto"/>
                <w:w w:val="99"/>
              </w:rPr>
              <w:t>$</w:t>
            </w:r>
          </w:p>
        </w:tc>
        <w:tc>
          <w:tcPr>
            <w:tcW w:w="340" w:type="dxa"/>
            <w:vAlign w:val="bottom"/>
          </w:tcPr>
          <w:p>
            <w:pPr>
              <w:jc w:val="right"/>
              <w:ind w:right="30"/>
              <w:spacing w:after="0"/>
              <w:rPr>
                <w:sz w:val="20"/>
                <w:szCs w:val="20"/>
                <w:color w:val="auto"/>
              </w:rPr>
            </w:pPr>
            <w:r>
              <w:rPr>
                <w:rFonts w:ascii="Arial" w:cs="Arial" w:eastAsia="Arial" w:hAnsi="Arial"/>
                <w:sz w:val="18"/>
                <w:szCs w:val="18"/>
                <w:color w:val="auto"/>
                <w:w w:val="99"/>
              </w:rPr>
              <w:t>85</w:t>
            </w:r>
          </w:p>
        </w:tc>
        <w:tc>
          <w:tcPr>
            <w:tcW w:w="760" w:type="dxa"/>
            <w:vAlign w:val="bottom"/>
            <w:gridSpan w:val="2"/>
          </w:tcPr>
          <w:p>
            <w:pPr>
              <w:jc w:val="right"/>
              <w:ind w:right="468"/>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218</w:t>
            </w:r>
          </w:p>
        </w:tc>
        <w:tc>
          <w:tcPr>
            <w:tcW w:w="120" w:type="dxa"/>
            <w:vAlign w:val="bottom"/>
            <w:tcBorders>
              <w:right w:val="single" w:sz="8" w:color="auto"/>
            </w:tcBorders>
          </w:tcPr>
          <w:p>
            <w:pPr>
              <w:spacing w:after="0"/>
              <w:rPr>
                <w:sz w:val="21"/>
                <w:szCs w:val="21"/>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17"/>
              <w:spacing w:after="0"/>
              <w:rPr>
                <w:sz w:val="20"/>
                <w:szCs w:val="20"/>
                <w:color w:val="auto"/>
              </w:rPr>
            </w:pPr>
            <w:r>
              <w:rPr>
                <w:rFonts w:ascii="Arial" w:cs="Arial" w:eastAsia="Arial" w:hAnsi="Arial"/>
                <w:sz w:val="18"/>
                <w:szCs w:val="18"/>
                <w:color w:val="auto"/>
              </w:rPr>
              <w:t>0.30</w:t>
            </w:r>
          </w:p>
        </w:tc>
        <w:tc>
          <w:tcPr>
            <w:tcW w:w="0" w:type="dxa"/>
            <w:vAlign w:val="bottom"/>
          </w:tcPr>
          <w:p>
            <w:pPr>
              <w:spacing w:after="0"/>
              <w:rPr>
                <w:sz w:val="1"/>
                <w:szCs w:val="1"/>
                <w:color w:val="auto"/>
              </w:rPr>
            </w:pPr>
          </w:p>
        </w:tc>
      </w:tr>
      <w:tr>
        <w:trPr>
          <w:trHeight w:val="27"/>
        </w:trPr>
        <w:tc>
          <w:tcPr>
            <w:tcW w:w="4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45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February 14, 2018</w:t>
            </w:r>
          </w:p>
        </w:tc>
        <w:tc>
          <w:tcPr>
            <w:tcW w:w="1000" w:type="dxa"/>
            <w:vAlign w:val="bottom"/>
            <w:shd w:val="clear" w:color="auto" w:fill="CCEEFF"/>
          </w:tcPr>
          <w:p>
            <w:pPr>
              <w:jc w:val="right"/>
              <w:ind w:right="794"/>
              <w:spacing w:after="0"/>
              <w:rPr>
                <w:sz w:val="20"/>
                <w:szCs w:val="20"/>
                <w:color w:val="auto"/>
              </w:rPr>
            </w:pPr>
            <w:r>
              <w:rPr>
                <w:rFonts w:ascii="Arial" w:cs="Arial" w:eastAsia="Arial" w:hAnsi="Arial"/>
                <w:sz w:val="18"/>
                <w:szCs w:val="18"/>
                <w:color w:val="auto"/>
                <w:w w:val="99"/>
              </w:rPr>
              <w:t>$</w:t>
            </w:r>
          </w:p>
        </w:tc>
        <w:tc>
          <w:tcPr>
            <w:tcW w:w="62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133</w:t>
            </w:r>
          </w:p>
        </w:tc>
        <w:tc>
          <w:tcPr>
            <w:tcW w:w="100" w:type="dxa"/>
            <w:vAlign w:val="bottom"/>
            <w:shd w:val="clear" w:color="auto" w:fill="CCEEFF"/>
          </w:tcPr>
          <w:p>
            <w:pPr>
              <w:spacing w:after="0"/>
              <w:rPr>
                <w:sz w:val="21"/>
                <w:szCs w:val="21"/>
                <w:color w:val="auto"/>
              </w:rPr>
            </w:pPr>
          </w:p>
        </w:tc>
        <w:tc>
          <w:tcPr>
            <w:tcW w:w="1260" w:type="dxa"/>
            <w:vAlign w:val="bottom"/>
            <w:shd w:val="clear" w:color="auto" w:fill="CCEEFF"/>
          </w:tcPr>
          <w:p>
            <w:pPr>
              <w:jc w:val="right"/>
              <w:ind w:right="1057"/>
              <w:spacing w:after="0"/>
              <w:rPr>
                <w:sz w:val="20"/>
                <w:szCs w:val="20"/>
                <w:color w:val="auto"/>
              </w:rPr>
            </w:pPr>
            <w:r>
              <w:rPr>
                <w:rFonts w:ascii="Arial" w:cs="Arial" w:eastAsia="Arial" w:hAnsi="Arial"/>
                <w:sz w:val="18"/>
                <w:szCs w:val="18"/>
                <w:color w:val="auto"/>
                <w:w w:val="99"/>
              </w:rPr>
              <w:t>$</w:t>
            </w:r>
          </w:p>
        </w:tc>
        <w:tc>
          <w:tcPr>
            <w:tcW w:w="3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85</w:t>
            </w:r>
          </w:p>
        </w:tc>
        <w:tc>
          <w:tcPr>
            <w:tcW w:w="760" w:type="dxa"/>
            <w:vAlign w:val="bottom"/>
            <w:gridSpan w:val="2"/>
            <w:shd w:val="clear" w:color="auto" w:fill="CCEEFF"/>
          </w:tcPr>
          <w:p>
            <w:pPr>
              <w:jc w:val="right"/>
              <w:ind w:right="468"/>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218</w:t>
            </w:r>
          </w:p>
        </w:tc>
        <w:tc>
          <w:tcPr>
            <w:tcW w:w="120" w:type="dxa"/>
            <w:vAlign w:val="bottom"/>
            <w:tcBorders>
              <w:right w:val="single" w:sz="8" w:color="auto"/>
            </w:tcBorders>
            <w:shd w:val="clear" w:color="auto" w:fill="CCEEFF"/>
          </w:tcPr>
          <w:p>
            <w:pPr>
              <w:spacing w:after="0"/>
              <w:rPr>
                <w:sz w:val="21"/>
                <w:szCs w:val="21"/>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0.30</w:t>
            </w:r>
          </w:p>
        </w:tc>
        <w:tc>
          <w:tcPr>
            <w:tcW w:w="0" w:type="dxa"/>
            <w:vAlign w:val="bottom"/>
          </w:tcPr>
          <w:p>
            <w:pPr>
              <w:spacing w:after="0"/>
              <w:rPr>
                <w:sz w:val="1"/>
                <w:szCs w:val="1"/>
                <w:color w:val="auto"/>
              </w:rPr>
            </w:pPr>
          </w:p>
        </w:tc>
      </w:tr>
      <w:tr>
        <w:trPr>
          <w:trHeight w:val="27"/>
        </w:trPr>
        <w:tc>
          <w:tcPr>
            <w:tcW w:w="44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6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66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120" w:type="dxa"/>
            <w:vAlign w:val="bottom"/>
            <w:tcBorders>
              <w:right w:val="single" w:sz="8" w:color="auto"/>
            </w:tcBorders>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250444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504440" cy="8890"/>
                    </a:xfrm>
                    <a:prstGeom prst="rect">
                      <a:avLst/>
                    </a:prstGeom>
                    <a:noFill/>
                  </pic:spPr>
                </pic:pic>
              </a:graphicData>
            </a:graphic>
          </wp:anchor>
        </w:drawing>
      </w:r>
    </w:p>
    <w:p>
      <w:pPr>
        <w:spacing w:after="0" w:line="233" w:lineRule="exact"/>
        <w:rPr>
          <w:sz w:val="20"/>
          <w:szCs w:val="20"/>
          <w:color w:val="auto"/>
        </w:rPr>
      </w:pPr>
    </w:p>
    <w:p>
      <w:pPr>
        <w:ind w:left="660" w:hanging="652"/>
        <w:spacing w:after="0"/>
        <w:tabs>
          <w:tab w:leader="none" w:pos="660" w:val="left"/>
        </w:tabs>
        <w:numPr>
          <w:ilvl w:val="0"/>
          <w:numId w:val="15"/>
        </w:numPr>
        <w:rPr>
          <w:rFonts w:ascii="Arial" w:cs="Arial" w:eastAsia="Arial" w:hAnsi="Arial"/>
          <w:sz w:val="25"/>
          <w:szCs w:val="25"/>
          <w:color w:val="auto"/>
          <w:vertAlign w:val="superscript"/>
        </w:rPr>
      </w:pPr>
      <w:r>
        <w:rPr>
          <w:rFonts w:ascii="Arial" w:cs="Arial" w:eastAsia="Arial" w:hAnsi="Arial"/>
          <w:sz w:val="18"/>
          <w:szCs w:val="18"/>
          <w:color w:val="auto"/>
        </w:rPr>
        <w:t>Payable to unitholders of record at the close of business on July 31, 2018 for the period from April 1, 2018 through June 30, 2018.</w:t>
      </w:r>
    </w:p>
    <w:p>
      <w:pPr>
        <w:spacing w:after="0" w:line="202" w:lineRule="exact"/>
        <w:rPr>
          <w:sz w:val="20"/>
          <w:szCs w:val="20"/>
          <w:color w:val="auto"/>
        </w:rPr>
      </w:pPr>
    </w:p>
    <w:p>
      <w:pPr>
        <w:ind w:right="420" w:firstLine="648"/>
        <w:spacing w:after="0" w:line="277" w:lineRule="auto"/>
        <w:rPr>
          <w:sz w:val="20"/>
          <w:szCs w:val="20"/>
          <w:color w:val="auto"/>
        </w:rPr>
      </w:pPr>
      <w:r>
        <w:rPr>
          <w:rFonts w:ascii="Arial" w:cs="Arial" w:eastAsia="Arial" w:hAnsi="Arial"/>
          <w:sz w:val="18"/>
          <w:szCs w:val="18"/>
          <w:i w:val="1"/>
          <w:iCs w:val="1"/>
          <w:color w:val="auto"/>
        </w:rPr>
        <w:t xml:space="preserve">AAP Distributions. </w:t>
      </w:r>
      <w:r>
        <w:rPr>
          <w:rFonts w:ascii="Arial" w:cs="Arial" w:eastAsia="Arial" w:hAnsi="Arial"/>
          <w:sz w:val="18"/>
          <w:szCs w:val="18"/>
          <w:color w:val="auto"/>
        </w:rPr>
        <w:t>The following table details the distributions paid to AAP’s partners during or pertaining to the first six months of 2018 from</w:t>
      </w:r>
      <w:r>
        <w:rPr>
          <w:rFonts w:ascii="Arial" w:cs="Arial" w:eastAsia="Arial" w:hAnsi="Arial"/>
          <w:sz w:val="18"/>
          <w:szCs w:val="18"/>
          <w:i w:val="1"/>
          <w:iCs w:val="1"/>
          <w:color w:val="auto"/>
        </w:rPr>
        <w:t xml:space="preserve"> </w:t>
      </w:r>
      <w:r>
        <w:rPr>
          <w:rFonts w:ascii="Arial" w:cs="Arial" w:eastAsia="Arial" w:hAnsi="Arial"/>
          <w:sz w:val="18"/>
          <w:szCs w:val="18"/>
          <w:color w:val="auto"/>
        </w:rPr>
        <w:t>distributions received from PAA (in millions):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5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4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b w:val="1"/>
                <w:bCs w:val="1"/>
                <w:color w:val="auto"/>
                <w:w w:val="99"/>
              </w:rPr>
              <w:t>Distribution to AAP's Partners</w:t>
            </w:r>
          </w:p>
        </w:tc>
        <w:tc>
          <w:tcPr>
            <w:tcW w:w="18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tcPr>
          <w:p>
            <w:pPr>
              <w:spacing w:after="0"/>
              <w:rPr>
                <w:sz w:val="16"/>
                <w:szCs w:val="16"/>
                <w:color w:val="auto"/>
              </w:rPr>
            </w:pPr>
          </w:p>
        </w:tc>
      </w:tr>
      <w:tr>
        <w:trPr>
          <w:trHeight w:val="264"/>
        </w:trPr>
        <w:tc>
          <w:tcPr>
            <w:tcW w:w="20" w:type="dxa"/>
            <w:vAlign w:val="bottom"/>
          </w:tcPr>
          <w:p>
            <w:pPr>
              <w:spacing w:after="0"/>
              <w:rPr>
                <w:sz w:val="22"/>
                <w:szCs w:val="22"/>
                <w:color w:val="auto"/>
              </w:rPr>
            </w:pPr>
          </w:p>
        </w:tc>
        <w:tc>
          <w:tcPr>
            <w:tcW w:w="52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Distribution Payment Date</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780" w:type="dxa"/>
            <w:vAlign w:val="bottom"/>
            <w:tcBorders>
              <w:bottom w:val="single" w:sz="8" w:color="auto"/>
            </w:tcBorders>
          </w:tcPr>
          <w:p>
            <w:pPr>
              <w:jc w:val="right"/>
              <w:ind w:right="154"/>
              <w:spacing w:after="0"/>
              <w:rPr>
                <w:sz w:val="20"/>
                <w:szCs w:val="20"/>
                <w:color w:val="auto"/>
              </w:rPr>
            </w:pPr>
            <w:r>
              <w:rPr>
                <w:rFonts w:ascii="Arial" w:cs="Arial" w:eastAsia="Arial" w:hAnsi="Arial"/>
                <w:sz w:val="14"/>
                <w:szCs w:val="14"/>
                <w:b w:val="1"/>
                <w:bCs w:val="1"/>
                <w:color w:val="auto"/>
                <w:w w:val="93"/>
              </w:rPr>
              <w:t>Noncontrolling Interests</w:t>
            </w:r>
          </w:p>
        </w:tc>
        <w:tc>
          <w:tcPr>
            <w:tcW w:w="100" w:type="dxa"/>
            <w:vAlign w:val="bottom"/>
            <w:tcBorders>
              <w:bottom w:val="single" w:sz="8" w:color="CCEEFF"/>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tcPr>
          <w:p>
            <w:pPr>
              <w:jc w:val="right"/>
              <w:ind w:right="694"/>
              <w:spacing w:after="0"/>
              <w:rPr>
                <w:sz w:val="20"/>
                <w:szCs w:val="20"/>
                <w:color w:val="auto"/>
              </w:rPr>
            </w:pPr>
            <w:r>
              <w:rPr>
                <w:rFonts w:ascii="Arial" w:cs="Arial" w:eastAsia="Arial" w:hAnsi="Arial"/>
                <w:sz w:val="14"/>
                <w:szCs w:val="14"/>
                <w:b w:val="1"/>
                <w:bCs w:val="1"/>
                <w:color w:val="auto"/>
              </w:rPr>
              <w:t>PAGP</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760" w:type="dxa"/>
            <w:vAlign w:val="bottom"/>
            <w:tcBorders>
              <w:bottom w:val="single" w:sz="8" w:color="auto"/>
            </w:tcBorders>
          </w:tcPr>
          <w:p>
            <w:pPr>
              <w:jc w:val="right"/>
              <w:ind w:right="134"/>
              <w:spacing w:after="0"/>
              <w:rPr>
                <w:sz w:val="20"/>
                <w:szCs w:val="20"/>
                <w:color w:val="auto"/>
              </w:rPr>
            </w:pPr>
            <w:r>
              <w:rPr>
                <w:rFonts w:ascii="Arial" w:cs="Arial" w:eastAsia="Arial" w:hAnsi="Arial"/>
                <w:sz w:val="14"/>
                <w:szCs w:val="14"/>
                <w:b w:val="1"/>
                <w:bCs w:val="1"/>
                <w:color w:val="auto"/>
                <w:w w:val="93"/>
              </w:rPr>
              <w:t>Total Cash Distributions</w:t>
            </w:r>
          </w:p>
        </w:tc>
      </w:tr>
      <w:tr>
        <w:trPr>
          <w:trHeight w:val="270"/>
        </w:trPr>
        <w:tc>
          <w:tcPr>
            <w:tcW w:w="20" w:type="dxa"/>
            <w:vAlign w:val="bottom"/>
          </w:tcPr>
          <w:p>
            <w:pPr>
              <w:spacing w:after="0"/>
              <w:rPr>
                <w:sz w:val="23"/>
                <w:szCs w:val="23"/>
                <w:color w:val="auto"/>
              </w:rPr>
            </w:pPr>
          </w:p>
        </w:tc>
        <w:tc>
          <w:tcPr>
            <w:tcW w:w="5360" w:type="dxa"/>
            <w:vAlign w:val="bottom"/>
            <w:gridSpan w:val="2"/>
            <w:shd w:val="clear" w:color="auto" w:fill="CCEEFF"/>
          </w:tcPr>
          <w:p>
            <w:pPr>
              <w:ind w:left="20"/>
              <w:spacing w:after="0" w:line="270" w:lineRule="exact"/>
              <w:rPr>
                <w:sz w:val="20"/>
                <w:szCs w:val="20"/>
                <w:color w:val="auto"/>
              </w:rPr>
            </w:pPr>
            <w:r>
              <w:rPr>
                <w:rFonts w:ascii="Arial" w:cs="Arial" w:eastAsia="Arial" w:hAnsi="Arial"/>
                <w:sz w:val="18"/>
                <w:szCs w:val="18"/>
                <w:color w:val="auto"/>
              </w:rPr>
              <w:t xml:space="preserve">August 14, 2018 </w:t>
            </w:r>
            <w:r>
              <w:rPr>
                <w:rFonts w:ascii="Arial" w:cs="Arial" w:eastAsia="Arial" w:hAnsi="Arial"/>
                <w:sz w:val="25"/>
                <w:szCs w:val="25"/>
                <w:color w:val="auto"/>
                <w:vertAlign w:val="superscript"/>
              </w:rPr>
              <w:t>(1)</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37</w:t>
            </w:r>
          </w:p>
        </w:tc>
        <w:tc>
          <w:tcPr>
            <w:tcW w:w="100" w:type="dxa"/>
            <w:vAlign w:val="bottom"/>
            <w:shd w:val="clear" w:color="auto" w:fill="CCEEFF"/>
          </w:tcPr>
          <w:p>
            <w:pPr>
              <w:spacing w:after="0"/>
              <w:rPr>
                <w:sz w:val="23"/>
                <w:szCs w:val="23"/>
                <w:color w:val="auto"/>
              </w:rPr>
            </w:pPr>
          </w:p>
        </w:tc>
        <w:tc>
          <w:tcPr>
            <w:tcW w:w="460" w:type="dxa"/>
            <w:vAlign w:val="bottom"/>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48</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85</w:t>
            </w:r>
          </w:p>
        </w:tc>
      </w:tr>
      <w:tr>
        <w:trPr>
          <w:trHeight w:val="243"/>
        </w:trPr>
        <w:tc>
          <w:tcPr>
            <w:tcW w:w="20" w:type="dxa"/>
            <w:vAlign w:val="bottom"/>
          </w:tcPr>
          <w:p>
            <w:pPr>
              <w:spacing w:after="0"/>
              <w:rPr>
                <w:sz w:val="21"/>
                <w:szCs w:val="21"/>
                <w:color w:val="auto"/>
              </w:rPr>
            </w:pPr>
          </w:p>
        </w:tc>
        <w:tc>
          <w:tcPr>
            <w:tcW w:w="5360" w:type="dxa"/>
            <w:vAlign w:val="bottom"/>
            <w:gridSpan w:val="2"/>
          </w:tcPr>
          <w:p>
            <w:pPr>
              <w:ind w:left="20"/>
              <w:spacing w:after="0"/>
              <w:rPr>
                <w:sz w:val="20"/>
                <w:szCs w:val="20"/>
                <w:color w:val="auto"/>
              </w:rPr>
            </w:pPr>
            <w:r>
              <w:rPr>
                <w:rFonts w:ascii="Arial" w:cs="Arial" w:eastAsia="Arial" w:hAnsi="Arial"/>
                <w:sz w:val="18"/>
                <w:szCs w:val="18"/>
                <w:color w:val="auto"/>
              </w:rPr>
              <w:t>May 15, 2018</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780" w:type="dxa"/>
            <w:vAlign w:val="bottom"/>
          </w:tcPr>
          <w:p>
            <w:pPr>
              <w:jc w:val="right"/>
              <w:ind w:right="14"/>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21"/>
                <w:szCs w:val="21"/>
                <w:color w:val="auto"/>
              </w:rPr>
            </w:pPr>
          </w:p>
        </w:tc>
        <w:tc>
          <w:tcPr>
            <w:tcW w:w="460" w:type="dxa"/>
            <w:vAlign w:val="bottom"/>
          </w:tcPr>
          <w:p>
            <w:pPr>
              <w:ind w:left="40"/>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14"/>
              <w:spacing w:after="0"/>
              <w:rPr>
                <w:sz w:val="20"/>
                <w:szCs w:val="20"/>
                <w:color w:val="auto"/>
              </w:rPr>
            </w:pPr>
            <w:r>
              <w:rPr>
                <w:rFonts w:ascii="Arial" w:cs="Arial" w:eastAsia="Arial" w:hAnsi="Arial"/>
                <w:sz w:val="18"/>
                <w:szCs w:val="18"/>
                <w:color w:val="auto"/>
              </w:rPr>
              <w:t>47</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760" w:type="dxa"/>
            <w:vAlign w:val="bottom"/>
          </w:tcPr>
          <w:p>
            <w:pPr>
              <w:jc w:val="right"/>
              <w:ind w:right="14"/>
              <w:spacing w:after="0"/>
              <w:rPr>
                <w:sz w:val="20"/>
                <w:szCs w:val="20"/>
                <w:color w:val="auto"/>
              </w:rPr>
            </w:pPr>
            <w:r>
              <w:rPr>
                <w:rFonts w:ascii="Arial" w:cs="Arial" w:eastAsia="Arial" w:hAnsi="Arial"/>
                <w:sz w:val="18"/>
                <w:szCs w:val="18"/>
                <w:color w:val="auto"/>
              </w:rPr>
              <w:t>85</w:t>
            </w:r>
          </w:p>
        </w:tc>
      </w:tr>
      <w:tr>
        <w:trPr>
          <w:trHeight w:val="27"/>
        </w:trPr>
        <w:tc>
          <w:tcPr>
            <w:tcW w:w="20" w:type="dxa"/>
            <w:vAlign w:val="bottom"/>
          </w:tcPr>
          <w:p>
            <w:pPr>
              <w:spacing w:after="0"/>
              <w:rPr>
                <w:sz w:val="2"/>
                <w:szCs w:val="2"/>
                <w:color w:val="auto"/>
              </w:rPr>
            </w:pPr>
          </w:p>
        </w:tc>
        <w:tc>
          <w:tcPr>
            <w:tcW w:w="5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53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February 14, 2018</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38</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85</w:t>
            </w:r>
          </w:p>
        </w:tc>
      </w:tr>
      <w:tr>
        <w:trPr>
          <w:trHeight w:val="230"/>
        </w:trPr>
        <w:tc>
          <w:tcPr>
            <w:tcW w:w="20" w:type="dxa"/>
            <w:vAlign w:val="bottom"/>
          </w:tcPr>
          <w:p>
            <w:pPr>
              <w:spacing w:after="0"/>
              <w:rPr>
                <w:sz w:val="20"/>
                <w:szCs w:val="20"/>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___________________________________________</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60" w:type="dxa"/>
            <w:vAlign w:val="bottom"/>
          </w:tcPr>
          <w:p>
            <w:pPr>
              <w:spacing w:after="0"/>
              <w:rPr>
                <w:sz w:val="20"/>
                <w:szCs w:val="20"/>
                <w:color w:val="auto"/>
              </w:rPr>
            </w:pPr>
          </w:p>
        </w:tc>
      </w:tr>
    </w:tbl>
    <w:p>
      <w:pPr>
        <w:ind w:left="660" w:hanging="652"/>
        <w:spacing w:after="0" w:line="213" w:lineRule="auto"/>
        <w:tabs>
          <w:tab w:leader="none" w:pos="660" w:val="left"/>
        </w:tabs>
        <w:numPr>
          <w:ilvl w:val="0"/>
          <w:numId w:val="16"/>
        </w:numPr>
        <w:rPr>
          <w:rFonts w:ascii="Arial" w:cs="Arial" w:eastAsia="Arial" w:hAnsi="Arial"/>
          <w:sz w:val="25"/>
          <w:szCs w:val="25"/>
          <w:color w:val="auto"/>
          <w:vertAlign w:val="superscript"/>
        </w:rPr>
      </w:pPr>
      <w:r>
        <w:rPr>
          <w:rFonts w:ascii="Arial" w:cs="Arial" w:eastAsia="Arial" w:hAnsi="Arial"/>
          <w:sz w:val="18"/>
          <w:szCs w:val="18"/>
          <w:color w:val="auto"/>
        </w:rPr>
        <w:t>Payable to unitholders of record at the close of business on July 31, 2018 for the period from April 1, 2018 through June 30, 2018.</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11—Derivatives and Risk Management Activities</w:t>
      </w:r>
    </w:p>
    <w:p>
      <w:pPr>
        <w:spacing w:after="0" w:line="229" w:lineRule="exact"/>
        <w:rPr>
          <w:sz w:val="20"/>
          <w:szCs w:val="20"/>
          <w:color w:val="auto"/>
        </w:rPr>
      </w:pPr>
    </w:p>
    <w:p>
      <w:pPr>
        <w:ind w:right="20" w:firstLine="648"/>
        <w:spacing w:after="0" w:line="287" w:lineRule="auto"/>
        <w:rPr>
          <w:sz w:val="20"/>
          <w:szCs w:val="20"/>
          <w:color w:val="auto"/>
        </w:rPr>
      </w:pPr>
      <w:r>
        <w:rPr>
          <w:rFonts w:ascii="Arial" w:cs="Arial" w:eastAsia="Arial" w:hAnsi="Arial"/>
          <w:sz w:val="16"/>
          <w:szCs w:val="16"/>
          <w:color w:val="auto"/>
        </w:rPr>
        <w:t>We identify the risks that underlie our core business activities and use risk management strategies to mitigate those risks when we determine that there is value in doing so. Our policy is to use derivative instruments for risk management purposes and not for the purpose of speculating on hydrocarbon commodity (referred to herein as “commodity”) price changes. We use various derivative instruments to manage our exposure to (i) commodity price risk, as well as to optimize our profits, (ii) interest rate risk and (iii) currency exchange rate risk. Our commodity price risk management policies and procedures are designed to help ensure that our hedging activities address our risks by monitoring our derivative positions, as well as physical volumes, grades, locations, delivery schedules and storage capacity. Our interest rate and currency exchange rate risk management policies and procedures are designed to monitor our derivative positions and ensure that those positions are consistent with our objectives and approved strategies. When we apply hedge accounting, our policy is to formally document all relationships between hedging instruments and hedged items, as well as our risk management objectives for undertaking the hedge. This process includes specific identification of the hedging instrument and the hedged transaction, the nature of the risk being hedged and how the hedging instrument’s effectiveness will be assessed. Both at the inception of the hedge and throughout the hedging relationship, we assess whether the derivatives employed are highly effective in offsetting changes in cash flows of anticipated hedged transactions.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Commodity Price Risk Hedging</w:t>
      </w:r>
    </w:p>
    <w:p>
      <w:pPr>
        <w:spacing w:after="0" w:line="225" w:lineRule="exact"/>
        <w:rPr>
          <w:sz w:val="20"/>
          <w:szCs w:val="20"/>
          <w:color w:val="auto"/>
        </w:rPr>
      </w:pPr>
    </w:p>
    <w:p>
      <w:pPr>
        <w:ind w:right="220" w:firstLine="648"/>
        <w:spacing w:after="0" w:line="302" w:lineRule="auto"/>
        <w:rPr>
          <w:sz w:val="20"/>
          <w:szCs w:val="20"/>
          <w:color w:val="auto"/>
        </w:rPr>
      </w:pPr>
      <w:r>
        <w:rPr>
          <w:rFonts w:ascii="Arial" w:cs="Arial" w:eastAsia="Arial" w:hAnsi="Arial"/>
          <w:sz w:val="16"/>
          <w:szCs w:val="16"/>
          <w:color w:val="auto"/>
        </w:rPr>
        <w:t>Our core business activities involve certain commodity price-related risks that we manage in various ways, including through the use of derivative instruments. Our policy is to (i) only purchase inventory for which we have a market, (ii) structure our sales contracts so that price fluctuations do not materially affect our operating income and (iii) not acquire and hold physical inventory or derivatives for the purpose of speculating on commodity price changes. The material commodity-related risks inherent in our business activities can be divided into the following general categories:</w:t>
      </w:r>
    </w:p>
    <w:p>
      <w:pPr>
        <w:spacing w:after="0" w:line="154" w:lineRule="exact"/>
        <w:rPr>
          <w:sz w:val="20"/>
          <w:szCs w:val="20"/>
          <w:color w:val="auto"/>
        </w:rPr>
      </w:pPr>
    </w:p>
    <w:p>
      <w:pPr>
        <w:ind w:right="320" w:firstLine="648"/>
        <w:spacing w:after="0" w:line="308" w:lineRule="auto"/>
        <w:rPr>
          <w:sz w:val="20"/>
          <w:szCs w:val="20"/>
          <w:color w:val="auto"/>
        </w:rPr>
      </w:pPr>
      <w:r>
        <w:rPr>
          <w:rFonts w:ascii="Arial" w:cs="Arial" w:eastAsia="Arial" w:hAnsi="Arial"/>
          <w:sz w:val="17"/>
          <w:szCs w:val="17"/>
          <w:i w:val="1"/>
          <w:iCs w:val="1"/>
          <w:color w:val="auto"/>
        </w:rPr>
        <w:t xml:space="preserve">Commodity Purchases and Sales </w:t>
      </w:r>
      <w:r>
        <w:rPr>
          <w:rFonts w:ascii="Arial" w:cs="Arial" w:eastAsia="Arial" w:hAnsi="Arial"/>
          <w:sz w:val="17"/>
          <w:szCs w:val="17"/>
          <w:color w:val="auto"/>
        </w:rPr>
        <w:t>— In the normal course of our operations, we purchase and sell commodities. We use derivatives to manage the</w:t>
      </w:r>
      <w:r>
        <w:rPr>
          <w:rFonts w:ascii="Arial" w:cs="Arial" w:eastAsia="Arial" w:hAnsi="Arial"/>
          <w:sz w:val="17"/>
          <w:szCs w:val="17"/>
          <w:i w:val="1"/>
          <w:iCs w:val="1"/>
          <w:color w:val="auto"/>
        </w:rPr>
        <w:t xml:space="preserve"> </w:t>
      </w:r>
      <w:r>
        <w:rPr>
          <w:rFonts w:ascii="Arial" w:cs="Arial" w:eastAsia="Arial" w:hAnsi="Arial"/>
          <w:sz w:val="17"/>
          <w:szCs w:val="17"/>
          <w:color w:val="auto"/>
        </w:rPr>
        <w:t>associated risks and to optimize profits. As of June 30, 2018, net derivative positions related to these activities included:</w:t>
      </w:r>
    </w:p>
    <w:p>
      <w:pPr>
        <w:spacing w:after="0" w:line="147" w:lineRule="exact"/>
        <w:rPr>
          <w:sz w:val="20"/>
          <w:szCs w:val="20"/>
          <w:color w:val="auto"/>
        </w:rPr>
      </w:pPr>
    </w:p>
    <w:p>
      <w:pPr>
        <w:ind w:left="980" w:right="580" w:hanging="324"/>
        <w:spacing w:after="0" w:line="277" w:lineRule="auto"/>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 net long position of 4.0 million barrels associated with our crude oil purchases, which was unwound ratably during July 2018 to match monthly average pricing.</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125" w:right="23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ind w:left="980" w:right="320" w:hanging="324"/>
        <w:spacing w:after="0" w:line="277" w:lineRule="auto"/>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 net short time spread position of 8.8 million barrels, which hedges a portion of our anticipated crude oil lease gathering purchases through December 2019.</w:t>
      </w:r>
    </w:p>
    <w:p>
      <w:pPr>
        <w:spacing w:after="0" w:line="116" w:lineRule="exact"/>
        <w:rPr>
          <w:rFonts w:ascii="Arial" w:cs="Arial" w:eastAsia="Arial" w:hAnsi="Arial"/>
          <w:sz w:val="18"/>
          <w:szCs w:val="18"/>
          <w:color w:val="auto"/>
        </w:rPr>
      </w:pPr>
    </w:p>
    <w:p>
      <w:pPr>
        <w:ind w:left="980" w:hanging="324"/>
        <w:spacing w:after="0"/>
        <w:tabs>
          <w:tab w:leader="none" w:pos="980" w:val="left"/>
        </w:tabs>
        <w:numPr>
          <w:ilvl w:val="0"/>
          <w:numId w:val="18"/>
        </w:numPr>
        <w:rPr>
          <w:rFonts w:ascii="Arial" w:cs="Arial" w:eastAsia="Arial" w:hAnsi="Arial"/>
          <w:sz w:val="16"/>
          <w:szCs w:val="16"/>
          <w:color w:val="auto"/>
        </w:rPr>
      </w:pPr>
      <w:r>
        <w:rPr>
          <w:rFonts w:ascii="Arial" w:cs="Arial" w:eastAsia="Arial" w:hAnsi="Arial"/>
          <w:sz w:val="16"/>
          <w:szCs w:val="16"/>
          <w:color w:val="auto"/>
        </w:rPr>
        <w:t>A crude oil grade basis position of 55.4 million barrels through December 2020. These derivatives allow us to lock in grade basis differentials.</w:t>
      </w:r>
    </w:p>
    <w:p>
      <w:pPr>
        <w:spacing w:after="0" w:line="194" w:lineRule="exact"/>
        <w:rPr>
          <w:rFonts w:ascii="Arial" w:cs="Arial" w:eastAsia="Arial" w:hAnsi="Arial"/>
          <w:sz w:val="16"/>
          <w:szCs w:val="16"/>
          <w:color w:val="auto"/>
        </w:rPr>
      </w:pPr>
    </w:p>
    <w:p>
      <w:pPr>
        <w:ind w:left="980" w:hanging="324"/>
        <w:spacing w:after="0"/>
        <w:tabs>
          <w:tab w:leader="none" w:pos="980" w:val="left"/>
        </w:tabs>
        <w:numPr>
          <w:ilvl w:val="0"/>
          <w:numId w:val="18"/>
        </w:numPr>
        <w:rPr>
          <w:rFonts w:ascii="Arial" w:cs="Arial" w:eastAsia="Arial" w:hAnsi="Arial"/>
          <w:sz w:val="17"/>
          <w:szCs w:val="17"/>
          <w:color w:val="auto"/>
        </w:rPr>
      </w:pPr>
      <w:r>
        <w:rPr>
          <w:rFonts w:ascii="Arial" w:cs="Arial" w:eastAsia="Arial" w:hAnsi="Arial"/>
          <w:sz w:val="17"/>
          <w:szCs w:val="17"/>
          <w:color w:val="auto"/>
        </w:rPr>
        <w:t>A net short position of 11.0 million barrels through December 2020 related to anticipated net sales of our crude oil and NGL inventory.</w:t>
      </w:r>
    </w:p>
    <w:p>
      <w:pPr>
        <w:spacing w:after="0" w:line="237" w:lineRule="exact"/>
        <w:rPr>
          <w:sz w:val="20"/>
          <w:szCs w:val="20"/>
          <w:color w:val="auto"/>
        </w:rPr>
      </w:pPr>
    </w:p>
    <w:p>
      <w:pPr>
        <w:ind w:right="300" w:firstLine="648"/>
        <w:spacing w:after="0" w:line="259" w:lineRule="auto"/>
        <w:rPr>
          <w:sz w:val="20"/>
          <w:szCs w:val="20"/>
          <w:color w:val="auto"/>
        </w:rPr>
      </w:pPr>
      <w:r>
        <w:rPr>
          <w:rFonts w:ascii="Arial" w:cs="Arial" w:eastAsia="Arial" w:hAnsi="Arial"/>
          <w:sz w:val="18"/>
          <w:szCs w:val="18"/>
          <w:i w:val="1"/>
          <w:iCs w:val="1"/>
          <w:color w:val="auto"/>
        </w:rPr>
        <w:t xml:space="preserve">Pipeline Loss Allowance Oil </w:t>
      </w:r>
      <w:r>
        <w:rPr>
          <w:rFonts w:ascii="Arial" w:cs="Arial" w:eastAsia="Arial" w:hAnsi="Arial"/>
          <w:sz w:val="18"/>
          <w:szCs w:val="18"/>
          <w:color w:val="auto"/>
        </w:rPr>
        <w:t>— As is common in the pipeline transportation industry, our tariffs incorporate a loss allowance factor. We utilize</w:t>
      </w:r>
      <w:r>
        <w:rPr>
          <w:rFonts w:ascii="Arial" w:cs="Arial" w:eastAsia="Arial" w:hAnsi="Arial"/>
          <w:sz w:val="18"/>
          <w:szCs w:val="18"/>
          <w:i w:val="1"/>
          <w:iCs w:val="1"/>
          <w:color w:val="auto"/>
        </w:rPr>
        <w:t xml:space="preserve"> </w:t>
      </w:r>
      <w:r>
        <w:rPr>
          <w:rFonts w:ascii="Arial" w:cs="Arial" w:eastAsia="Arial" w:hAnsi="Arial"/>
          <w:sz w:val="18"/>
          <w:szCs w:val="18"/>
          <w:color w:val="auto"/>
        </w:rPr>
        <w:t>derivative instruments to hedge a portion of the anticipated sales of the loss allowance oil that is to be collected under our tariffs. As of June 30, 2018, our PLA hedges included a short position consisting of crude oil futures of 1.0 million barrels through June 2019 and a long call option position of 1.0 million barrels through December 2019.</w:t>
      </w:r>
    </w:p>
    <w:p>
      <w:pPr>
        <w:spacing w:after="0" w:line="187" w:lineRule="exact"/>
        <w:rPr>
          <w:sz w:val="20"/>
          <w:szCs w:val="20"/>
          <w:color w:val="auto"/>
        </w:rPr>
      </w:pPr>
    </w:p>
    <w:p>
      <w:pPr>
        <w:ind w:right="160" w:firstLine="648"/>
        <w:spacing w:after="0" w:line="291" w:lineRule="auto"/>
        <w:rPr>
          <w:sz w:val="20"/>
          <w:szCs w:val="20"/>
          <w:color w:val="auto"/>
        </w:rPr>
      </w:pPr>
      <w:r>
        <w:rPr>
          <w:rFonts w:ascii="Arial" w:cs="Arial" w:eastAsia="Arial" w:hAnsi="Arial"/>
          <w:sz w:val="16"/>
          <w:szCs w:val="16"/>
          <w:i w:val="1"/>
          <w:iCs w:val="1"/>
          <w:color w:val="auto"/>
        </w:rPr>
        <w:t xml:space="preserve">Natural Gas Processing/NGL Fractionation </w:t>
      </w:r>
      <w:r>
        <w:rPr>
          <w:rFonts w:ascii="Arial" w:cs="Arial" w:eastAsia="Arial" w:hAnsi="Arial"/>
          <w:sz w:val="16"/>
          <w:szCs w:val="16"/>
          <w:color w:val="auto"/>
        </w:rPr>
        <w:t>— We purchase natural gas for processing and operational needs. Additionally, we purchase NGL mix</w:t>
      </w:r>
      <w:r>
        <w:rPr>
          <w:rFonts w:ascii="Arial" w:cs="Arial" w:eastAsia="Arial" w:hAnsi="Arial"/>
          <w:sz w:val="16"/>
          <w:szCs w:val="16"/>
          <w:i w:val="1"/>
          <w:iCs w:val="1"/>
          <w:color w:val="auto"/>
        </w:rPr>
        <w:t xml:space="preserve"> </w:t>
      </w:r>
      <w:r>
        <w:rPr>
          <w:rFonts w:ascii="Arial" w:cs="Arial" w:eastAsia="Arial" w:hAnsi="Arial"/>
          <w:sz w:val="16"/>
          <w:szCs w:val="16"/>
          <w:color w:val="auto"/>
        </w:rPr>
        <w:t>for fractionation and sell the resulting individual specification products (including ethane, propane, butane and condensate). In conjunction with these activities, we hedge the price risk associated with the purchase of the natural gas and the subsequent sale of the individual specification products. As of June 30, 2018, we had a long natural gas position of 62.1 Bcf which hedges a portion of our natural gas processing and operational needs through December 2020. We also had a short propane position of 12.9 million barrels through December 2020, a short butane position of 3.9 million barrels through December 2020 and a short WTI position of 2.4 million barrels through December 2020. In addition, we had a long power position of 0.2 million megawatt hours, which hedges a portion of our power supply requirements at our Canadian natural gas processing and fractionation plants through December 2019.</w:t>
      </w:r>
    </w:p>
    <w:p>
      <w:pPr>
        <w:spacing w:after="0" w:line="167" w:lineRule="exact"/>
        <w:rPr>
          <w:sz w:val="20"/>
          <w:szCs w:val="20"/>
          <w:color w:val="auto"/>
        </w:rPr>
      </w:pPr>
    </w:p>
    <w:p>
      <w:pPr>
        <w:jc w:val="both"/>
        <w:ind w:right="40" w:firstLine="648"/>
        <w:spacing w:after="0" w:line="264" w:lineRule="auto"/>
        <w:rPr>
          <w:sz w:val="20"/>
          <w:szCs w:val="20"/>
          <w:color w:val="auto"/>
        </w:rPr>
      </w:pPr>
      <w:r>
        <w:rPr>
          <w:rFonts w:ascii="Arial" w:cs="Arial" w:eastAsia="Arial" w:hAnsi="Arial"/>
          <w:sz w:val="18"/>
          <w:szCs w:val="18"/>
          <w:color w:val="auto"/>
        </w:rPr>
        <w:t>Physical commodity contracts that meet the definition of a derivative but are ineligible, or not designated, for the normal purchases and normal sales scope exception are recorded on the balance sheet at fair value, with changes in fair value recognized in earnings. We have determined that substantially all of our physical commodity contracts qualify for the normal purchases and normal sales scope exception.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Risk Hedging</w:t>
      </w:r>
    </w:p>
    <w:p>
      <w:pPr>
        <w:spacing w:after="0" w:line="225" w:lineRule="exact"/>
        <w:rPr>
          <w:sz w:val="20"/>
          <w:szCs w:val="20"/>
          <w:color w:val="auto"/>
        </w:rPr>
      </w:pPr>
    </w:p>
    <w:p>
      <w:pPr>
        <w:jc w:val="both"/>
        <w:ind w:right="140" w:firstLine="648"/>
        <w:spacing w:after="0" w:line="259" w:lineRule="auto"/>
        <w:rPr>
          <w:sz w:val="20"/>
          <w:szCs w:val="20"/>
          <w:color w:val="auto"/>
        </w:rPr>
      </w:pPr>
      <w:r>
        <w:rPr>
          <w:rFonts w:ascii="Arial" w:cs="Arial" w:eastAsia="Arial" w:hAnsi="Arial"/>
          <w:sz w:val="18"/>
          <w:szCs w:val="18"/>
          <w:color w:val="auto"/>
        </w:rPr>
        <w:t>We use interest rate derivatives to hedge the benchmark interest rate associated with interest payments occurring as a result of debt issuances. The derivative instruments we use to manage this risk consist of forward starting interest rate swaps and treasury locks. These derivatives are designated as cash flow hedges. As such, changes in fair value are deferred in AOCI and are reclassified to interest expense as we incur the interest expense associated with the underlying debt.</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following table summarizes the terms of our outstanding interest rate derivatives as of June 30, 2018 (notional amounts in millions):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8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Hedged Transaction</w:t>
            </w:r>
          </w:p>
        </w:tc>
        <w:tc>
          <w:tcPr>
            <w:tcW w:w="120" w:type="dxa"/>
            <w:vAlign w:val="bottom"/>
            <w:vMerge w:val="restart"/>
          </w:tcPr>
          <w:p>
            <w:pPr>
              <w:spacing w:after="0"/>
              <w:rPr>
                <w:sz w:val="14"/>
                <w:szCs w:val="14"/>
                <w:color w:val="auto"/>
              </w:rPr>
            </w:pPr>
          </w:p>
        </w:tc>
        <w:tc>
          <w:tcPr>
            <w:tcW w:w="26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Number and Types of</w:t>
            </w:r>
          </w:p>
        </w:tc>
        <w:tc>
          <w:tcPr>
            <w:tcW w:w="180" w:type="dxa"/>
            <w:vAlign w:val="bottom"/>
          </w:tcPr>
          <w:p>
            <w:pPr>
              <w:spacing w:after="0"/>
              <w:rPr>
                <w:sz w:val="14"/>
                <w:szCs w:val="14"/>
                <w:color w:val="auto"/>
              </w:rPr>
            </w:pPr>
          </w:p>
        </w:tc>
        <w:tc>
          <w:tcPr>
            <w:tcW w:w="960" w:type="dxa"/>
            <w:vAlign w:val="bottom"/>
            <w:gridSpan w:val="2"/>
          </w:tcPr>
          <w:p>
            <w:pPr>
              <w:ind w:left="60"/>
              <w:spacing w:after="0"/>
              <w:rPr>
                <w:sz w:val="20"/>
                <w:szCs w:val="20"/>
                <w:color w:val="auto"/>
              </w:rPr>
            </w:pPr>
            <w:r>
              <w:rPr>
                <w:rFonts w:ascii="Arial" w:cs="Arial" w:eastAsia="Arial" w:hAnsi="Arial"/>
                <w:sz w:val="14"/>
                <w:szCs w:val="14"/>
                <w:b w:val="1"/>
                <w:bCs w:val="1"/>
                <w:color w:val="auto"/>
              </w:rPr>
              <w:t>Notional</w:t>
            </w:r>
          </w:p>
        </w:tc>
        <w:tc>
          <w:tcPr>
            <w:tcW w:w="15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3"/>
              </w:rPr>
              <w:t>Expected</w:t>
            </w:r>
          </w:p>
        </w:tc>
        <w:tc>
          <w:tcPr>
            <w:tcW w:w="1320" w:type="dxa"/>
            <w:vAlign w:val="bottom"/>
            <w:gridSpan w:val="2"/>
          </w:tcPr>
          <w:p>
            <w:pPr>
              <w:ind w:left="180"/>
              <w:spacing w:after="0"/>
              <w:rPr>
                <w:sz w:val="20"/>
                <w:szCs w:val="20"/>
                <w:color w:val="auto"/>
              </w:rPr>
            </w:pPr>
            <w:r>
              <w:rPr>
                <w:rFonts w:ascii="Arial" w:cs="Arial" w:eastAsia="Arial" w:hAnsi="Arial"/>
                <w:sz w:val="14"/>
                <w:szCs w:val="14"/>
                <w:b w:val="1"/>
                <w:bCs w:val="1"/>
                <w:color w:val="auto"/>
              </w:rPr>
              <w:t>Average Rate</w:t>
            </w:r>
          </w:p>
        </w:tc>
        <w:tc>
          <w:tcPr>
            <w:tcW w:w="1820" w:type="dxa"/>
            <w:vAlign w:val="bottom"/>
          </w:tcPr>
          <w:p>
            <w:pPr>
              <w:jc w:val="center"/>
              <w:spacing w:after="0"/>
              <w:rPr>
                <w:sz w:val="20"/>
                <w:szCs w:val="20"/>
                <w:color w:val="auto"/>
              </w:rPr>
            </w:pPr>
            <w:r>
              <w:rPr>
                <w:rFonts w:ascii="Arial" w:cs="Arial" w:eastAsia="Arial" w:hAnsi="Arial"/>
                <w:sz w:val="14"/>
                <w:szCs w:val="14"/>
                <w:b w:val="1"/>
                <w:bCs w:val="1"/>
                <w:color w:val="auto"/>
                <w:w w:val="90"/>
              </w:rPr>
              <w:t>Accounting</w:t>
            </w:r>
          </w:p>
        </w:tc>
        <w:tc>
          <w:tcPr>
            <w:tcW w:w="0" w:type="dxa"/>
            <w:vAlign w:val="bottom"/>
          </w:tcPr>
          <w:p>
            <w:pPr>
              <w:spacing w:after="0"/>
              <w:rPr>
                <w:sz w:val="1"/>
                <w:szCs w:val="1"/>
                <w:color w:val="auto"/>
              </w:rPr>
            </w:pPr>
          </w:p>
        </w:tc>
      </w:tr>
      <w:tr>
        <w:trPr>
          <w:trHeight w:val="192"/>
        </w:trPr>
        <w:tc>
          <w:tcPr>
            <w:tcW w:w="28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Derivatives Employed</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179"/>
              <w:spacing w:after="0"/>
              <w:rPr>
                <w:sz w:val="20"/>
                <w:szCs w:val="20"/>
                <w:color w:val="auto"/>
              </w:rPr>
            </w:pPr>
            <w:r>
              <w:rPr>
                <w:rFonts w:ascii="Arial" w:cs="Arial" w:eastAsia="Arial" w:hAnsi="Arial"/>
                <w:sz w:val="14"/>
                <w:szCs w:val="14"/>
                <w:b w:val="1"/>
                <w:bCs w:val="1"/>
                <w:color w:val="auto"/>
              </w:rPr>
              <w:t>Amount</w:t>
            </w:r>
          </w:p>
        </w:tc>
        <w:tc>
          <w:tcPr>
            <w:tcW w:w="120" w:type="dxa"/>
            <w:vAlign w:val="bottom"/>
            <w:tcBorders>
              <w:bottom w:val="single" w:sz="8" w:color="CCEEFF"/>
            </w:tcBorders>
          </w:tcPr>
          <w:p>
            <w:pPr>
              <w:spacing w:after="0"/>
              <w:rPr>
                <w:sz w:val="16"/>
                <w:szCs w:val="16"/>
                <w:color w:val="auto"/>
              </w:rPr>
            </w:pPr>
          </w:p>
        </w:tc>
        <w:tc>
          <w:tcPr>
            <w:tcW w:w="14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Termination Date</w:t>
            </w:r>
          </w:p>
        </w:tc>
        <w:tc>
          <w:tcPr>
            <w:tcW w:w="120" w:type="dxa"/>
            <w:vAlign w:val="bottom"/>
            <w:tcBorders>
              <w:bottom w:val="single" w:sz="8" w:color="CCEEFF"/>
            </w:tcBorders>
          </w:tcPr>
          <w:p>
            <w:pPr>
              <w:spacing w:after="0"/>
              <w:rPr>
                <w:sz w:val="16"/>
                <w:szCs w:val="16"/>
                <w:color w:val="auto"/>
              </w:rPr>
            </w:pPr>
          </w:p>
        </w:tc>
        <w:tc>
          <w:tcPr>
            <w:tcW w:w="1200" w:type="dxa"/>
            <w:vAlign w:val="bottom"/>
            <w:tcBorders>
              <w:bottom w:val="single" w:sz="8" w:color="auto"/>
            </w:tcBorders>
          </w:tcPr>
          <w:p>
            <w:pPr>
              <w:jc w:val="right"/>
              <w:ind w:right="299"/>
              <w:spacing w:after="0"/>
              <w:rPr>
                <w:sz w:val="20"/>
                <w:szCs w:val="20"/>
                <w:color w:val="auto"/>
              </w:rPr>
            </w:pPr>
            <w:r>
              <w:rPr>
                <w:rFonts w:ascii="Arial" w:cs="Arial" w:eastAsia="Arial" w:hAnsi="Arial"/>
                <w:sz w:val="14"/>
                <w:szCs w:val="14"/>
                <w:b w:val="1"/>
                <w:bCs w:val="1"/>
                <w:color w:val="auto"/>
              </w:rPr>
              <w:t>Locked</w:t>
            </w:r>
          </w:p>
        </w:tc>
        <w:tc>
          <w:tcPr>
            <w:tcW w:w="120" w:type="dxa"/>
            <w:vAlign w:val="bottom"/>
            <w:tcBorders>
              <w:bottom w:val="single" w:sz="8" w:color="CCEEFF"/>
            </w:tcBorders>
          </w:tcPr>
          <w:p>
            <w:pPr>
              <w:spacing w:after="0"/>
              <w:rPr>
                <w:sz w:val="16"/>
                <w:szCs w:val="16"/>
                <w:color w:val="auto"/>
              </w:rPr>
            </w:pPr>
          </w:p>
        </w:tc>
        <w:tc>
          <w:tcPr>
            <w:tcW w:w="1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Treatment</w:t>
            </w:r>
          </w:p>
        </w:tc>
        <w:tc>
          <w:tcPr>
            <w:tcW w:w="0" w:type="dxa"/>
            <w:vAlign w:val="bottom"/>
          </w:tcPr>
          <w:p>
            <w:pPr>
              <w:spacing w:after="0"/>
              <w:rPr>
                <w:sz w:val="1"/>
                <w:szCs w:val="1"/>
                <w:color w:val="auto"/>
              </w:rPr>
            </w:pPr>
          </w:p>
        </w:tc>
      </w:tr>
      <w:tr>
        <w:trPr>
          <w:trHeight w:val="228"/>
        </w:trPr>
        <w:tc>
          <w:tcPr>
            <w:tcW w:w="29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Anticipated interest payments</w:t>
            </w:r>
          </w:p>
        </w:tc>
        <w:tc>
          <w:tcPr>
            <w:tcW w:w="260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1"/>
              </w:rPr>
              <w:t>8 forward starting swaps (30-</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200</w:t>
            </w: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6/14/2019</w:t>
            </w: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w:t>
            </w:r>
          </w:p>
        </w:tc>
        <w:tc>
          <w:tcPr>
            <w:tcW w:w="120" w:type="dxa"/>
            <w:vAlign w:val="bottom"/>
            <w:shd w:val="clear" w:color="auto" w:fill="CCEEFF"/>
          </w:tcPr>
          <w:p>
            <w:pPr>
              <w:spacing w:after="0"/>
              <w:rPr>
                <w:sz w:val="19"/>
                <w:szCs w:val="19"/>
                <w:color w:val="auto"/>
              </w:rPr>
            </w:pPr>
          </w:p>
        </w:tc>
        <w:tc>
          <w:tcPr>
            <w:tcW w:w="1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Cash flow hedge</w:t>
            </w:r>
          </w:p>
        </w:tc>
        <w:tc>
          <w:tcPr>
            <w:tcW w:w="0" w:type="dxa"/>
            <w:vAlign w:val="bottom"/>
          </w:tcPr>
          <w:p>
            <w:pPr>
              <w:spacing w:after="0"/>
              <w:rPr>
                <w:sz w:val="1"/>
                <w:szCs w:val="1"/>
                <w:color w:val="auto"/>
              </w:rPr>
            </w:pPr>
          </w:p>
        </w:tc>
      </w:tr>
      <w:tr>
        <w:trPr>
          <w:trHeight w:val="237"/>
        </w:trPr>
        <w:tc>
          <w:tcPr>
            <w:tcW w:w="28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60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7"/>
              </w:rPr>
              <w:t>year)</w:t>
            </w:r>
          </w:p>
        </w:tc>
        <w:tc>
          <w:tcPr>
            <w:tcW w:w="18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2960" w:type="dxa"/>
            <w:vAlign w:val="bottom"/>
            <w:gridSpan w:val="2"/>
          </w:tcPr>
          <w:p>
            <w:pPr>
              <w:ind w:left="40"/>
              <w:spacing w:after="0"/>
              <w:rPr>
                <w:sz w:val="20"/>
                <w:szCs w:val="20"/>
                <w:color w:val="auto"/>
              </w:rPr>
            </w:pPr>
            <w:r>
              <w:rPr>
                <w:rFonts w:ascii="Arial" w:cs="Arial" w:eastAsia="Arial" w:hAnsi="Arial"/>
                <w:sz w:val="18"/>
                <w:szCs w:val="18"/>
                <w:color w:val="auto"/>
              </w:rPr>
              <w:t>Anticipated interest payments</w:t>
            </w:r>
          </w:p>
        </w:tc>
        <w:tc>
          <w:tcPr>
            <w:tcW w:w="260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8 forward starting swaps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ind w:right="19"/>
              <w:spacing w:after="0"/>
              <w:rPr>
                <w:sz w:val="20"/>
                <w:szCs w:val="20"/>
                <w:color w:val="auto"/>
              </w:rPr>
            </w:pPr>
            <w:r>
              <w:rPr>
                <w:rFonts w:ascii="Arial" w:cs="Arial" w:eastAsia="Arial" w:hAnsi="Arial"/>
                <w:sz w:val="18"/>
                <w:szCs w:val="18"/>
                <w:color w:val="auto"/>
              </w:rPr>
              <w:t>200</w:t>
            </w:r>
          </w:p>
        </w:tc>
        <w:tc>
          <w:tcPr>
            <w:tcW w:w="120" w:type="dxa"/>
            <w:vAlign w:val="bottom"/>
          </w:tcPr>
          <w:p>
            <w:pPr>
              <w:spacing w:after="0"/>
              <w:rPr>
                <w:sz w:val="19"/>
                <w:szCs w:val="19"/>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92"/>
              </w:rPr>
              <w:t>6/15/2020</w:t>
            </w: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3.06%</w:t>
            </w:r>
          </w:p>
        </w:tc>
        <w:tc>
          <w:tcPr>
            <w:tcW w:w="120" w:type="dxa"/>
            <w:vAlign w:val="bottom"/>
          </w:tcPr>
          <w:p>
            <w:pPr>
              <w:spacing w:after="0"/>
              <w:rPr>
                <w:sz w:val="19"/>
                <w:szCs w:val="19"/>
                <w:color w:val="auto"/>
              </w:rPr>
            </w:pPr>
          </w:p>
        </w:tc>
        <w:tc>
          <w:tcPr>
            <w:tcW w:w="1820" w:type="dxa"/>
            <w:vAlign w:val="bottom"/>
          </w:tcPr>
          <w:p>
            <w:pPr>
              <w:jc w:val="center"/>
              <w:spacing w:after="0"/>
              <w:rPr>
                <w:sz w:val="20"/>
                <w:szCs w:val="20"/>
                <w:color w:val="auto"/>
              </w:rPr>
            </w:pPr>
            <w:r>
              <w:rPr>
                <w:rFonts w:ascii="Arial" w:cs="Arial" w:eastAsia="Arial" w:hAnsi="Arial"/>
                <w:sz w:val="18"/>
                <w:szCs w:val="18"/>
                <w:color w:val="auto"/>
                <w:w w:val="90"/>
              </w:rPr>
              <w:t>Cash flow hedge</w:t>
            </w:r>
          </w:p>
        </w:tc>
        <w:tc>
          <w:tcPr>
            <w:tcW w:w="0" w:type="dxa"/>
            <w:vAlign w:val="bottom"/>
          </w:tcPr>
          <w:p>
            <w:pPr>
              <w:spacing w:after="0"/>
              <w:rPr>
                <w:sz w:val="1"/>
                <w:szCs w:val="1"/>
                <w:color w:val="auto"/>
              </w:rPr>
            </w:pPr>
          </w:p>
        </w:tc>
      </w:tr>
      <w:tr>
        <w:trPr>
          <w:trHeight w:val="230"/>
        </w:trPr>
        <w:tc>
          <w:tcPr>
            <w:tcW w:w="2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0" w:type="dxa"/>
            <w:vAlign w:val="bottom"/>
            <w:gridSpan w:val="2"/>
          </w:tcPr>
          <w:p>
            <w:pPr>
              <w:jc w:val="center"/>
              <w:ind w:right="120"/>
              <w:spacing w:after="0"/>
              <w:rPr>
                <w:sz w:val="20"/>
                <w:szCs w:val="20"/>
                <w:color w:val="auto"/>
              </w:rPr>
            </w:pPr>
            <w:r>
              <w:rPr>
                <w:rFonts w:ascii="Arial" w:cs="Arial" w:eastAsia="Arial" w:hAnsi="Arial"/>
                <w:sz w:val="18"/>
                <w:szCs w:val="18"/>
                <w:color w:val="auto"/>
                <w:w w:val="93"/>
              </w:rPr>
              <w:t>(30-year)</w:t>
            </w: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Currency Exchange Rate Risk Hedging</w:t>
      </w:r>
    </w:p>
    <w:p>
      <w:pPr>
        <w:spacing w:after="0" w:line="225"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Because a significant portion of our Canadian business is conducted in CAD we use foreign currency derivatives to minimize the risk of unfavorable changes in exchange rates. These instruments include foreign currency exchange contracts, forwards and options.</w:t>
      </w:r>
    </w:p>
    <w:p>
      <w:pPr>
        <w:spacing w:after="0" w:line="170" w:lineRule="exact"/>
        <w:rPr>
          <w:sz w:val="20"/>
          <w:szCs w:val="20"/>
          <w:color w:val="auto"/>
        </w:rPr>
      </w:pPr>
    </w:p>
    <w:p>
      <w:pPr>
        <w:ind w:right="160" w:firstLine="648"/>
        <w:spacing w:after="0" w:line="264" w:lineRule="auto"/>
        <w:rPr>
          <w:sz w:val="20"/>
          <w:szCs w:val="20"/>
          <w:color w:val="auto"/>
        </w:rPr>
      </w:pPr>
      <w:r>
        <w:rPr>
          <w:rFonts w:ascii="Arial" w:cs="Arial" w:eastAsia="Arial" w:hAnsi="Arial"/>
          <w:sz w:val="18"/>
          <w:szCs w:val="18"/>
          <w:color w:val="auto"/>
        </w:rPr>
        <w:t>As of June 30, 2018, our outstanding foreign currency derivatives include (i) derivatives we use to hedge currency exchange risk created by the use of USD-denominated commodity derivatives to hedge commodity price risk associated with CAD-denominated commodity purchases and sales and (ii) foreign currency exchange contracts we use to manage our Canadian business cash requirements.</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125" w:right="239" w:bottom="1440" w:gutter="0" w:footer="0" w:header="0"/>
        </w:sectPr>
      </w:pPr>
    </w:p>
    <w:bookmarkStart w:id="22" w:name="page23"/>
    <w:bookmarkEnd w:id="2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our open forward exchange contracts as of June 30, 2018 (in millions):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8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USD</w:t>
            </w:r>
          </w:p>
        </w:tc>
        <w:tc>
          <w:tcPr>
            <w:tcW w:w="240" w:type="dxa"/>
            <w:vAlign w:val="bottom"/>
          </w:tcPr>
          <w:p>
            <w:pPr>
              <w:spacing w:after="0"/>
              <w:rPr>
                <w:sz w:val="14"/>
                <w:szCs w:val="14"/>
                <w:color w:val="auto"/>
              </w:rPr>
            </w:pPr>
          </w:p>
        </w:tc>
        <w:tc>
          <w:tcPr>
            <w:tcW w:w="90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CAD</w:t>
            </w:r>
          </w:p>
        </w:tc>
        <w:tc>
          <w:tcPr>
            <w:tcW w:w="2280" w:type="dxa"/>
            <w:vAlign w:val="bottom"/>
          </w:tcPr>
          <w:p>
            <w:pPr>
              <w:jc w:val="center"/>
              <w:spacing w:after="0"/>
              <w:rPr>
                <w:sz w:val="20"/>
                <w:szCs w:val="20"/>
                <w:color w:val="auto"/>
              </w:rPr>
            </w:pPr>
            <w:r>
              <w:rPr>
                <w:rFonts w:ascii="Arial" w:cs="Arial" w:eastAsia="Arial" w:hAnsi="Arial"/>
                <w:sz w:val="14"/>
                <w:szCs w:val="14"/>
                <w:b w:val="1"/>
                <w:bCs w:val="1"/>
                <w:color w:val="auto"/>
                <w:w w:val="91"/>
              </w:rPr>
              <w:t>Average Exchange Rate</w:t>
            </w:r>
          </w:p>
        </w:tc>
        <w:tc>
          <w:tcPr>
            <w:tcW w:w="0" w:type="dxa"/>
            <w:vAlign w:val="bottom"/>
          </w:tcPr>
          <w:p>
            <w:pPr>
              <w:spacing w:after="0"/>
              <w:rPr>
                <w:sz w:val="1"/>
                <w:szCs w:val="1"/>
                <w:color w:val="auto"/>
              </w:rPr>
            </w:pPr>
          </w:p>
        </w:tc>
      </w:tr>
      <w:tr>
        <w:trPr>
          <w:trHeight w:val="192"/>
        </w:trPr>
        <w:tc>
          <w:tcPr>
            <w:tcW w:w="68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2280" w:type="dxa"/>
            <w:vAlign w:val="bottom"/>
          </w:tcPr>
          <w:p>
            <w:pPr>
              <w:jc w:val="center"/>
              <w:spacing w:after="0"/>
              <w:rPr>
                <w:sz w:val="20"/>
                <w:szCs w:val="20"/>
                <w:color w:val="auto"/>
              </w:rPr>
            </w:pPr>
            <w:r>
              <w:rPr>
                <w:rFonts w:ascii="Arial" w:cs="Arial" w:eastAsia="Arial" w:hAnsi="Arial"/>
                <w:sz w:val="14"/>
                <w:szCs w:val="14"/>
                <w:b w:val="1"/>
                <w:bCs w:val="1"/>
                <w:color w:val="auto"/>
                <w:w w:val="98"/>
              </w:rPr>
              <w:t>USD to CAD</w:t>
            </w:r>
          </w:p>
        </w:tc>
        <w:tc>
          <w:tcPr>
            <w:tcW w:w="0" w:type="dxa"/>
            <w:vAlign w:val="bottom"/>
          </w:tcPr>
          <w:p>
            <w:pPr>
              <w:spacing w:after="0"/>
              <w:rPr>
                <w:sz w:val="1"/>
                <w:szCs w:val="1"/>
                <w:color w:val="auto"/>
              </w:rPr>
            </w:pPr>
          </w:p>
        </w:tc>
      </w:tr>
      <w:tr>
        <w:trPr>
          <w:trHeight w:val="236"/>
        </w:trPr>
        <w:tc>
          <w:tcPr>
            <w:tcW w:w="6860" w:type="dxa"/>
            <w:vAlign w:val="bottom"/>
            <w:tcBorders>
              <w:top w:val="single" w:sz="8" w:color="CCEEFF"/>
              <w:bottom w:val="single" w:sz="8" w:color="CCEEFF"/>
            </w:tcBorders>
            <w:shd w:val="clear" w:color="auto" w:fill="CCEEFF"/>
          </w:tcPr>
          <w:p>
            <w:pPr>
              <w:jc w:val="right"/>
              <w:ind w:right="2270"/>
              <w:spacing w:after="0"/>
              <w:rPr>
                <w:sz w:val="20"/>
                <w:szCs w:val="20"/>
                <w:color w:val="auto"/>
              </w:rPr>
            </w:pPr>
            <w:r>
              <w:rPr>
                <w:rFonts w:ascii="Arial" w:cs="Arial" w:eastAsia="Arial" w:hAnsi="Arial"/>
                <w:sz w:val="18"/>
                <w:szCs w:val="18"/>
                <w:b w:val="1"/>
                <w:bCs w:val="1"/>
                <w:color w:val="auto"/>
                <w:w w:val="90"/>
              </w:rPr>
              <w:t>Forward exchange contracts that exchange CAD for USD:</w:t>
            </w:r>
          </w:p>
        </w:tc>
        <w:tc>
          <w:tcPr>
            <w:tcW w:w="260" w:type="dxa"/>
            <w:vAlign w:val="bottom"/>
            <w:tcBorders>
              <w:top w:val="single" w:sz="8" w:color="auto"/>
              <w:bottom w:val="single" w:sz="8" w:color="CCEEFF"/>
            </w:tcBorders>
            <w:shd w:val="clear" w:color="auto" w:fill="CCEEFF"/>
          </w:tcPr>
          <w:p>
            <w:pPr>
              <w:spacing w:after="0"/>
              <w:rPr>
                <w:sz w:val="20"/>
                <w:szCs w:val="20"/>
                <w:color w:val="auto"/>
              </w:rPr>
            </w:pPr>
          </w:p>
        </w:tc>
        <w:tc>
          <w:tcPr>
            <w:tcW w:w="78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CCEEFF"/>
            </w:tcBorders>
            <w:shd w:val="clear" w:color="auto" w:fill="CCEEFF"/>
          </w:tcPr>
          <w:p>
            <w:pPr>
              <w:spacing w:after="0"/>
              <w:rPr>
                <w:sz w:val="20"/>
                <w:szCs w:val="20"/>
                <w:color w:val="auto"/>
              </w:rPr>
            </w:pPr>
          </w:p>
        </w:tc>
        <w:tc>
          <w:tcPr>
            <w:tcW w:w="780" w:type="dxa"/>
            <w:vAlign w:val="bottom"/>
            <w:tcBorders>
              <w:top w:val="single" w:sz="8" w:color="auto"/>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280" w:type="dxa"/>
            <w:vAlign w:val="bottom"/>
            <w:tcBorders>
              <w:top w:val="single" w:sz="8" w:color="auto"/>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860" w:type="dxa"/>
            <w:vAlign w:val="bottom"/>
          </w:tcPr>
          <w:p>
            <w:pPr>
              <w:jc w:val="right"/>
              <w:ind w:right="350"/>
              <w:spacing w:after="0"/>
              <w:rPr>
                <w:sz w:val="20"/>
                <w:szCs w:val="20"/>
                <w:color w:val="auto"/>
              </w:rPr>
            </w:pPr>
            <w:r>
              <w:rPr>
                <w:rFonts w:ascii="Arial" w:cs="Arial" w:eastAsia="Arial" w:hAnsi="Arial"/>
                <w:sz w:val="18"/>
                <w:szCs w:val="18"/>
                <w:color w:val="auto"/>
              </w:rPr>
              <w:t>2018</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ind w:right="39"/>
              <w:spacing w:after="0"/>
              <w:rPr>
                <w:sz w:val="20"/>
                <w:szCs w:val="20"/>
                <w:color w:val="auto"/>
              </w:rPr>
            </w:pPr>
            <w:r>
              <w:rPr>
                <w:rFonts w:ascii="Arial" w:cs="Arial" w:eastAsia="Arial" w:hAnsi="Arial"/>
                <w:sz w:val="18"/>
                <w:szCs w:val="18"/>
                <w:color w:val="auto"/>
              </w:rPr>
              <w:t>141</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ind w:right="19"/>
              <w:spacing w:after="0"/>
              <w:rPr>
                <w:sz w:val="20"/>
                <w:szCs w:val="20"/>
                <w:color w:val="auto"/>
              </w:rPr>
            </w:pPr>
            <w:r>
              <w:rPr>
                <w:rFonts w:ascii="Arial" w:cs="Arial" w:eastAsia="Arial" w:hAnsi="Arial"/>
                <w:sz w:val="18"/>
                <w:szCs w:val="18"/>
                <w:color w:val="auto"/>
              </w:rPr>
              <w:t>187</w:t>
            </w:r>
          </w:p>
        </w:tc>
        <w:tc>
          <w:tcPr>
            <w:tcW w:w="120" w:type="dxa"/>
            <w:vAlign w:val="bottom"/>
          </w:tcPr>
          <w:p>
            <w:pPr>
              <w:spacing w:after="0"/>
              <w:rPr>
                <w:sz w:val="21"/>
                <w:szCs w:val="21"/>
                <w:color w:val="auto"/>
              </w:rPr>
            </w:pPr>
          </w:p>
        </w:tc>
        <w:tc>
          <w:tcPr>
            <w:tcW w:w="2280" w:type="dxa"/>
            <w:vAlign w:val="bottom"/>
          </w:tcPr>
          <w:p>
            <w:pPr>
              <w:jc w:val="center"/>
              <w:spacing w:after="0"/>
              <w:rPr>
                <w:sz w:val="20"/>
                <w:szCs w:val="20"/>
                <w:color w:val="auto"/>
              </w:rPr>
            </w:pPr>
            <w:r>
              <w:rPr>
                <w:rFonts w:ascii="Arial" w:cs="Arial" w:eastAsia="Arial" w:hAnsi="Arial"/>
                <w:sz w:val="18"/>
                <w:szCs w:val="18"/>
                <w:color w:val="auto"/>
                <w:w w:val="90"/>
              </w:rPr>
              <w:t>$1.00 - $1.33</w:t>
            </w:r>
          </w:p>
        </w:tc>
        <w:tc>
          <w:tcPr>
            <w:tcW w:w="0" w:type="dxa"/>
            <w:vAlign w:val="bottom"/>
          </w:tcPr>
          <w:p>
            <w:pPr>
              <w:spacing w:after="0"/>
              <w:rPr>
                <w:sz w:val="1"/>
                <w:szCs w:val="1"/>
                <w:color w:val="auto"/>
              </w:rPr>
            </w:pPr>
          </w:p>
        </w:tc>
      </w:tr>
      <w:tr>
        <w:trPr>
          <w:trHeight w:val="27"/>
        </w:trPr>
        <w:tc>
          <w:tcPr>
            <w:tcW w:w="6860" w:type="dxa"/>
            <w:vAlign w:val="bottom"/>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7"/>
        </w:trPr>
        <w:tc>
          <w:tcPr>
            <w:tcW w:w="686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Forward exchange contracts that exchange USD for CAD:</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66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2018</w:t>
            </w:r>
          </w:p>
        </w:tc>
        <w:tc>
          <w:tcPr>
            <w:tcW w:w="6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266</w:t>
            </w:r>
          </w:p>
        </w:tc>
        <w:tc>
          <w:tcPr>
            <w:tcW w:w="4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343</w:t>
            </w:r>
          </w:p>
        </w:tc>
        <w:tc>
          <w:tcPr>
            <w:tcW w:w="2060" w:type="dxa"/>
            <w:vAlign w:val="bottom"/>
            <w:shd w:val="clear" w:color="auto" w:fill="CCEEFF"/>
          </w:tcPr>
          <w:p>
            <w:pPr>
              <w:jc w:val="right"/>
              <w:ind w:right="570"/>
              <w:spacing w:after="0"/>
              <w:rPr>
                <w:sz w:val="20"/>
                <w:szCs w:val="20"/>
                <w:color w:val="auto"/>
              </w:rPr>
            </w:pPr>
            <w:r>
              <w:rPr>
                <w:rFonts w:ascii="Arial" w:cs="Arial" w:eastAsia="Arial" w:hAnsi="Arial"/>
                <w:sz w:val="18"/>
                <w:szCs w:val="18"/>
                <w:color w:val="auto"/>
              </w:rPr>
              <w:t>$1.00 - $1.29</w:t>
            </w:r>
          </w:p>
        </w:tc>
      </w:tr>
      <w:tr>
        <w:trPr>
          <w:trHeight w:val="243"/>
        </w:trPr>
        <w:tc>
          <w:tcPr>
            <w:tcW w:w="6660" w:type="dxa"/>
            <w:vAlign w:val="bottom"/>
          </w:tcPr>
          <w:p>
            <w:pPr>
              <w:jc w:val="right"/>
              <w:ind w:right="150"/>
              <w:spacing w:after="0"/>
              <w:rPr>
                <w:sz w:val="20"/>
                <w:szCs w:val="20"/>
                <w:color w:val="auto"/>
              </w:rPr>
            </w:pPr>
            <w:r>
              <w:rPr>
                <w:rFonts w:ascii="Arial" w:cs="Arial" w:eastAsia="Arial" w:hAnsi="Arial"/>
                <w:sz w:val="18"/>
                <w:szCs w:val="18"/>
                <w:color w:val="auto"/>
              </w:rPr>
              <w:t>2019</w:t>
            </w:r>
          </w:p>
        </w:tc>
        <w:tc>
          <w:tcPr>
            <w:tcW w:w="60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640" w:type="dxa"/>
            <w:vAlign w:val="bottom"/>
          </w:tcPr>
          <w:p>
            <w:pPr>
              <w:jc w:val="right"/>
              <w:ind w:right="30"/>
              <w:spacing w:after="0"/>
              <w:rPr>
                <w:sz w:val="20"/>
                <w:szCs w:val="20"/>
                <w:color w:val="auto"/>
              </w:rPr>
            </w:pPr>
            <w:r>
              <w:rPr>
                <w:rFonts w:ascii="Arial" w:cs="Arial" w:eastAsia="Arial" w:hAnsi="Arial"/>
                <w:sz w:val="18"/>
                <w:szCs w:val="18"/>
                <w:color w:val="auto"/>
              </w:rPr>
              <w:t>59</w:t>
            </w:r>
          </w:p>
        </w:tc>
        <w:tc>
          <w:tcPr>
            <w:tcW w:w="48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350"/>
              <w:spacing w:after="0"/>
              <w:rPr>
                <w:sz w:val="20"/>
                <w:szCs w:val="20"/>
                <w:color w:val="auto"/>
              </w:rPr>
            </w:pPr>
            <w:r>
              <w:rPr>
                <w:rFonts w:ascii="Arial" w:cs="Arial" w:eastAsia="Arial" w:hAnsi="Arial"/>
                <w:sz w:val="18"/>
                <w:szCs w:val="18"/>
                <w:color w:val="auto"/>
              </w:rPr>
              <w:t>76</w:t>
            </w:r>
          </w:p>
        </w:tc>
        <w:tc>
          <w:tcPr>
            <w:tcW w:w="2060" w:type="dxa"/>
            <w:vAlign w:val="bottom"/>
          </w:tcPr>
          <w:p>
            <w:pPr>
              <w:jc w:val="right"/>
              <w:ind w:right="570"/>
              <w:spacing w:after="0"/>
              <w:rPr>
                <w:sz w:val="20"/>
                <w:szCs w:val="20"/>
                <w:color w:val="auto"/>
              </w:rPr>
            </w:pPr>
            <w:r>
              <w:rPr>
                <w:rFonts w:ascii="Arial" w:cs="Arial" w:eastAsia="Arial" w:hAnsi="Arial"/>
                <w:sz w:val="18"/>
                <w:szCs w:val="18"/>
                <w:color w:val="auto"/>
              </w:rPr>
              <w:t>$1.00 - $1.29</w:t>
            </w: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Preferred Distribution Rate Reset Option</w:t>
      </w:r>
    </w:p>
    <w:p>
      <w:pPr>
        <w:spacing w:after="0" w:line="225" w:lineRule="exact"/>
        <w:rPr>
          <w:sz w:val="20"/>
          <w:szCs w:val="20"/>
          <w:color w:val="auto"/>
        </w:rPr>
      </w:pPr>
    </w:p>
    <w:p>
      <w:pPr>
        <w:ind w:right="80" w:firstLine="648"/>
        <w:spacing w:after="0" w:line="255" w:lineRule="auto"/>
        <w:rPr>
          <w:sz w:val="20"/>
          <w:szCs w:val="20"/>
          <w:color w:val="auto"/>
        </w:rPr>
      </w:pPr>
      <w:r>
        <w:rPr>
          <w:rFonts w:ascii="Arial" w:cs="Arial" w:eastAsia="Arial" w:hAnsi="Arial"/>
          <w:sz w:val="18"/>
          <w:szCs w:val="18"/>
          <w:color w:val="auto"/>
        </w:rPr>
        <w:t>A derivative feature embedded in a contract that does not meet the definition of a derivative in its entirety must be bifurcated and accounted for separately if the economic characteristics and risks of the embedded derivative are not clearly and closely related to those of the host contract. The Preferred Distribution Rate Reset Option of the PAA Series A preferred units is an embedded derivative that must be bifurcated from the related host contract, the PAA partnership agreement, and recorded at fair value on our Condensed Consolidated Balance Sheets. Corresponding changes in fair value are recognized in “Other income/(expense), net” in our Condensed Consolidated Statement of Operations. See Note 11 to our Consolidated Financial Statements included in Part IV of our 2017 Annual Report on Form 10-K for additional information regarding the Series A preferred units and Preferred Distribution Rate Reset Option.</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Summary of Financial Impact</w:t>
      </w:r>
    </w:p>
    <w:p>
      <w:pPr>
        <w:spacing w:after="0" w:line="225" w:lineRule="exact"/>
        <w:rPr>
          <w:sz w:val="20"/>
          <w:szCs w:val="20"/>
          <w:color w:val="auto"/>
        </w:rPr>
      </w:pPr>
    </w:p>
    <w:p>
      <w:pPr>
        <w:ind w:right="220" w:firstLine="648"/>
        <w:spacing w:after="0" w:line="293" w:lineRule="auto"/>
        <w:rPr>
          <w:sz w:val="20"/>
          <w:szCs w:val="20"/>
          <w:color w:val="auto"/>
        </w:rPr>
      </w:pPr>
      <w:r>
        <w:rPr>
          <w:rFonts w:ascii="Arial" w:cs="Arial" w:eastAsia="Arial" w:hAnsi="Arial"/>
          <w:sz w:val="16"/>
          <w:szCs w:val="16"/>
          <w:color w:val="auto"/>
        </w:rPr>
        <w:t>We record all open derivatives on the balance sheet as either assets or liabilities measured at fair value. Changes in the fair value of derivatives are recognized currently in earnings unless specific hedge accounting criteria are met. For derivatives that qualify as cash flow hedges, changes in fair value of the effective portion of the hedges are deferred in AOCI and recognized in earnings in the periods during which the underlying physical transactions are recognized in earnings. Derivatives that do not qualify for hedge accounting and the portion of cash flow hedges that are not highly effective in offsetting changes in cash flows of the hedged items are recognized in earnings each period. Cash settlements associated with our derivative activities are classified within the same category as the related hedged item in our Condensed Consolidated Statements of Cash Flows.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125" w:right="239" w:bottom="1440" w:gutter="0" w:footer="0" w:header="0"/>
        </w:sectPr>
      </w:pPr>
    </w:p>
    <w:bookmarkStart w:id="23" w:name="page24"/>
    <w:bookmarkEnd w:id="2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 summary of the impact of our derivatives recognized in earnings is as follows (in millions):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3020" w:type="dxa"/>
            <w:vAlign w:val="bottom"/>
            <w:tcBorders>
              <w:bottom w:val="single" w:sz="8" w:color="auto"/>
            </w:tcBorders>
            <w:gridSpan w:val="6"/>
          </w:tcPr>
          <w:p>
            <w:pPr>
              <w:jc w:val="right"/>
              <w:ind w:right="30"/>
              <w:spacing w:after="0"/>
              <w:rPr>
                <w:sz w:val="20"/>
                <w:szCs w:val="20"/>
                <w:color w:val="auto"/>
              </w:rPr>
            </w:pPr>
            <w:r>
              <w:rPr>
                <w:rFonts w:ascii="Arial" w:cs="Arial" w:eastAsia="Arial" w:hAnsi="Arial"/>
                <w:sz w:val="14"/>
                <w:szCs w:val="14"/>
                <w:b w:val="1"/>
                <w:bCs w:val="1"/>
                <w:color w:val="auto"/>
              </w:rPr>
              <w:t>Three Months Ended June 30, 2018</w:t>
            </w:r>
          </w:p>
        </w:tc>
        <w:tc>
          <w:tcPr>
            <w:tcW w:w="7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3000" w:type="dxa"/>
            <w:vAlign w:val="bottom"/>
            <w:tcBorders>
              <w:bottom w:val="single" w:sz="8" w:color="auto"/>
            </w:tcBorders>
            <w:gridSpan w:val="6"/>
          </w:tcPr>
          <w:p>
            <w:pPr>
              <w:jc w:val="right"/>
              <w:ind w:right="10"/>
              <w:spacing w:after="0"/>
              <w:rPr>
                <w:sz w:val="20"/>
                <w:szCs w:val="20"/>
                <w:color w:val="auto"/>
              </w:rPr>
            </w:pPr>
            <w:r>
              <w:rPr>
                <w:rFonts w:ascii="Arial" w:cs="Arial" w:eastAsia="Arial" w:hAnsi="Arial"/>
                <w:sz w:val="14"/>
                <w:szCs w:val="14"/>
                <w:b w:val="1"/>
                <w:bCs w:val="1"/>
                <w:color w:val="auto"/>
              </w:rPr>
              <w:t>Three Months Ended June 30, 2017</w:t>
            </w:r>
          </w:p>
        </w:tc>
        <w:tc>
          <w:tcPr>
            <w:tcW w:w="7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00" w:type="dxa"/>
            <w:vAlign w:val="bottom"/>
            <w:gridSpan w:val="2"/>
          </w:tcPr>
          <w:p>
            <w:pPr>
              <w:jc w:val="center"/>
              <w:ind w:right="300"/>
              <w:spacing w:after="0" w:line="153" w:lineRule="exact"/>
              <w:rPr>
                <w:sz w:val="20"/>
                <w:szCs w:val="20"/>
                <w:color w:val="auto"/>
              </w:rPr>
            </w:pPr>
            <w:r>
              <w:rPr>
                <w:rFonts w:ascii="Arial" w:cs="Arial" w:eastAsia="Arial" w:hAnsi="Arial"/>
                <w:sz w:val="14"/>
                <w:szCs w:val="14"/>
                <w:b w:val="1"/>
                <w:bCs w:val="1"/>
                <w:color w:val="auto"/>
                <w:w w:val="92"/>
              </w:rPr>
              <w:t>Derivatives in</w:t>
            </w:r>
          </w:p>
        </w:tc>
        <w:tc>
          <w:tcPr>
            <w:tcW w:w="160" w:type="dxa"/>
            <w:vAlign w:val="bottom"/>
          </w:tcPr>
          <w:p>
            <w:pPr>
              <w:spacing w:after="0"/>
              <w:rPr>
                <w:sz w:val="13"/>
                <w:szCs w:val="13"/>
                <w:color w:val="auto"/>
              </w:rPr>
            </w:pPr>
          </w:p>
        </w:tc>
        <w:tc>
          <w:tcPr>
            <w:tcW w:w="132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93"/>
              </w:rPr>
              <w:t>Derivatives</w:t>
            </w:r>
          </w:p>
        </w:tc>
        <w:tc>
          <w:tcPr>
            <w:tcW w:w="2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80" w:type="dxa"/>
            <w:vAlign w:val="bottom"/>
            <w:gridSpan w:val="2"/>
          </w:tcPr>
          <w:p>
            <w:pPr>
              <w:jc w:val="center"/>
              <w:ind w:right="300"/>
              <w:spacing w:after="0" w:line="153" w:lineRule="exact"/>
              <w:rPr>
                <w:sz w:val="20"/>
                <w:szCs w:val="20"/>
                <w:color w:val="auto"/>
              </w:rPr>
            </w:pPr>
            <w:r>
              <w:rPr>
                <w:rFonts w:ascii="Arial" w:cs="Arial" w:eastAsia="Arial" w:hAnsi="Arial"/>
                <w:sz w:val="14"/>
                <w:szCs w:val="14"/>
                <w:b w:val="1"/>
                <w:bCs w:val="1"/>
                <w:color w:val="auto"/>
                <w:w w:val="94"/>
              </w:rPr>
              <w:t>Derivatives in</w:t>
            </w:r>
          </w:p>
        </w:tc>
        <w:tc>
          <w:tcPr>
            <w:tcW w:w="160" w:type="dxa"/>
            <w:vAlign w:val="bottom"/>
          </w:tcPr>
          <w:p>
            <w:pPr>
              <w:spacing w:after="0"/>
              <w:rPr>
                <w:sz w:val="13"/>
                <w:szCs w:val="13"/>
                <w:color w:val="auto"/>
              </w:rPr>
            </w:pPr>
          </w:p>
        </w:tc>
        <w:tc>
          <w:tcPr>
            <w:tcW w:w="132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93"/>
              </w:rPr>
              <w:t>Derivatives</w:t>
            </w:r>
          </w:p>
        </w:tc>
        <w:tc>
          <w:tcPr>
            <w:tcW w:w="2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10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Location of Gain/(Loss)</w:t>
            </w:r>
          </w:p>
        </w:tc>
        <w:tc>
          <w:tcPr>
            <w:tcW w:w="120" w:type="dxa"/>
            <w:vAlign w:val="bottom"/>
            <w:vMerge w:val="restart"/>
          </w:tcPr>
          <w:p>
            <w:pPr>
              <w:spacing w:after="0"/>
              <w:rPr>
                <w:sz w:val="12"/>
                <w:szCs w:val="12"/>
                <w:color w:val="auto"/>
              </w:rPr>
            </w:pPr>
          </w:p>
        </w:tc>
        <w:tc>
          <w:tcPr>
            <w:tcW w:w="200" w:type="dxa"/>
            <w:vAlign w:val="bottom"/>
          </w:tcPr>
          <w:p>
            <w:pPr>
              <w:spacing w:after="0"/>
              <w:rPr>
                <w:sz w:val="12"/>
                <w:szCs w:val="12"/>
                <w:color w:val="auto"/>
              </w:rPr>
            </w:pPr>
          </w:p>
        </w:tc>
        <w:tc>
          <w:tcPr>
            <w:tcW w:w="13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2"/>
              </w:rPr>
              <w:t>Hedging</w:t>
            </w:r>
          </w:p>
        </w:tc>
        <w:tc>
          <w:tcPr>
            <w:tcW w:w="160" w:type="dxa"/>
            <w:vAlign w:val="bottom"/>
          </w:tcPr>
          <w:p>
            <w:pPr>
              <w:spacing w:after="0"/>
              <w:rPr>
                <w:sz w:val="12"/>
                <w:szCs w:val="12"/>
                <w:color w:val="auto"/>
              </w:rPr>
            </w:pPr>
          </w:p>
        </w:tc>
        <w:tc>
          <w:tcPr>
            <w:tcW w:w="13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1"/>
              </w:rPr>
              <w:t>Not Designated</w:t>
            </w:r>
          </w:p>
        </w:tc>
        <w:tc>
          <w:tcPr>
            <w:tcW w:w="240" w:type="dxa"/>
            <w:vAlign w:val="bottom"/>
          </w:tcPr>
          <w:p>
            <w:pPr>
              <w:spacing w:after="0"/>
              <w:rPr>
                <w:sz w:val="12"/>
                <w:szCs w:val="12"/>
                <w:color w:val="auto"/>
              </w:rPr>
            </w:pPr>
          </w:p>
        </w:tc>
        <w:tc>
          <w:tcPr>
            <w:tcW w:w="780" w:type="dxa"/>
            <w:vAlign w:val="bottom"/>
            <w:vMerge w:val="restart"/>
          </w:tcPr>
          <w:p>
            <w:pPr>
              <w:jc w:val="right"/>
              <w:ind w:right="272"/>
              <w:spacing w:after="0"/>
              <w:rPr>
                <w:sz w:val="20"/>
                <w:szCs w:val="20"/>
                <w:color w:val="auto"/>
              </w:rPr>
            </w:pPr>
            <w:r>
              <w:rPr>
                <w:rFonts w:ascii="Arial" w:cs="Arial" w:eastAsia="Arial" w:hAnsi="Arial"/>
                <w:sz w:val="14"/>
                <w:szCs w:val="14"/>
                <w:b w:val="1"/>
                <w:bCs w:val="1"/>
                <w:color w:val="auto"/>
              </w:rPr>
              <w:t>Total</w:t>
            </w:r>
          </w:p>
        </w:tc>
        <w:tc>
          <w:tcPr>
            <w:tcW w:w="120" w:type="dxa"/>
            <w:vAlign w:val="bottom"/>
            <w:vMerge w:val="restart"/>
          </w:tcPr>
          <w:p>
            <w:pPr>
              <w:spacing w:after="0"/>
              <w:rPr>
                <w:sz w:val="12"/>
                <w:szCs w:val="12"/>
                <w:color w:val="auto"/>
              </w:rPr>
            </w:pPr>
          </w:p>
        </w:tc>
        <w:tc>
          <w:tcPr>
            <w:tcW w:w="100" w:type="dxa"/>
            <w:vAlign w:val="bottom"/>
            <w:vMerge w:val="restart"/>
          </w:tcPr>
          <w:p>
            <w:pPr>
              <w:spacing w:after="0"/>
              <w:rPr>
                <w:sz w:val="12"/>
                <w:szCs w:val="12"/>
                <w:color w:val="auto"/>
              </w:rPr>
            </w:pPr>
          </w:p>
        </w:tc>
        <w:tc>
          <w:tcPr>
            <w:tcW w:w="200" w:type="dxa"/>
            <w:vAlign w:val="bottom"/>
          </w:tcPr>
          <w:p>
            <w:pPr>
              <w:spacing w:after="0"/>
              <w:rPr>
                <w:sz w:val="12"/>
                <w:szCs w:val="12"/>
                <w:color w:val="auto"/>
              </w:rPr>
            </w:pPr>
          </w:p>
        </w:tc>
        <w:tc>
          <w:tcPr>
            <w:tcW w:w="12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2"/>
              </w:rPr>
              <w:t>Hedging</w:t>
            </w:r>
          </w:p>
        </w:tc>
        <w:tc>
          <w:tcPr>
            <w:tcW w:w="160" w:type="dxa"/>
            <w:vAlign w:val="bottom"/>
          </w:tcPr>
          <w:p>
            <w:pPr>
              <w:spacing w:after="0"/>
              <w:rPr>
                <w:sz w:val="12"/>
                <w:szCs w:val="12"/>
                <w:color w:val="auto"/>
              </w:rPr>
            </w:pPr>
          </w:p>
        </w:tc>
        <w:tc>
          <w:tcPr>
            <w:tcW w:w="13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1"/>
              </w:rPr>
              <w:t>Not Designated</w:t>
            </w:r>
          </w:p>
        </w:tc>
        <w:tc>
          <w:tcPr>
            <w:tcW w:w="240" w:type="dxa"/>
            <w:vAlign w:val="bottom"/>
          </w:tcPr>
          <w:p>
            <w:pPr>
              <w:spacing w:after="0"/>
              <w:rPr>
                <w:sz w:val="12"/>
                <w:szCs w:val="12"/>
                <w:color w:val="auto"/>
              </w:rPr>
            </w:pPr>
          </w:p>
        </w:tc>
        <w:tc>
          <w:tcPr>
            <w:tcW w:w="780" w:type="dxa"/>
            <w:vAlign w:val="bottom"/>
            <w:vMerge w:val="restart"/>
          </w:tcPr>
          <w:p>
            <w:pPr>
              <w:jc w:val="right"/>
              <w:ind w:right="27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31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117"/>
              <w:spacing w:after="0"/>
              <w:rPr>
                <w:sz w:val="20"/>
                <w:szCs w:val="20"/>
                <w:color w:val="auto"/>
              </w:rPr>
            </w:pPr>
            <w:r>
              <w:rPr>
                <w:rFonts w:ascii="Arial" w:cs="Arial" w:eastAsia="Arial" w:hAnsi="Arial"/>
                <w:sz w:val="14"/>
                <w:szCs w:val="14"/>
                <w:b w:val="1"/>
                <w:bCs w:val="1"/>
                <w:color w:val="auto"/>
                <w:w w:val="91"/>
              </w:rPr>
              <w:t>Relationships</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55"/>
              <w:spacing w:after="0"/>
              <w:rPr>
                <w:sz w:val="20"/>
                <w:szCs w:val="20"/>
                <w:color w:val="auto"/>
              </w:rPr>
            </w:pPr>
            <w:r>
              <w:rPr>
                <w:rFonts w:ascii="Arial" w:cs="Arial" w:eastAsia="Arial" w:hAnsi="Arial"/>
                <w:sz w:val="14"/>
                <w:szCs w:val="14"/>
                <w:b w:val="1"/>
                <w:bCs w:val="1"/>
                <w:color w:val="auto"/>
                <w:w w:val="89"/>
              </w:rPr>
              <w:t>as a Hedge</w:t>
            </w: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center"/>
              <w:ind w:right="117"/>
              <w:spacing w:after="0"/>
              <w:rPr>
                <w:sz w:val="20"/>
                <w:szCs w:val="20"/>
                <w:color w:val="auto"/>
              </w:rPr>
            </w:pPr>
            <w:r>
              <w:rPr>
                <w:rFonts w:ascii="Arial" w:cs="Arial" w:eastAsia="Arial" w:hAnsi="Arial"/>
                <w:sz w:val="14"/>
                <w:szCs w:val="14"/>
                <w:b w:val="1"/>
                <w:bCs w:val="1"/>
                <w:color w:val="auto"/>
                <w:w w:val="89"/>
              </w:rPr>
              <w:t>Relationships</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55"/>
              <w:spacing w:after="0"/>
              <w:rPr>
                <w:sz w:val="20"/>
                <w:szCs w:val="20"/>
                <w:color w:val="auto"/>
              </w:rPr>
            </w:pPr>
            <w:r>
              <w:rPr>
                <w:rFonts w:ascii="Arial" w:cs="Arial" w:eastAsia="Arial" w:hAnsi="Arial"/>
                <w:sz w:val="14"/>
                <w:szCs w:val="14"/>
                <w:b w:val="1"/>
                <w:bCs w:val="1"/>
                <w:color w:val="auto"/>
                <w:w w:val="89"/>
              </w:rPr>
              <w:t>as a Hedge</w:t>
            </w: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2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Commodity Derivatives</w:t>
            </w:r>
          </w:p>
        </w:tc>
        <w:tc>
          <w:tcPr>
            <w:tcW w:w="2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3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32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w w:val="94"/>
              </w:rPr>
              <w:t>Supply and Logistics segment revenues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(339)</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(339)</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99</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297"/>
        </w:trPr>
        <w:tc>
          <w:tcPr>
            <w:tcW w:w="3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32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Field operating costs</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right w:val="single" w:sz="8" w:color="auto"/>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97"/>
        </w:trPr>
        <w:tc>
          <w:tcPr>
            <w:tcW w:w="3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32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Depreciation and amortization</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right w:val="single" w:sz="8" w:color="auto"/>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97"/>
        </w:trPr>
        <w:tc>
          <w:tcPr>
            <w:tcW w:w="3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32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Interest Rate Derivatives</w:t>
            </w:r>
          </w:p>
        </w:tc>
        <w:tc>
          <w:tcPr>
            <w:tcW w:w="2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3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32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Interest expense, net</w:t>
            </w:r>
          </w:p>
        </w:tc>
        <w:tc>
          <w:tcPr>
            <w:tcW w:w="2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97"/>
        </w:trPr>
        <w:tc>
          <w:tcPr>
            <w:tcW w:w="3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32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Foreign Currency Derivatives</w:t>
            </w:r>
          </w:p>
        </w:tc>
        <w:tc>
          <w:tcPr>
            <w:tcW w:w="2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3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32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w w:val="94"/>
              </w:rPr>
              <w:t>Supply and Logistics segment revenues</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97"/>
        </w:trPr>
        <w:tc>
          <w:tcPr>
            <w:tcW w:w="3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3220" w:type="dxa"/>
            <w:vAlign w:val="bottom"/>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Preferred Distribution Rate Reset</w:t>
            </w: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322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b w:val="1"/>
                <w:bCs w:val="1"/>
                <w:color w:val="auto"/>
              </w:rPr>
              <w:t>Option</w:t>
            </w:r>
          </w:p>
        </w:tc>
        <w:tc>
          <w:tcPr>
            <w:tcW w:w="20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right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3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32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Other income/(expense), net</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8</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97"/>
        </w:trPr>
        <w:tc>
          <w:tcPr>
            <w:tcW w:w="310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20" w:type="dxa"/>
            <w:vAlign w:val="bottom"/>
            <w:tcBorders>
              <w:bottom w:val="single" w:sz="8" w:color="CCEEFF"/>
              <w:right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5"/>
        </w:trPr>
        <w:tc>
          <w:tcPr>
            <w:tcW w:w="3220" w:type="dxa"/>
            <w:vAlign w:val="bottom"/>
            <w:gridSpan w:val="2"/>
            <w:shd w:val="clear" w:color="auto" w:fill="CCEEFF"/>
          </w:tcPr>
          <w:p>
            <w:pPr>
              <w:ind w:left="40"/>
              <w:spacing w:after="0" w:line="205" w:lineRule="exact"/>
              <w:rPr>
                <w:sz w:val="20"/>
                <w:szCs w:val="20"/>
                <w:color w:val="auto"/>
              </w:rPr>
            </w:pPr>
            <w:r>
              <w:rPr>
                <w:rFonts w:ascii="Arial" w:cs="Arial" w:eastAsia="Arial" w:hAnsi="Arial"/>
                <w:sz w:val="18"/>
                <w:szCs w:val="18"/>
                <w:b w:val="1"/>
                <w:bCs w:val="1"/>
                <w:color w:val="auto"/>
              </w:rPr>
              <w:t>Total Gain/(Loss) on Derivatives</w:t>
            </w:r>
          </w:p>
        </w:tc>
        <w:tc>
          <w:tcPr>
            <w:tcW w:w="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7"/>
                <w:szCs w:val="17"/>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(337)</w:t>
            </w:r>
          </w:p>
        </w:tc>
        <w:tc>
          <w:tcPr>
            <w:tcW w:w="120" w:type="dxa"/>
            <w:vAlign w:val="bottom"/>
            <w:shd w:val="clear" w:color="auto" w:fill="CCEEFF"/>
          </w:tcPr>
          <w:p>
            <w:pPr>
              <w:spacing w:after="0"/>
              <w:rPr>
                <w:sz w:val="17"/>
                <w:szCs w:val="17"/>
                <w:color w:val="auto"/>
              </w:rPr>
            </w:pPr>
          </w:p>
        </w:tc>
        <w:tc>
          <w:tcPr>
            <w:tcW w:w="24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(339)</w:t>
            </w:r>
          </w:p>
        </w:tc>
        <w:tc>
          <w:tcPr>
            <w:tcW w:w="120" w:type="dxa"/>
            <w:vAlign w:val="bottom"/>
            <w:tcBorders>
              <w:right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17"/>
                <w:szCs w:val="17"/>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vMerge w:val="restart"/>
            <w:shd w:val="clear" w:color="auto" w:fill="CCEEFF"/>
          </w:tcPr>
          <w:p>
            <w:pPr>
              <w:jc w:val="right"/>
              <w:ind w:right="15"/>
              <w:spacing w:after="0"/>
              <w:rPr>
                <w:sz w:val="20"/>
                <w:szCs w:val="20"/>
                <w:color w:val="auto"/>
              </w:rPr>
            </w:pPr>
            <w:r>
              <w:rPr>
                <w:rFonts w:ascii="Arial" w:cs="Arial" w:eastAsia="Arial" w:hAnsi="Arial"/>
                <w:sz w:val="18"/>
                <w:szCs w:val="18"/>
                <w:color w:val="auto"/>
              </w:rPr>
              <w:t>100</w:t>
            </w:r>
          </w:p>
        </w:tc>
        <w:tc>
          <w:tcPr>
            <w:tcW w:w="120" w:type="dxa"/>
            <w:vAlign w:val="bottom"/>
            <w:shd w:val="clear" w:color="auto" w:fill="CCEEFF"/>
          </w:tcPr>
          <w:p>
            <w:pPr>
              <w:spacing w:after="0"/>
              <w:rPr>
                <w:sz w:val="17"/>
                <w:szCs w:val="17"/>
                <w:color w:val="auto"/>
              </w:rPr>
            </w:pPr>
          </w:p>
        </w:tc>
        <w:tc>
          <w:tcPr>
            <w:tcW w:w="24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vMerge w:val="restart"/>
            <w:shd w:val="clear" w:color="auto" w:fill="CCEEFF"/>
          </w:tcPr>
          <w:p>
            <w:pPr>
              <w:jc w:val="right"/>
              <w:ind w:right="12"/>
              <w:spacing w:after="0"/>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241"/>
        </w:trPr>
        <w:tc>
          <w:tcPr>
            <w:tcW w:w="322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b w:val="1"/>
                <w:bCs w:val="1"/>
                <w:color w:val="auto"/>
              </w:rPr>
              <w:t>Recognized in Net Income</w:t>
            </w:r>
          </w:p>
        </w:tc>
        <w:tc>
          <w:tcPr>
            <w:tcW w:w="200" w:type="dxa"/>
            <w:vAlign w:val="bottom"/>
            <w:tcBorders>
              <w:bottom w:val="single" w:sz="8" w:color="auto"/>
            </w:tcBorders>
            <w:vMerge w:val="continue"/>
            <w:shd w:val="clear" w:color="auto" w:fill="CCEEFF"/>
          </w:tcPr>
          <w:p>
            <w:pPr>
              <w:spacing w:after="0"/>
              <w:rPr>
                <w:sz w:val="20"/>
                <w:szCs w:val="20"/>
                <w:color w:val="auto"/>
              </w:rPr>
            </w:pPr>
          </w:p>
        </w:tc>
        <w:tc>
          <w:tcPr>
            <w:tcW w:w="120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vMerge w:val="continue"/>
            <w:shd w:val="clear" w:color="auto" w:fill="CCEEFF"/>
          </w:tcPr>
          <w:p>
            <w:pPr>
              <w:spacing w:after="0"/>
              <w:rPr>
                <w:sz w:val="20"/>
                <w:szCs w:val="20"/>
                <w:color w:val="auto"/>
              </w:rPr>
            </w:pPr>
          </w:p>
        </w:tc>
        <w:tc>
          <w:tcPr>
            <w:tcW w:w="120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vMerge w:val="continue"/>
            <w:shd w:val="clear" w:color="auto" w:fill="CCEEFF"/>
          </w:tcPr>
          <w:p>
            <w:pPr>
              <w:spacing w:after="0"/>
              <w:rPr>
                <w:sz w:val="20"/>
                <w:szCs w:val="20"/>
                <w:color w:val="auto"/>
              </w:rPr>
            </w:pPr>
          </w:p>
        </w:tc>
        <w:tc>
          <w:tcPr>
            <w:tcW w:w="78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right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vMerge w:val="continue"/>
            <w:shd w:val="clear" w:color="auto" w:fill="CCEEFF"/>
          </w:tcPr>
          <w:p>
            <w:pPr>
              <w:spacing w:after="0"/>
              <w:rPr>
                <w:sz w:val="20"/>
                <w:szCs w:val="20"/>
                <w:color w:val="auto"/>
              </w:rPr>
            </w:pPr>
          </w:p>
        </w:tc>
        <w:tc>
          <w:tcPr>
            <w:tcW w:w="118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vMerge w:val="continue"/>
            <w:shd w:val="clear" w:color="auto" w:fill="CCEEFF"/>
          </w:tcPr>
          <w:p>
            <w:pPr>
              <w:spacing w:after="0"/>
              <w:rPr>
                <w:sz w:val="20"/>
                <w:szCs w:val="20"/>
                <w:color w:val="auto"/>
              </w:rPr>
            </w:pPr>
          </w:p>
        </w:tc>
        <w:tc>
          <w:tcPr>
            <w:tcW w:w="120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vMerge w:val="continue"/>
            <w:shd w:val="clear" w:color="auto" w:fill="CCEEFF"/>
          </w:tcPr>
          <w:p>
            <w:pPr>
              <w:spacing w:after="0"/>
              <w:rPr>
                <w:sz w:val="20"/>
                <w:szCs w:val="20"/>
                <w:color w:val="auto"/>
              </w:rPr>
            </w:pPr>
          </w:p>
        </w:tc>
        <w:tc>
          <w:tcPr>
            <w:tcW w:w="78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3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jc w:val="right"/>
              <w:ind w:right="195"/>
              <w:spacing w:after="0"/>
              <w:rPr>
                <w:sz w:val="20"/>
                <w:szCs w:val="20"/>
                <w:color w:val="auto"/>
              </w:rPr>
            </w:pPr>
            <w:r>
              <w:rPr>
                <w:rFonts w:ascii="Arial" w:cs="Arial" w:eastAsia="Arial" w:hAnsi="Arial"/>
                <w:sz w:val="18"/>
                <w:szCs w:val="18"/>
                <w:color w:val="auto"/>
              </w:rPr>
              <w:t>24</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24" w:name="page25"/>
    <w:bookmarkEnd w:id="2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27" w:lineRule="exact"/>
        <w:rPr>
          <w:sz w:val="20"/>
          <w:szCs w:val="20"/>
          <w:color w:val="auto"/>
        </w:rPr>
      </w:pPr>
    </w:p>
    <w:tbl>
      <w:tblPr>
        <w:tblLayout w:type="fixed"/>
        <w:tblInd w:w="60" w:type="dxa"/>
        <w:tblCellMar>
          <w:top w:w="0" w:type="dxa"/>
          <w:left w:w="0" w:type="dxa"/>
          <w:bottom w:w="0" w:type="dxa"/>
          <w:right w:w="0" w:type="dxa"/>
        </w:tblCellMar>
      </w:tblPr>
      <w:tr>
        <w:trPr>
          <w:trHeight w:val="192"/>
        </w:trPr>
        <w:tc>
          <w:tcPr>
            <w:tcW w:w="3180" w:type="dxa"/>
            <w:vAlign w:val="bottom"/>
          </w:tcPr>
          <w:p>
            <w:pPr>
              <w:spacing w:after="0"/>
              <w:rPr>
                <w:sz w:val="16"/>
                <w:szCs w:val="16"/>
                <w:color w:val="auto"/>
              </w:rPr>
            </w:pPr>
          </w:p>
        </w:tc>
        <w:tc>
          <w:tcPr>
            <w:tcW w:w="3160" w:type="dxa"/>
            <w:vAlign w:val="bottom"/>
            <w:tcBorders>
              <w:bottom w:val="single" w:sz="8" w:color="auto"/>
            </w:tcBorders>
            <w:gridSpan w:val="2"/>
          </w:tcPr>
          <w:p>
            <w:pPr>
              <w:ind w:left="1000"/>
              <w:spacing w:after="0"/>
              <w:rPr>
                <w:sz w:val="20"/>
                <w:szCs w:val="20"/>
                <w:color w:val="auto"/>
              </w:rPr>
            </w:pPr>
            <w:r>
              <w:rPr>
                <w:rFonts w:ascii="Arial" w:cs="Arial" w:eastAsia="Arial" w:hAnsi="Arial"/>
                <w:sz w:val="14"/>
                <w:szCs w:val="14"/>
                <w:b w:val="1"/>
                <w:bCs w:val="1"/>
                <w:color w:val="auto"/>
                <w:w w:val="98"/>
              </w:rPr>
              <w:t>Six Months Ended June 30, 2018</w:t>
            </w:r>
          </w:p>
        </w:tc>
        <w:tc>
          <w:tcPr>
            <w:tcW w:w="80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3140" w:type="dxa"/>
            <w:vAlign w:val="bottom"/>
            <w:tcBorders>
              <w:bottom w:val="single" w:sz="8" w:color="auto"/>
            </w:tcBorders>
            <w:gridSpan w:val="2"/>
          </w:tcPr>
          <w:p>
            <w:pPr>
              <w:ind w:left="980"/>
              <w:spacing w:after="0"/>
              <w:rPr>
                <w:sz w:val="20"/>
                <w:szCs w:val="20"/>
                <w:color w:val="auto"/>
              </w:rPr>
            </w:pPr>
            <w:r>
              <w:rPr>
                <w:rFonts w:ascii="Arial" w:cs="Arial" w:eastAsia="Arial" w:hAnsi="Arial"/>
                <w:sz w:val="14"/>
                <w:szCs w:val="14"/>
                <w:b w:val="1"/>
                <w:bCs w:val="1"/>
                <w:color w:val="auto"/>
                <w:w w:val="98"/>
              </w:rPr>
              <w:t>Six Months Ended June 30, 2017</w:t>
            </w:r>
          </w:p>
        </w:tc>
        <w:tc>
          <w:tcPr>
            <w:tcW w:w="8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180" w:type="dxa"/>
            <w:vAlign w:val="bottom"/>
          </w:tcPr>
          <w:p>
            <w:pPr>
              <w:spacing w:after="0"/>
              <w:rPr>
                <w:sz w:val="13"/>
                <w:szCs w:val="13"/>
                <w:color w:val="auto"/>
              </w:rPr>
            </w:pPr>
          </w:p>
        </w:tc>
        <w:tc>
          <w:tcPr>
            <w:tcW w:w="140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4"/>
              </w:rPr>
              <w:t>Derivatives in</w:t>
            </w:r>
          </w:p>
        </w:tc>
        <w:tc>
          <w:tcPr>
            <w:tcW w:w="1760" w:type="dxa"/>
            <w:vAlign w:val="bottom"/>
          </w:tcPr>
          <w:p>
            <w:pPr>
              <w:jc w:val="center"/>
              <w:ind w:right="148"/>
              <w:spacing w:after="0" w:line="153" w:lineRule="exact"/>
              <w:rPr>
                <w:sz w:val="20"/>
                <w:szCs w:val="20"/>
                <w:color w:val="auto"/>
              </w:rPr>
            </w:pPr>
            <w:r>
              <w:rPr>
                <w:rFonts w:ascii="Arial" w:cs="Arial" w:eastAsia="Arial" w:hAnsi="Arial"/>
                <w:sz w:val="14"/>
                <w:szCs w:val="14"/>
                <w:b w:val="1"/>
                <w:bCs w:val="1"/>
                <w:color w:val="auto"/>
                <w:w w:val="93"/>
              </w:rPr>
              <w:t>Derivatives</w:t>
            </w:r>
          </w:p>
        </w:tc>
        <w:tc>
          <w:tcPr>
            <w:tcW w:w="8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2"/>
              </w:rPr>
              <w:t>Derivatives in</w:t>
            </w:r>
          </w:p>
        </w:tc>
        <w:tc>
          <w:tcPr>
            <w:tcW w:w="1740" w:type="dxa"/>
            <w:vAlign w:val="bottom"/>
          </w:tcPr>
          <w:p>
            <w:pPr>
              <w:jc w:val="center"/>
              <w:ind w:right="168"/>
              <w:spacing w:after="0" w:line="153" w:lineRule="exact"/>
              <w:rPr>
                <w:sz w:val="20"/>
                <w:szCs w:val="20"/>
                <w:color w:val="auto"/>
              </w:rPr>
            </w:pPr>
            <w:r>
              <w:rPr>
                <w:rFonts w:ascii="Arial" w:cs="Arial" w:eastAsia="Arial" w:hAnsi="Arial"/>
                <w:sz w:val="14"/>
                <w:szCs w:val="14"/>
                <w:b w:val="1"/>
                <w:bCs w:val="1"/>
                <w:color w:val="auto"/>
                <w:w w:val="93"/>
              </w:rPr>
              <w:t>Derivatives</w:t>
            </w: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180" w:type="dxa"/>
            <w:vAlign w:val="bottom"/>
            <w:vMerge w:val="restart"/>
          </w:tcPr>
          <w:p>
            <w:pPr>
              <w:spacing w:after="0"/>
              <w:rPr>
                <w:sz w:val="20"/>
                <w:szCs w:val="20"/>
                <w:color w:val="auto"/>
              </w:rPr>
            </w:pPr>
            <w:r>
              <w:rPr>
                <w:rFonts w:ascii="Arial" w:cs="Arial" w:eastAsia="Arial" w:hAnsi="Arial"/>
                <w:sz w:val="14"/>
                <w:szCs w:val="14"/>
                <w:b w:val="1"/>
                <w:bCs w:val="1"/>
                <w:color w:val="auto"/>
              </w:rPr>
              <w:t>Location of Gain/(Loss)</w:t>
            </w:r>
          </w:p>
        </w:tc>
        <w:tc>
          <w:tcPr>
            <w:tcW w:w="14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Hedging</w:t>
            </w:r>
          </w:p>
        </w:tc>
        <w:tc>
          <w:tcPr>
            <w:tcW w:w="1760" w:type="dxa"/>
            <w:vAlign w:val="bottom"/>
          </w:tcPr>
          <w:p>
            <w:pPr>
              <w:jc w:val="center"/>
              <w:ind w:right="148"/>
              <w:spacing w:after="0" w:line="149" w:lineRule="exact"/>
              <w:rPr>
                <w:sz w:val="20"/>
                <w:szCs w:val="20"/>
                <w:color w:val="auto"/>
              </w:rPr>
            </w:pPr>
            <w:r>
              <w:rPr>
                <w:rFonts w:ascii="Arial" w:cs="Arial" w:eastAsia="Arial" w:hAnsi="Arial"/>
                <w:sz w:val="14"/>
                <w:szCs w:val="14"/>
                <w:b w:val="1"/>
                <w:bCs w:val="1"/>
                <w:color w:val="auto"/>
                <w:w w:val="91"/>
              </w:rPr>
              <w:t>Not Designated</w:t>
            </w:r>
          </w:p>
        </w:tc>
        <w:tc>
          <w:tcPr>
            <w:tcW w:w="104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Total</w:t>
            </w:r>
          </w:p>
        </w:tc>
        <w:tc>
          <w:tcPr>
            <w:tcW w:w="14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Hedging</w:t>
            </w:r>
          </w:p>
        </w:tc>
        <w:tc>
          <w:tcPr>
            <w:tcW w:w="1740" w:type="dxa"/>
            <w:vAlign w:val="bottom"/>
          </w:tcPr>
          <w:p>
            <w:pPr>
              <w:jc w:val="center"/>
              <w:ind w:right="168"/>
              <w:spacing w:after="0" w:line="149" w:lineRule="exact"/>
              <w:rPr>
                <w:sz w:val="20"/>
                <w:szCs w:val="20"/>
                <w:color w:val="auto"/>
              </w:rPr>
            </w:pPr>
            <w:r>
              <w:rPr>
                <w:rFonts w:ascii="Arial" w:cs="Arial" w:eastAsia="Arial" w:hAnsi="Arial"/>
                <w:sz w:val="14"/>
                <w:szCs w:val="14"/>
                <w:b w:val="1"/>
                <w:bCs w:val="1"/>
                <w:color w:val="auto"/>
                <w:w w:val="91"/>
              </w:rPr>
              <w:t>Not Designated</w:t>
            </w:r>
          </w:p>
        </w:tc>
        <w:tc>
          <w:tcPr>
            <w:tcW w:w="820" w:type="dxa"/>
            <w:vAlign w:val="bottom"/>
            <w:vMerge w:val="restart"/>
          </w:tcPr>
          <w:p>
            <w:pPr>
              <w:ind w:left="1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6"/>
        </w:trPr>
        <w:tc>
          <w:tcPr>
            <w:tcW w:w="3180" w:type="dxa"/>
            <w:vAlign w:val="bottom"/>
            <w:vMerge w:val="continue"/>
          </w:tcPr>
          <w:p>
            <w:pPr>
              <w:spacing w:after="0"/>
              <w:rPr>
                <w:sz w:val="16"/>
                <w:szCs w:val="16"/>
                <w:color w:val="auto"/>
              </w:rPr>
            </w:pPr>
          </w:p>
        </w:tc>
        <w:tc>
          <w:tcPr>
            <w:tcW w:w="1400" w:type="dxa"/>
            <w:vAlign w:val="bottom"/>
          </w:tcPr>
          <w:p>
            <w:pPr>
              <w:jc w:val="center"/>
              <w:spacing w:after="0"/>
              <w:rPr>
                <w:sz w:val="20"/>
                <w:szCs w:val="20"/>
                <w:color w:val="auto"/>
              </w:rPr>
            </w:pPr>
            <w:r>
              <w:rPr>
                <w:rFonts w:ascii="Arial" w:cs="Arial" w:eastAsia="Arial" w:hAnsi="Arial"/>
                <w:sz w:val="14"/>
                <w:szCs w:val="14"/>
                <w:b w:val="1"/>
                <w:bCs w:val="1"/>
                <w:color w:val="auto"/>
                <w:w w:val="91"/>
              </w:rPr>
              <w:t>Relationships</w:t>
            </w:r>
          </w:p>
        </w:tc>
        <w:tc>
          <w:tcPr>
            <w:tcW w:w="1760" w:type="dxa"/>
            <w:vAlign w:val="bottom"/>
          </w:tcPr>
          <w:p>
            <w:pPr>
              <w:jc w:val="center"/>
              <w:ind w:right="148"/>
              <w:spacing w:after="0"/>
              <w:rPr>
                <w:sz w:val="20"/>
                <w:szCs w:val="20"/>
                <w:color w:val="auto"/>
              </w:rPr>
            </w:pPr>
            <w:r>
              <w:rPr>
                <w:rFonts w:ascii="Arial" w:cs="Arial" w:eastAsia="Arial" w:hAnsi="Arial"/>
                <w:sz w:val="14"/>
                <w:szCs w:val="14"/>
                <w:b w:val="1"/>
                <w:bCs w:val="1"/>
                <w:color w:val="auto"/>
                <w:w w:val="89"/>
              </w:rPr>
              <w:t>as a Hedge</w:t>
            </w:r>
          </w:p>
        </w:tc>
        <w:tc>
          <w:tcPr>
            <w:tcW w:w="1040" w:type="dxa"/>
            <w:vAlign w:val="bottom"/>
            <w:gridSpan w:val="2"/>
            <w:vMerge w:val="continue"/>
          </w:tcPr>
          <w:p>
            <w:pPr>
              <w:spacing w:after="0"/>
              <w:rPr>
                <w:sz w:val="16"/>
                <w:szCs w:val="16"/>
                <w:color w:val="auto"/>
              </w:rPr>
            </w:pPr>
          </w:p>
        </w:tc>
        <w:tc>
          <w:tcPr>
            <w:tcW w:w="1400" w:type="dxa"/>
            <w:vAlign w:val="bottom"/>
          </w:tcPr>
          <w:p>
            <w:pPr>
              <w:jc w:val="center"/>
              <w:spacing w:after="0"/>
              <w:rPr>
                <w:sz w:val="20"/>
                <w:szCs w:val="20"/>
                <w:color w:val="auto"/>
              </w:rPr>
            </w:pPr>
            <w:r>
              <w:rPr>
                <w:rFonts w:ascii="Arial" w:cs="Arial" w:eastAsia="Arial" w:hAnsi="Arial"/>
                <w:sz w:val="14"/>
                <w:szCs w:val="14"/>
                <w:b w:val="1"/>
                <w:bCs w:val="1"/>
                <w:color w:val="auto"/>
                <w:w w:val="91"/>
              </w:rPr>
              <w:t>Relationships</w:t>
            </w:r>
          </w:p>
        </w:tc>
        <w:tc>
          <w:tcPr>
            <w:tcW w:w="1740" w:type="dxa"/>
            <w:vAlign w:val="bottom"/>
          </w:tcPr>
          <w:p>
            <w:pPr>
              <w:jc w:val="center"/>
              <w:ind w:right="168"/>
              <w:spacing w:after="0"/>
              <w:rPr>
                <w:sz w:val="20"/>
                <w:szCs w:val="20"/>
                <w:color w:val="auto"/>
              </w:rPr>
            </w:pPr>
            <w:r>
              <w:rPr>
                <w:rFonts w:ascii="Arial" w:cs="Arial" w:eastAsia="Arial" w:hAnsi="Arial"/>
                <w:sz w:val="14"/>
                <w:szCs w:val="14"/>
                <w:b w:val="1"/>
                <w:bCs w:val="1"/>
                <w:color w:val="auto"/>
                <w:w w:val="89"/>
              </w:rPr>
              <w:t>as a Hedge</w:t>
            </w:r>
          </w:p>
        </w:tc>
        <w:tc>
          <w:tcPr>
            <w:tcW w:w="8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7620</wp:posOffset>
            </wp:positionV>
            <wp:extent cx="7212330" cy="41935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12330" cy="4193540"/>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p>
      <w:pPr>
        <w:spacing w:after="0" w:line="34" w:lineRule="exact"/>
        <w:rPr>
          <w:sz w:val="20"/>
          <w:szCs w:val="20"/>
          <w:color w:val="auto"/>
        </w:rPr>
      </w:pPr>
    </w:p>
    <w:tbl>
      <w:tblPr>
        <w:tblLayout w:type="fixed"/>
        <w:tblInd w:w="60" w:type="dxa"/>
        <w:tblCellMar>
          <w:top w:w="0" w:type="dxa"/>
          <w:left w:w="0" w:type="dxa"/>
          <w:bottom w:w="0" w:type="dxa"/>
          <w:right w:w="0" w:type="dxa"/>
        </w:tblCellMar>
      </w:tblPr>
      <w:tr>
        <w:trPr>
          <w:trHeight w:val="234"/>
        </w:trPr>
        <w:tc>
          <w:tcPr>
            <w:tcW w:w="3180" w:type="dxa"/>
            <w:vAlign w:val="bottom"/>
          </w:tcPr>
          <w:p>
            <w:pPr>
              <w:spacing w:after="0"/>
              <w:rPr>
                <w:sz w:val="20"/>
                <w:szCs w:val="20"/>
                <w:color w:val="auto"/>
              </w:rPr>
            </w:pPr>
            <w:r>
              <w:rPr>
                <w:rFonts w:ascii="Arial" w:cs="Arial" w:eastAsia="Arial" w:hAnsi="Arial"/>
                <w:sz w:val="18"/>
                <w:szCs w:val="18"/>
                <w:b w:val="1"/>
                <w:bCs w:val="1"/>
                <w:color w:val="auto"/>
              </w:rPr>
              <w:t>Commodity Derivatives</w:t>
            </w:r>
          </w:p>
        </w:tc>
        <w:tc>
          <w:tcPr>
            <w:tcW w:w="6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94"/>
        </w:trPr>
        <w:tc>
          <w:tcPr>
            <w:tcW w:w="3180" w:type="dxa"/>
            <w:vAlign w:val="bottom"/>
          </w:tcPr>
          <w:p>
            <w:pPr>
              <w:ind w:left="140"/>
              <w:spacing w:after="0"/>
              <w:rPr>
                <w:sz w:val="20"/>
                <w:szCs w:val="20"/>
                <w:color w:val="auto"/>
              </w:rPr>
            </w:pPr>
            <w:r>
              <w:rPr>
                <w:rFonts w:ascii="Arial" w:cs="Arial" w:eastAsia="Arial" w:hAnsi="Arial"/>
                <w:sz w:val="18"/>
                <w:szCs w:val="18"/>
                <w:color w:val="auto"/>
                <w:w w:val="94"/>
              </w:rPr>
              <w:t>Supply and Logistics segment revenues</w:t>
            </w:r>
          </w:p>
        </w:tc>
        <w:tc>
          <w:tcPr>
            <w:tcW w:w="600" w:type="dxa"/>
            <w:vAlign w:val="bottom"/>
          </w:tcPr>
          <w:p>
            <w:pPr>
              <w:jc w:val="right"/>
              <w:ind w:right="39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594"/>
        </w:trPr>
        <w:tc>
          <w:tcPr>
            <w:tcW w:w="3180" w:type="dxa"/>
            <w:vAlign w:val="bottom"/>
          </w:tcPr>
          <w:p>
            <w:pPr>
              <w:ind w:left="140"/>
              <w:spacing w:after="0"/>
              <w:rPr>
                <w:sz w:val="20"/>
                <w:szCs w:val="20"/>
                <w:color w:val="auto"/>
              </w:rPr>
            </w:pPr>
            <w:r>
              <w:rPr>
                <w:rFonts w:ascii="Arial" w:cs="Arial" w:eastAsia="Arial" w:hAnsi="Arial"/>
                <w:sz w:val="18"/>
                <w:szCs w:val="18"/>
                <w:color w:val="auto"/>
              </w:rPr>
              <w:t>Field operating costs</w:t>
            </w:r>
          </w:p>
        </w:tc>
        <w:tc>
          <w:tcPr>
            <w:tcW w:w="600" w:type="dxa"/>
            <w:vAlign w:val="bottom"/>
          </w:tcPr>
          <w:p>
            <w:pPr>
              <w:spacing w:after="0"/>
              <w:rPr>
                <w:sz w:val="24"/>
                <w:szCs w:val="24"/>
                <w:color w:val="auto"/>
              </w:rPr>
            </w:pPr>
          </w:p>
        </w:tc>
        <w:tc>
          <w:tcPr>
            <w:tcW w:w="7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94"/>
        </w:trPr>
        <w:tc>
          <w:tcPr>
            <w:tcW w:w="3180" w:type="dxa"/>
            <w:vAlign w:val="bottom"/>
          </w:tcPr>
          <w:p>
            <w:pPr>
              <w:ind w:left="140"/>
              <w:spacing w:after="0"/>
              <w:rPr>
                <w:sz w:val="20"/>
                <w:szCs w:val="20"/>
                <w:color w:val="auto"/>
              </w:rPr>
            </w:pPr>
            <w:r>
              <w:rPr>
                <w:rFonts w:ascii="Arial" w:cs="Arial" w:eastAsia="Arial" w:hAnsi="Arial"/>
                <w:sz w:val="18"/>
                <w:szCs w:val="18"/>
                <w:color w:val="auto"/>
              </w:rPr>
              <w:t>Depreciation and amortization</w:t>
            </w:r>
          </w:p>
        </w:tc>
        <w:tc>
          <w:tcPr>
            <w:tcW w:w="600" w:type="dxa"/>
            <w:vAlign w:val="bottom"/>
          </w:tcPr>
          <w:p>
            <w:pPr>
              <w:spacing w:after="0"/>
              <w:rPr>
                <w:sz w:val="24"/>
                <w:szCs w:val="24"/>
                <w:color w:val="auto"/>
              </w:rPr>
            </w:pPr>
          </w:p>
        </w:tc>
        <w:tc>
          <w:tcPr>
            <w:tcW w:w="7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7"/>
        </w:trPr>
        <w:tc>
          <w:tcPr>
            <w:tcW w:w="3180" w:type="dxa"/>
            <w:vAlign w:val="bottom"/>
          </w:tcPr>
          <w:p>
            <w:pPr>
              <w:spacing w:after="0"/>
              <w:rPr>
                <w:sz w:val="20"/>
                <w:szCs w:val="20"/>
                <w:color w:val="auto"/>
              </w:rPr>
            </w:pPr>
            <w:r>
              <w:rPr>
                <w:rFonts w:ascii="Arial" w:cs="Arial" w:eastAsia="Arial" w:hAnsi="Arial"/>
                <w:sz w:val="18"/>
                <w:szCs w:val="18"/>
                <w:b w:val="1"/>
                <w:bCs w:val="1"/>
                <w:color w:val="auto"/>
              </w:rPr>
              <w:t>Interest Rate Derivatives</w:t>
            </w:r>
          </w:p>
        </w:tc>
        <w:tc>
          <w:tcPr>
            <w:tcW w:w="6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94"/>
        </w:trPr>
        <w:tc>
          <w:tcPr>
            <w:tcW w:w="3180" w:type="dxa"/>
            <w:vAlign w:val="bottom"/>
          </w:tcPr>
          <w:p>
            <w:pPr>
              <w:ind w:left="140"/>
              <w:spacing w:after="0"/>
              <w:rPr>
                <w:sz w:val="20"/>
                <w:szCs w:val="20"/>
                <w:color w:val="auto"/>
              </w:rPr>
            </w:pPr>
            <w:r>
              <w:rPr>
                <w:rFonts w:ascii="Arial" w:cs="Arial" w:eastAsia="Arial" w:hAnsi="Arial"/>
                <w:sz w:val="18"/>
                <w:szCs w:val="18"/>
                <w:color w:val="auto"/>
              </w:rPr>
              <w:t>Interest expense, net</w:t>
            </w:r>
          </w:p>
        </w:tc>
        <w:tc>
          <w:tcPr>
            <w:tcW w:w="60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w:t>
            </w: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7"/>
        </w:trPr>
        <w:tc>
          <w:tcPr>
            <w:tcW w:w="3180" w:type="dxa"/>
            <w:vAlign w:val="bottom"/>
          </w:tcPr>
          <w:p>
            <w:pPr>
              <w:spacing w:after="0"/>
              <w:rPr>
                <w:sz w:val="20"/>
                <w:szCs w:val="20"/>
                <w:color w:val="auto"/>
              </w:rPr>
            </w:pPr>
            <w:r>
              <w:rPr>
                <w:rFonts w:ascii="Arial" w:cs="Arial" w:eastAsia="Arial" w:hAnsi="Arial"/>
                <w:sz w:val="18"/>
                <w:szCs w:val="18"/>
                <w:b w:val="1"/>
                <w:bCs w:val="1"/>
                <w:color w:val="auto"/>
              </w:rPr>
              <w:t>Foreign Currency Derivatives</w:t>
            </w:r>
          </w:p>
        </w:tc>
        <w:tc>
          <w:tcPr>
            <w:tcW w:w="6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94"/>
        </w:trPr>
        <w:tc>
          <w:tcPr>
            <w:tcW w:w="3180" w:type="dxa"/>
            <w:vAlign w:val="bottom"/>
          </w:tcPr>
          <w:p>
            <w:pPr>
              <w:ind w:left="140"/>
              <w:spacing w:after="0"/>
              <w:rPr>
                <w:sz w:val="20"/>
                <w:szCs w:val="20"/>
                <w:color w:val="auto"/>
              </w:rPr>
            </w:pPr>
            <w:r>
              <w:rPr>
                <w:rFonts w:ascii="Arial" w:cs="Arial" w:eastAsia="Arial" w:hAnsi="Arial"/>
                <w:sz w:val="18"/>
                <w:szCs w:val="18"/>
                <w:color w:val="auto"/>
                <w:w w:val="94"/>
              </w:rPr>
              <w:t>Supply and Logistics segment revenues</w:t>
            </w:r>
          </w:p>
        </w:tc>
        <w:tc>
          <w:tcPr>
            <w:tcW w:w="600" w:type="dxa"/>
            <w:vAlign w:val="bottom"/>
          </w:tcPr>
          <w:p>
            <w:pPr>
              <w:spacing w:after="0"/>
              <w:rPr>
                <w:sz w:val="24"/>
                <w:szCs w:val="24"/>
                <w:color w:val="auto"/>
              </w:rPr>
            </w:pPr>
          </w:p>
        </w:tc>
        <w:tc>
          <w:tcPr>
            <w:tcW w:w="7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76"/>
        </w:trPr>
        <w:tc>
          <w:tcPr>
            <w:tcW w:w="3180" w:type="dxa"/>
            <w:vAlign w:val="bottom"/>
          </w:tcPr>
          <w:p>
            <w:pPr>
              <w:spacing w:after="0"/>
              <w:rPr>
                <w:sz w:val="20"/>
                <w:szCs w:val="20"/>
                <w:color w:val="auto"/>
              </w:rPr>
            </w:pPr>
            <w:r>
              <w:rPr>
                <w:rFonts w:ascii="Arial" w:cs="Arial" w:eastAsia="Arial" w:hAnsi="Arial"/>
                <w:sz w:val="18"/>
                <w:szCs w:val="18"/>
                <w:b w:val="1"/>
                <w:bCs w:val="1"/>
                <w:color w:val="auto"/>
              </w:rPr>
              <w:t>Preferred Distribution Rate Reset</w:t>
            </w:r>
          </w:p>
        </w:tc>
        <w:tc>
          <w:tcPr>
            <w:tcW w:w="6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3180" w:type="dxa"/>
            <w:vAlign w:val="bottom"/>
          </w:tcPr>
          <w:p>
            <w:pPr>
              <w:ind w:left="160"/>
              <w:spacing w:after="0"/>
              <w:rPr>
                <w:sz w:val="20"/>
                <w:szCs w:val="20"/>
                <w:color w:val="auto"/>
              </w:rPr>
            </w:pPr>
            <w:r>
              <w:rPr>
                <w:rFonts w:ascii="Arial" w:cs="Arial" w:eastAsia="Arial" w:hAnsi="Arial"/>
                <w:sz w:val="18"/>
                <w:szCs w:val="18"/>
                <w:b w:val="1"/>
                <w:bCs w:val="1"/>
                <w:color w:val="auto"/>
              </w:rPr>
              <w:t>Option</w:t>
            </w:r>
          </w:p>
        </w:tc>
        <w:tc>
          <w:tcPr>
            <w:tcW w:w="6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94"/>
        </w:trPr>
        <w:tc>
          <w:tcPr>
            <w:tcW w:w="3180" w:type="dxa"/>
            <w:vAlign w:val="bottom"/>
          </w:tcPr>
          <w:p>
            <w:pPr>
              <w:ind w:left="140"/>
              <w:spacing w:after="0"/>
              <w:rPr>
                <w:sz w:val="20"/>
                <w:szCs w:val="20"/>
                <w:color w:val="auto"/>
              </w:rPr>
            </w:pPr>
            <w:r>
              <w:rPr>
                <w:rFonts w:ascii="Arial" w:cs="Arial" w:eastAsia="Arial" w:hAnsi="Arial"/>
                <w:sz w:val="18"/>
                <w:szCs w:val="18"/>
                <w:color w:val="auto"/>
              </w:rPr>
              <w:t>Other income/(expense), net</w:t>
            </w:r>
          </w:p>
        </w:tc>
        <w:tc>
          <w:tcPr>
            <w:tcW w:w="600" w:type="dxa"/>
            <w:vAlign w:val="bottom"/>
          </w:tcPr>
          <w:p>
            <w:pPr>
              <w:spacing w:after="0"/>
              <w:rPr>
                <w:sz w:val="24"/>
                <w:szCs w:val="24"/>
                <w:color w:val="auto"/>
              </w:rPr>
            </w:pPr>
          </w:p>
        </w:tc>
        <w:tc>
          <w:tcPr>
            <w:tcW w:w="7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3180" w:type="dxa"/>
            <w:vAlign w:val="bottom"/>
            <w:vMerge w:val="restart"/>
          </w:tcPr>
          <w:p>
            <w:pPr>
              <w:spacing w:after="0"/>
              <w:rPr>
                <w:sz w:val="20"/>
                <w:szCs w:val="20"/>
                <w:color w:val="auto"/>
              </w:rPr>
            </w:pPr>
            <w:r>
              <w:rPr>
                <w:rFonts w:ascii="Arial" w:cs="Arial" w:eastAsia="Arial" w:hAnsi="Arial"/>
                <w:sz w:val="18"/>
                <w:szCs w:val="18"/>
                <w:b w:val="1"/>
                <w:bCs w:val="1"/>
                <w:color w:val="auto"/>
              </w:rPr>
              <w:t>Total Gain/(Loss) on Derivatives</w:t>
            </w:r>
          </w:p>
        </w:tc>
        <w:tc>
          <w:tcPr>
            <w:tcW w:w="6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5"/>
        </w:trPr>
        <w:tc>
          <w:tcPr>
            <w:tcW w:w="3180" w:type="dxa"/>
            <w:vAlign w:val="bottom"/>
            <w:vMerge w:val="continue"/>
          </w:tcPr>
          <w:p>
            <w:pPr>
              <w:spacing w:after="0"/>
              <w:rPr>
                <w:sz w:val="17"/>
                <w:szCs w:val="17"/>
                <w:color w:val="auto"/>
              </w:rPr>
            </w:pPr>
          </w:p>
        </w:tc>
        <w:tc>
          <w:tcPr>
            <w:tcW w:w="600" w:type="dxa"/>
            <w:vAlign w:val="bottom"/>
            <w:vMerge w:val="restart"/>
          </w:tcPr>
          <w:p>
            <w:pPr>
              <w:jc w:val="right"/>
              <w:ind w:right="390"/>
              <w:spacing w:after="0"/>
              <w:rPr>
                <w:sz w:val="20"/>
                <w:szCs w:val="20"/>
                <w:color w:val="auto"/>
              </w:rPr>
            </w:pPr>
            <w:r>
              <w:rPr>
                <w:rFonts w:ascii="Arial" w:cs="Arial" w:eastAsia="Arial" w:hAnsi="Arial"/>
                <w:sz w:val="18"/>
                <w:szCs w:val="18"/>
                <w:color w:val="auto"/>
                <w:w w:val="99"/>
              </w:rPr>
              <w:t>$</w:t>
            </w: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(1)</w:t>
            </w:r>
          </w:p>
        </w:tc>
        <w:tc>
          <w:tcPr>
            <w:tcW w:w="22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6"/>
        </w:trPr>
        <w:tc>
          <w:tcPr>
            <w:tcW w:w="3180" w:type="dxa"/>
            <w:vAlign w:val="bottom"/>
          </w:tcPr>
          <w:p>
            <w:pPr>
              <w:ind w:left="160"/>
              <w:spacing w:after="0"/>
              <w:rPr>
                <w:sz w:val="20"/>
                <w:szCs w:val="20"/>
                <w:color w:val="auto"/>
              </w:rPr>
            </w:pPr>
            <w:r>
              <w:rPr>
                <w:rFonts w:ascii="Arial" w:cs="Arial" w:eastAsia="Arial" w:hAnsi="Arial"/>
                <w:sz w:val="18"/>
                <w:szCs w:val="18"/>
                <w:b w:val="1"/>
                <w:bCs w:val="1"/>
                <w:color w:val="auto"/>
              </w:rPr>
              <w:t>Recognized in Net Income</w:t>
            </w:r>
          </w:p>
        </w:tc>
        <w:tc>
          <w:tcPr>
            <w:tcW w:w="600" w:type="dxa"/>
            <w:vAlign w:val="bottom"/>
            <w:tcBorders>
              <w:bottom w:val="single" w:sz="8" w:color="auto"/>
            </w:tcBorders>
            <w:vMerge w:val="continue"/>
          </w:tcPr>
          <w:p>
            <w:pPr>
              <w:spacing w:after="0"/>
              <w:rPr>
                <w:sz w:val="20"/>
                <w:szCs w:val="20"/>
                <w:color w:val="auto"/>
              </w:rPr>
            </w:pPr>
          </w:p>
        </w:tc>
        <w:tc>
          <w:tcPr>
            <w:tcW w:w="780" w:type="dxa"/>
            <w:vAlign w:val="bottom"/>
            <w:tcBorders>
              <w:bottom w:val="single" w:sz="8" w:color="auto"/>
            </w:tcBorders>
            <w:vMerge w:val="continue"/>
          </w:tcPr>
          <w:p>
            <w:pPr>
              <w:spacing w:after="0"/>
              <w:rPr>
                <w:sz w:val="20"/>
                <w:szCs w:val="20"/>
                <w:color w:val="auto"/>
              </w:rPr>
            </w:pPr>
          </w:p>
        </w:tc>
        <w:tc>
          <w:tcPr>
            <w:tcW w:w="2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18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480" w:type="dxa"/>
            <w:vAlign w:val="bottom"/>
          </w:tcPr>
          <w:p>
            <w:pPr>
              <w:jc w:val="right"/>
              <w:spacing w:after="0"/>
              <w:rPr>
                <w:sz w:val="20"/>
                <w:szCs w:val="20"/>
                <w:color w:val="auto"/>
              </w:rPr>
            </w:pPr>
            <w:r>
              <w:rPr>
                <w:rFonts w:ascii="Arial" w:cs="Arial" w:eastAsia="Arial" w:hAnsi="Arial"/>
                <w:sz w:val="18"/>
                <w:szCs w:val="18"/>
                <w:color w:val="auto"/>
                <w:w w:val="90"/>
              </w:rPr>
              <w:t>(384)</w:t>
            </w:r>
          </w:p>
        </w:tc>
        <w:tc>
          <w:tcPr>
            <w:tcW w:w="42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70"/>
              <w:spacing w:after="0"/>
              <w:rPr>
                <w:sz w:val="20"/>
                <w:szCs w:val="20"/>
                <w:color w:val="auto"/>
              </w:rPr>
            </w:pPr>
            <w:r>
              <w:rPr>
                <w:rFonts w:ascii="Arial" w:cs="Arial" w:eastAsia="Arial" w:hAnsi="Arial"/>
                <w:sz w:val="18"/>
                <w:szCs w:val="18"/>
                <w:color w:val="auto"/>
              </w:rPr>
              <w:t>(384)</w:t>
            </w:r>
          </w:p>
        </w:tc>
        <w:tc>
          <w:tcPr>
            <w:tcW w:w="720" w:type="dxa"/>
            <w:vAlign w:val="bottom"/>
          </w:tcPr>
          <w:p>
            <w:pPr>
              <w:jc w:val="right"/>
              <w:ind w:right="390"/>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640" w:type="dxa"/>
            <w:vAlign w:val="bottom"/>
          </w:tcPr>
          <w:p>
            <w:pPr>
              <w:jc w:val="right"/>
              <w:ind w:right="35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70"/>
              <w:spacing w:after="0"/>
              <w:rPr>
                <w:sz w:val="20"/>
                <w:szCs w:val="20"/>
                <w:color w:val="auto"/>
              </w:rPr>
            </w:pPr>
            <w:r>
              <w:rPr>
                <w:rFonts w:ascii="Arial" w:cs="Arial" w:eastAsia="Arial" w:hAnsi="Arial"/>
                <w:sz w:val="18"/>
                <w:szCs w:val="18"/>
                <w:color w:val="auto"/>
              </w:rPr>
              <w:t>195</w:t>
            </w:r>
          </w:p>
        </w:tc>
        <w:tc>
          <w:tcPr>
            <w:tcW w:w="44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195</w:t>
            </w:r>
          </w:p>
        </w:tc>
      </w:tr>
      <w:tr>
        <w:trPr>
          <w:trHeight w:val="594"/>
        </w:trPr>
        <w:tc>
          <w:tcPr>
            <w:tcW w:w="480" w:type="dxa"/>
            <w:vAlign w:val="bottom"/>
          </w:tcPr>
          <w:p>
            <w:pPr>
              <w:jc w:val="right"/>
              <w:ind w:right="50"/>
              <w:spacing w:after="0"/>
              <w:rPr>
                <w:sz w:val="20"/>
                <w:szCs w:val="20"/>
                <w:color w:val="auto"/>
              </w:rPr>
            </w:pPr>
            <w:r>
              <w:rPr>
                <w:rFonts w:ascii="Arial" w:cs="Arial" w:eastAsia="Arial" w:hAnsi="Arial"/>
                <w:sz w:val="18"/>
                <w:szCs w:val="18"/>
                <w:color w:val="auto"/>
              </w:rPr>
              <w:t>1</w:t>
            </w:r>
          </w:p>
        </w:tc>
        <w:tc>
          <w:tcPr>
            <w:tcW w:w="420" w:type="dxa"/>
            <w:vAlign w:val="bottom"/>
          </w:tcPr>
          <w:p>
            <w:pPr>
              <w:spacing w:after="0"/>
              <w:rPr>
                <w:sz w:val="24"/>
                <w:szCs w:val="24"/>
                <w:color w:val="auto"/>
              </w:rPr>
            </w:pPr>
          </w:p>
        </w:tc>
        <w:tc>
          <w:tcPr>
            <w:tcW w:w="780" w:type="dxa"/>
            <w:vAlign w:val="bottom"/>
          </w:tcPr>
          <w:p>
            <w:pPr>
              <w:jc w:val="right"/>
              <w:ind w:right="130"/>
              <w:spacing w:after="0"/>
              <w:rPr>
                <w:sz w:val="20"/>
                <w:szCs w:val="20"/>
                <w:color w:val="auto"/>
              </w:rPr>
            </w:pPr>
            <w:r>
              <w:rPr>
                <w:rFonts w:ascii="Arial" w:cs="Arial" w:eastAsia="Arial" w:hAnsi="Arial"/>
                <w:sz w:val="18"/>
                <w:szCs w:val="18"/>
                <w:color w:val="auto"/>
              </w:rPr>
              <w:t>1</w:t>
            </w:r>
          </w:p>
        </w:tc>
        <w:tc>
          <w:tcPr>
            <w:tcW w:w="720" w:type="dxa"/>
            <w:vAlign w:val="bottom"/>
          </w:tcPr>
          <w:p>
            <w:pPr>
              <w:spacing w:after="0"/>
              <w:rPr>
                <w:sz w:val="24"/>
                <w:szCs w:val="24"/>
                <w:color w:val="auto"/>
              </w:rPr>
            </w:pPr>
          </w:p>
        </w:tc>
        <w:tc>
          <w:tcPr>
            <w:tcW w:w="7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640" w:type="dxa"/>
            <w:vAlign w:val="bottom"/>
          </w:tcPr>
          <w:p>
            <w:pPr>
              <w:spacing w:after="0"/>
              <w:rPr>
                <w:sz w:val="24"/>
                <w:szCs w:val="24"/>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(4)</w:t>
            </w:r>
          </w:p>
        </w:tc>
        <w:tc>
          <w:tcPr>
            <w:tcW w:w="44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594"/>
        </w:trPr>
        <w:tc>
          <w:tcPr>
            <w:tcW w:w="4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4"/>
                <w:szCs w:val="24"/>
                <w:color w:val="auto"/>
              </w:rPr>
            </w:pPr>
          </w:p>
        </w:tc>
        <w:tc>
          <w:tcPr>
            <w:tcW w:w="78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720" w:type="dxa"/>
            <w:vAlign w:val="bottom"/>
          </w:tcPr>
          <w:p>
            <w:pPr>
              <w:spacing w:after="0"/>
              <w:rPr>
                <w:sz w:val="24"/>
                <w:szCs w:val="24"/>
                <w:color w:val="auto"/>
              </w:rPr>
            </w:pPr>
          </w:p>
        </w:tc>
        <w:tc>
          <w:tcPr>
            <w:tcW w:w="1420" w:type="dxa"/>
            <w:vAlign w:val="bottom"/>
            <w:gridSpan w:val="2"/>
          </w:tcPr>
          <w:p>
            <w:pPr>
              <w:jc w:val="right"/>
              <w:ind w:right="610"/>
              <w:spacing w:after="0"/>
              <w:rPr>
                <w:sz w:val="20"/>
                <w:szCs w:val="20"/>
                <w:color w:val="auto"/>
              </w:rPr>
            </w:pPr>
            <w:r>
              <w:rPr>
                <w:rFonts w:ascii="Arial" w:cs="Arial" w:eastAsia="Arial" w:hAnsi="Arial"/>
                <w:sz w:val="18"/>
                <w:szCs w:val="18"/>
                <w:color w:val="auto"/>
              </w:rPr>
              <w:t>(3)</w:t>
            </w:r>
          </w:p>
        </w:tc>
        <w:tc>
          <w:tcPr>
            <w:tcW w:w="8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tbl>
      <w:tblPr>
        <w:tblLayout w:type="fixed"/>
        <w:tblInd w:w="160" w:type="dxa"/>
        <w:tblCellMar>
          <w:top w:w="0" w:type="dxa"/>
          <w:left w:w="0" w:type="dxa"/>
          <w:bottom w:w="0" w:type="dxa"/>
          <w:right w:w="0" w:type="dxa"/>
        </w:tblCellMar>
      </w:tblPr>
      <w:tr>
        <w:trPr>
          <w:trHeight w:val="230"/>
        </w:trPr>
        <w:tc>
          <w:tcPr>
            <w:tcW w:w="660" w:type="dxa"/>
            <w:vAlign w:val="bottom"/>
          </w:tcPr>
          <w:p>
            <w:pPr>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610"/>
              <w:spacing w:after="0"/>
              <w:rPr>
                <w:sz w:val="20"/>
                <w:szCs w:val="20"/>
                <w:color w:val="auto"/>
              </w:rPr>
            </w:pPr>
            <w:r>
              <w:rPr>
                <w:rFonts w:ascii="Arial" w:cs="Arial" w:eastAsia="Arial" w:hAnsi="Arial"/>
                <w:sz w:val="18"/>
                <w:szCs w:val="18"/>
                <w:color w:val="auto"/>
              </w:rPr>
              <w:t>(1)</w:t>
            </w:r>
          </w:p>
        </w:tc>
        <w:tc>
          <w:tcPr>
            <w:tcW w:w="1500" w:type="dxa"/>
            <w:vAlign w:val="bottom"/>
          </w:tcPr>
          <w:p>
            <w:pPr>
              <w:jc w:val="right"/>
              <w:ind w:right="510"/>
              <w:spacing w:after="0"/>
              <w:rPr>
                <w:sz w:val="20"/>
                <w:szCs w:val="20"/>
                <w:color w:val="auto"/>
              </w:rPr>
            </w:pPr>
            <w:r>
              <w:rPr>
                <w:rFonts w:ascii="Arial" w:cs="Arial" w:eastAsia="Arial" w:hAnsi="Arial"/>
                <w:sz w:val="18"/>
                <w:szCs w:val="18"/>
                <w:color w:val="auto"/>
              </w:rPr>
              <w:t>(6)</w:t>
            </w:r>
          </w:p>
        </w:tc>
        <w:tc>
          <w:tcPr>
            <w:tcW w:w="1280" w:type="dxa"/>
            <w:vAlign w:val="bottom"/>
          </w:tcPr>
          <w:p>
            <w:pPr>
              <w:ind w:left="62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(6)</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tbl>
      <w:tblPr>
        <w:tblLayout w:type="fixed"/>
        <w:tblInd w:w="100" w:type="dxa"/>
        <w:tblCellMar>
          <w:top w:w="0" w:type="dxa"/>
          <w:left w:w="0" w:type="dxa"/>
          <w:bottom w:w="0" w:type="dxa"/>
          <w:right w:w="0" w:type="dxa"/>
        </w:tblCellMar>
      </w:tblPr>
      <w:tr>
        <w:trPr>
          <w:trHeight w:val="230"/>
        </w:trPr>
        <w:tc>
          <w:tcPr>
            <w:tcW w:w="700" w:type="dxa"/>
            <w:vAlign w:val="bottom"/>
          </w:tcPr>
          <w:p>
            <w:pPr>
              <w:jc w:val="right"/>
              <w:ind w:right="310"/>
              <w:spacing w:after="0"/>
              <w:rPr>
                <w:sz w:val="20"/>
                <w:szCs w:val="20"/>
                <w:color w:val="auto"/>
              </w:rPr>
            </w:pPr>
            <w:r>
              <w:rPr>
                <w:rFonts w:ascii="Arial" w:cs="Arial" w:eastAsia="Arial" w:hAnsi="Arial"/>
                <w:sz w:val="18"/>
                <w:szCs w:val="18"/>
                <w:color w:val="auto"/>
                <w:w w:val="87"/>
              </w:rPr>
              <w:t>(12)</w:t>
            </w:r>
          </w:p>
        </w:tc>
        <w:tc>
          <w:tcPr>
            <w:tcW w:w="1400" w:type="dxa"/>
            <w:vAlign w:val="bottom"/>
          </w:tcPr>
          <w:p>
            <w:pPr>
              <w:jc w:val="right"/>
              <w:ind w:right="590"/>
              <w:spacing w:after="0"/>
              <w:rPr>
                <w:sz w:val="20"/>
                <w:szCs w:val="20"/>
                <w:color w:val="auto"/>
              </w:rPr>
            </w:pPr>
            <w:r>
              <w:rPr>
                <w:rFonts w:ascii="Arial" w:cs="Arial" w:eastAsia="Arial" w:hAnsi="Arial"/>
                <w:sz w:val="18"/>
                <w:szCs w:val="18"/>
                <w:color w:val="auto"/>
              </w:rPr>
              <w:t>(12)</w:t>
            </w:r>
          </w:p>
        </w:tc>
        <w:tc>
          <w:tcPr>
            <w:tcW w:w="1540" w:type="dxa"/>
            <w:vAlign w:val="bottom"/>
          </w:tcPr>
          <w:p>
            <w:pPr>
              <w:ind w:left="68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430"/>
              <w:spacing w:after="0"/>
              <w:rPr>
                <w:sz w:val="20"/>
                <w:szCs w:val="20"/>
                <w:color w:val="auto"/>
              </w:rPr>
            </w:pPr>
            <w:r>
              <w:rPr>
                <w:rFonts w:ascii="Arial" w:cs="Arial" w:eastAsia="Arial" w:hAnsi="Arial"/>
                <w:sz w:val="18"/>
                <w:szCs w:val="18"/>
                <w:color w:val="auto"/>
              </w:rPr>
              <w:t>2</w:t>
            </w:r>
          </w:p>
        </w:tc>
        <w:tc>
          <w:tcPr>
            <w:tcW w:w="600" w:type="dxa"/>
            <w:vAlign w:val="bottom"/>
          </w:tcPr>
          <w:p>
            <w:pPr>
              <w:jc w:val="right"/>
              <w:spacing w:after="0"/>
              <w:rPr>
                <w:sz w:val="20"/>
                <w:szCs w:val="20"/>
                <w:color w:val="auto"/>
              </w:rPr>
            </w:pPr>
            <w:r>
              <w:rPr>
                <w:rFonts w:ascii="Arial" w:cs="Arial" w:eastAsia="Arial" w:hAnsi="Arial"/>
                <w:sz w:val="18"/>
                <w:szCs w:val="18"/>
                <w:color w:val="auto"/>
              </w:rPr>
              <w:t>2</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60" w:type="dxa"/>
            <w:vAlign w:val="bottom"/>
          </w:tcPr>
          <w:p>
            <w:pPr>
              <w:jc w:val="right"/>
              <w:ind w:right="130"/>
              <w:spacing w:after="0"/>
              <w:rPr>
                <w:sz w:val="20"/>
                <w:szCs w:val="20"/>
                <w:color w:val="auto"/>
              </w:rPr>
            </w:pPr>
            <w:r>
              <w:rPr>
                <w:rFonts w:ascii="Arial" w:cs="Arial" w:eastAsia="Arial" w:hAnsi="Arial"/>
                <w:sz w:val="18"/>
                <w:szCs w:val="18"/>
                <w:color w:val="auto"/>
              </w:rPr>
              <w:t>5</w:t>
            </w:r>
          </w:p>
        </w:tc>
        <w:tc>
          <w:tcPr>
            <w:tcW w:w="340" w:type="dxa"/>
            <w:vAlign w:val="bottom"/>
          </w:tcPr>
          <w:p>
            <w:pPr>
              <w:spacing w:after="0"/>
              <w:rPr>
                <w:sz w:val="20"/>
                <w:szCs w:val="20"/>
                <w:color w:val="auto"/>
              </w:rPr>
            </w:pPr>
          </w:p>
        </w:tc>
        <w:tc>
          <w:tcPr>
            <w:tcW w:w="660" w:type="dxa"/>
            <w:vAlign w:val="bottom"/>
          </w:tcPr>
          <w:p>
            <w:pPr>
              <w:jc w:val="right"/>
              <w:ind w:right="10"/>
              <w:spacing w:after="0"/>
              <w:rPr>
                <w:sz w:val="20"/>
                <w:szCs w:val="20"/>
                <w:color w:val="auto"/>
              </w:rPr>
            </w:pPr>
            <w:r>
              <w:rPr>
                <w:rFonts w:ascii="Arial" w:cs="Arial" w:eastAsia="Arial" w:hAnsi="Arial"/>
                <w:sz w:val="18"/>
                <w:szCs w:val="18"/>
                <w:color w:val="auto"/>
              </w:rPr>
              <w:t>5</w:t>
            </w:r>
          </w:p>
        </w:tc>
        <w:tc>
          <w:tcPr>
            <w:tcW w:w="2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351"/>
        </w:trPr>
        <w:tc>
          <w:tcPr>
            <w:tcW w:w="56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r>
      <w:tr>
        <w:trPr>
          <w:trHeight w:val="426"/>
        </w:trPr>
        <w:tc>
          <w:tcPr>
            <w:tcW w:w="560" w:type="dxa"/>
            <w:vAlign w:val="bottom"/>
          </w:tcPr>
          <w:p>
            <w:pPr>
              <w:jc w:val="right"/>
              <w:ind w:right="70"/>
              <w:spacing w:after="0"/>
              <w:rPr>
                <w:sz w:val="20"/>
                <w:szCs w:val="20"/>
                <w:color w:val="auto"/>
              </w:rPr>
            </w:pPr>
            <w:r>
              <w:rPr>
                <w:rFonts w:ascii="Arial" w:cs="Arial" w:eastAsia="Arial" w:hAnsi="Arial"/>
                <w:sz w:val="18"/>
                <w:szCs w:val="18"/>
                <w:color w:val="auto"/>
                <w:w w:val="90"/>
              </w:rPr>
              <w:t>(390)</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(391)</w:t>
            </w:r>
          </w:p>
        </w:tc>
        <w:tc>
          <w:tcPr>
            <w:tcW w:w="240" w:type="dxa"/>
            <w:vAlign w:val="bottom"/>
          </w:tcPr>
          <w:p>
            <w:pPr>
              <w:spacing w:after="0"/>
              <w:rPr>
                <w:sz w:val="24"/>
                <w:szCs w:val="24"/>
                <w:color w:val="auto"/>
              </w:rPr>
            </w:pPr>
          </w:p>
        </w:tc>
        <w:tc>
          <w:tcPr>
            <w:tcW w:w="600" w:type="dxa"/>
            <w:vAlign w:val="bottom"/>
          </w:tcPr>
          <w:p>
            <w:pPr>
              <w:jc w:val="right"/>
              <w:ind w:right="390"/>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4"/>
                <w:szCs w:val="24"/>
                <w:color w:val="auto"/>
              </w:rPr>
            </w:pPr>
          </w:p>
        </w:tc>
        <w:tc>
          <w:tcPr>
            <w:tcW w:w="560" w:type="dxa"/>
            <w:vAlign w:val="bottom"/>
          </w:tcPr>
          <w:p>
            <w:pPr>
              <w:jc w:val="right"/>
              <w:ind w:right="35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191</w:t>
            </w:r>
          </w:p>
        </w:tc>
        <w:tc>
          <w:tcPr>
            <w:tcW w:w="100" w:type="dxa"/>
            <w:vAlign w:val="bottom"/>
          </w:tcPr>
          <w:p>
            <w:pPr>
              <w:spacing w:after="0"/>
              <w:rPr>
                <w:sz w:val="24"/>
                <w:szCs w:val="24"/>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640" w:type="dxa"/>
            <w:vAlign w:val="bottom"/>
          </w:tcPr>
          <w:p>
            <w:pPr>
              <w:jc w:val="right"/>
              <w:ind w:right="30"/>
              <w:spacing w:after="0"/>
              <w:rPr>
                <w:sz w:val="20"/>
                <w:szCs w:val="20"/>
                <w:color w:val="auto"/>
              </w:rPr>
            </w:pPr>
            <w:r>
              <w:rPr>
                <w:rFonts w:ascii="Arial" w:cs="Arial" w:eastAsia="Arial" w:hAnsi="Arial"/>
                <w:sz w:val="18"/>
                <w:szCs w:val="18"/>
                <w:color w:val="auto"/>
              </w:rPr>
              <w:t>182</w:t>
            </w:r>
          </w:p>
        </w:tc>
      </w:tr>
      <w:tr>
        <w:trPr>
          <w:trHeight w:val="27"/>
        </w:trPr>
        <w:tc>
          <w:tcPr>
            <w:tcW w:w="5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r>
      <w:tr>
        <w:trPr>
          <w:trHeight w:val="20"/>
        </w:trPr>
        <w:tc>
          <w:tcPr>
            <w:tcW w:w="5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-582930</wp:posOffset>
            </wp:positionH>
            <wp:positionV relativeFrom="paragraph">
              <wp:posOffset>-8255</wp:posOffset>
            </wp:positionV>
            <wp:extent cx="86614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86614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920" w:space="720"/>
            <w:col w:w="5760"/>
          </w:cols>
          <w:pgMar w:left="240" w:top="125" w:right="2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25</w:t>
      </w:r>
    </w:p>
    <w:p>
      <w:pPr>
        <w:sectPr>
          <w:pgSz w:w="11900" w:h="16838" w:orient="portrait"/>
          <w:cols w:equalWidth="0" w:num="1">
            <w:col w:w="11400"/>
          </w:cols>
          <w:pgMar w:left="240" w:top="125" w:right="259" w:bottom="1440" w:gutter="0" w:footer="0" w:header="0"/>
          <w:type w:val="continuous"/>
        </w:sectPr>
      </w:pPr>
    </w:p>
    <w:bookmarkStart w:id="25" w:name="page26"/>
    <w:bookmarkEnd w:id="2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300" w:firstLine="648"/>
        <w:spacing w:after="0" w:line="277" w:lineRule="auto"/>
        <w:rPr>
          <w:sz w:val="20"/>
          <w:szCs w:val="20"/>
          <w:color w:val="auto"/>
        </w:rPr>
      </w:pPr>
      <w:r>
        <w:rPr>
          <w:rFonts w:ascii="Arial" w:cs="Arial" w:eastAsia="Arial" w:hAnsi="Arial"/>
          <w:sz w:val="18"/>
          <w:szCs w:val="18"/>
          <w:color w:val="auto"/>
        </w:rPr>
        <w:t>The following table summarizes the derivative assets and liabilities on our Condensed Consolidated Balance Sheet on a gross basis as of June 30, 2018 (in millions):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980" w:type="dxa"/>
            <w:vAlign w:val="bottom"/>
          </w:tcPr>
          <w:p>
            <w:pPr>
              <w:spacing w:after="0"/>
              <w:rPr>
                <w:sz w:val="16"/>
                <w:szCs w:val="16"/>
                <w:color w:val="auto"/>
              </w:rPr>
            </w:pPr>
          </w:p>
        </w:tc>
        <w:tc>
          <w:tcPr>
            <w:tcW w:w="3220" w:type="dxa"/>
            <w:vAlign w:val="bottom"/>
            <w:tcBorders>
              <w:bottom w:val="single" w:sz="8" w:color="auto"/>
            </w:tcBorders>
            <w:gridSpan w:val="2"/>
          </w:tcPr>
          <w:p>
            <w:pPr>
              <w:ind w:left="1520"/>
              <w:spacing w:after="0"/>
              <w:rPr>
                <w:sz w:val="20"/>
                <w:szCs w:val="20"/>
                <w:color w:val="auto"/>
              </w:rPr>
            </w:pPr>
            <w:r>
              <w:rPr>
                <w:rFonts w:ascii="Arial" w:cs="Arial" w:eastAsia="Arial" w:hAnsi="Arial"/>
                <w:sz w:val="14"/>
                <w:szCs w:val="14"/>
                <w:b w:val="1"/>
                <w:bCs w:val="1"/>
                <w:color w:val="auto"/>
              </w:rPr>
              <w:t>Asset Derivatives</w:t>
            </w:r>
          </w:p>
        </w:tc>
        <w:tc>
          <w:tcPr>
            <w:tcW w:w="2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0" w:type="dxa"/>
            <w:vAlign w:val="bottom"/>
            <w:tcBorders>
              <w:bottom w:val="single" w:sz="8" w:color="auto"/>
            </w:tcBorders>
            <w:gridSpan w:val="2"/>
          </w:tcPr>
          <w:p>
            <w:pPr>
              <w:ind w:left="1420"/>
              <w:spacing w:after="0"/>
              <w:rPr>
                <w:sz w:val="20"/>
                <w:szCs w:val="20"/>
                <w:color w:val="auto"/>
              </w:rPr>
            </w:pPr>
            <w:r>
              <w:rPr>
                <w:rFonts w:ascii="Arial" w:cs="Arial" w:eastAsia="Arial" w:hAnsi="Arial"/>
                <w:sz w:val="14"/>
                <w:szCs w:val="14"/>
                <w:b w:val="1"/>
                <w:bCs w:val="1"/>
                <w:color w:val="auto"/>
              </w:rPr>
              <w:t>Liability Derivatives</w:t>
            </w:r>
          </w:p>
        </w:tc>
        <w:tc>
          <w:tcPr>
            <w:tcW w:w="2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2980" w:type="dxa"/>
            <w:vAlign w:val="bottom"/>
          </w:tcPr>
          <w:p>
            <w:pPr>
              <w:spacing w:after="0"/>
              <w:rPr>
                <w:sz w:val="13"/>
                <w:szCs w:val="13"/>
                <w:color w:val="auto"/>
              </w:rPr>
            </w:pPr>
          </w:p>
        </w:tc>
        <w:tc>
          <w:tcPr>
            <w:tcW w:w="3220" w:type="dxa"/>
            <w:vAlign w:val="bottom"/>
            <w:gridSpan w:val="2"/>
          </w:tcPr>
          <w:p>
            <w:pPr>
              <w:ind w:left="1120"/>
              <w:spacing w:after="0" w:line="153" w:lineRule="exact"/>
              <w:rPr>
                <w:sz w:val="20"/>
                <w:szCs w:val="20"/>
                <w:color w:val="auto"/>
              </w:rPr>
            </w:pPr>
            <w:r>
              <w:rPr>
                <w:rFonts w:ascii="Arial" w:cs="Arial" w:eastAsia="Arial" w:hAnsi="Arial"/>
                <w:sz w:val="14"/>
                <w:szCs w:val="14"/>
                <w:b w:val="1"/>
                <w:bCs w:val="1"/>
                <w:color w:val="auto"/>
              </w:rPr>
              <w:t>Balance Sheet</w:t>
            </w:r>
          </w:p>
        </w:tc>
        <w:tc>
          <w:tcPr>
            <w:tcW w:w="200" w:type="dxa"/>
            <w:vAlign w:val="bottom"/>
          </w:tcPr>
          <w:p>
            <w:pPr>
              <w:spacing w:after="0"/>
              <w:rPr>
                <w:sz w:val="13"/>
                <w:szCs w:val="13"/>
                <w:color w:val="auto"/>
              </w:rPr>
            </w:pPr>
          </w:p>
        </w:tc>
        <w:tc>
          <w:tcPr>
            <w:tcW w:w="700" w:type="dxa"/>
            <w:vAlign w:val="bottom"/>
          </w:tcPr>
          <w:p>
            <w:pPr>
              <w:jc w:val="right"/>
              <w:ind w:right="233"/>
              <w:spacing w:after="0" w:line="153" w:lineRule="exact"/>
              <w:rPr>
                <w:sz w:val="20"/>
                <w:szCs w:val="20"/>
                <w:color w:val="auto"/>
              </w:rPr>
            </w:pPr>
            <w:r>
              <w:rPr>
                <w:rFonts w:ascii="Arial" w:cs="Arial" w:eastAsia="Arial" w:hAnsi="Arial"/>
                <w:sz w:val="14"/>
                <w:szCs w:val="14"/>
                <w:b w:val="1"/>
                <w:bCs w:val="1"/>
                <w:color w:val="auto"/>
              </w:rPr>
              <w:t>Fair</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0" w:type="dxa"/>
            <w:vAlign w:val="bottom"/>
            <w:gridSpan w:val="2"/>
          </w:tcPr>
          <w:p>
            <w:pPr>
              <w:ind w:left="1120"/>
              <w:spacing w:after="0" w:line="153" w:lineRule="exact"/>
              <w:rPr>
                <w:sz w:val="20"/>
                <w:szCs w:val="20"/>
                <w:color w:val="auto"/>
              </w:rPr>
            </w:pPr>
            <w:r>
              <w:rPr>
                <w:rFonts w:ascii="Arial" w:cs="Arial" w:eastAsia="Arial" w:hAnsi="Arial"/>
                <w:sz w:val="14"/>
                <w:szCs w:val="14"/>
                <w:b w:val="1"/>
                <w:bCs w:val="1"/>
                <w:color w:val="auto"/>
              </w:rPr>
              <w:t>Balance Sheet</w:t>
            </w:r>
          </w:p>
        </w:tc>
        <w:tc>
          <w:tcPr>
            <w:tcW w:w="200" w:type="dxa"/>
            <w:vAlign w:val="bottom"/>
          </w:tcPr>
          <w:p>
            <w:pPr>
              <w:spacing w:after="0"/>
              <w:rPr>
                <w:sz w:val="13"/>
                <w:szCs w:val="13"/>
                <w:color w:val="auto"/>
              </w:rPr>
            </w:pPr>
          </w:p>
        </w:tc>
        <w:tc>
          <w:tcPr>
            <w:tcW w:w="700" w:type="dxa"/>
            <w:vAlign w:val="bottom"/>
          </w:tcPr>
          <w:p>
            <w:pPr>
              <w:jc w:val="right"/>
              <w:ind w:right="233"/>
              <w:spacing w:after="0" w:line="153" w:lineRule="exact"/>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92"/>
        </w:trPr>
        <w:tc>
          <w:tcPr>
            <w:tcW w:w="2980" w:type="dxa"/>
            <w:vAlign w:val="bottom"/>
          </w:tcPr>
          <w:p>
            <w:pPr>
              <w:spacing w:after="0"/>
              <w:rPr>
                <w:sz w:val="16"/>
                <w:szCs w:val="16"/>
                <w:color w:val="auto"/>
              </w:rPr>
            </w:pPr>
          </w:p>
        </w:tc>
        <w:tc>
          <w:tcPr>
            <w:tcW w:w="3220" w:type="dxa"/>
            <w:vAlign w:val="bottom"/>
            <w:gridSpan w:val="2"/>
          </w:tcPr>
          <w:p>
            <w:pPr>
              <w:ind w:left="1280"/>
              <w:spacing w:after="0"/>
              <w:rPr>
                <w:sz w:val="20"/>
                <w:szCs w:val="20"/>
                <w:color w:val="auto"/>
              </w:rPr>
            </w:pPr>
            <w:r>
              <w:rPr>
                <w:rFonts w:ascii="Arial" w:cs="Arial" w:eastAsia="Arial" w:hAnsi="Arial"/>
                <w:sz w:val="14"/>
                <w:szCs w:val="14"/>
                <w:b w:val="1"/>
                <w:bCs w:val="1"/>
                <w:color w:val="auto"/>
              </w:rPr>
              <w:t>Location</w:t>
            </w:r>
          </w:p>
        </w:tc>
        <w:tc>
          <w:tcPr>
            <w:tcW w:w="200" w:type="dxa"/>
            <w:vAlign w:val="bottom"/>
          </w:tcPr>
          <w:p>
            <w:pPr>
              <w:spacing w:after="0"/>
              <w:rPr>
                <w:sz w:val="16"/>
                <w:szCs w:val="16"/>
                <w:color w:val="auto"/>
              </w:rPr>
            </w:pPr>
          </w:p>
        </w:tc>
        <w:tc>
          <w:tcPr>
            <w:tcW w:w="700" w:type="dxa"/>
            <w:vAlign w:val="bottom"/>
          </w:tcPr>
          <w:p>
            <w:pPr>
              <w:jc w:val="right"/>
              <w:ind w:right="193"/>
              <w:spacing w:after="0"/>
              <w:rPr>
                <w:sz w:val="20"/>
                <w:szCs w:val="20"/>
                <w:color w:val="auto"/>
              </w:rPr>
            </w:pPr>
            <w:r>
              <w:rPr>
                <w:rFonts w:ascii="Arial" w:cs="Arial" w:eastAsia="Arial" w:hAnsi="Arial"/>
                <w:sz w:val="14"/>
                <w:szCs w:val="14"/>
                <w:b w:val="1"/>
                <w:bCs w:val="1"/>
                <w:color w:val="auto"/>
              </w:rPr>
              <w:t>Value</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0" w:type="dxa"/>
            <w:vAlign w:val="bottom"/>
            <w:gridSpan w:val="2"/>
          </w:tcPr>
          <w:p>
            <w:pPr>
              <w:ind w:left="1280"/>
              <w:spacing w:after="0"/>
              <w:rPr>
                <w:sz w:val="20"/>
                <w:szCs w:val="20"/>
                <w:color w:val="auto"/>
              </w:rPr>
            </w:pPr>
            <w:r>
              <w:rPr>
                <w:rFonts w:ascii="Arial" w:cs="Arial" w:eastAsia="Arial" w:hAnsi="Arial"/>
                <w:sz w:val="14"/>
                <w:szCs w:val="14"/>
                <w:b w:val="1"/>
                <w:bCs w:val="1"/>
                <w:color w:val="auto"/>
              </w:rPr>
              <w:t>Location</w:t>
            </w:r>
          </w:p>
        </w:tc>
        <w:tc>
          <w:tcPr>
            <w:tcW w:w="200" w:type="dxa"/>
            <w:vAlign w:val="bottom"/>
          </w:tcPr>
          <w:p>
            <w:pPr>
              <w:spacing w:after="0"/>
              <w:rPr>
                <w:sz w:val="16"/>
                <w:szCs w:val="16"/>
                <w:color w:val="auto"/>
              </w:rPr>
            </w:pPr>
          </w:p>
        </w:tc>
        <w:tc>
          <w:tcPr>
            <w:tcW w:w="700" w:type="dxa"/>
            <w:vAlign w:val="bottom"/>
          </w:tcPr>
          <w:p>
            <w:pPr>
              <w:jc w:val="right"/>
              <w:ind w:right="193"/>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211"/>
        </w:trPr>
        <w:tc>
          <w:tcPr>
            <w:tcW w:w="298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w w:val="98"/>
              </w:rPr>
              <w:t>Derivatives designated as hedging</w:t>
            </w:r>
          </w:p>
        </w:tc>
        <w:tc>
          <w:tcPr>
            <w:tcW w:w="31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right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0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9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b w:val="1"/>
                <w:bCs w:val="1"/>
                <w:color w:val="auto"/>
              </w:rPr>
              <w:t>instruments:</w:t>
            </w:r>
          </w:p>
        </w:tc>
        <w:tc>
          <w:tcPr>
            <w:tcW w:w="3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right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2980" w:type="dxa"/>
            <w:vAlign w:val="bottom"/>
          </w:tcPr>
          <w:p>
            <w:pPr>
              <w:spacing w:after="0"/>
              <w:rPr>
                <w:sz w:val="19"/>
                <w:szCs w:val="19"/>
                <w:color w:val="auto"/>
              </w:rPr>
            </w:pPr>
          </w:p>
        </w:tc>
        <w:tc>
          <w:tcPr>
            <w:tcW w:w="3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200" w:type="dxa"/>
            <w:vAlign w:val="bottom"/>
            <w:gridSpan w:val="2"/>
          </w:tcPr>
          <w:p>
            <w:pPr>
              <w:ind w:left="40"/>
              <w:spacing w:after="0"/>
              <w:rPr>
                <w:sz w:val="20"/>
                <w:szCs w:val="20"/>
                <w:color w:val="auto"/>
              </w:rPr>
            </w:pPr>
            <w:r>
              <w:rPr>
                <w:rFonts w:ascii="Arial" w:cs="Arial" w:eastAsia="Arial" w:hAnsi="Arial"/>
                <w:sz w:val="18"/>
                <w:szCs w:val="18"/>
                <w:color w:val="auto"/>
              </w:rPr>
              <w:t>Other long-term liabilities and deferred</w:t>
            </w: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980" w:type="dxa"/>
            <w:vAlign w:val="bottom"/>
          </w:tcPr>
          <w:p>
            <w:pPr>
              <w:ind w:left="40"/>
              <w:spacing w:after="0"/>
              <w:rPr>
                <w:sz w:val="20"/>
                <w:szCs w:val="20"/>
                <w:color w:val="auto"/>
              </w:rPr>
            </w:pPr>
            <w:r>
              <w:rPr>
                <w:rFonts w:ascii="Arial" w:cs="Arial" w:eastAsia="Arial" w:hAnsi="Arial"/>
                <w:sz w:val="18"/>
                <w:szCs w:val="18"/>
                <w:color w:val="auto"/>
              </w:rPr>
              <w:t>Interest rate derivatives</w:t>
            </w:r>
          </w:p>
        </w:tc>
        <w:tc>
          <w:tcPr>
            <w:tcW w:w="3220" w:type="dxa"/>
            <w:vAlign w:val="bottom"/>
            <w:gridSpan w:val="2"/>
          </w:tcPr>
          <w:p>
            <w:pPr>
              <w:ind w:left="20"/>
              <w:spacing w:after="0"/>
              <w:rPr>
                <w:sz w:val="20"/>
                <w:szCs w:val="20"/>
                <w:color w:val="auto"/>
              </w:rPr>
            </w:pPr>
            <w:r>
              <w:rPr>
                <w:rFonts w:ascii="Arial" w:cs="Arial" w:eastAsia="Arial" w:hAnsi="Arial"/>
                <w:sz w:val="18"/>
                <w:szCs w:val="18"/>
                <w:color w:val="auto"/>
              </w:rPr>
              <w:t>Other current assets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ind w:right="13"/>
              <w:spacing w:after="0"/>
              <w:rPr>
                <w:sz w:val="20"/>
                <w:szCs w:val="20"/>
                <w:color w:val="auto"/>
              </w:rPr>
            </w:pPr>
            <w:r>
              <w:rPr>
                <w:rFonts w:ascii="Arial" w:cs="Arial" w:eastAsia="Arial" w:hAnsi="Arial"/>
                <w:sz w:val="18"/>
                <w:szCs w:val="18"/>
                <w:color w:val="auto"/>
              </w:rPr>
              <w:t>5</w:t>
            </w:r>
          </w:p>
        </w:tc>
        <w:tc>
          <w:tcPr>
            <w:tcW w:w="12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200" w:type="dxa"/>
            <w:vAlign w:val="bottom"/>
            <w:gridSpan w:val="2"/>
          </w:tcPr>
          <w:p>
            <w:pPr>
              <w:ind w:left="200"/>
              <w:spacing w:after="0"/>
              <w:rPr>
                <w:sz w:val="20"/>
                <w:szCs w:val="20"/>
                <w:color w:val="auto"/>
              </w:rPr>
            </w:pPr>
            <w:r>
              <w:rPr>
                <w:rFonts w:ascii="Arial" w:cs="Arial" w:eastAsia="Arial" w:hAnsi="Arial"/>
                <w:sz w:val="18"/>
                <w:szCs w:val="18"/>
                <w:color w:val="auto"/>
              </w:rPr>
              <w:t>credits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7"/>
        </w:trPr>
        <w:tc>
          <w:tcPr>
            <w:tcW w:w="2980" w:type="dxa"/>
            <w:vAlign w:val="bottom"/>
            <w:tcBorders>
              <w:bottom w:val="single" w:sz="8" w:color="CCEEFF"/>
            </w:tcBorders>
          </w:tcPr>
          <w:p>
            <w:pPr>
              <w:spacing w:after="0"/>
              <w:rPr>
                <w:sz w:val="2"/>
                <w:szCs w:val="2"/>
                <w:color w:val="auto"/>
              </w:rPr>
            </w:pPr>
          </w:p>
        </w:tc>
        <w:tc>
          <w:tcPr>
            <w:tcW w:w="31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right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298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derivatives designated as</w:t>
            </w:r>
          </w:p>
        </w:tc>
        <w:tc>
          <w:tcPr>
            <w:tcW w:w="3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vMerge w:val="restart"/>
            <w:shd w:val="clear" w:color="auto" w:fill="CCEEFF"/>
          </w:tcPr>
          <w:p>
            <w:pPr>
              <w:jc w:val="right"/>
              <w:ind w:right="13"/>
              <w:spacing w:after="0"/>
              <w:rPr>
                <w:sz w:val="20"/>
                <w:szCs w:val="20"/>
                <w:color w:val="auto"/>
              </w:rPr>
            </w:pPr>
            <w:r>
              <w:rPr>
                <w:rFonts w:ascii="Arial" w:cs="Arial" w:eastAsia="Arial" w:hAnsi="Arial"/>
                <w:sz w:val="18"/>
                <w:szCs w:val="18"/>
                <w:color w:val="auto"/>
              </w:rPr>
              <w:t>5</w:t>
            </w:r>
          </w:p>
        </w:tc>
        <w:tc>
          <w:tcPr>
            <w:tcW w:w="120" w:type="dxa"/>
            <w:vAlign w:val="bottom"/>
            <w:tcBorders>
              <w:right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37"/>
        </w:trPr>
        <w:tc>
          <w:tcPr>
            <w:tcW w:w="29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hedging instruments</w:t>
            </w:r>
          </w:p>
        </w:tc>
        <w:tc>
          <w:tcPr>
            <w:tcW w:w="3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vMerge w:val="continue"/>
            <w:shd w:val="clear" w:color="auto" w:fill="CCEEFF"/>
          </w:tcPr>
          <w:p>
            <w:pPr>
              <w:spacing w:after="0"/>
              <w:rPr>
                <w:sz w:val="20"/>
                <w:szCs w:val="20"/>
                <w:color w:val="auto"/>
              </w:rPr>
            </w:pPr>
          </w:p>
        </w:tc>
        <w:tc>
          <w:tcPr>
            <w:tcW w:w="70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right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vMerge w:val="continue"/>
            <w:shd w:val="clear" w:color="auto" w:fill="CCEEFF"/>
          </w:tcPr>
          <w:p>
            <w:pPr>
              <w:spacing w:after="0"/>
              <w:rPr>
                <w:sz w:val="20"/>
                <w:szCs w:val="20"/>
                <w:color w:val="auto"/>
              </w:rPr>
            </w:pPr>
          </w:p>
        </w:tc>
        <w:tc>
          <w:tcPr>
            <w:tcW w:w="70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98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4"/>
        </w:trPr>
        <w:tc>
          <w:tcPr>
            <w:tcW w:w="298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98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Derivatives not designated as</w:t>
            </w:r>
          </w:p>
        </w:tc>
        <w:tc>
          <w:tcPr>
            <w:tcW w:w="3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29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b w:val="1"/>
                <w:bCs w:val="1"/>
                <w:color w:val="auto"/>
              </w:rPr>
              <w:t>hedging instruments:</w:t>
            </w:r>
          </w:p>
        </w:tc>
        <w:tc>
          <w:tcPr>
            <w:tcW w:w="3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right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980" w:type="dxa"/>
            <w:vAlign w:val="bottom"/>
          </w:tcPr>
          <w:p>
            <w:pPr>
              <w:ind w:left="40"/>
              <w:spacing w:after="0"/>
              <w:rPr>
                <w:sz w:val="20"/>
                <w:szCs w:val="20"/>
                <w:color w:val="auto"/>
              </w:rPr>
            </w:pPr>
            <w:r>
              <w:rPr>
                <w:rFonts w:ascii="Arial" w:cs="Arial" w:eastAsia="Arial" w:hAnsi="Arial"/>
                <w:sz w:val="18"/>
                <w:szCs w:val="18"/>
                <w:color w:val="auto"/>
              </w:rPr>
              <w:t>Commodity derivatives</w:t>
            </w:r>
          </w:p>
        </w:tc>
        <w:tc>
          <w:tcPr>
            <w:tcW w:w="3220" w:type="dxa"/>
            <w:vAlign w:val="bottom"/>
            <w:gridSpan w:val="2"/>
          </w:tcPr>
          <w:p>
            <w:pPr>
              <w:ind w:left="20"/>
              <w:spacing w:after="0"/>
              <w:rPr>
                <w:sz w:val="20"/>
                <w:szCs w:val="20"/>
                <w:color w:val="auto"/>
              </w:rPr>
            </w:pPr>
            <w:r>
              <w:rPr>
                <w:rFonts w:ascii="Arial" w:cs="Arial" w:eastAsia="Arial" w:hAnsi="Arial"/>
                <w:sz w:val="18"/>
                <w:szCs w:val="18"/>
                <w:color w:val="auto"/>
              </w:rPr>
              <w:t>Other current assets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ind w:right="13"/>
              <w:spacing w:after="0"/>
              <w:rPr>
                <w:sz w:val="20"/>
                <w:szCs w:val="20"/>
                <w:color w:val="auto"/>
              </w:rPr>
            </w:pPr>
            <w:r>
              <w:rPr>
                <w:rFonts w:ascii="Arial" w:cs="Arial" w:eastAsia="Arial" w:hAnsi="Arial"/>
                <w:sz w:val="18"/>
                <w:szCs w:val="18"/>
                <w:color w:val="auto"/>
              </w:rPr>
              <w:t>133</w:t>
            </w:r>
          </w:p>
        </w:tc>
        <w:tc>
          <w:tcPr>
            <w:tcW w:w="12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3200" w:type="dxa"/>
            <w:vAlign w:val="bottom"/>
            <w:gridSpan w:val="2"/>
          </w:tcPr>
          <w:p>
            <w:pPr>
              <w:ind w:left="40"/>
              <w:spacing w:after="0"/>
              <w:rPr>
                <w:sz w:val="20"/>
                <w:szCs w:val="20"/>
                <w:color w:val="auto"/>
              </w:rPr>
            </w:pPr>
            <w:r>
              <w:rPr>
                <w:rFonts w:ascii="Arial" w:cs="Arial" w:eastAsia="Arial" w:hAnsi="Arial"/>
                <w:sz w:val="18"/>
                <w:szCs w:val="18"/>
                <w:color w:val="auto"/>
              </w:rPr>
              <w:t>Other current assets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(487)</w:t>
            </w:r>
          </w:p>
        </w:tc>
        <w:tc>
          <w:tcPr>
            <w:tcW w:w="0" w:type="dxa"/>
            <w:vAlign w:val="bottom"/>
          </w:tcPr>
          <w:p>
            <w:pPr>
              <w:spacing w:after="0"/>
              <w:rPr>
                <w:sz w:val="1"/>
                <w:szCs w:val="1"/>
                <w:color w:val="auto"/>
              </w:rPr>
            </w:pPr>
          </w:p>
        </w:tc>
      </w:tr>
      <w:tr>
        <w:trPr>
          <w:trHeight w:val="27"/>
        </w:trPr>
        <w:tc>
          <w:tcPr>
            <w:tcW w:w="2980" w:type="dxa"/>
            <w:vAlign w:val="bottom"/>
          </w:tcPr>
          <w:p>
            <w:pPr>
              <w:spacing w:after="0"/>
              <w:rPr>
                <w:sz w:val="2"/>
                <w:szCs w:val="2"/>
                <w:color w:val="auto"/>
              </w:rPr>
            </w:pPr>
          </w:p>
        </w:tc>
        <w:tc>
          <w:tcPr>
            <w:tcW w:w="3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980" w:type="dxa"/>
            <w:vAlign w:val="bottom"/>
            <w:tcBorders>
              <w:bottom w:val="single" w:sz="8" w:color="CCEEFF"/>
            </w:tcBorders>
            <w:shd w:val="clear" w:color="auto" w:fill="CCEEFF"/>
          </w:tcPr>
          <w:p>
            <w:pPr>
              <w:spacing w:after="0"/>
              <w:rPr>
                <w:sz w:val="21"/>
                <w:szCs w:val="21"/>
                <w:color w:val="auto"/>
              </w:rPr>
            </w:pPr>
          </w:p>
        </w:tc>
        <w:tc>
          <w:tcPr>
            <w:tcW w:w="32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Other long-term assets, net</w:t>
            </w: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Other current liabilities</w:t>
            </w: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(128)</w:t>
            </w:r>
          </w:p>
        </w:tc>
        <w:tc>
          <w:tcPr>
            <w:tcW w:w="0" w:type="dxa"/>
            <w:vAlign w:val="bottom"/>
          </w:tcPr>
          <w:p>
            <w:pPr>
              <w:spacing w:after="0"/>
              <w:rPr>
                <w:sz w:val="1"/>
                <w:szCs w:val="1"/>
                <w:color w:val="auto"/>
              </w:rPr>
            </w:pPr>
          </w:p>
        </w:tc>
      </w:tr>
      <w:tr>
        <w:trPr>
          <w:trHeight w:val="229"/>
        </w:trPr>
        <w:tc>
          <w:tcPr>
            <w:tcW w:w="2980" w:type="dxa"/>
            <w:vAlign w:val="bottom"/>
          </w:tcPr>
          <w:p>
            <w:pPr>
              <w:spacing w:after="0"/>
              <w:rPr>
                <w:sz w:val="19"/>
                <w:szCs w:val="19"/>
                <w:color w:val="auto"/>
              </w:rPr>
            </w:pPr>
          </w:p>
        </w:tc>
        <w:tc>
          <w:tcPr>
            <w:tcW w:w="3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200" w:type="dxa"/>
            <w:vAlign w:val="bottom"/>
            <w:gridSpan w:val="2"/>
          </w:tcPr>
          <w:p>
            <w:pPr>
              <w:ind w:left="40"/>
              <w:spacing w:after="0"/>
              <w:rPr>
                <w:sz w:val="20"/>
                <w:szCs w:val="20"/>
                <w:color w:val="auto"/>
              </w:rPr>
            </w:pPr>
            <w:r>
              <w:rPr>
                <w:rFonts w:ascii="Arial" w:cs="Arial" w:eastAsia="Arial" w:hAnsi="Arial"/>
                <w:sz w:val="18"/>
                <w:szCs w:val="18"/>
                <w:color w:val="auto"/>
              </w:rPr>
              <w:t>Other long-term liabilities and deferred</w:t>
            </w: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980" w:type="dxa"/>
            <w:vAlign w:val="bottom"/>
          </w:tcPr>
          <w:p>
            <w:pPr>
              <w:spacing w:after="0"/>
              <w:rPr>
                <w:sz w:val="20"/>
                <w:szCs w:val="20"/>
                <w:color w:val="auto"/>
              </w:rPr>
            </w:pPr>
          </w:p>
        </w:tc>
        <w:tc>
          <w:tcPr>
            <w:tcW w:w="3220" w:type="dxa"/>
            <w:vAlign w:val="bottom"/>
            <w:gridSpan w:val="2"/>
          </w:tcPr>
          <w:p>
            <w:pPr>
              <w:ind w:left="20"/>
              <w:spacing w:after="0"/>
              <w:rPr>
                <w:sz w:val="20"/>
                <w:szCs w:val="20"/>
                <w:color w:val="auto"/>
              </w:rPr>
            </w:pPr>
            <w:r>
              <w:rPr>
                <w:rFonts w:ascii="Arial" w:cs="Arial" w:eastAsia="Arial" w:hAnsi="Arial"/>
                <w:sz w:val="18"/>
                <w:szCs w:val="18"/>
                <w:color w:val="auto"/>
              </w:rPr>
              <w:t>Other current liabilities</w:t>
            </w:r>
          </w:p>
        </w:tc>
        <w:tc>
          <w:tcPr>
            <w:tcW w:w="200" w:type="dxa"/>
            <w:vAlign w:val="bottom"/>
          </w:tcPr>
          <w:p>
            <w:pPr>
              <w:spacing w:after="0"/>
              <w:rPr>
                <w:sz w:val="20"/>
                <w:szCs w:val="20"/>
                <w:color w:val="auto"/>
              </w:rPr>
            </w:pPr>
          </w:p>
        </w:tc>
        <w:tc>
          <w:tcPr>
            <w:tcW w:w="700" w:type="dxa"/>
            <w:vAlign w:val="bottom"/>
          </w:tcPr>
          <w:p>
            <w:pPr>
              <w:jc w:val="right"/>
              <w:ind w:right="13"/>
              <w:spacing w:after="0"/>
              <w:rPr>
                <w:sz w:val="20"/>
                <w:szCs w:val="20"/>
                <w:color w:val="auto"/>
              </w:rPr>
            </w:pPr>
            <w:r>
              <w:rPr>
                <w:rFonts w:ascii="Arial" w:cs="Arial" w:eastAsia="Arial" w:hAnsi="Arial"/>
                <w:sz w:val="18"/>
                <w:szCs w:val="18"/>
                <w:color w:val="auto"/>
              </w:rPr>
              <w:t>25</w:t>
            </w:r>
          </w:p>
        </w:tc>
        <w:tc>
          <w:tcPr>
            <w:tcW w:w="12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200" w:type="dxa"/>
            <w:vAlign w:val="bottom"/>
            <w:gridSpan w:val="2"/>
          </w:tcPr>
          <w:p>
            <w:pPr>
              <w:ind w:left="200"/>
              <w:spacing w:after="0"/>
              <w:rPr>
                <w:sz w:val="20"/>
                <w:szCs w:val="20"/>
                <w:color w:val="auto"/>
              </w:rPr>
            </w:pPr>
            <w:r>
              <w:rPr>
                <w:rFonts w:ascii="Arial" w:cs="Arial" w:eastAsia="Arial" w:hAnsi="Arial"/>
                <w:sz w:val="18"/>
                <w:szCs w:val="18"/>
                <w:color w:val="auto"/>
              </w:rPr>
              <w:t>credits</w:t>
            </w:r>
          </w:p>
        </w:tc>
        <w:tc>
          <w:tcPr>
            <w:tcW w:w="2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7"/>
        </w:trPr>
        <w:tc>
          <w:tcPr>
            <w:tcW w:w="2980" w:type="dxa"/>
            <w:vAlign w:val="bottom"/>
          </w:tcPr>
          <w:p>
            <w:pPr>
              <w:spacing w:after="0"/>
              <w:rPr>
                <w:sz w:val="2"/>
                <w:szCs w:val="2"/>
                <w:color w:val="auto"/>
              </w:rPr>
            </w:pPr>
          </w:p>
        </w:tc>
        <w:tc>
          <w:tcPr>
            <w:tcW w:w="3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980" w:type="dxa"/>
            <w:vAlign w:val="bottom"/>
            <w:shd w:val="clear" w:color="auto" w:fill="CCEEFF"/>
          </w:tcPr>
          <w:p>
            <w:pPr>
              <w:spacing w:after="0"/>
              <w:rPr>
                <w:sz w:val="19"/>
                <w:szCs w:val="19"/>
                <w:color w:val="auto"/>
              </w:rPr>
            </w:pPr>
          </w:p>
        </w:tc>
        <w:tc>
          <w:tcPr>
            <w:tcW w:w="32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Other long-term liabilities and deferred</w:t>
            </w: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980" w:type="dxa"/>
            <w:vAlign w:val="bottom"/>
            <w:tcBorders>
              <w:bottom w:val="single" w:sz="8" w:color="CCEEFF"/>
            </w:tcBorders>
            <w:shd w:val="clear" w:color="auto" w:fill="CCEEFF"/>
          </w:tcPr>
          <w:p>
            <w:pPr>
              <w:spacing w:after="0"/>
              <w:rPr>
                <w:sz w:val="20"/>
                <w:szCs w:val="20"/>
                <w:color w:val="auto"/>
              </w:rPr>
            </w:pPr>
          </w:p>
        </w:tc>
        <w:tc>
          <w:tcPr>
            <w:tcW w:w="32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credits</w:t>
            </w:r>
          </w:p>
        </w:tc>
        <w:tc>
          <w:tcPr>
            <w:tcW w:w="20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13</w:t>
            </w:r>
          </w:p>
        </w:tc>
        <w:tc>
          <w:tcPr>
            <w:tcW w:w="120" w:type="dxa"/>
            <w:vAlign w:val="bottom"/>
            <w:tcBorders>
              <w:bottom w:val="single" w:sz="8" w:color="CCEEFF"/>
              <w:right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298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2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Foreign currency derivatives</w:t>
            </w:r>
          </w:p>
        </w:tc>
        <w:tc>
          <w:tcPr>
            <w:tcW w:w="32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Other current liabilities</w:t>
            </w: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Other current liabilities</w:t>
            </w: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97"/>
        </w:trPr>
        <w:tc>
          <w:tcPr>
            <w:tcW w:w="298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2980" w:type="dxa"/>
            <w:vAlign w:val="bottom"/>
            <w:shd w:val="clear" w:color="auto" w:fill="CCEEFF"/>
          </w:tcPr>
          <w:p>
            <w:pPr>
              <w:ind w:left="40"/>
              <w:spacing w:after="0"/>
              <w:rPr>
                <w:sz w:val="20"/>
                <w:szCs w:val="20"/>
                <w:color w:val="auto"/>
              </w:rPr>
            </w:pPr>
            <w:r>
              <w:rPr>
                <w:rFonts w:ascii="Arial" w:cs="Arial" w:eastAsia="Arial" w:hAnsi="Arial"/>
                <w:sz w:val="18"/>
                <w:szCs w:val="18"/>
                <w:color w:val="auto"/>
              </w:rPr>
              <w:t>Preferred Distribution Rate Reset</w:t>
            </w:r>
          </w:p>
        </w:tc>
        <w:tc>
          <w:tcPr>
            <w:tcW w:w="3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Other long-term liabilities and deferred</w:t>
            </w: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9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Option</w:t>
            </w:r>
          </w:p>
        </w:tc>
        <w:tc>
          <w:tcPr>
            <w:tcW w:w="3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right w:val="single" w:sz="8" w:color="auto"/>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20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credits</w:t>
            </w:r>
          </w:p>
        </w:tc>
        <w:tc>
          <w:tcPr>
            <w:tcW w:w="20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09"/>
        </w:trPr>
        <w:tc>
          <w:tcPr>
            <w:tcW w:w="2980" w:type="dxa"/>
            <w:vAlign w:val="bottom"/>
          </w:tcPr>
          <w:p>
            <w:pPr>
              <w:ind w:left="40"/>
              <w:spacing w:after="0"/>
              <w:rPr>
                <w:sz w:val="20"/>
                <w:szCs w:val="20"/>
                <w:color w:val="auto"/>
              </w:rPr>
            </w:pPr>
            <w:r>
              <w:rPr>
                <w:rFonts w:ascii="Arial" w:cs="Arial" w:eastAsia="Arial" w:hAnsi="Arial"/>
                <w:sz w:val="18"/>
                <w:szCs w:val="18"/>
                <w:color w:val="auto"/>
              </w:rPr>
              <w:t>Total derivatives not designated as</w:t>
            </w:r>
          </w:p>
        </w:tc>
        <w:tc>
          <w:tcPr>
            <w:tcW w:w="3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tcBorders>
            <w:vMerge w:val="restart"/>
          </w:tcPr>
          <w:p>
            <w:pPr>
              <w:jc w:val="right"/>
              <w:ind w:right="13"/>
              <w:spacing w:after="0"/>
              <w:rPr>
                <w:sz w:val="20"/>
                <w:szCs w:val="20"/>
                <w:color w:val="auto"/>
              </w:rPr>
            </w:pPr>
            <w:r>
              <w:rPr>
                <w:rFonts w:ascii="Arial" w:cs="Arial" w:eastAsia="Arial" w:hAnsi="Arial"/>
                <w:sz w:val="18"/>
                <w:szCs w:val="18"/>
                <w:color w:val="auto"/>
              </w:rPr>
              <w:t>182</w:t>
            </w:r>
          </w:p>
        </w:tc>
        <w:tc>
          <w:tcPr>
            <w:tcW w:w="1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(667)</w:t>
            </w:r>
          </w:p>
        </w:tc>
        <w:tc>
          <w:tcPr>
            <w:tcW w:w="0" w:type="dxa"/>
            <w:vAlign w:val="bottom"/>
          </w:tcPr>
          <w:p>
            <w:pPr>
              <w:spacing w:after="0"/>
              <w:rPr>
                <w:sz w:val="1"/>
                <w:szCs w:val="1"/>
                <w:color w:val="auto"/>
              </w:rPr>
            </w:pPr>
          </w:p>
        </w:tc>
      </w:tr>
      <w:tr>
        <w:trPr>
          <w:trHeight w:val="277"/>
        </w:trPr>
        <w:tc>
          <w:tcPr>
            <w:tcW w:w="298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hedging instruments</w:t>
            </w:r>
          </w:p>
        </w:tc>
        <w:tc>
          <w:tcPr>
            <w:tcW w:w="310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vMerge w:val="continue"/>
          </w:tcPr>
          <w:p>
            <w:pPr>
              <w:spacing w:after="0"/>
              <w:rPr>
                <w:sz w:val="24"/>
                <w:szCs w:val="24"/>
                <w:color w:val="auto"/>
              </w:rPr>
            </w:pPr>
          </w:p>
        </w:tc>
        <w:tc>
          <w:tcPr>
            <w:tcW w:w="700" w:type="dxa"/>
            <w:vAlign w:val="bottom"/>
            <w:tcBorders>
              <w:bottom w:val="single" w:sz="8" w:color="auto"/>
            </w:tcBorders>
            <w:vMerge w:val="continue"/>
          </w:tcPr>
          <w:p>
            <w:pPr>
              <w:spacing w:after="0"/>
              <w:rPr>
                <w:sz w:val="24"/>
                <w:szCs w:val="24"/>
                <w:color w:val="auto"/>
              </w:rPr>
            </w:pPr>
          </w:p>
        </w:tc>
        <w:tc>
          <w:tcPr>
            <w:tcW w:w="120" w:type="dxa"/>
            <w:vAlign w:val="bottom"/>
            <w:tcBorders>
              <w:bottom w:val="single" w:sz="8" w:color="CCEEFF"/>
              <w:right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308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vMerge w:val="continue"/>
          </w:tcPr>
          <w:p>
            <w:pPr>
              <w:spacing w:after="0"/>
              <w:rPr>
                <w:sz w:val="24"/>
                <w:szCs w:val="24"/>
                <w:color w:val="auto"/>
              </w:rPr>
            </w:pPr>
          </w:p>
        </w:tc>
        <w:tc>
          <w:tcPr>
            <w:tcW w:w="700" w:type="dxa"/>
            <w:vAlign w:val="bottom"/>
            <w:tcBorders>
              <w:bottom w:val="single" w:sz="8" w:color="auto"/>
            </w:tcBorders>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2980" w:type="dxa"/>
            <w:vAlign w:val="bottom"/>
            <w:shd w:val="clear" w:color="auto" w:fill="CCEEFF"/>
          </w:tcPr>
          <w:p>
            <w:pPr>
              <w:spacing w:after="0"/>
              <w:rPr>
                <w:sz w:val="24"/>
                <w:szCs w:val="24"/>
                <w:color w:val="auto"/>
              </w:rPr>
            </w:pPr>
          </w:p>
        </w:tc>
        <w:tc>
          <w:tcPr>
            <w:tcW w:w="3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120" w:type="dxa"/>
            <w:vAlign w:val="bottom"/>
            <w:tcBorders>
              <w:right w:val="single" w:sz="8" w:color="auto"/>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0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2980" w:type="dxa"/>
            <w:vAlign w:val="bottom"/>
          </w:tcPr>
          <w:p>
            <w:pPr>
              <w:ind w:left="40"/>
              <w:spacing w:after="0"/>
              <w:rPr>
                <w:sz w:val="20"/>
                <w:szCs w:val="20"/>
                <w:color w:val="auto"/>
              </w:rPr>
            </w:pPr>
            <w:r>
              <w:rPr>
                <w:rFonts w:ascii="Arial" w:cs="Arial" w:eastAsia="Arial" w:hAnsi="Arial"/>
                <w:sz w:val="18"/>
                <w:szCs w:val="18"/>
                <w:color w:val="auto"/>
              </w:rPr>
              <w:t>Total derivatives</w:t>
            </w:r>
          </w:p>
        </w:tc>
        <w:tc>
          <w:tcPr>
            <w:tcW w:w="3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187</w:t>
            </w:r>
          </w:p>
        </w:tc>
        <w:tc>
          <w:tcPr>
            <w:tcW w:w="120" w:type="dxa"/>
            <w:vAlign w:val="bottom"/>
            <w:tcBorders>
              <w:right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0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(672)</w:t>
            </w:r>
          </w:p>
        </w:tc>
        <w:tc>
          <w:tcPr>
            <w:tcW w:w="0" w:type="dxa"/>
            <w:vAlign w:val="bottom"/>
          </w:tcPr>
          <w:p>
            <w:pPr>
              <w:spacing w:after="0"/>
              <w:rPr>
                <w:sz w:val="1"/>
                <w:szCs w:val="1"/>
                <w:color w:val="auto"/>
              </w:rPr>
            </w:pPr>
          </w:p>
        </w:tc>
      </w:tr>
      <w:tr>
        <w:trPr>
          <w:trHeight w:val="20"/>
        </w:trPr>
        <w:tc>
          <w:tcPr>
            <w:tcW w:w="2980" w:type="dxa"/>
            <w:vAlign w:val="bottom"/>
          </w:tcPr>
          <w:p>
            <w:pPr>
              <w:spacing w:after="0" w:line="20" w:lineRule="exact"/>
              <w:rPr>
                <w:sz w:val="1"/>
                <w:szCs w:val="1"/>
                <w:color w:val="auto"/>
              </w:rPr>
            </w:pPr>
          </w:p>
        </w:tc>
        <w:tc>
          <w:tcPr>
            <w:tcW w:w="3100" w:type="dxa"/>
            <w:vAlign w:val="bottom"/>
            <w:vMerge w:val="restart"/>
          </w:tcPr>
          <w:p>
            <w:pPr>
              <w:ind w:left="2640"/>
              <w:spacing w:after="0"/>
              <w:rPr>
                <w:sz w:val="20"/>
                <w:szCs w:val="20"/>
                <w:color w:val="auto"/>
              </w:rPr>
            </w:pPr>
            <w:r>
              <w:rPr>
                <w:rFonts w:ascii="Arial" w:cs="Arial" w:eastAsia="Arial" w:hAnsi="Arial"/>
                <w:sz w:val="18"/>
                <w:szCs w:val="18"/>
                <w:color w:val="auto"/>
              </w:rPr>
              <w:t>26</w:t>
            </w: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2980" w:type="dxa"/>
            <w:vAlign w:val="bottom"/>
          </w:tcPr>
          <w:p>
            <w:pPr>
              <w:spacing w:after="0"/>
              <w:rPr>
                <w:sz w:val="24"/>
                <w:szCs w:val="24"/>
                <w:color w:val="auto"/>
              </w:rPr>
            </w:pPr>
          </w:p>
        </w:tc>
        <w:tc>
          <w:tcPr>
            <w:tcW w:w="310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26" w:name="page27"/>
    <w:bookmarkEnd w:id="2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following table summarizes the derivative assets and liabilities on our Condensed Consolidated Balance Sheet on a gross basis as of</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2017 (in millions):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980" w:type="dxa"/>
            <w:vAlign w:val="bottom"/>
          </w:tcPr>
          <w:p>
            <w:pPr>
              <w:spacing w:after="0"/>
              <w:rPr>
                <w:sz w:val="16"/>
                <w:szCs w:val="16"/>
                <w:color w:val="auto"/>
              </w:rPr>
            </w:pPr>
          </w:p>
        </w:tc>
        <w:tc>
          <w:tcPr>
            <w:tcW w:w="3220" w:type="dxa"/>
            <w:vAlign w:val="bottom"/>
            <w:tcBorders>
              <w:bottom w:val="single" w:sz="8" w:color="auto"/>
            </w:tcBorders>
            <w:gridSpan w:val="2"/>
          </w:tcPr>
          <w:p>
            <w:pPr>
              <w:ind w:left="1520"/>
              <w:spacing w:after="0"/>
              <w:rPr>
                <w:sz w:val="20"/>
                <w:szCs w:val="20"/>
                <w:color w:val="auto"/>
              </w:rPr>
            </w:pPr>
            <w:r>
              <w:rPr>
                <w:rFonts w:ascii="Arial" w:cs="Arial" w:eastAsia="Arial" w:hAnsi="Arial"/>
                <w:sz w:val="14"/>
                <w:szCs w:val="14"/>
                <w:b w:val="1"/>
                <w:bCs w:val="1"/>
                <w:color w:val="auto"/>
              </w:rPr>
              <w:t>Asset Derivatives</w:t>
            </w:r>
          </w:p>
        </w:tc>
        <w:tc>
          <w:tcPr>
            <w:tcW w:w="2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0" w:type="dxa"/>
            <w:vAlign w:val="bottom"/>
            <w:tcBorders>
              <w:bottom w:val="single" w:sz="8" w:color="auto"/>
            </w:tcBorders>
            <w:gridSpan w:val="2"/>
          </w:tcPr>
          <w:p>
            <w:pPr>
              <w:ind w:left="1420"/>
              <w:spacing w:after="0"/>
              <w:rPr>
                <w:sz w:val="20"/>
                <w:szCs w:val="20"/>
                <w:color w:val="auto"/>
              </w:rPr>
            </w:pPr>
            <w:r>
              <w:rPr>
                <w:rFonts w:ascii="Arial" w:cs="Arial" w:eastAsia="Arial" w:hAnsi="Arial"/>
                <w:sz w:val="14"/>
                <w:szCs w:val="14"/>
                <w:b w:val="1"/>
                <w:bCs w:val="1"/>
                <w:color w:val="auto"/>
              </w:rPr>
              <w:t>Liability Derivatives</w:t>
            </w:r>
          </w:p>
        </w:tc>
        <w:tc>
          <w:tcPr>
            <w:tcW w:w="2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2980" w:type="dxa"/>
            <w:vAlign w:val="bottom"/>
          </w:tcPr>
          <w:p>
            <w:pPr>
              <w:spacing w:after="0"/>
              <w:rPr>
                <w:sz w:val="13"/>
                <w:szCs w:val="13"/>
                <w:color w:val="auto"/>
              </w:rPr>
            </w:pPr>
          </w:p>
        </w:tc>
        <w:tc>
          <w:tcPr>
            <w:tcW w:w="3220" w:type="dxa"/>
            <w:vAlign w:val="bottom"/>
            <w:gridSpan w:val="2"/>
          </w:tcPr>
          <w:p>
            <w:pPr>
              <w:ind w:left="1120"/>
              <w:spacing w:after="0" w:line="153" w:lineRule="exact"/>
              <w:rPr>
                <w:sz w:val="20"/>
                <w:szCs w:val="20"/>
                <w:color w:val="auto"/>
              </w:rPr>
            </w:pPr>
            <w:r>
              <w:rPr>
                <w:rFonts w:ascii="Arial" w:cs="Arial" w:eastAsia="Arial" w:hAnsi="Arial"/>
                <w:sz w:val="14"/>
                <w:szCs w:val="14"/>
                <w:b w:val="1"/>
                <w:bCs w:val="1"/>
                <w:color w:val="auto"/>
              </w:rPr>
              <w:t>Balance Sheet</w:t>
            </w:r>
          </w:p>
        </w:tc>
        <w:tc>
          <w:tcPr>
            <w:tcW w:w="200" w:type="dxa"/>
            <w:vAlign w:val="bottom"/>
          </w:tcPr>
          <w:p>
            <w:pPr>
              <w:spacing w:after="0"/>
              <w:rPr>
                <w:sz w:val="13"/>
                <w:szCs w:val="13"/>
                <w:color w:val="auto"/>
              </w:rPr>
            </w:pPr>
          </w:p>
        </w:tc>
        <w:tc>
          <w:tcPr>
            <w:tcW w:w="700" w:type="dxa"/>
            <w:vAlign w:val="bottom"/>
          </w:tcPr>
          <w:p>
            <w:pPr>
              <w:jc w:val="right"/>
              <w:ind w:right="233"/>
              <w:spacing w:after="0" w:line="153" w:lineRule="exact"/>
              <w:rPr>
                <w:sz w:val="20"/>
                <w:szCs w:val="20"/>
                <w:color w:val="auto"/>
              </w:rPr>
            </w:pPr>
            <w:r>
              <w:rPr>
                <w:rFonts w:ascii="Arial" w:cs="Arial" w:eastAsia="Arial" w:hAnsi="Arial"/>
                <w:sz w:val="14"/>
                <w:szCs w:val="14"/>
                <w:b w:val="1"/>
                <w:bCs w:val="1"/>
                <w:color w:val="auto"/>
              </w:rPr>
              <w:t>Fair</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0" w:type="dxa"/>
            <w:vAlign w:val="bottom"/>
            <w:gridSpan w:val="2"/>
          </w:tcPr>
          <w:p>
            <w:pPr>
              <w:ind w:left="1120"/>
              <w:spacing w:after="0" w:line="153" w:lineRule="exact"/>
              <w:rPr>
                <w:sz w:val="20"/>
                <w:szCs w:val="20"/>
                <w:color w:val="auto"/>
              </w:rPr>
            </w:pPr>
            <w:r>
              <w:rPr>
                <w:rFonts w:ascii="Arial" w:cs="Arial" w:eastAsia="Arial" w:hAnsi="Arial"/>
                <w:sz w:val="14"/>
                <w:szCs w:val="14"/>
                <w:b w:val="1"/>
                <w:bCs w:val="1"/>
                <w:color w:val="auto"/>
              </w:rPr>
              <w:t>Balance Sheet</w:t>
            </w:r>
          </w:p>
        </w:tc>
        <w:tc>
          <w:tcPr>
            <w:tcW w:w="200" w:type="dxa"/>
            <w:vAlign w:val="bottom"/>
          </w:tcPr>
          <w:p>
            <w:pPr>
              <w:spacing w:after="0"/>
              <w:rPr>
                <w:sz w:val="13"/>
                <w:szCs w:val="13"/>
                <w:color w:val="auto"/>
              </w:rPr>
            </w:pPr>
          </w:p>
        </w:tc>
        <w:tc>
          <w:tcPr>
            <w:tcW w:w="700" w:type="dxa"/>
            <w:vAlign w:val="bottom"/>
          </w:tcPr>
          <w:p>
            <w:pPr>
              <w:jc w:val="right"/>
              <w:ind w:right="233"/>
              <w:spacing w:after="0" w:line="153" w:lineRule="exact"/>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92"/>
        </w:trPr>
        <w:tc>
          <w:tcPr>
            <w:tcW w:w="2980" w:type="dxa"/>
            <w:vAlign w:val="bottom"/>
          </w:tcPr>
          <w:p>
            <w:pPr>
              <w:spacing w:after="0"/>
              <w:rPr>
                <w:sz w:val="16"/>
                <w:szCs w:val="16"/>
                <w:color w:val="auto"/>
              </w:rPr>
            </w:pPr>
          </w:p>
        </w:tc>
        <w:tc>
          <w:tcPr>
            <w:tcW w:w="3220" w:type="dxa"/>
            <w:vAlign w:val="bottom"/>
            <w:gridSpan w:val="2"/>
          </w:tcPr>
          <w:p>
            <w:pPr>
              <w:ind w:left="1280"/>
              <w:spacing w:after="0"/>
              <w:rPr>
                <w:sz w:val="20"/>
                <w:szCs w:val="20"/>
                <w:color w:val="auto"/>
              </w:rPr>
            </w:pPr>
            <w:r>
              <w:rPr>
                <w:rFonts w:ascii="Arial" w:cs="Arial" w:eastAsia="Arial" w:hAnsi="Arial"/>
                <w:sz w:val="14"/>
                <w:szCs w:val="14"/>
                <w:b w:val="1"/>
                <w:bCs w:val="1"/>
                <w:color w:val="auto"/>
              </w:rPr>
              <w:t>Location</w:t>
            </w:r>
          </w:p>
        </w:tc>
        <w:tc>
          <w:tcPr>
            <w:tcW w:w="200" w:type="dxa"/>
            <w:vAlign w:val="bottom"/>
          </w:tcPr>
          <w:p>
            <w:pPr>
              <w:spacing w:after="0"/>
              <w:rPr>
                <w:sz w:val="16"/>
                <w:szCs w:val="16"/>
                <w:color w:val="auto"/>
              </w:rPr>
            </w:pPr>
          </w:p>
        </w:tc>
        <w:tc>
          <w:tcPr>
            <w:tcW w:w="700" w:type="dxa"/>
            <w:vAlign w:val="bottom"/>
          </w:tcPr>
          <w:p>
            <w:pPr>
              <w:jc w:val="right"/>
              <w:ind w:right="193"/>
              <w:spacing w:after="0"/>
              <w:rPr>
                <w:sz w:val="20"/>
                <w:szCs w:val="20"/>
                <w:color w:val="auto"/>
              </w:rPr>
            </w:pPr>
            <w:r>
              <w:rPr>
                <w:rFonts w:ascii="Arial" w:cs="Arial" w:eastAsia="Arial" w:hAnsi="Arial"/>
                <w:sz w:val="14"/>
                <w:szCs w:val="14"/>
                <w:b w:val="1"/>
                <w:bCs w:val="1"/>
                <w:color w:val="auto"/>
              </w:rPr>
              <w:t>Value</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0" w:type="dxa"/>
            <w:vAlign w:val="bottom"/>
            <w:gridSpan w:val="2"/>
          </w:tcPr>
          <w:p>
            <w:pPr>
              <w:ind w:left="1280"/>
              <w:spacing w:after="0"/>
              <w:rPr>
                <w:sz w:val="20"/>
                <w:szCs w:val="20"/>
                <w:color w:val="auto"/>
              </w:rPr>
            </w:pPr>
            <w:r>
              <w:rPr>
                <w:rFonts w:ascii="Arial" w:cs="Arial" w:eastAsia="Arial" w:hAnsi="Arial"/>
                <w:sz w:val="14"/>
                <w:szCs w:val="14"/>
                <w:b w:val="1"/>
                <w:bCs w:val="1"/>
                <w:color w:val="auto"/>
              </w:rPr>
              <w:t>Location</w:t>
            </w:r>
          </w:p>
        </w:tc>
        <w:tc>
          <w:tcPr>
            <w:tcW w:w="200" w:type="dxa"/>
            <w:vAlign w:val="bottom"/>
          </w:tcPr>
          <w:p>
            <w:pPr>
              <w:spacing w:after="0"/>
              <w:rPr>
                <w:sz w:val="16"/>
                <w:szCs w:val="16"/>
                <w:color w:val="auto"/>
              </w:rPr>
            </w:pPr>
          </w:p>
        </w:tc>
        <w:tc>
          <w:tcPr>
            <w:tcW w:w="700" w:type="dxa"/>
            <w:vAlign w:val="bottom"/>
          </w:tcPr>
          <w:p>
            <w:pPr>
              <w:jc w:val="right"/>
              <w:ind w:right="193"/>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211"/>
        </w:trPr>
        <w:tc>
          <w:tcPr>
            <w:tcW w:w="298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w w:val="98"/>
              </w:rPr>
              <w:t>Derivatives designated as hedging</w:t>
            </w:r>
          </w:p>
        </w:tc>
        <w:tc>
          <w:tcPr>
            <w:tcW w:w="31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right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0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9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b w:val="1"/>
                <w:bCs w:val="1"/>
                <w:color w:val="auto"/>
              </w:rPr>
              <w:t>instruments:</w:t>
            </w:r>
          </w:p>
        </w:tc>
        <w:tc>
          <w:tcPr>
            <w:tcW w:w="3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right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980" w:type="dxa"/>
            <w:vAlign w:val="bottom"/>
          </w:tcPr>
          <w:p>
            <w:pPr>
              <w:ind w:left="40"/>
              <w:spacing w:after="0"/>
              <w:rPr>
                <w:sz w:val="20"/>
                <w:szCs w:val="20"/>
                <w:color w:val="auto"/>
              </w:rPr>
            </w:pPr>
            <w:r>
              <w:rPr>
                <w:rFonts w:ascii="Arial" w:cs="Arial" w:eastAsia="Arial" w:hAnsi="Arial"/>
                <w:sz w:val="18"/>
                <w:szCs w:val="18"/>
                <w:color w:val="auto"/>
              </w:rPr>
              <w:t>Interest rate derivatives</w:t>
            </w:r>
          </w:p>
        </w:tc>
        <w:tc>
          <w:tcPr>
            <w:tcW w:w="3220" w:type="dxa"/>
            <w:vAlign w:val="bottom"/>
            <w:gridSpan w:val="2"/>
          </w:tcPr>
          <w:p>
            <w:pPr>
              <w:ind w:left="20"/>
              <w:spacing w:after="0"/>
              <w:rPr>
                <w:sz w:val="20"/>
                <w:szCs w:val="20"/>
                <w:color w:val="auto"/>
              </w:rPr>
            </w:pPr>
            <w:r>
              <w:rPr>
                <w:rFonts w:ascii="Arial" w:cs="Arial" w:eastAsia="Arial" w:hAnsi="Arial"/>
                <w:sz w:val="18"/>
                <w:szCs w:val="18"/>
                <w:color w:val="auto"/>
              </w:rPr>
              <w:t>Other current liabilities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ind w:right="13"/>
              <w:spacing w:after="0"/>
              <w:rPr>
                <w:sz w:val="20"/>
                <w:szCs w:val="20"/>
                <w:color w:val="auto"/>
              </w:rPr>
            </w:pPr>
            <w:r>
              <w:rPr>
                <w:rFonts w:ascii="Arial" w:cs="Arial" w:eastAsia="Arial" w:hAnsi="Arial"/>
                <w:sz w:val="18"/>
                <w:szCs w:val="18"/>
                <w:color w:val="auto"/>
              </w:rPr>
              <w:t>2</w:t>
            </w:r>
          </w:p>
        </w:tc>
        <w:tc>
          <w:tcPr>
            <w:tcW w:w="12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3200" w:type="dxa"/>
            <w:vAlign w:val="bottom"/>
            <w:gridSpan w:val="2"/>
          </w:tcPr>
          <w:p>
            <w:pPr>
              <w:ind w:left="40"/>
              <w:spacing w:after="0"/>
              <w:rPr>
                <w:sz w:val="20"/>
                <w:szCs w:val="20"/>
                <w:color w:val="auto"/>
              </w:rPr>
            </w:pPr>
            <w:r>
              <w:rPr>
                <w:rFonts w:ascii="Arial" w:cs="Arial" w:eastAsia="Arial" w:hAnsi="Arial"/>
                <w:sz w:val="18"/>
                <w:szCs w:val="18"/>
                <w:color w:val="auto"/>
              </w:rPr>
              <w:t>Other current liabilities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7"/>
        </w:trPr>
        <w:tc>
          <w:tcPr>
            <w:tcW w:w="2980" w:type="dxa"/>
            <w:vAlign w:val="bottom"/>
          </w:tcPr>
          <w:p>
            <w:pPr>
              <w:spacing w:after="0"/>
              <w:rPr>
                <w:sz w:val="2"/>
                <w:szCs w:val="2"/>
                <w:color w:val="auto"/>
              </w:rPr>
            </w:pPr>
          </w:p>
        </w:tc>
        <w:tc>
          <w:tcPr>
            <w:tcW w:w="3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980" w:type="dxa"/>
            <w:vAlign w:val="bottom"/>
            <w:shd w:val="clear" w:color="auto" w:fill="CCEEFF"/>
          </w:tcPr>
          <w:p>
            <w:pPr>
              <w:spacing w:after="0"/>
              <w:rPr>
                <w:sz w:val="19"/>
                <w:szCs w:val="19"/>
                <w:color w:val="auto"/>
              </w:rPr>
            </w:pPr>
          </w:p>
        </w:tc>
        <w:tc>
          <w:tcPr>
            <w:tcW w:w="3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Other long-term liabilities and deferred</w:t>
            </w: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980" w:type="dxa"/>
            <w:vAlign w:val="bottom"/>
            <w:tcBorders>
              <w:bottom w:val="single" w:sz="8" w:color="CCEEFF"/>
            </w:tcBorders>
            <w:shd w:val="clear" w:color="auto" w:fill="CCEEFF"/>
          </w:tcPr>
          <w:p>
            <w:pPr>
              <w:spacing w:after="0"/>
              <w:rPr>
                <w:sz w:val="22"/>
                <w:szCs w:val="22"/>
                <w:color w:val="auto"/>
              </w:rPr>
            </w:pPr>
          </w:p>
        </w:tc>
        <w:tc>
          <w:tcPr>
            <w:tcW w:w="3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right w:val="single" w:sz="8" w:color="auto"/>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20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credits</w:t>
            </w:r>
          </w:p>
        </w:tc>
        <w:tc>
          <w:tcPr>
            <w:tcW w:w="20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09"/>
        </w:trPr>
        <w:tc>
          <w:tcPr>
            <w:tcW w:w="2980" w:type="dxa"/>
            <w:vAlign w:val="bottom"/>
          </w:tcPr>
          <w:p>
            <w:pPr>
              <w:ind w:left="40"/>
              <w:spacing w:after="0"/>
              <w:rPr>
                <w:sz w:val="20"/>
                <w:szCs w:val="20"/>
                <w:color w:val="auto"/>
              </w:rPr>
            </w:pPr>
            <w:r>
              <w:rPr>
                <w:rFonts w:ascii="Arial" w:cs="Arial" w:eastAsia="Arial" w:hAnsi="Arial"/>
                <w:sz w:val="18"/>
                <w:szCs w:val="18"/>
                <w:color w:val="auto"/>
              </w:rPr>
              <w:t>Total derivatives designated as</w:t>
            </w:r>
          </w:p>
        </w:tc>
        <w:tc>
          <w:tcPr>
            <w:tcW w:w="3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tcBorders>
            <w:vMerge w:val="restart"/>
          </w:tcPr>
          <w:p>
            <w:pPr>
              <w:jc w:val="right"/>
              <w:ind w:right="13"/>
              <w:spacing w:after="0"/>
              <w:rPr>
                <w:sz w:val="20"/>
                <w:szCs w:val="20"/>
                <w:color w:val="auto"/>
              </w:rPr>
            </w:pPr>
            <w:r>
              <w:rPr>
                <w:rFonts w:ascii="Arial" w:cs="Arial" w:eastAsia="Arial" w:hAnsi="Arial"/>
                <w:sz w:val="18"/>
                <w:szCs w:val="18"/>
                <w:color w:val="auto"/>
              </w:rPr>
              <w:t>2</w:t>
            </w:r>
          </w:p>
        </w:tc>
        <w:tc>
          <w:tcPr>
            <w:tcW w:w="1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77"/>
        </w:trPr>
        <w:tc>
          <w:tcPr>
            <w:tcW w:w="298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hedging instruments</w:t>
            </w:r>
          </w:p>
        </w:tc>
        <w:tc>
          <w:tcPr>
            <w:tcW w:w="310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vMerge w:val="continue"/>
          </w:tcPr>
          <w:p>
            <w:pPr>
              <w:spacing w:after="0"/>
              <w:rPr>
                <w:sz w:val="24"/>
                <w:szCs w:val="24"/>
                <w:color w:val="auto"/>
              </w:rPr>
            </w:pPr>
          </w:p>
        </w:tc>
        <w:tc>
          <w:tcPr>
            <w:tcW w:w="700" w:type="dxa"/>
            <w:vAlign w:val="bottom"/>
            <w:tcBorders>
              <w:bottom w:val="single" w:sz="8" w:color="auto"/>
            </w:tcBorders>
            <w:vMerge w:val="continue"/>
          </w:tcPr>
          <w:p>
            <w:pPr>
              <w:spacing w:after="0"/>
              <w:rPr>
                <w:sz w:val="24"/>
                <w:szCs w:val="24"/>
                <w:color w:val="auto"/>
              </w:rPr>
            </w:pPr>
          </w:p>
        </w:tc>
        <w:tc>
          <w:tcPr>
            <w:tcW w:w="120" w:type="dxa"/>
            <w:vAlign w:val="bottom"/>
            <w:tcBorders>
              <w:bottom w:val="single" w:sz="8" w:color="CCEEFF"/>
              <w:right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308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vMerge w:val="continue"/>
          </w:tcPr>
          <w:p>
            <w:pPr>
              <w:spacing w:after="0"/>
              <w:rPr>
                <w:sz w:val="24"/>
                <w:szCs w:val="24"/>
                <w:color w:val="auto"/>
              </w:rPr>
            </w:pPr>
          </w:p>
        </w:tc>
        <w:tc>
          <w:tcPr>
            <w:tcW w:w="700" w:type="dxa"/>
            <w:vAlign w:val="bottom"/>
            <w:tcBorders>
              <w:bottom w:val="single" w:sz="8" w:color="auto"/>
            </w:tcBorders>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2980" w:type="dxa"/>
            <w:vAlign w:val="bottom"/>
            <w:shd w:val="clear" w:color="auto" w:fill="CCEEFF"/>
          </w:tcPr>
          <w:p>
            <w:pPr>
              <w:spacing w:after="0"/>
              <w:rPr>
                <w:sz w:val="24"/>
                <w:szCs w:val="24"/>
                <w:color w:val="auto"/>
              </w:rPr>
            </w:pPr>
          </w:p>
        </w:tc>
        <w:tc>
          <w:tcPr>
            <w:tcW w:w="3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120" w:type="dxa"/>
            <w:vAlign w:val="bottom"/>
            <w:tcBorders>
              <w:right w:val="single" w:sz="8" w:color="auto"/>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0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980" w:type="dxa"/>
            <w:vAlign w:val="bottom"/>
          </w:tcPr>
          <w:p>
            <w:pPr>
              <w:ind w:left="40"/>
              <w:spacing w:after="0"/>
              <w:rPr>
                <w:sz w:val="20"/>
                <w:szCs w:val="20"/>
                <w:color w:val="auto"/>
              </w:rPr>
            </w:pPr>
            <w:r>
              <w:rPr>
                <w:rFonts w:ascii="Arial" w:cs="Arial" w:eastAsia="Arial" w:hAnsi="Arial"/>
                <w:sz w:val="18"/>
                <w:szCs w:val="18"/>
                <w:b w:val="1"/>
                <w:bCs w:val="1"/>
                <w:color w:val="auto"/>
              </w:rPr>
              <w:t>Derivatives not designated as</w:t>
            </w:r>
          </w:p>
        </w:tc>
        <w:tc>
          <w:tcPr>
            <w:tcW w:w="3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980" w:type="dxa"/>
            <w:vAlign w:val="bottom"/>
          </w:tcPr>
          <w:p>
            <w:pPr>
              <w:ind w:left="200"/>
              <w:spacing w:after="0"/>
              <w:rPr>
                <w:sz w:val="20"/>
                <w:szCs w:val="20"/>
                <w:color w:val="auto"/>
              </w:rPr>
            </w:pPr>
            <w:r>
              <w:rPr>
                <w:rFonts w:ascii="Arial" w:cs="Arial" w:eastAsia="Arial" w:hAnsi="Arial"/>
                <w:sz w:val="18"/>
                <w:szCs w:val="18"/>
                <w:b w:val="1"/>
                <w:bCs w:val="1"/>
                <w:color w:val="auto"/>
              </w:rPr>
              <w:t>hedging instruments:</w:t>
            </w:r>
          </w:p>
        </w:tc>
        <w:tc>
          <w:tcPr>
            <w:tcW w:w="3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980" w:type="dxa"/>
            <w:vAlign w:val="bottom"/>
          </w:tcPr>
          <w:p>
            <w:pPr>
              <w:spacing w:after="0"/>
              <w:rPr>
                <w:sz w:val="2"/>
                <w:szCs w:val="2"/>
                <w:color w:val="auto"/>
              </w:rPr>
            </w:pPr>
          </w:p>
        </w:tc>
        <w:tc>
          <w:tcPr>
            <w:tcW w:w="3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Commodity derivatives</w:t>
            </w:r>
          </w:p>
        </w:tc>
        <w:tc>
          <w:tcPr>
            <w:tcW w:w="32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Other current assets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73</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Other current assets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(227)</w:t>
            </w:r>
          </w:p>
        </w:tc>
        <w:tc>
          <w:tcPr>
            <w:tcW w:w="0" w:type="dxa"/>
            <w:vAlign w:val="bottom"/>
          </w:tcPr>
          <w:p>
            <w:pPr>
              <w:spacing w:after="0"/>
              <w:rPr>
                <w:sz w:val="1"/>
                <w:szCs w:val="1"/>
                <w:color w:val="auto"/>
              </w:rPr>
            </w:pPr>
          </w:p>
        </w:tc>
      </w:tr>
      <w:tr>
        <w:trPr>
          <w:trHeight w:val="243"/>
        </w:trPr>
        <w:tc>
          <w:tcPr>
            <w:tcW w:w="2980" w:type="dxa"/>
            <w:vAlign w:val="bottom"/>
          </w:tcPr>
          <w:p>
            <w:pPr>
              <w:spacing w:after="0"/>
              <w:rPr>
                <w:sz w:val="21"/>
                <w:szCs w:val="21"/>
                <w:color w:val="auto"/>
              </w:rPr>
            </w:pPr>
          </w:p>
        </w:tc>
        <w:tc>
          <w:tcPr>
            <w:tcW w:w="3220" w:type="dxa"/>
            <w:vAlign w:val="bottom"/>
            <w:gridSpan w:val="2"/>
          </w:tcPr>
          <w:p>
            <w:pPr>
              <w:ind w:left="20"/>
              <w:spacing w:after="0"/>
              <w:rPr>
                <w:sz w:val="20"/>
                <w:szCs w:val="20"/>
                <w:color w:val="auto"/>
              </w:rPr>
            </w:pPr>
            <w:r>
              <w:rPr>
                <w:rFonts w:ascii="Arial" w:cs="Arial" w:eastAsia="Arial" w:hAnsi="Arial"/>
                <w:sz w:val="18"/>
                <w:szCs w:val="18"/>
                <w:color w:val="auto"/>
              </w:rPr>
              <w:t>Other long-term assets, net</w:t>
            </w:r>
          </w:p>
        </w:tc>
        <w:tc>
          <w:tcPr>
            <w:tcW w:w="200" w:type="dxa"/>
            <w:vAlign w:val="bottom"/>
          </w:tcPr>
          <w:p>
            <w:pPr>
              <w:spacing w:after="0"/>
              <w:rPr>
                <w:sz w:val="21"/>
                <w:szCs w:val="21"/>
                <w:color w:val="auto"/>
              </w:rPr>
            </w:pPr>
          </w:p>
        </w:tc>
        <w:tc>
          <w:tcPr>
            <w:tcW w:w="700" w:type="dxa"/>
            <w:vAlign w:val="bottom"/>
          </w:tcPr>
          <w:p>
            <w:pPr>
              <w:jc w:val="right"/>
              <w:ind w:right="13"/>
              <w:spacing w:after="0"/>
              <w:rPr>
                <w:sz w:val="20"/>
                <w:szCs w:val="20"/>
                <w:color w:val="auto"/>
              </w:rPr>
            </w:pPr>
            <w:r>
              <w:rPr>
                <w:rFonts w:ascii="Arial" w:cs="Arial" w:eastAsia="Arial" w:hAnsi="Arial"/>
                <w:sz w:val="18"/>
                <w:szCs w:val="18"/>
                <w:color w:val="auto"/>
              </w:rPr>
              <w:t>1</w:t>
            </w:r>
          </w:p>
        </w:tc>
        <w:tc>
          <w:tcPr>
            <w:tcW w:w="12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3200" w:type="dxa"/>
            <w:vAlign w:val="bottom"/>
            <w:gridSpan w:val="2"/>
          </w:tcPr>
          <w:p>
            <w:pPr>
              <w:ind w:left="40"/>
              <w:spacing w:after="0"/>
              <w:rPr>
                <w:sz w:val="20"/>
                <w:szCs w:val="20"/>
                <w:color w:val="auto"/>
              </w:rPr>
            </w:pPr>
            <w:r>
              <w:rPr>
                <w:rFonts w:ascii="Arial" w:cs="Arial" w:eastAsia="Arial" w:hAnsi="Arial"/>
                <w:sz w:val="18"/>
                <w:szCs w:val="18"/>
                <w:color w:val="auto"/>
              </w:rPr>
              <w:t>Other current liabilities</w:t>
            </w:r>
          </w:p>
        </w:tc>
        <w:tc>
          <w:tcPr>
            <w:tcW w:w="2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(131)</w:t>
            </w:r>
          </w:p>
        </w:tc>
        <w:tc>
          <w:tcPr>
            <w:tcW w:w="0" w:type="dxa"/>
            <w:vAlign w:val="bottom"/>
          </w:tcPr>
          <w:p>
            <w:pPr>
              <w:spacing w:after="0"/>
              <w:rPr>
                <w:sz w:val="1"/>
                <w:szCs w:val="1"/>
                <w:color w:val="auto"/>
              </w:rPr>
            </w:pPr>
          </w:p>
        </w:tc>
      </w:tr>
      <w:tr>
        <w:trPr>
          <w:trHeight w:val="27"/>
        </w:trPr>
        <w:tc>
          <w:tcPr>
            <w:tcW w:w="2980" w:type="dxa"/>
            <w:vAlign w:val="bottom"/>
          </w:tcPr>
          <w:p>
            <w:pPr>
              <w:spacing w:after="0"/>
              <w:rPr>
                <w:sz w:val="2"/>
                <w:szCs w:val="2"/>
                <w:color w:val="auto"/>
              </w:rPr>
            </w:pPr>
          </w:p>
        </w:tc>
        <w:tc>
          <w:tcPr>
            <w:tcW w:w="3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980" w:type="dxa"/>
            <w:vAlign w:val="bottom"/>
            <w:shd w:val="clear" w:color="auto" w:fill="CCEEFF"/>
          </w:tcPr>
          <w:p>
            <w:pPr>
              <w:spacing w:after="0"/>
              <w:rPr>
                <w:sz w:val="19"/>
                <w:szCs w:val="19"/>
                <w:color w:val="auto"/>
              </w:rPr>
            </w:pPr>
          </w:p>
        </w:tc>
        <w:tc>
          <w:tcPr>
            <w:tcW w:w="3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Other long-term liabilities and deferred</w:t>
            </w: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980" w:type="dxa"/>
            <w:vAlign w:val="bottom"/>
            <w:tcBorders>
              <w:bottom w:val="single" w:sz="8" w:color="CCEEFF"/>
            </w:tcBorders>
            <w:shd w:val="clear" w:color="auto" w:fill="CCEEFF"/>
          </w:tcPr>
          <w:p>
            <w:pPr>
              <w:spacing w:after="0"/>
              <w:rPr>
                <w:sz w:val="20"/>
                <w:szCs w:val="20"/>
                <w:color w:val="auto"/>
              </w:rPr>
            </w:pPr>
          </w:p>
        </w:tc>
        <w:tc>
          <w:tcPr>
            <w:tcW w:w="32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Other current liabilities</w:t>
            </w:r>
          </w:p>
        </w:tc>
        <w:tc>
          <w:tcPr>
            <w:tcW w:w="20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w:t>
            </w:r>
          </w:p>
        </w:tc>
        <w:tc>
          <w:tcPr>
            <w:tcW w:w="120" w:type="dxa"/>
            <w:vAlign w:val="bottom"/>
            <w:tcBorders>
              <w:bottom w:val="single" w:sz="8" w:color="CCEEFF"/>
              <w:right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20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credits</w:t>
            </w:r>
          </w:p>
        </w:tc>
        <w:tc>
          <w:tcPr>
            <w:tcW w:w="20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29"/>
        </w:trPr>
        <w:tc>
          <w:tcPr>
            <w:tcW w:w="2980" w:type="dxa"/>
            <w:vAlign w:val="bottom"/>
          </w:tcPr>
          <w:p>
            <w:pPr>
              <w:spacing w:after="0"/>
              <w:rPr>
                <w:sz w:val="19"/>
                <w:szCs w:val="19"/>
                <w:color w:val="auto"/>
              </w:rPr>
            </w:pPr>
          </w:p>
        </w:tc>
        <w:tc>
          <w:tcPr>
            <w:tcW w:w="3220" w:type="dxa"/>
            <w:vAlign w:val="bottom"/>
            <w:gridSpan w:val="2"/>
          </w:tcPr>
          <w:p>
            <w:pPr>
              <w:ind w:left="20"/>
              <w:spacing w:after="0"/>
              <w:rPr>
                <w:sz w:val="20"/>
                <w:szCs w:val="20"/>
                <w:color w:val="auto"/>
              </w:rPr>
            </w:pPr>
            <w:r>
              <w:rPr>
                <w:rFonts w:ascii="Arial" w:cs="Arial" w:eastAsia="Arial" w:hAnsi="Arial"/>
                <w:sz w:val="18"/>
                <w:szCs w:val="18"/>
                <w:color w:val="auto"/>
              </w:rPr>
              <w:t>Other long-term liabilities and deferred</w:t>
            </w: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980" w:type="dxa"/>
            <w:vAlign w:val="bottom"/>
          </w:tcPr>
          <w:p>
            <w:pPr>
              <w:spacing w:after="0"/>
              <w:rPr>
                <w:sz w:val="20"/>
                <w:szCs w:val="20"/>
                <w:color w:val="auto"/>
              </w:rPr>
            </w:pPr>
          </w:p>
        </w:tc>
        <w:tc>
          <w:tcPr>
            <w:tcW w:w="3220" w:type="dxa"/>
            <w:vAlign w:val="bottom"/>
            <w:gridSpan w:val="2"/>
          </w:tcPr>
          <w:p>
            <w:pPr>
              <w:ind w:left="180"/>
              <w:spacing w:after="0"/>
              <w:rPr>
                <w:sz w:val="20"/>
                <w:szCs w:val="20"/>
                <w:color w:val="auto"/>
              </w:rPr>
            </w:pPr>
            <w:r>
              <w:rPr>
                <w:rFonts w:ascii="Arial" w:cs="Arial" w:eastAsia="Arial" w:hAnsi="Arial"/>
                <w:sz w:val="18"/>
                <w:szCs w:val="18"/>
                <w:color w:val="auto"/>
              </w:rPr>
              <w:t>credits</w:t>
            </w:r>
          </w:p>
        </w:tc>
        <w:tc>
          <w:tcPr>
            <w:tcW w:w="200" w:type="dxa"/>
            <w:vAlign w:val="bottom"/>
          </w:tcPr>
          <w:p>
            <w:pPr>
              <w:spacing w:after="0"/>
              <w:rPr>
                <w:sz w:val="20"/>
                <w:szCs w:val="20"/>
                <w:color w:val="auto"/>
              </w:rPr>
            </w:pPr>
          </w:p>
        </w:tc>
        <w:tc>
          <w:tcPr>
            <w:tcW w:w="700" w:type="dxa"/>
            <w:vAlign w:val="bottom"/>
          </w:tcPr>
          <w:p>
            <w:pPr>
              <w:jc w:val="right"/>
              <w:ind w:right="13"/>
              <w:spacing w:after="0"/>
              <w:rPr>
                <w:sz w:val="20"/>
                <w:szCs w:val="20"/>
                <w:color w:val="auto"/>
              </w:rPr>
            </w:pPr>
            <w:r>
              <w:rPr>
                <w:rFonts w:ascii="Arial" w:cs="Arial" w:eastAsia="Arial" w:hAnsi="Arial"/>
                <w:sz w:val="18"/>
                <w:szCs w:val="18"/>
                <w:color w:val="auto"/>
              </w:rPr>
              <w:t>3</w:t>
            </w:r>
          </w:p>
        </w:tc>
        <w:tc>
          <w:tcPr>
            <w:tcW w:w="12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980" w:type="dxa"/>
            <w:vAlign w:val="bottom"/>
          </w:tcPr>
          <w:p>
            <w:pPr>
              <w:spacing w:after="0"/>
              <w:rPr>
                <w:sz w:val="2"/>
                <w:szCs w:val="2"/>
                <w:color w:val="auto"/>
              </w:rPr>
            </w:pPr>
          </w:p>
        </w:tc>
        <w:tc>
          <w:tcPr>
            <w:tcW w:w="3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7"/>
        </w:trPr>
        <w:tc>
          <w:tcPr>
            <w:tcW w:w="2980" w:type="dxa"/>
            <w:vAlign w:val="bottom"/>
            <w:shd w:val="clear" w:color="auto" w:fill="CCEEFF"/>
          </w:tcPr>
          <w:p>
            <w:pPr>
              <w:spacing w:after="0"/>
              <w:rPr>
                <w:sz w:val="24"/>
                <w:szCs w:val="24"/>
                <w:color w:val="auto"/>
              </w:rPr>
            </w:pPr>
          </w:p>
        </w:tc>
        <w:tc>
          <w:tcPr>
            <w:tcW w:w="3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120" w:type="dxa"/>
            <w:vAlign w:val="bottom"/>
            <w:tcBorders>
              <w:right w:val="single" w:sz="8" w:color="auto"/>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0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2980" w:type="dxa"/>
            <w:vAlign w:val="bottom"/>
          </w:tcPr>
          <w:p>
            <w:pPr>
              <w:ind w:left="40"/>
              <w:spacing w:after="0"/>
              <w:rPr>
                <w:sz w:val="20"/>
                <w:szCs w:val="20"/>
                <w:color w:val="auto"/>
              </w:rPr>
            </w:pPr>
            <w:r>
              <w:rPr>
                <w:rFonts w:ascii="Arial" w:cs="Arial" w:eastAsia="Arial" w:hAnsi="Arial"/>
                <w:sz w:val="18"/>
                <w:szCs w:val="18"/>
                <w:color w:val="auto"/>
              </w:rPr>
              <w:t>Foreign currency derivatives</w:t>
            </w:r>
          </w:p>
        </w:tc>
        <w:tc>
          <w:tcPr>
            <w:tcW w:w="3220" w:type="dxa"/>
            <w:vAlign w:val="bottom"/>
            <w:gridSpan w:val="2"/>
          </w:tcPr>
          <w:p>
            <w:pPr>
              <w:ind w:left="20"/>
              <w:spacing w:after="0"/>
              <w:rPr>
                <w:sz w:val="20"/>
                <w:szCs w:val="20"/>
                <w:color w:val="auto"/>
              </w:rPr>
            </w:pPr>
            <w:r>
              <w:rPr>
                <w:rFonts w:ascii="Arial" w:cs="Arial" w:eastAsia="Arial" w:hAnsi="Arial"/>
                <w:sz w:val="18"/>
                <w:szCs w:val="18"/>
                <w:color w:val="auto"/>
              </w:rPr>
              <w:t>Other current assets</w:t>
            </w:r>
          </w:p>
        </w:tc>
        <w:tc>
          <w:tcPr>
            <w:tcW w:w="200" w:type="dxa"/>
            <w:vAlign w:val="bottom"/>
          </w:tcPr>
          <w:p>
            <w:pPr>
              <w:spacing w:after="0"/>
              <w:rPr>
                <w:sz w:val="21"/>
                <w:szCs w:val="21"/>
                <w:color w:val="auto"/>
              </w:rPr>
            </w:pPr>
          </w:p>
        </w:tc>
        <w:tc>
          <w:tcPr>
            <w:tcW w:w="700" w:type="dxa"/>
            <w:vAlign w:val="bottom"/>
          </w:tcPr>
          <w:p>
            <w:pPr>
              <w:jc w:val="right"/>
              <w:ind w:right="13"/>
              <w:spacing w:after="0"/>
              <w:rPr>
                <w:sz w:val="20"/>
                <w:szCs w:val="20"/>
                <w:color w:val="auto"/>
              </w:rPr>
            </w:pPr>
            <w:r>
              <w:rPr>
                <w:rFonts w:ascii="Arial" w:cs="Arial" w:eastAsia="Arial" w:hAnsi="Arial"/>
                <w:sz w:val="18"/>
                <w:szCs w:val="18"/>
                <w:color w:val="auto"/>
              </w:rPr>
              <w:t>6</w:t>
            </w:r>
          </w:p>
        </w:tc>
        <w:tc>
          <w:tcPr>
            <w:tcW w:w="12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3200" w:type="dxa"/>
            <w:vAlign w:val="bottom"/>
            <w:gridSpan w:val="2"/>
          </w:tcPr>
          <w:p>
            <w:pPr>
              <w:ind w:left="40"/>
              <w:spacing w:after="0"/>
              <w:rPr>
                <w:sz w:val="20"/>
                <w:szCs w:val="20"/>
                <w:color w:val="auto"/>
              </w:rPr>
            </w:pPr>
            <w:r>
              <w:rPr>
                <w:rFonts w:ascii="Arial" w:cs="Arial" w:eastAsia="Arial" w:hAnsi="Arial"/>
                <w:sz w:val="18"/>
                <w:szCs w:val="18"/>
                <w:color w:val="auto"/>
              </w:rPr>
              <w:t>Other current assets</w:t>
            </w:r>
          </w:p>
        </w:tc>
        <w:tc>
          <w:tcPr>
            <w:tcW w:w="2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7"/>
        </w:trPr>
        <w:tc>
          <w:tcPr>
            <w:tcW w:w="2980" w:type="dxa"/>
            <w:vAlign w:val="bottom"/>
          </w:tcPr>
          <w:p>
            <w:pPr>
              <w:spacing w:after="0"/>
              <w:rPr>
                <w:sz w:val="2"/>
                <w:szCs w:val="2"/>
                <w:color w:val="auto"/>
              </w:rPr>
            </w:pPr>
          </w:p>
        </w:tc>
        <w:tc>
          <w:tcPr>
            <w:tcW w:w="3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24"/>
        </w:trPr>
        <w:tc>
          <w:tcPr>
            <w:tcW w:w="2980" w:type="dxa"/>
            <w:vAlign w:val="bottom"/>
            <w:shd w:val="clear" w:color="auto" w:fill="CCEEFF"/>
          </w:tcPr>
          <w:p>
            <w:pPr>
              <w:spacing w:after="0"/>
              <w:rPr>
                <w:sz w:val="24"/>
                <w:szCs w:val="24"/>
                <w:color w:val="auto"/>
              </w:rPr>
            </w:pPr>
          </w:p>
        </w:tc>
        <w:tc>
          <w:tcPr>
            <w:tcW w:w="3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120" w:type="dxa"/>
            <w:vAlign w:val="bottom"/>
            <w:tcBorders>
              <w:right w:val="single" w:sz="8" w:color="auto"/>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0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2980" w:type="dxa"/>
            <w:vAlign w:val="bottom"/>
          </w:tcPr>
          <w:p>
            <w:pPr>
              <w:ind w:left="40"/>
              <w:spacing w:after="0"/>
              <w:rPr>
                <w:sz w:val="20"/>
                <w:szCs w:val="20"/>
                <w:color w:val="auto"/>
              </w:rPr>
            </w:pPr>
            <w:r>
              <w:rPr>
                <w:rFonts w:ascii="Arial" w:cs="Arial" w:eastAsia="Arial" w:hAnsi="Arial"/>
                <w:sz w:val="18"/>
                <w:szCs w:val="18"/>
                <w:color w:val="auto"/>
              </w:rPr>
              <w:t>Preferred Distribution Rate Reset</w:t>
            </w:r>
          </w:p>
        </w:tc>
        <w:tc>
          <w:tcPr>
            <w:tcW w:w="3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200" w:type="dxa"/>
            <w:vAlign w:val="bottom"/>
            <w:gridSpan w:val="2"/>
          </w:tcPr>
          <w:p>
            <w:pPr>
              <w:ind w:left="40"/>
              <w:spacing w:after="0"/>
              <w:rPr>
                <w:sz w:val="20"/>
                <w:szCs w:val="20"/>
                <w:color w:val="auto"/>
              </w:rPr>
            </w:pPr>
            <w:r>
              <w:rPr>
                <w:rFonts w:ascii="Arial" w:cs="Arial" w:eastAsia="Arial" w:hAnsi="Arial"/>
                <w:sz w:val="18"/>
                <w:szCs w:val="18"/>
                <w:color w:val="auto"/>
              </w:rPr>
              <w:t>Other long-term liabilities and deferred</w:t>
            </w: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980" w:type="dxa"/>
            <w:vAlign w:val="bottom"/>
          </w:tcPr>
          <w:p>
            <w:pPr>
              <w:ind w:left="200"/>
              <w:spacing w:after="0"/>
              <w:rPr>
                <w:sz w:val="20"/>
                <w:szCs w:val="20"/>
                <w:color w:val="auto"/>
              </w:rPr>
            </w:pPr>
            <w:r>
              <w:rPr>
                <w:rFonts w:ascii="Arial" w:cs="Arial" w:eastAsia="Arial" w:hAnsi="Arial"/>
                <w:sz w:val="18"/>
                <w:szCs w:val="18"/>
                <w:color w:val="auto"/>
              </w:rPr>
              <w:t>Option</w:t>
            </w:r>
          </w:p>
        </w:tc>
        <w:tc>
          <w:tcPr>
            <w:tcW w:w="3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200" w:type="dxa"/>
            <w:vAlign w:val="bottom"/>
            <w:gridSpan w:val="2"/>
          </w:tcPr>
          <w:p>
            <w:pPr>
              <w:ind w:left="200"/>
              <w:spacing w:after="0"/>
              <w:rPr>
                <w:sz w:val="20"/>
                <w:szCs w:val="20"/>
                <w:color w:val="auto"/>
              </w:rPr>
            </w:pPr>
            <w:r>
              <w:rPr>
                <w:rFonts w:ascii="Arial" w:cs="Arial" w:eastAsia="Arial" w:hAnsi="Arial"/>
                <w:sz w:val="18"/>
                <w:szCs w:val="18"/>
                <w:color w:val="auto"/>
              </w:rPr>
              <w:t>credits</w:t>
            </w:r>
          </w:p>
        </w:tc>
        <w:tc>
          <w:tcPr>
            <w:tcW w:w="2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7"/>
        </w:trPr>
        <w:tc>
          <w:tcPr>
            <w:tcW w:w="2980" w:type="dxa"/>
            <w:vAlign w:val="bottom"/>
            <w:tcBorders>
              <w:bottom w:val="single" w:sz="8" w:color="CCEEFF"/>
            </w:tcBorders>
          </w:tcPr>
          <w:p>
            <w:pPr>
              <w:spacing w:after="0"/>
              <w:rPr>
                <w:sz w:val="2"/>
                <w:szCs w:val="2"/>
                <w:color w:val="auto"/>
              </w:rPr>
            </w:pPr>
          </w:p>
        </w:tc>
        <w:tc>
          <w:tcPr>
            <w:tcW w:w="31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right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298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derivatives not designated as</w:t>
            </w:r>
          </w:p>
        </w:tc>
        <w:tc>
          <w:tcPr>
            <w:tcW w:w="3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vMerge w:val="restart"/>
            <w:shd w:val="clear" w:color="auto" w:fill="CCEEFF"/>
          </w:tcPr>
          <w:p>
            <w:pPr>
              <w:jc w:val="right"/>
              <w:ind w:right="13"/>
              <w:spacing w:after="0"/>
              <w:rPr>
                <w:sz w:val="20"/>
                <w:szCs w:val="20"/>
                <w:color w:val="auto"/>
              </w:rPr>
            </w:pPr>
            <w:r>
              <w:rPr>
                <w:rFonts w:ascii="Arial" w:cs="Arial" w:eastAsia="Arial" w:hAnsi="Arial"/>
                <w:sz w:val="18"/>
                <w:szCs w:val="18"/>
                <w:color w:val="auto"/>
              </w:rPr>
              <w:t>88</w:t>
            </w:r>
          </w:p>
        </w:tc>
        <w:tc>
          <w:tcPr>
            <w:tcW w:w="120" w:type="dxa"/>
            <w:vAlign w:val="bottom"/>
            <w:tcBorders>
              <w:right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(387)</w:t>
            </w:r>
          </w:p>
        </w:tc>
        <w:tc>
          <w:tcPr>
            <w:tcW w:w="0" w:type="dxa"/>
            <w:vAlign w:val="bottom"/>
          </w:tcPr>
          <w:p>
            <w:pPr>
              <w:spacing w:after="0"/>
              <w:rPr>
                <w:sz w:val="1"/>
                <w:szCs w:val="1"/>
                <w:color w:val="auto"/>
              </w:rPr>
            </w:pPr>
          </w:p>
        </w:tc>
      </w:tr>
      <w:tr>
        <w:trPr>
          <w:trHeight w:val="237"/>
        </w:trPr>
        <w:tc>
          <w:tcPr>
            <w:tcW w:w="29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hedging instruments</w:t>
            </w:r>
          </w:p>
        </w:tc>
        <w:tc>
          <w:tcPr>
            <w:tcW w:w="3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vMerge w:val="continue"/>
            <w:shd w:val="clear" w:color="auto" w:fill="CCEEFF"/>
          </w:tcPr>
          <w:p>
            <w:pPr>
              <w:spacing w:after="0"/>
              <w:rPr>
                <w:sz w:val="20"/>
                <w:szCs w:val="20"/>
                <w:color w:val="auto"/>
              </w:rPr>
            </w:pPr>
          </w:p>
        </w:tc>
        <w:tc>
          <w:tcPr>
            <w:tcW w:w="70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right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vMerge w:val="continue"/>
            <w:shd w:val="clear" w:color="auto" w:fill="CCEEFF"/>
          </w:tcPr>
          <w:p>
            <w:pPr>
              <w:spacing w:after="0"/>
              <w:rPr>
                <w:sz w:val="20"/>
                <w:szCs w:val="20"/>
                <w:color w:val="auto"/>
              </w:rPr>
            </w:pPr>
          </w:p>
        </w:tc>
        <w:tc>
          <w:tcPr>
            <w:tcW w:w="70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98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4"/>
        </w:trPr>
        <w:tc>
          <w:tcPr>
            <w:tcW w:w="298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2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derivatives</w:t>
            </w:r>
          </w:p>
        </w:tc>
        <w:tc>
          <w:tcPr>
            <w:tcW w:w="3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90</w:t>
            </w:r>
          </w:p>
        </w:tc>
        <w:tc>
          <w:tcPr>
            <w:tcW w:w="120" w:type="dxa"/>
            <w:vAlign w:val="bottom"/>
            <w:tcBorders>
              <w:bottom w:val="single" w:sz="8" w:color="CCEEFF"/>
              <w:right w:val="single" w:sz="8" w:color="auto"/>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0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(425)</w:t>
            </w:r>
          </w:p>
        </w:tc>
        <w:tc>
          <w:tcPr>
            <w:tcW w:w="0" w:type="dxa"/>
            <w:vAlign w:val="bottom"/>
          </w:tcPr>
          <w:p>
            <w:pPr>
              <w:spacing w:after="0"/>
              <w:rPr>
                <w:sz w:val="1"/>
                <w:szCs w:val="1"/>
                <w:color w:val="auto"/>
              </w:rPr>
            </w:pPr>
          </w:p>
        </w:tc>
      </w:tr>
      <w:tr>
        <w:trPr>
          <w:trHeight w:val="20"/>
        </w:trPr>
        <w:tc>
          <w:tcPr>
            <w:tcW w:w="298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300" w:firstLine="648"/>
        <w:spacing w:after="0" w:line="312" w:lineRule="auto"/>
        <w:rPr>
          <w:sz w:val="20"/>
          <w:szCs w:val="20"/>
          <w:color w:val="auto"/>
        </w:rPr>
      </w:pPr>
      <w:r>
        <w:rPr>
          <w:rFonts w:ascii="Arial" w:cs="Arial" w:eastAsia="Arial" w:hAnsi="Arial"/>
          <w:sz w:val="16"/>
          <w:szCs w:val="16"/>
          <w:color w:val="auto"/>
        </w:rPr>
        <w:t>Our derivative transactions (other than the Preferred Distribution Rate Reset Option) are governed through ISDA master agreements and clearing brokerage agreements. These agreements include stipulations regarding the right of set off in the event that we or our counterparty default on performance obligations. If a default were to occur, both parties have the right to net amounts payable and receivable into a single net settlement between parties.</w:t>
      </w:r>
    </w:p>
    <w:p>
      <w:pPr>
        <w:spacing w:after="0" w:line="147" w:lineRule="exact"/>
        <w:rPr>
          <w:sz w:val="20"/>
          <w:szCs w:val="20"/>
          <w:color w:val="auto"/>
        </w:rPr>
      </w:pPr>
    </w:p>
    <w:p>
      <w:pPr>
        <w:ind w:firstLine="648"/>
        <w:spacing w:after="0" w:line="276" w:lineRule="auto"/>
        <w:rPr>
          <w:sz w:val="20"/>
          <w:szCs w:val="20"/>
          <w:color w:val="auto"/>
        </w:rPr>
      </w:pPr>
      <w:r>
        <w:rPr>
          <w:rFonts w:ascii="Arial" w:cs="Arial" w:eastAsia="Arial" w:hAnsi="Arial"/>
          <w:sz w:val="17"/>
          <w:szCs w:val="17"/>
          <w:color w:val="auto"/>
        </w:rPr>
        <w:t>Our accounting policy is to offset derivative assets and liabilities executed with the same counterparty when a master netting arrangement exists. Accordingly, we also offset derivative assets and liabilities with amounts associated with cash margin. Our exchange-traded derivatives are transacted through clearing brokerage accounts and are subject to margin requirements as established by the respective exchange. On a daily basis, our account equity (consisting of the sum of our cash balance and the fair value of our open derivatives) is compared to our initial margin requirement resulting in the payment or return of variation margin. The following table provides the components of our net broker receivable:</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00" w:type="dxa"/>
            <w:vAlign w:val="bottom"/>
          </w:tcPr>
          <w:p>
            <w:pPr>
              <w:spacing w:after="0"/>
              <w:rPr>
                <w:sz w:val="14"/>
                <w:szCs w:val="14"/>
                <w:color w:val="auto"/>
              </w:rPr>
            </w:pPr>
          </w:p>
        </w:tc>
        <w:tc>
          <w:tcPr>
            <w:tcW w:w="488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June 30,</w:t>
            </w: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tcPr>
          <w:p>
            <w:pPr>
              <w:jc w:val="right"/>
              <w:ind w:right="176"/>
              <w:spacing w:after="0"/>
              <w:rPr>
                <w:sz w:val="20"/>
                <w:szCs w:val="20"/>
                <w:color w:val="auto"/>
              </w:rPr>
            </w:pPr>
            <w:r>
              <w:rPr>
                <w:rFonts w:ascii="Arial" w:cs="Arial" w:eastAsia="Arial" w:hAnsi="Arial"/>
                <w:sz w:val="14"/>
                <w:szCs w:val="14"/>
                <w:b w:val="1"/>
                <w:bCs w:val="1"/>
                <w:color w:val="auto"/>
                <w:w w:val="98"/>
              </w:rPr>
              <w:t>December 31,</w:t>
            </w:r>
          </w:p>
        </w:tc>
        <w:tc>
          <w:tcPr>
            <w:tcW w:w="0" w:type="dxa"/>
            <w:vAlign w:val="bottom"/>
          </w:tcPr>
          <w:p>
            <w:pPr>
              <w:spacing w:after="0"/>
              <w:rPr>
                <w:sz w:val="1"/>
                <w:szCs w:val="1"/>
                <w:color w:val="auto"/>
              </w:rPr>
            </w:pPr>
          </w:p>
        </w:tc>
      </w:tr>
      <w:tr>
        <w:trPr>
          <w:trHeight w:val="192"/>
        </w:trPr>
        <w:tc>
          <w:tcPr>
            <w:tcW w:w="3700" w:type="dxa"/>
            <w:vAlign w:val="bottom"/>
            <w:tcBorders>
              <w:bottom w:val="single" w:sz="8" w:color="CCEEFF"/>
            </w:tcBorders>
          </w:tcPr>
          <w:p>
            <w:pPr>
              <w:spacing w:after="0"/>
              <w:rPr>
                <w:sz w:val="16"/>
                <w:szCs w:val="16"/>
                <w:color w:val="auto"/>
              </w:rPr>
            </w:pPr>
          </w:p>
        </w:tc>
        <w:tc>
          <w:tcPr>
            <w:tcW w:w="4880" w:type="dxa"/>
            <w:vAlign w:val="bottom"/>
            <w:tcBorders>
              <w:bottom w:val="single" w:sz="8" w:color="CCEEFF"/>
            </w:tcBorders>
          </w:tcPr>
          <w:p>
            <w:pPr>
              <w:spacing w:after="0"/>
              <w:rPr>
                <w:sz w:val="16"/>
                <w:szCs w:val="16"/>
                <w:color w:val="auto"/>
              </w:rPr>
            </w:pPr>
          </w:p>
        </w:tc>
        <w:tc>
          <w:tcPr>
            <w:tcW w:w="960" w:type="dxa"/>
            <w:vAlign w:val="bottom"/>
            <w:tcBorders>
              <w:bottom w:val="single" w:sz="8" w:color="auto"/>
            </w:tcBorders>
          </w:tcPr>
          <w:p>
            <w:pPr>
              <w:jc w:val="right"/>
              <w:ind w:right="62"/>
              <w:spacing w:after="0"/>
              <w:rPr>
                <w:sz w:val="20"/>
                <w:szCs w:val="20"/>
                <w:color w:val="auto"/>
              </w:rPr>
            </w:pPr>
            <w:r>
              <w:rPr>
                <w:rFonts w:ascii="Arial" w:cs="Arial" w:eastAsia="Arial" w:hAnsi="Arial"/>
                <w:sz w:val="14"/>
                <w:szCs w:val="14"/>
                <w:b w:val="1"/>
                <w:bCs w:val="1"/>
                <w:color w:val="auto"/>
              </w:rPr>
              <w:t>2018</w:t>
            </w:r>
          </w:p>
        </w:tc>
        <w:tc>
          <w:tcPr>
            <w:tcW w:w="40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50"/>
        </w:trPr>
        <w:tc>
          <w:tcPr>
            <w:tcW w:w="3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Initial margin</w:t>
            </w:r>
          </w:p>
        </w:tc>
        <w:tc>
          <w:tcPr>
            <w:tcW w:w="5840" w:type="dxa"/>
            <w:vAlign w:val="bottom"/>
            <w:tcBorders>
              <w:bottom w:val="single" w:sz="8" w:color="CCEEFF"/>
            </w:tcBorders>
            <w:gridSpan w:val="2"/>
            <w:shd w:val="clear" w:color="auto" w:fill="CCEEFF"/>
          </w:tcPr>
          <w:p>
            <w:pPr>
              <w:jc w:val="right"/>
              <w:ind w:right="782"/>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3"/>
              </w:rPr>
              <w:t>146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97"/>
        </w:trPr>
        <w:tc>
          <w:tcPr>
            <w:tcW w:w="3700" w:type="dxa"/>
            <w:vAlign w:val="bottom"/>
          </w:tcPr>
          <w:p>
            <w:pPr>
              <w:ind w:left="40"/>
              <w:spacing w:after="0"/>
              <w:rPr>
                <w:sz w:val="20"/>
                <w:szCs w:val="20"/>
                <w:color w:val="auto"/>
              </w:rPr>
            </w:pPr>
            <w:r>
              <w:rPr>
                <w:rFonts w:ascii="Arial" w:cs="Arial" w:eastAsia="Arial" w:hAnsi="Arial"/>
                <w:sz w:val="18"/>
                <w:szCs w:val="18"/>
                <w:color w:val="auto"/>
              </w:rPr>
              <w:t>Variation margin posted</w:t>
            </w:r>
          </w:p>
        </w:tc>
        <w:tc>
          <w:tcPr>
            <w:tcW w:w="48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0" w:type="dxa"/>
            <w:vAlign w:val="bottom"/>
          </w:tcPr>
          <w:p>
            <w:pPr>
              <w:jc w:val="right"/>
              <w:ind w:right="10"/>
              <w:spacing w:after="0"/>
              <w:rPr>
                <w:sz w:val="20"/>
                <w:szCs w:val="20"/>
                <w:color w:val="auto"/>
              </w:rPr>
            </w:pPr>
            <w:r>
              <w:rPr>
                <w:rFonts w:ascii="Arial" w:cs="Arial" w:eastAsia="Arial" w:hAnsi="Arial"/>
                <w:sz w:val="18"/>
                <w:szCs w:val="18"/>
                <w:color w:val="auto"/>
                <w:w w:val="93"/>
              </w:rPr>
              <w:t>357</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jc w:val="right"/>
              <w:ind w:right="16"/>
              <w:spacing w:after="0"/>
              <w:rPr>
                <w:sz w:val="20"/>
                <w:szCs w:val="20"/>
                <w:color w:val="auto"/>
              </w:rPr>
            </w:pPr>
            <w:r>
              <w:rPr>
                <w:rFonts w:ascii="Arial" w:cs="Arial" w:eastAsia="Arial" w:hAnsi="Arial"/>
                <w:sz w:val="18"/>
                <w:szCs w:val="18"/>
                <w:color w:val="auto"/>
              </w:rPr>
              <w:t>164</w:t>
            </w:r>
          </w:p>
        </w:tc>
        <w:tc>
          <w:tcPr>
            <w:tcW w:w="0" w:type="dxa"/>
            <w:vAlign w:val="bottom"/>
          </w:tcPr>
          <w:p>
            <w:pPr>
              <w:spacing w:after="0"/>
              <w:rPr>
                <w:sz w:val="1"/>
                <w:szCs w:val="1"/>
                <w:color w:val="auto"/>
              </w:rPr>
            </w:pPr>
          </w:p>
        </w:tc>
      </w:tr>
      <w:tr>
        <w:trPr>
          <w:trHeight w:val="27"/>
        </w:trPr>
        <w:tc>
          <w:tcPr>
            <w:tcW w:w="3700" w:type="dxa"/>
            <w:vAlign w:val="bottom"/>
          </w:tcPr>
          <w:p>
            <w:pPr>
              <w:spacing w:after="0"/>
              <w:rPr>
                <w:sz w:val="2"/>
                <w:szCs w:val="2"/>
                <w:color w:val="auto"/>
              </w:rPr>
            </w:pPr>
          </w:p>
        </w:tc>
        <w:tc>
          <w:tcPr>
            <w:tcW w:w="4880" w:type="dxa"/>
            <w:vAlign w:val="bottom"/>
          </w:tcPr>
          <w:p>
            <w:pPr>
              <w:spacing w:after="0"/>
              <w:rPr>
                <w:sz w:val="2"/>
                <w:szCs w:val="2"/>
                <w:color w:val="auto"/>
              </w:rPr>
            </w:pPr>
          </w:p>
        </w:tc>
        <w:tc>
          <w:tcPr>
            <w:tcW w:w="9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Letter of credit</w:t>
            </w:r>
          </w:p>
        </w:tc>
        <w:tc>
          <w:tcPr>
            <w:tcW w:w="48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3700" w:type="dxa"/>
            <w:vAlign w:val="bottom"/>
          </w:tcPr>
          <w:p>
            <w:pPr>
              <w:ind w:left="40"/>
              <w:spacing w:after="0"/>
              <w:rPr>
                <w:sz w:val="20"/>
                <w:szCs w:val="20"/>
                <w:color w:val="auto"/>
              </w:rPr>
            </w:pPr>
            <w:r>
              <w:rPr>
                <w:rFonts w:ascii="Arial" w:cs="Arial" w:eastAsia="Arial" w:hAnsi="Arial"/>
                <w:sz w:val="18"/>
                <w:szCs w:val="18"/>
                <w:color w:val="auto"/>
              </w:rPr>
              <w:t>Net broker receivable</w:t>
            </w:r>
          </w:p>
        </w:tc>
        <w:tc>
          <w:tcPr>
            <w:tcW w:w="4880" w:type="dxa"/>
            <w:vAlign w:val="bottom"/>
          </w:tcPr>
          <w:p>
            <w:pPr>
              <w:spacing w:after="0"/>
              <w:rPr>
                <w:sz w:val="22"/>
                <w:szCs w:val="22"/>
                <w:color w:val="auto"/>
              </w:rPr>
            </w:pPr>
          </w:p>
        </w:tc>
        <w:tc>
          <w:tcPr>
            <w:tcW w:w="960" w:type="dxa"/>
            <w:vAlign w:val="bottom"/>
            <w:tcBorders>
              <w:top w:val="single" w:sz="8" w:color="auto"/>
              <w:bottom w:val="single" w:sz="8" w:color="auto"/>
            </w:tcBorders>
          </w:tcPr>
          <w:p>
            <w:pPr>
              <w:jc w:val="right"/>
              <w:ind w:right="782"/>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3"/>
              </w:rPr>
              <w:t>426</w:t>
            </w:r>
          </w:p>
        </w:tc>
        <w:tc>
          <w:tcPr>
            <w:tcW w:w="12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212</w:t>
            </w:r>
          </w:p>
        </w:tc>
        <w:tc>
          <w:tcPr>
            <w:tcW w:w="0" w:type="dxa"/>
            <w:vAlign w:val="bottom"/>
          </w:tcPr>
          <w:p>
            <w:pPr>
              <w:spacing w:after="0"/>
              <w:rPr>
                <w:sz w:val="1"/>
                <w:szCs w:val="1"/>
                <w:color w:val="auto"/>
              </w:rPr>
            </w:pPr>
          </w:p>
        </w:tc>
      </w:tr>
      <w:tr>
        <w:trPr>
          <w:trHeight w:val="20"/>
        </w:trPr>
        <w:tc>
          <w:tcPr>
            <w:tcW w:w="3700" w:type="dxa"/>
            <w:vAlign w:val="bottom"/>
          </w:tcPr>
          <w:p>
            <w:pPr>
              <w:spacing w:after="0" w:line="20" w:lineRule="exact"/>
              <w:rPr>
                <w:sz w:val="1"/>
                <w:szCs w:val="1"/>
                <w:color w:val="auto"/>
              </w:rPr>
            </w:pPr>
          </w:p>
        </w:tc>
        <w:tc>
          <w:tcPr>
            <w:tcW w:w="4880" w:type="dxa"/>
            <w:vAlign w:val="bottom"/>
            <w:vMerge w:val="restart"/>
          </w:tcPr>
          <w:p>
            <w:pPr>
              <w:jc w:val="right"/>
              <w:ind w:right="2690"/>
              <w:spacing w:after="0"/>
              <w:rPr>
                <w:sz w:val="20"/>
                <w:szCs w:val="20"/>
                <w:color w:val="auto"/>
              </w:rPr>
            </w:pPr>
            <w:r>
              <w:rPr>
                <w:rFonts w:ascii="Arial" w:cs="Arial" w:eastAsia="Arial" w:hAnsi="Arial"/>
                <w:sz w:val="18"/>
                <w:szCs w:val="18"/>
                <w:color w:val="auto"/>
              </w:rPr>
              <w:t>27</w:t>
            </w:r>
          </w:p>
        </w:tc>
        <w:tc>
          <w:tcPr>
            <w:tcW w:w="9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8"/>
        </w:trPr>
        <w:tc>
          <w:tcPr>
            <w:tcW w:w="3700" w:type="dxa"/>
            <w:vAlign w:val="bottom"/>
          </w:tcPr>
          <w:p>
            <w:pPr>
              <w:spacing w:after="0"/>
              <w:rPr>
                <w:sz w:val="24"/>
                <w:szCs w:val="24"/>
                <w:color w:val="auto"/>
              </w:rPr>
            </w:pPr>
          </w:p>
        </w:tc>
        <w:tc>
          <w:tcPr>
            <w:tcW w:w="4880" w:type="dxa"/>
            <w:vAlign w:val="bottom"/>
            <w:vMerge w:val="continue"/>
          </w:tcPr>
          <w:p>
            <w:pPr>
              <w:spacing w:after="0"/>
              <w:rPr>
                <w:sz w:val="24"/>
                <w:szCs w:val="24"/>
                <w:color w:val="auto"/>
              </w:rPr>
            </w:pPr>
          </w:p>
        </w:tc>
        <w:tc>
          <w:tcPr>
            <w:tcW w:w="9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27" w:name="page28"/>
    <w:bookmarkEnd w:id="2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The following table presents information about derivative financial assets and liabilities that are subject to offsetting, including enforceable master netting arrangements (in millions):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0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920" w:type="dxa"/>
            <w:vAlign w:val="bottom"/>
            <w:tcBorders>
              <w:bottom w:val="single" w:sz="8" w:color="auto"/>
            </w:tcBorders>
            <w:gridSpan w:val="4"/>
          </w:tcPr>
          <w:p>
            <w:pPr>
              <w:jc w:val="center"/>
              <w:ind w:right="53"/>
              <w:spacing w:after="0"/>
              <w:rPr>
                <w:sz w:val="20"/>
                <w:szCs w:val="20"/>
                <w:color w:val="auto"/>
              </w:rPr>
            </w:pPr>
            <w:r>
              <w:rPr>
                <w:rFonts w:ascii="Arial" w:cs="Arial" w:eastAsia="Arial" w:hAnsi="Arial"/>
                <w:sz w:val="14"/>
                <w:szCs w:val="14"/>
                <w:b w:val="1"/>
                <w:bCs w:val="1"/>
                <w:color w:val="auto"/>
                <w:w w:val="90"/>
              </w:rPr>
              <w:t>June 30, 2018</w:t>
            </w:r>
          </w:p>
        </w:tc>
        <w:tc>
          <w:tcPr>
            <w:tcW w:w="240" w:type="dxa"/>
            <w:vAlign w:val="bottom"/>
            <w:gridSpan w:val="2"/>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900" w:type="dxa"/>
            <w:vAlign w:val="bottom"/>
            <w:tcBorders>
              <w:bottom w:val="single" w:sz="8" w:color="auto"/>
            </w:tcBorders>
            <w:gridSpan w:val="4"/>
          </w:tcPr>
          <w:p>
            <w:pPr>
              <w:jc w:val="center"/>
              <w:ind w:right="53"/>
              <w:spacing w:after="0"/>
              <w:rPr>
                <w:sz w:val="20"/>
                <w:szCs w:val="20"/>
                <w:color w:val="auto"/>
              </w:rPr>
            </w:pPr>
            <w:r>
              <w:rPr>
                <w:rFonts w:ascii="Arial" w:cs="Arial" w:eastAsia="Arial" w:hAnsi="Arial"/>
                <w:sz w:val="14"/>
                <w:szCs w:val="14"/>
                <w:b w:val="1"/>
                <w:bCs w:val="1"/>
                <w:color w:val="auto"/>
                <w:w w:val="91"/>
              </w:rPr>
              <w:t>December 31, 2017</w:t>
            </w:r>
          </w:p>
        </w:tc>
      </w:tr>
      <w:tr>
        <w:trPr>
          <w:trHeight w:val="152"/>
        </w:trPr>
        <w:tc>
          <w:tcPr>
            <w:tcW w:w="50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40" w:type="dxa"/>
            <w:vAlign w:val="bottom"/>
            <w:gridSpan w:val="2"/>
          </w:tcPr>
          <w:p>
            <w:pPr>
              <w:jc w:val="center"/>
              <w:ind w:right="300"/>
              <w:spacing w:after="0" w:line="153" w:lineRule="exact"/>
              <w:rPr>
                <w:sz w:val="20"/>
                <w:szCs w:val="20"/>
                <w:color w:val="auto"/>
              </w:rPr>
            </w:pPr>
            <w:r>
              <w:rPr>
                <w:rFonts w:ascii="Arial" w:cs="Arial" w:eastAsia="Arial" w:hAnsi="Arial"/>
                <w:sz w:val="14"/>
                <w:szCs w:val="14"/>
                <w:b w:val="1"/>
                <w:bCs w:val="1"/>
                <w:color w:val="auto"/>
                <w:w w:val="95"/>
              </w:rPr>
              <w:t>Derivative</w:t>
            </w:r>
          </w:p>
        </w:tc>
        <w:tc>
          <w:tcPr>
            <w:tcW w:w="160" w:type="dxa"/>
            <w:vAlign w:val="bottom"/>
          </w:tcPr>
          <w:p>
            <w:pPr>
              <w:spacing w:after="0"/>
              <w:rPr>
                <w:sz w:val="13"/>
                <w:szCs w:val="13"/>
                <w:color w:val="auto"/>
              </w:rPr>
            </w:pPr>
          </w:p>
        </w:tc>
        <w:tc>
          <w:tcPr>
            <w:tcW w:w="1660" w:type="dxa"/>
            <w:vAlign w:val="bottom"/>
            <w:gridSpan w:val="3"/>
          </w:tcPr>
          <w:p>
            <w:pPr>
              <w:jc w:val="center"/>
              <w:ind w:right="420"/>
              <w:spacing w:after="0" w:line="153" w:lineRule="exact"/>
              <w:rPr>
                <w:sz w:val="20"/>
                <w:szCs w:val="20"/>
                <w:color w:val="auto"/>
              </w:rPr>
            </w:pPr>
            <w:r>
              <w:rPr>
                <w:rFonts w:ascii="Arial" w:cs="Arial" w:eastAsia="Arial" w:hAnsi="Arial"/>
                <w:sz w:val="14"/>
                <w:szCs w:val="14"/>
                <w:b w:val="1"/>
                <w:bCs w:val="1"/>
                <w:color w:val="auto"/>
                <w:w w:val="95"/>
              </w:rPr>
              <w:t>Derivative</w:t>
            </w:r>
          </w:p>
        </w:tc>
        <w:tc>
          <w:tcPr>
            <w:tcW w:w="160" w:type="dxa"/>
            <w:vAlign w:val="bottom"/>
          </w:tcPr>
          <w:p>
            <w:pPr>
              <w:spacing w:after="0"/>
              <w:rPr>
                <w:sz w:val="13"/>
                <w:szCs w:val="13"/>
                <w:color w:val="auto"/>
              </w:rPr>
            </w:pPr>
          </w:p>
        </w:tc>
        <w:tc>
          <w:tcPr>
            <w:tcW w:w="130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95"/>
              </w:rPr>
              <w:t>Derivative</w:t>
            </w:r>
          </w:p>
        </w:tc>
        <w:tc>
          <w:tcPr>
            <w:tcW w:w="180" w:type="dxa"/>
            <w:vAlign w:val="bottom"/>
          </w:tcPr>
          <w:p>
            <w:pPr>
              <w:spacing w:after="0"/>
              <w:rPr>
                <w:sz w:val="13"/>
                <w:szCs w:val="13"/>
                <w:color w:val="auto"/>
              </w:rPr>
            </w:pPr>
          </w:p>
        </w:tc>
        <w:tc>
          <w:tcPr>
            <w:tcW w:w="1420" w:type="dxa"/>
            <w:vAlign w:val="bottom"/>
          </w:tcPr>
          <w:p>
            <w:pPr>
              <w:jc w:val="right"/>
              <w:ind w:right="393"/>
              <w:spacing w:after="0" w:line="153" w:lineRule="exact"/>
              <w:rPr>
                <w:sz w:val="20"/>
                <w:szCs w:val="20"/>
                <w:color w:val="auto"/>
              </w:rPr>
            </w:pPr>
            <w:r>
              <w:rPr>
                <w:rFonts w:ascii="Arial" w:cs="Arial" w:eastAsia="Arial" w:hAnsi="Arial"/>
                <w:sz w:val="14"/>
                <w:szCs w:val="14"/>
                <w:b w:val="1"/>
                <w:bCs w:val="1"/>
                <w:color w:val="auto"/>
              </w:rPr>
              <w:t>Derivative</w:t>
            </w:r>
          </w:p>
        </w:tc>
      </w:tr>
      <w:tr>
        <w:trPr>
          <w:trHeight w:val="192"/>
        </w:trPr>
        <w:tc>
          <w:tcPr>
            <w:tcW w:w="50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7"/>
              </w:rPr>
              <w:t>Asset Positions</w:t>
            </w:r>
          </w:p>
        </w:tc>
        <w:tc>
          <w:tcPr>
            <w:tcW w:w="160" w:type="dxa"/>
            <w:vAlign w:val="bottom"/>
          </w:tcPr>
          <w:p>
            <w:pPr>
              <w:spacing w:after="0"/>
              <w:rPr>
                <w:sz w:val="16"/>
                <w:szCs w:val="16"/>
                <w:color w:val="auto"/>
              </w:rPr>
            </w:pPr>
          </w:p>
        </w:tc>
        <w:tc>
          <w:tcPr>
            <w:tcW w:w="1660" w:type="dxa"/>
            <w:vAlign w:val="bottom"/>
            <w:gridSpan w:val="3"/>
          </w:tcPr>
          <w:p>
            <w:pPr>
              <w:jc w:val="center"/>
              <w:ind w:right="400"/>
              <w:spacing w:after="0"/>
              <w:rPr>
                <w:sz w:val="20"/>
                <w:szCs w:val="20"/>
                <w:color w:val="auto"/>
              </w:rPr>
            </w:pPr>
            <w:r>
              <w:rPr>
                <w:rFonts w:ascii="Arial" w:cs="Arial" w:eastAsia="Arial" w:hAnsi="Arial"/>
                <w:sz w:val="14"/>
                <w:szCs w:val="14"/>
                <w:b w:val="1"/>
                <w:bCs w:val="1"/>
                <w:color w:val="auto"/>
                <w:w w:val="91"/>
              </w:rPr>
              <w:t>Liability Positions</w:t>
            </w:r>
          </w:p>
        </w:tc>
        <w:tc>
          <w:tcPr>
            <w:tcW w:w="160" w:type="dxa"/>
            <w:vAlign w:val="bottom"/>
          </w:tcPr>
          <w:p>
            <w:pPr>
              <w:spacing w:after="0"/>
              <w:rPr>
                <w:sz w:val="16"/>
                <w:szCs w:val="16"/>
                <w:color w:val="auto"/>
              </w:rPr>
            </w:pPr>
          </w:p>
        </w:tc>
        <w:tc>
          <w:tcPr>
            <w:tcW w:w="13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7"/>
              </w:rPr>
              <w:t>Asset Positions</w:t>
            </w:r>
          </w:p>
        </w:tc>
        <w:tc>
          <w:tcPr>
            <w:tcW w:w="180" w:type="dxa"/>
            <w:vAlign w:val="bottom"/>
          </w:tcPr>
          <w:p>
            <w:pPr>
              <w:spacing w:after="0"/>
              <w:rPr>
                <w:sz w:val="16"/>
                <w:szCs w:val="16"/>
                <w:color w:val="auto"/>
              </w:rPr>
            </w:pPr>
          </w:p>
        </w:tc>
        <w:tc>
          <w:tcPr>
            <w:tcW w:w="1420" w:type="dxa"/>
            <w:vAlign w:val="bottom"/>
          </w:tcPr>
          <w:p>
            <w:pPr>
              <w:jc w:val="right"/>
              <w:ind w:right="153"/>
              <w:spacing w:after="0"/>
              <w:rPr>
                <w:sz w:val="20"/>
                <w:szCs w:val="20"/>
                <w:color w:val="auto"/>
              </w:rPr>
            </w:pPr>
            <w:r>
              <w:rPr>
                <w:rFonts w:ascii="Arial" w:cs="Arial" w:eastAsia="Arial" w:hAnsi="Arial"/>
                <w:sz w:val="14"/>
                <w:szCs w:val="14"/>
                <w:b w:val="1"/>
                <w:bCs w:val="1"/>
                <w:color w:val="auto"/>
                <w:w w:val="96"/>
              </w:rPr>
              <w:t>Liability Positions</w:t>
            </w:r>
          </w:p>
        </w:tc>
      </w:tr>
      <w:tr>
        <w:trPr>
          <w:trHeight w:val="236"/>
        </w:trPr>
        <w:tc>
          <w:tcPr>
            <w:tcW w:w="50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Netting Adjustments:</w:t>
            </w:r>
          </w:p>
        </w:tc>
        <w:tc>
          <w:tcPr>
            <w:tcW w:w="160" w:type="dxa"/>
            <w:vAlign w:val="bottom"/>
            <w:tcBorders>
              <w:top w:val="single" w:sz="8" w:color="auto"/>
              <w:bottom w:val="single" w:sz="8" w:color="CCEEFF"/>
            </w:tcBorders>
            <w:shd w:val="clear" w:color="auto" w:fill="CCEEFF"/>
          </w:tcPr>
          <w:p>
            <w:pPr>
              <w:spacing w:after="0"/>
              <w:rPr>
                <w:sz w:val="20"/>
                <w:szCs w:val="20"/>
                <w:color w:val="auto"/>
              </w:rPr>
            </w:pPr>
          </w:p>
        </w:tc>
        <w:tc>
          <w:tcPr>
            <w:tcW w:w="1220" w:type="dxa"/>
            <w:vAlign w:val="bottom"/>
            <w:tcBorders>
              <w:top w:val="single" w:sz="8" w:color="auto"/>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CCEEFF"/>
            </w:tcBorders>
            <w:shd w:val="clear" w:color="auto" w:fill="CCEEFF"/>
          </w:tcPr>
          <w:p>
            <w:pPr>
              <w:spacing w:after="0"/>
              <w:rPr>
                <w:sz w:val="20"/>
                <w:szCs w:val="20"/>
                <w:color w:val="auto"/>
              </w:rPr>
            </w:pPr>
          </w:p>
        </w:tc>
        <w:tc>
          <w:tcPr>
            <w:tcW w:w="1420" w:type="dxa"/>
            <w:vAlign w:val="bottom"/>
            <w:tcBorders>
              <w:top w:val="single" w:sz="8" w:color="auto"/>
              <w:bottom w:val="single" w:sz="8" w:color="CCEEFF"/>
            </w:tcBorders>
            <w:shd w:val="clear" w:color="auto" w:fill="CCEEFF"/>
          </w:tcPr>
          <w:p>
            <w:pPr>
              <w:spacing w:after="0"/>
              <w:rPr>
                <w:sz w:val="20"/>
                <w:szCs w:val="20"/>
                <w:color w:val="auto"/>
              </w:rPr>
            </w:pPr>
          </w:p>
        </w:tc>
        <w:tc>
          <w:tcPr>
            <w:tcW w:w="140" w:type="dxa"/>
            <w:vAlign w:val="bottom"/>
            <w:tcBorders>
              <w:top w:val="single" w:sz="8" w:color="CCEEFF"/>
              <w:bottom w:val="single" w:sz="8" w:color="CCEEFF"/>
              <w:right w:val="single" w:sz="8" w:color="auto"/>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CCEEFF"/>
            </w:tcBorders>
            <w:shd w:val="clear" w:color="auto" w:fill="CCEEFF"/>
          </w:tcPr>
          <w:p>
            <w:pPr>
              <w:spacing w:after="0"/>
              <w:rPr>
                <w:sz w:val="20"/>
                <w:szCs w:val="20"/>
                <w:color w:val="auto"/>
              </w:rPr>
            </w:pPr>
          </w:p>
        </w:tc>
        <w:tc>
          <w:tcPr>
            <w:tcW w:w="120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CCEEFF"/>
            </w:tcBorders>
            <w:shd w:val="clear" w:color="auto" w:fill="CCEEFF"/>
          </w:tcPr>
          <w:p>
            <w:pPr>
              <w:spacing w:after="0"/>
              <w:rPr>
                <w:sz w:val="20"/>
                <w:szCs w:val="20"/>
                <w:color w:val="auto"/>
              </w:rPr>
            </w:pPr>
          </w:p>
        </w:tc>
        <w:tc>
          <w:tcPr>
            <w:tcW w:w="1420" w:type="dxa"/>
            <w:vAlign w:val="bottom"/>
            <w:tcBorders>
              <w:top w:val="single" w:sz="8" w:color="auto"/>
              <w:bottom w:val="single" w:sz="8" w:color="CCEEFF"/>
            </w:tcBorders>
            <w:shd w:val="clear" w:color="auto" w:fill="CCEEFF"/>
          </w:tcPr>
          <w:p>
            <w:pPr>
              <w:spacing w:after="0"/>
              <w:rPr>
                <w:sz w:val="20"/>
                <w:szCs w:val="20"/>
                <w:color w:val="auto"/>
              </w:rPr>
            </w:pPr>
          </w:p>
        </w:tc>
      </w:tr>
      <w:tr>
        <w:trPr>
          <w:trHeight w:val="243"/>
        </w:trPr>
        <w:tc>
          <w:tcPr>
            <w:tcW w:w="5040" w:type="dxa"/>
            <w:vAlign w:val="bottom"/>
          </w:tcPr>
          <w:p>
            <w:pPr>
              <w:ind w:left="40"/>
              <w:spacing w:after="0"/>
              <w:rPr>
                <w:sz w:val="20"/>
                <w:szCs w:val="20"/>
                <w:color w:val="auto"/>
              </w:rPr>
            </w:pPr>
            <w:r>
              <w:rPr>
                <w:rFonts w:ascii="Arial" w:cs="Arial" w:eastAsia="Arial" w:hAnsi="Arial"/>
                <w:sz w:val="18"/>
                <w:szCs w:val="18"/>
                <w:color w:val="auto"/>
              </w:rPr>
              <w:t>Gross position - asset/(liability)</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ind w:right="14"/>
              <w:spacing w:after="0"/>
              <w:rPr>
                <w:sz w:val="20"/>
                <w:szCs w:val="20"/>
                <w:color w:val="auto"/>
              </w:rPr>
            </w:pPr>
            <w:r>
              <w:rPr>
                <w:rFonts w:ascii="Arial" w:cs="Arial" w:eastAsia="Arial" w:hAnsi="Arial"/>
                <w:sz w:val="18"/>
                <w:szCs w:val="18"/>
                <w:color w:val="auto"/>
              </w:rPr>
              <w:t>187</w:t>
            </w:r>
          </w:p>
        </w:tc>
        <w:tc>
          <w:tcPr>
            <w:tcW w:w="120" w:type="dxa"/>
            <w:vAlign w:val="bottom"/>
          </w:tcPr>
          <w:p>
            <w:pPr>
              <w:spacing w:after="0"/>
              <w:rPr>
                <w:sz w:val="21"/>
                <w:szCs w:val="21"/>
                <w:color w:val="auto"/>
              </w:rPr>
            </w:pPr>
          </w:p>
        </w:tc>
        <w:tc>
          <w:tcPr>
            <w:tcW w:w="160" w:type="dxa"/>
            <w:vAlign w:val="bottom"/>
          </w:tcPr>
          <w:p>
            <w:pPr>
              <w:jc w:val="center"/>
              <w:spacing w:after="0"/>
              <w:rPr>
                <w:sz w:val="20"/>
                <w:szCs w:val="20"/>
                <w:color w:val="auto"/>
              </w:rPr>
            </w:pPr>
            <w:r>
              <w:rPr>
                <w:rFonts w:ascii="Arial" w:cs="Arial" w:eastAsia="Arial" w:hAnsi="Arial"/>
                <w:sz w:val="18"/>
                <w:szCs w:val="18"/>
                <w:color w:val="auto"/>
                <w:w w:val="7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(672)</w:t>
            </w:r>
          </w:p>
        </w:tc>
        <w:tc>
          <w:tcPr>
            <w:tcW w:w="14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90</w:t>
            </w:r>
          </w:p>
        </w:tc>
        <w:tc>
          <w:tcPr>
            <w:tcW w:w="100" w:type="dxa"/>
            <w:vAlign w:val="bottom"/>
          </w:tcPr>
          <w:p>
            <w:pPr>
              <w:spacing w:after="0"/>
              <w:rPr>
                <w:sz w:val="21"/>
                <w:szCs w:val="21"/>
                <w:color w:val="auto"/>
              </w:rPr>
            </w:pPr>
          </w:p>
        </w:tc>
        <w:tc>
          <w:tcPr>
            <w:tcW w:w="180" w:type="dxa"/>
            <w:vAlign w:val="bottom"/>
          </w:tcPr>
          <w:p>
            <w:pPr>
              <w:jc w:val="center"/>
              <w:spacing w:after="0"/>
              <w:rPr>
                <w:sz w:val="20"/>
                <w:szCs w:val="20"/>
                <w:color w:val="auto"/>
              </w:rPr>
            </w:pPr>
            <w:r>
              <w:rPr>
                <w:rFonts w:ascii="Arial" w:cs="Arial" w:eastAsia="Arial" w:hAnsi="Arial"/>
                <w:sz w:val="18"/>
                <w:szCs w:val="18"/>
                <w:color w:val="auto"/>
                <w:w w:val="7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(425)</w:t>
            </w:r>
          </w:p>
        </w:tc>
      </w:tr>
      <w:tr>
        <w:trPr>
          <w:trHeight w:val="27"/>
        </w:trPr>
        <w:tc>
          <w:tcPr>
            <w:tcW w:w="50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Netting adjustment</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526</w:t>
            </w:r>
          </w:p>
        </w:tc>
        <w:tc>
          <w:tcPr>
            <w:tcW w:w="14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239</w:t>
            </w:r>
          </w:p>
        </w:tc>
      </w:tr>
      <w:tr>
        <w:trPr>
          <w:trHeight w:val="243"/>
        </w:trPr>
        <w:tc>
          <w:tcPr>
            <w:tcW w:w="5040" w:type="dxa"/>
            <w:vAlign w:val="bottom"/>
          </w:tcPr>
          <w:p>
            <w:pPr>
              <w:ind w:left="40"/>
              <w:spacing w:after="0"/>
              <w:rPr>
                <w:sz w:val="20"/>
                <w:szCs w:val="20"/>
                <w:color w:val="auto"/>
              </w:rPr>
            </w:pPr>
            <w:r>
              <w:rPr>
                <w:rFonts w:ascii="Arial" w:cs="Arial" w:eastAsia="Arial" w:hAnsi="Arial"/>
                <w:sz w:val="18"/>
                <w:szCs w:val="18"/>
                <w:color w:val="auto"/>
              </w:rPr>
              <w:t>Cash collateral paid</w:t>
            </w:r>
          </w:p>
        </w:tc>
        <w:tc>
          <w:tcPr>
            <w:tcW w:w="160" w:type="dxa"/>
            <w:vAlign w:val="bottom"/>
          </w:tcPr>
          <w:p>
            <w:pPr>
              <w:spacing w:after="0"/>
              <w:rPr>
                <w:sz w:val="21"/>
                <w:szCs w:val="21"/>
                <w:color w:val="auto"/>
              </w:rPr>
            </w:pPr>
          </w:p>
        </w:tc>
        <w:tc>
          <w:tcPr>
            <w:tcW w:w="1220" w:type="dxa"/>
            <w:vAlign w:val="bottom"/>
          </w:tcPr>
          <w:p>
            <w:pPr>
              <w:jc w:val="right"/>
              <w:ind w:right="14"/>
              <w:spacing w:after="0"/>
              <w:rPr>
                <w:sz w:val="20"/>
                <w:szCs w:val="20"/>
                <w:color w:val="auto"/>
              </w:rPr>
            </w:pPr>
            <w:r>
              <w:rPr>
                <w:rFonts w:ascii="Arial" w:cs="Arial" w:eastAsia="Arial" w:hAnsi="Arial"/>
                <w:sz w:val="18"/>
                <w:szCs w:val="18"/>
                <w:color w:val="auto"/>
              </w:rPr>
              <w:t>426</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60" w:type="dxa"/>
            <w:vAlign w:val="bottom"/>
            <w:tcBorders>
              <w:right w:val="single" w:sz="8" w:color="auto"/>
            </w:tcBorders>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212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3"/>
              <w:spacing w:after="0"/>
              <w:rPr>
                <w:sz w:val="20"/>
                <w:szCs w:val="20"/>
                <w:color w:val="auto"/>
              </w:rPr>
            </w:pPr>
            <w:r>
              <w:rPr>
                <w:rFonts w:ascii="Arial" w:cs="Arial" w:eastAsia="Arial" w:hAnsi="Arial"/>
                <w:sz w:val="18"/>
                <w:szCs w:val="18"/>
                <w:color w:val="auto"/>
              </w:rPr>
              <w:t>—</w:t>
            </w:r>
          </w:p>
        </w:tc>
      </w:tr>
      <w:tr>
        <w:trPr>
          <w:trHeight w:val="27"/>
        </w:trPr>
        <w:tc>
          <w:tcPr>
            <w:tcW w:w="50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40" w:type="dxa"/>
            <w:vAlign w:val="bottom"/>
            <w:tcBorders>
              <w:bottom w:val="single" w:sz="8" w:color="CCEEFF"/>
              <w:right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57"/>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position - asset/(liability)</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87</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w:t>
            </w:r>
          </w:p>
        </w:tc>
        <w:tc>
          <w:tcPr>
            <w:tcW w:w="140" w:type="dxa"/>
            <w:vAlign w:val="bottom"/>
            <w:tcBorders>
              <w:bottom w:val="single" w:sz="8" w:color="CCEEFF"/>
              <w:right w:val="single" w:sz="8" w:color="auto"/>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63</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(186)</w:t>
            </w:r>
          </w:p>
        </w:tc>
      </w:tr>
      <w:tr>
        <w:trPr>
          <w:trHeight w:val="20"/>
        </w:trPr>
        <w:tc>
          <w:tcPr>
            <w:tcW w:w="50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r>
        <w:trPr>
          <w:trHeight w:val="284"/>
        </w:trPr>
        <w:tc>
          <w:tcPr>
            <w:tcW w:w="50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4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250"/>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Balance Sheet Location After Netting Adjustments:</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r>
      <w:tr>
        <w:trPr>
          <w:trHeight w:val="243"/>
        </w:trPr>
        <w:tc>
          <w:tcPr>
            <w:tcW w:w="5040" w:type="dxa"/>
            <w:vAlign w:val="bottom"/>
          </w:tcPr>
          <w:p>
            <w:pPr>
              <w:ind w:left="40"/>
              <w:spacing w:after="0"/>
              <w:rPr>
                <w:sz w:val="20"/>
                <w:szCs w:val="20"/>
                <w:color w:val="auto"/>
              </w:rPr>
            </w:pPr>
            <w:r>
              <w:rPr>
                <w:rFonts w:ascii="Arial" w:cs="Arial" w:eastAsia="Arial" w:hAnsi="Arial"/>
                <w:sz w:val="18"/>
                <w:szCs w:val="18"/>
                <w:color w:val="auto"/>
              </w:rPr>
              <w:t>Other current assets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ind w:right="14"/>
              <w:spacing w:after="0"/>
              <w:rPr>
                <w:sz w:val="20"/>
                <w:szCs w:val="20"/>
                <w:color w:val="auto"/>
              </w:rPr>
            </w:pPr>
            <w:r>
              <w:rPr>
                <w:rFonts w:ascii="Arial" w:cs="Arial" w:eastAsia="Arial" w:hAnsi="Arial"/>
                <w:sz w:val="18"/>
                <w:szCs w:val="18"/>
                <w:color w:val="auto"/>
              </w:rPr>
              <w:t>77</w:t>
            </w:r>
          </w:p>
        </w:tc>
        <w:tc>
          <w:tcPr>
            <w:tcW w:w="120" w:type="dxa"/>
            <w:vAlign w:val="bottom"/>
          </w:tcPr>
          <w:p>
            <w:pPr>
              <w:spacing w:after="0"/>
              <w:rPr>
                <w:sz w:val="21"/>
                <w:szCs w:val="21"/>
                <w:color w:val="auto"/>
              </w:rPr>
            </w:pPr>
          </w:p>
        </w:tc>
        <w:tc>
          <w:tcPr>
            <w:tcW w:w="160" w:type="dxa"/>
            <w:vAlign w:val="bottom"/>
          </w:tcPr>
          <w:p>
            <w:pPr>
              <w:jc w:val="center"/>
              <w:spacing w:after="0"/>
              <w:rPr>
                <w:sz w:val="20"/>
                <w:szCs w:val="20"/>
                <w:color w:val="auto"/>
              </w:rPr>
            </w:pPr>
            <w:r>
              <w:rPr>
                <w:rFonts w:ascii="Arial" w:cs="Arial" w:eastAsia="Arial" w:hAnsi="Arial"/>
                <w:sz w:val="18"/>
                <w:szCs w:val="18"/>
                <w:color w:val="auto"/>
                <w:w w:val="79"/>
              </w:rPr>
              <w:t>$</w:t>
            </w:r>
          </w:p>
        </w:tc>
        <w:tc>
          <w:tcPr>
            <w:tcW w:w="1560" w:type="dxa"/>
            <w:vAlign w:val="bottom"/>
            <w:tcBorders>
              <w:right w:val="single" w:sz="8" w:color="auto"/>
            </w:tcBorders>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62</w:t>
            </w:r>
          </w:p>
        </w:tc>
        <w:tc>
          <w:tcPr>
            <w:tcW w:w="100" w:type="dxa"/>
            <w:vAlign w:val="bottom"/>
          </w:tcPr>
          <w:p>
            <w:pPr>
              <w:spacing w:after="0"/>
              <w:rPr>
                <w:sz w:val="21"/>
                <w:szCs w:val="21"/>
                <w:color w:val="auto"/>
              </w:rPr>
            </w:pPr>
          </w:p>
        </w:tc>
        <w:tc>
          <w:tcPr>
            <w:tcW w:w="180" w:type="dxa"/>
            <w:vAlign w:val="bottom"/>
          </w:tcPr>
          <w:p>
            <w:pPr>
              <w:jc w:val="center"/>
              <w:spacing w:after="0"/>
              <w:rPr>
                <w:sz w:val="20"/>
                <w:szCs w:val="20"/>
                <w:color w:val="auto"/>
              </w:rPr>
            </w:pPr>
            <w:r>
              <w:rPr>
                <w:rFonts w:ascii="Arial" w:cs="Arial" w:eastAsia="Arial" w:hAnsi="Arial"/>
                <w:sz w:val="18"/>
                <w:szCs w:val="18"/>
                <w:color w:val="auto"/>
                <w:w w:val="79"/>
              </w:rPr>
              <w:t>$</w:t>
            </w:r>
          </w:p>
        </w:tc>
        <w:tc>
          <w:tcPr>
            <w:tcW w:w="1420" w:type="dxa"/>
            <w:vAlign w:val="bottom"/>
          </w:tcPr>
          <w:p>
            <w:pPr>
              <w:jc w:val="right"/>
              <w:ind w:right="13"/>
              <w:spacing w:after="0"/>
              <w:rPr>
                <w:sz w:val="20"/>
                <w:szCs w:val="20"/>
                <w:color w:val="auto"/>
              </w:rPr>
            </w:pPr>
            <w:r>
              <w:rPr>
                <w:rFonts w:ascii="Arial" w:cs="Arial" w:eastAsia="Arial" w:hAnsi="Arial"/>
                <w:sz w:val="18"/>
                <w:szCs w:val="18"/>
                <w:color w:val="auto"/>
              </w:rPr>
              <w:t>—</w:t>
            </w:r>
          </w:p>
        </w:tc>
      </w:tr>
      <w:tr>
        <w:trPr>
          <w:trHeight w:val="27"/>
        </w:trPr>
        <w:tc>
          <w:tcPr>
            <w:tcW w:w="50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long-term assets, net</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right w:val="single" w:sz="8" w:color="auto"/>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r>
      <w:tr>
        <w:trPr>
          <w:trHeight w:val="243"/>
        </w:trPr>
        <w:tc>
          <w:tcPr>
            <w:tcW w:w="5040" w:type="dxa"/>
            <w:vAlign w:val="bottom"/>
          </w:tcPr>
          <w:p>
            <w:pPr>
              <w:ind w:left="40"/>
              <w:spacing w:after="0"/>
              <w:rPr>
                <w:sz w:val="20"/>
                <w:szCs w:val="20"/>
                <w:color w:val="auto"/>
              </w:rPr>
            </w:pPr>
            <w:r>
              <w:rPr>
                <w:rFonts w:ascii="Arial" w:cs="Arial" w:eastAsia="Arial" w:hAnsi="Arial"/>
                <w:sz w:val="18"/>
                <w:szCs w:val="18"/>
                <w:color w:val="auto"/>
              </w:rPr>
              <w:t>Other current liabilities</w:t>
            </w:r>
          </w:p>
        </w:tc>
        <w:tc>
          <w:tcPr>
            <w:tcW w:w="160" w:type="dxa"/>
            <w:vAlign w:val="bottom"/>
          </w:tcPr>
          <w:p>
            <w:pPr>
              <w:spacing w:after="0"/>
              <w:rPr>
                <w:sz w:val="21"/>
                <w:szCs w:val="21"/>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(110)</w:t>
            </w:r>
          </w:p>
        </w:tc>
        <w:tc>
          <w:tcPr>
            <w:tcW w:w="14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(151)</w:t>
            </w:r>
          </w:p>
        </w:tc>
      </w:tr>
      <w:tr>
        <w:trPr>
          <w:trHeight w:val="27"/>
        </w:trPr>
        <w:tc>
          <w:tcPr>
            <w:tcW w:w="50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70"/>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long-term liabilities and deferred credits</w:t>
            </w:r>
          </w:p>
        </w:tc>
        <w:tc>
          <w:tcPr>
            <w:tcW w:w="1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40" w:type="dxa"/>
            <w:vAlign w:val="bottom"/>
            <w:tcBorders>
              <w:bottom w:val="single" w:sz="8" w:color="CCEEFF"/>
              <w:right w:val="single" w:sz="8" w:color="auto"/>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w:t>
            </w:r>
          </w:p>
        </w:tc>
      </w:tr>
      <w:tr>
        <w:trPr>
          <w:trHeight w:val="237"/>
        </w:trPr>
        <w:tc>
          <w:tcPr>
            <w:tcW w:w="504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87</w:t>
            </w:r>
          </w:p>
        </w:tc>
        <w:tc>
          <w:tcPr>
            <w:tcW w:w="120" w:type="dxa"/>
            <w:vAlign w:val="bottom"/>
          </w:tcPr>
          <w:p>
            <w:pPr>
              <w:spacing w:after="0"/>
              <w:rPr>
                <w:sz w:val="20"/>
                <w:szCs w:val="20"/>
                <w:color w:val="auto"/>
              </w:rPr>
            </w:pPr>
          </w:p>
        </w:tc>
        <w:tc>
          <w:tcPr>
            <w:tcW w:w="1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(146)</w:t>
            </w:r>
          </w:p>
        </w:tc>
        <w:tc>
          <w:tcPr>
            <w:tcW w:w="14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63</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(186)</w:t>
            </w:r>
          </w:p>
        </w:tc>
      </w:tr>
      <w:tr>
        <w:trPr>
          <w:trHeight w:val="27"/>
        </w:trPr>
        <w:tc>
          <w:tcPr>
            <w:tcW w:w="50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0"/>
        </w:trPr>
        <w:tc>
          <w:tcPr>
            <w:tcW w:w="50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100" w:firstLine="648"/>
        <w:spacing w:after="0" w:line="273" w:lineRule="auto"/>
        <w:rPr>
          <w:sz w:val="20"/>
          <w:szCs w:val="20"/>
          <w:color w:val="auto"/>
        </w:rPr>
      </w:pPr>
      <w:r>
        <w:rPr>
          <w:rFonts w:ascii="Arial" w:cs="Arial" w:eastAsia="Arial" w:hAnsi="Arial"/>
          <w:sz w:val="17"/>
          <w:szCs w:val="17"/>
          <w:color w:val="auto"/>
        </w:rPr>
        <w:t>As of June 30, 2018, there was a net loss of $173 million deferred in AOCI. The deferred net loss recorded in AOCI is expected to be reclassified to future earnings contemporaneously with (i) the earnings recognition of the underlying hedged commodity transactions or (ii) interest expense accruals associated with underlying debt instruments. Of the total net loss deferred in AOCI at June 30, 2018, we expect to reclassify a net loss of $8 million to earnings in the next twelve months. We estimate that substantially all of the remaining deferred loss will be reclassified to earnings through 2050 as the underlying hedged transactions impact earnings. A portion of these amounts is based on market prices as of June 30, 2018; thus, actual amounts to be reclassified will differ and could vary materially as a result of changes in market conditions.</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the net unrealized gain/(loss) recognized in AOCI for derivatives (in millions):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20" w:type="dxa"/>
            <w:vAlign w:val="bottom"/>
          </w:tcPr>
          <w:p>
            <w:pPr>
              <w:spacing w:after="0"/>
              <w:rPr>
                <w:sz w:val="14"/>
                <w:szCs w:val="14"/>
                <w:color w:val="auto"/>
              </w:rPr>
            </w:pPr>
          </w:p>
        </w:tc>
        <w:tc>
          <w:tcPr>
            <w:tcW w:w="2420" w:type="dxa"/>
            <w:vAlign w:val="bottom"/>
            <w:gridSpan w:val="4"/>
          </w:tcPr>
          <w:p>
            <w:pPr>
              <w:jc w:val="center"/>
              <w:ind w:left="402"/>
              <w:spacing w:after="0"/>
              <w:rPr>
                <w:sz w:val="20"/>
                <w:szCs w:val="20"/>
                <w:color w:val="auto"/>
              </w:rPr>
            </w:pPr>
            <w:r>
              <w:rPr>
                <w:rFonts w:ascii="Arial" w:cs="Arial" w:eastAsia="Arial" w:hAnsi="Arial"/>
                <w:sz w:val="14"/>
                <w:szCs w:val="14"/>
                <w:b w:val="1"/>
                <w:bCs w:val="1"/>
                <w:color w:val="auto"/>
                <w:w w:val="93"/>
              </w:rPr>
              <w:t>Three Months Ended</w:t>
            </w: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0" w:type="dxa"/>
            <w:vAlign w:val="bottom"/>
            <w:gridSpan w:val="4"/>
          </w:tcPr>
          <w:p>
            <w:pPr>
              <w:jc w:val="center"/>
              <w:ind w:left="382"/>
              <w:spacing w:after="0"/>
              <w:rPr>
                <w:sz w:val="20"/>
                <w:szCs w:val="20"/>
                <w:color w:val="auto"/>
              </w:rPr>
            </w:pPr>
            <w:r>
              <w:rPr>
                <w:rFonts w:ascii="Arial" w:cs="Arial" w:eastAsia="Arial" w:hAnsi="Arial"/>
                <w:sz w:val="14"/>
                <w:szCs w:val="14"/>
                <w:b w:val="1"/>
                <w:bCs w:val="1"/>
                <w:color w:val="auto"/>
                <w:w w:val="93"/>
              </w:rPr>
              <w:t>Six Months Ended</w:t>
            </w:r>
          </w:p>
        </w:tc>
        <w:tc>
          <w:tcPr>
            <w:tcW w:w="420" w:type="dxa"/>
            <w:vAlign w:val="bottom"/>
          </w:tcPr>
          <w:p>
            <w:pPr>
              <w:spacing w:after="0"/>
              <w:rPr>
                <w:sz w:val="14"/>
                <w:szCs w:val="14"/>
                <w:color w:val="auto"/>
              </w:rPr>
            </w:pPr>
          </w:p>
        </w:tc>
      </w:tr>
      <w:tr>
        <w:trPr>
          <w:trHeight w:val="192"/>
        </w:trPr>
        <w:tc>
          <w:tcPr>
            <w:tcW w:w="5820" w:type="dxa"/>
            <w:vAlign w:val="bottom"/>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3"/>
          </w:tcPr>
          <w:p>
            <w:pPr>
              <w:jc w:val="center"/>
              <w:ind w:right="419"/>
              <w:spacing w:after="0"/>
              <w:rPr>
                <w:sz w:val="20"/>
                <w:szCs w:val="20"/>
                <w:color w:val="auto"/>
              </w:rPr>
            </w:pPr>
            <w:r>
              <w:rPr>
                <w:rFonts w:ascii="Arial" w:cs="Arial" w:eastAsia="Arial" w:hAnsi="Arial"/>
                <w:sz w:val="14"/>
                <w:szCs w:val="14"/>
                <w:b w:val="1"/>
                <w:bCs w:val="1"/>
                <w:color w:val="auto"/>
                <w:w w:val="89"/>
              </w:rPr>
              <w:t>June 30,</w:t>
            </w:r>
          </w:p>
        </w:tc>
        <w:tc>
          <w:tcPr>
            <w:tcW w:w="4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3"/>
          </w:tcPr>
          <w:p>
            <w:pPr>
              <w:jc w:val="center"/>
              <w:ind w:right="339"/>
              <w:spacing w:after="0"/>
              <w:rPr>
                <w:sz w:val="20"/>
                <w:szCs w:val="20"/>
                <w:color w:val="auto"/>
              </w:rPr>
            </w:pPr>
            <w:r>
              <w:rPr>
                <w:rFonts w:ascii="Arial" w:cs="Arial" w:eastAsia="Arial" w:hAnsi="Arial"/>
                <w:sz w:val="14"/>
                <w:szCs w:val="14"/>
                <w:b w:val="1"/>
                <w:bCs w:val="1"/>
                <w:color w:val="auto"/>
                <w:w w:val="92"/>
              </w:rPr>
              <w:t>June 30,</w:t>
            </w:r>
          </w:p>
        </w:tc>
        <w:tc>
          <w:tcPr>
            <w:tcW w:w="420" w:type="dxa"/>
            <w:vAlign w:val="bottom"/>
            <w:tcBorders>
              <w:bottom w:val="single" w:sz="8" w:color="auto"/>
            </w:tcBorders>
          </w:tcPr>
          <w:p>
            <w:pPr>
              <w:spacing w:after="0"/>
              <w:rPr>
                <w:sz w:val="16"/>
                <w:szCs w:val="16"/>
                <w:color w:val="auto"/>
              </w:rPr>
            </w:pPr>
          </w:p>
        </w:tc>
      </w:tr>
      <w:tr>
        <w:trPr>
          <w:trHeight w:val="264"/>
        </w:trPr>
        <w:tc>
          <w:tcPr>
            <w:tcW w:w="5820" w:type="dxa"/>
            <w:vAlign w:val="bottom"/>
            <w:tcBorders>
              <w:bottom w:val="single" w:sz="8" w:color="CCEEFF"/>
            </w:tcBorders>
          </w:tcPr>
          <w:p>
            <w:pPr>
              <w:spacing w:after="0"/>
              <w:rPr>
                <w:sz w:val="22"/>
                <w:szCs w:val="22"/>
                <w:color w:val="auto"/>
              </w:rPr>
            </w:pPr>
          </w:p>
        </w:tc>
        <w:tc>
          <w:tcPr>
            <w:tcW w:w="980" w:type="dxa"/>
            <w:vAlign w:val="bottom"/>
            <w:tcBorders>
              <w:bottom w:val="single" w:sz="8" w:color="auto"/>
            </w:tcBorders>
          </w:tcPr>
          <w:p>
            <w:pPr>
              <w:jc w:val="right"/>
              <w:ind w:right="62"/>
              <w:spacing w:after="0"/>
              <w:rPr>
                <w:sz w:val="20"/>
                <w:szCs w:val="20"/>
                <w:color w:val="auto"/>
              </w:rPr>
            </w:pPr>
            <w:r>
              <w:rPr>
                <w:rFonts w:ascii="Arial" w:cs="Arial" w:eastAsia="Arial" w:hAnsi="Arial"/>
                <w:sz w:val="14"/>
                <w:szCs w:val="14"/>
                <w:b w:val="1"/>
                <w:bCs w:val="1"/>
                <w:color w:val="auto"/>
              </w:rPr>
              <w:t>2018</w:t>
            </w:r>
          </w:p>
        </w:tc>
        <w:tc>
          <w:tcPr>
            <w:tcW w:w="42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46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860" w:type="dxa"/>
            <w:vAlign w:val="bottom"/>
            <w:tcBorders>
              <w:bottom w:val="single" w:sz="8" w:color="auto"/>
            </w:tcBorders>
          </w:tcPr>
          <w:p>
            <w:pPr>
              <w:jc w:val="right"/>
              <w:ind w:right="2"/>
              <w:spacing w:after="0"/>
              <w:rPr>
                <w:sz w:val="20"/>
                <w:szCs w:val="20"/>
                <w:color w:val="auto"/>
              </w:rPr>
            </w:pPr>
            <w:r>
              <w:rPr>
                <w:rFonts w:ascii="Arial" w:cs="Arial" w:eastAsia="Arial" w:hAnsi="Arial"/>
                <w:sz w:val="14"/>
                <w:szCs w:val="14"/>
                <w:b w:val="1"/>
                <w:bCs w:val="1"/>
                <w:color w:val="auto"/>
              </w:rPr>
              <w:t>2018</w:t>
            </w:r>
          </w:p>
        </w:tc>
        <w:tc>
          <w:tcPr>
            <w:tcW w:w="40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420" w:type="dxa"/>
            <w:vAlign w:val="bottom"/>
            <w:tcBorders>
              <w:bottom w:val="single" w:sz="8" w:color="auto"/>
            </w:tcBorders>
          </w:tcPr>
          <w:p>
            <w:pPr>
              <w:spacing w:after="0"/>
              <w:rPr>
                <w:sz w:val="22"/>
                <w:szCs w:val="22"/>
                <w:color w:val="auto"/>
              </w:rPr>
            </w:pPr>
          </w:p>
        </w:tc>
      </w:tr>
      <w:tr>
        <w:trPr>
          <w:trHeight w:val="243"/>
        </w:trPr>
        <w:tc>
          <w:tcPr>
            <w:tcW w:w="5820" w:type="dxa"/>
            <w:vAlign w:val="bottom"/>
            <w:shd w:val="clear" w:color="auto" w:fill="CCEEFF"/>
          </w:tcPr>
          <w:p>
            <w:pPr>
              <w:ind w:left="40"/>
              <w:spacing w:after="0"/>
              <w:rPr>
                <w:sz w:val="20"/>
                <w:szCs w:val="20"/>
                <w:color w:val="auto"/>
              </w:rPr>
            </w:pPr>
            <w:r>
              <w:rPr>
                <w:rFonts w:ascii="Arial" w:cs="Arial" w:eastAsia="Arial" w:hAnsi="Arial"/>
                <w:sz w:val="18"/>
                <w:szCs w:val="18"/>
                <w:color w:val="auto"/>
              </w:rPr>
              <w:t>Interest rate derivatives, net</w:t>
            </w:r>
          </w:p>
        </w:tc>
        <w:tc>
          <w:tcPr>
            <w:tcW w:w="980" w:type="dxa"/>
            <w:vAlign w:val="bottom"/>
            <w:shd w:val="clear" w:color="auto" w:fill="CCEEFF"/>
          </w:tcPr>
          <w:p>
            <w:pPr>
              <w:jc w:val="right"/>
              <w:ind w:right="782"/>
              <w:spacing w:after="0"/>
              <w:rPr>
                <w:sz w:val="20"/>
                <w:szCs w:val="20"/>
                <w:color w:val="auto"/>
              </w:rPr>
            </w:pPr>
            <w:r>
              <w:rPr>
                <w:rFonts w:ascii="Arial" w:cs="Arial" w:eastAsia="Arial" w:hAnsi="Arial"/>
                <w:sz w:val="18"/>
                <w:szCs w:val="18"/>
                <w:color w:val="auto"/>
                <w:w w:val="99"/>
              </w:rPr>
              <w:t>$</w:t>
            </w:r>
          </w:p>
        </w:tc>
        <w:tc>
          <w:tcPr>
            <w:tcW w:w="42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CEEFF"/>
          </w:tcPr>
          <w:p>
            <w:pPr>
              <w:spacing w:after="0"/>
              <w:rPr>
                <w:sz w:val="21"/>
                <w:szCs w:val="21"/>
                <w:color w:val="auto"/>
              </w:rPr>
            </w:pPr>
          </w:p>
        </w:tc>
        <w:tc>
          <w:tcPr>
            <w:tcW w:w="920" w:type="dxa"/>
            <w:vAlign w:val="bottom"/>
            <w:shd w:val="clear" w:color="auto" w:fill="CCEEFF"/>
          </w:tcPr>
          <w:p>
            <w:pPr>
              <w:jc w:val="right"/>
              <w:ind w:right="719"/>
              <w:spacing w:after="0"/>
              <w:rPr>
                <w:sz w:val="20"/>
                <w:szCs w:val="20"/>
                <w:color w:val="auto"/>
              </w:rPr>
            </w:pPr>
            <w:r>
              <w:rPr>
                <w:rFonts w:ascii="Arial" w:cs="Arial" w:eastAsia="Arial" w:hAnsi="Arial"/>
                <w:sz w:val="18"/>
                <w:szCs w:val="18"/>
                <w:color w:val="auto"/>
                <w:w w:val="9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00" w:type="dxa"/>
            <w:vAlign w:val="bottom"/>
            <w:shd w:val="clear" w:color="auto" w:fill="CCEEFF"/>
          </w:tcPr>
          <w:p>
            <w:pPr>
              <w:spacing w:after="0"/>
              <w:rPr>
                <w:sz w:val="21"/>
                <w:szCs w:val="21"/>
                <w:color w:val="auto"/>
              </w:rPr>
            </w:pPr>
          </w:p>
        </w:tc>
        <w:tc>
          <w:tcPr>
            <w:tcW w:w="860" w:type="dxa"/>
            <w:vAlign w:val="bottom"/>
            <w:shd w:val="clear" w:color="auto" w:fill="CCEEFF"/>
          </w:tcPr>
          <w:p>
            <w:pPr>
              <w:jc w:val="right"/>
              <w:ind w:right="662"/>
              <w:spacing w:after="0"/>
              <w:rPr>
                <w:sz w:val="20"/>
                <w:szCs w:val="20"/>
                <w:color w:val="auto"/>
              </w:rPr>
            </w:pPr>
            <w:r>
              <w:rPr>
                <w:rFonts w:ascii="Arial" w:cs="Arial" w:eastAsia="Arial" w:hAnsi="Arial"/>
                <w:sz w:val="18"/>
                <w:szCs w:val="18"/>
                <w:color w:val="auto"/>
                <w:w w:val="99"/>
              </w:rPr>
              <w:t>$</w:t>
            </w:r>
          </w:p>
        </w:tc>
        <w:tc>
          <w:tcPr>
            <w:tcW w:w="40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rPr>
              <w:t>45</w:t>
            </w:r>
          </w:p>
        </w:tc>
        <w:tc>
          <w:tcPr>
            <w:tcW w:w="100" w:type="dxa"/>
            <w:vAlign w:val="bottom"/>
            <w:shd w:val="clear" w:color="auto" w:fill="CCEEFF"/>
          </w:tcPr>
          <w:p>
            <w:pPr>
              <w:spacing w:after="0"/>
              <w:rPr>
                <w:sz w:val="21"/>
                <w:szCs w:val="21"/>
                <w:color w:val="auto"/>
              </w:rPr>
            </w:pPr>
          </w:p>
        </w:tc>
        <w:tc>
          <w:tcPr>
            <w:tcW w:w="840" w:type="dxa"/>
            <w:vAlign w:val="bottom"/>
            <w:shd w:val="clear" w:color="auto" w:fill="CCEEFF"/>
          </w:tcPr>
          <w:p>
            <w:pPr>
              <w:jc w:val="right"/>
              <w:ind w:right="639"/>
              <w:spacing w:after="0"/>
              <w:rPr>
                <w:sz w:val="20"/>
                <w:szCs w:val="20"/>
                <w:color w:val="auto"/>
              </w:rPr>
            </w:pPr>
            <w:r>
              <w:rPr>
                <w:rFonts w:ascii="Arial" w:cs="Arial" w:eastAsia="Arial" w:hAnsi="Arial"/>
                <w:sz w:val="18"/>
                <w:szCs w:val="18"/>
                <w:color w:val="auto"/>
                <w:w w:val="9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r>
      <w:tr>
        <w:trPr>
          <w:trHeight w:val="27"/>
        </w:trPr>
        <w:tc>
          <w:tcPr>
            <w:tcW w:w="582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jc w:val="both"/>
        <w:ind w:right="140" w:firstLine="594"/>
        <w:spacing w:after="0" w:line="264" w:lineRule="auto"/>
        <w:rPr>
          <w:sz w:val="20"/>
          <w:szCs w:val="20"/>
          <w:color w:val="auto"/>
        </w:rPr>
      </w:pPr>
      <w:r>
        <w:rPr>
          <w:rFonts w:ascii="Arial" w:cs="Arial" w:eastAsia="Arial" w:hAnsi="Arial"/>
          <w:sz w:val="18"/>
          <w:szCs w:val="18"/>
          <w:color w:val="auto"/>
        </w:rPr>
        <w:t>At June 30, 2018 and December 31, 2017, none of our outstanding derivatives contained credit-risk related contingent features that would result in a material adverse impact to us upon any change in PAA's credit ratings. Although we may be required to post margin on our cleared derivatives as described above, we do not require our non-cleared derivative counterparties to post collateral with us.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Recurring Fair Value Measurements</w:t>
      </w:r>
    </w:p>
    <w:p>
      <w:pPr>
        <w:spacing w:after="0" w:line="221"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Derivative Financial Assets and Liabilities</w:t>
      </w:r>
    </w:p>
    <w:p>
      <w:pPr>
        <w:spacing w:after="0" w:line="229" w:lineRule="exact"/>
        <w:rPr>
          <w:sz w:val="20"/>
          <w:szCs w:val="20"/>
          <w:color w:val="auto"/>
        </w:rPr>
      </w:pPr>
    </w:p>
    <w:p>
      <w:pPr>
        <w:ind w:right="360" w:firstLine="648"/>
        <w:spacing w:after="0" w:line="277" w:lineRule="auto"/>
        <w:rPr>
          <w:sz w:val="20"/>
          <w:szCs w:val="20"/>
          <w:color w:val="auto"/>
        </w:rPr>
      </w:pPr>
      <w:r>
        <w:rPr>
          <w:rFonts w:ascii="Arial" w:cs="Arial" w:eastAsia="Arial" w:hAnsi="Arial"/>
          <w:sz w:val="18"/>
          <w:szCs w:val="18"/>
          <w:color w:val="auto"/>
        </w:rPr>
        <w:t>The following table sets forth by level within the fair value hierarchy our financial assets and liabilities that were accounted for at fair value on a recurring basis (in millions):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gridSpan w:val="7"/>
          </w:tcPr>
          <w:p>
            <w:pPr>
              <w:ind w:left="40"/>
              <w:spacing w:after="0"/>
              <w:rPr>
                <w:sz w:val="20"/>
                <w:szCs w:val="20"/>
                <w:color w:val="auto"/>
              </w:rPr>
            </w:pPr>
            <w:r>
              <w:rPr>
                <w:rFonts w:ascii="Arial" w:cs="Arial" w:eastAsia="Arial" w:hAnsi="Arial"/>
                <w:sz w:val="14"/>
                <w:szCs w:val="14"/>
                <w:b w:val="1"/>
                <w:bCs w:val="1"/>
                <w:color w:val="auto"/>
                <w:w w:val="93"/>
              </w:rPr>
              <w:t>Fair Value as of June 30, 2018</w:t>
            </w:r>
          </w:p>
        </w:tc>
        <w:tc>
          <w:tcPr>
            <w:tcW w:w="18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2220" w:type="dxa"/>
            <w:vAlign w:val="bottom"/>
            <w:tcBorders>
              <w:bottom w:val="single" w:sz="8" w:color="auto"/>
            </w:tcBorders>
            <w:gridSpan w:val="9"/>
          </w:tcPr>
          <w:p>
            <w:pPr>
              <w:jc w:val="right"/>
              <w:spacing w:after="0"/>
              <w:rPr>
                <w:sz w:val="20"/>
                <w:szCs w:val="20"/>
                <w:color w:val="auto"/>
              </w:rPr>
            </w:pPr>
            <w:r>
              <w:rPr>
                <w:rFonts w:ascii="Arial" w:cs="Arial" w:eastAsia="Arial" w:hAnsi="Arial"/>
                <w:sz w:val="14"/>
                <w:szCs w:val="14"/>
                <w:b w:val="1"/>
                <w:bCs w:val="1"/>
                <w:color w:val="auto"/>
                <w:w w:val="91"/>
              </w:rPr>
              <w:t>Fair Value as of December 31, 2017</w:t>
            </w:r>
          </w:p>
        </w:tc>
        <w:tc>
          <w:tcPr>
            <w:tcW w:w="600" w:type="dxa"/>
            <w:vAlign w:val="bottom"/>
            <w:tcBorders>
              <w:bottom w:val="single" w:sz="8" w:color="auto"/>
            </w:tcBorders>
          </w:tcPr>
          <w:p>
            <w:pPr>
              <w:spacing w:after="0"/>
              <w:rPr>
                <w:sz w:val="16"/>
                <w:szCs w:val="16"/>
                <w:color w:val="auto"/>
              </w:rPr>
            </w:pPr>
          </w:p>
        </w:tc>
      </w:tr>
      <w:tr>
        <w:trPr>
          <w:trHeight w:val="264"/>
        </w:trPr>
        <w:tc>
          <w:tcPr>
            <w:tcW w:w="40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 xml:space="preserve">Recurring Fair Value Measures </w:t>
            </w:r>
            <w:r>
              <w:rPr>
                <w:rFonts w:ascii="Arial" w:cs="Arial" w:eastAsia="Arial" w:hAnsi="Arial"/>
                <w:sz w:val="12"/>
                <w:szCs w:val="12"/>
                <w:b w:val="1"/>
                <w:bCs w:val="1"/>
                <w:color w:val="auto"/>
              </w:rPr>
              <w:t>(1)</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b w:val="1"/>
                <w:bCs w:val="1"/>
                <w:color w:val="auto"/>
                <w:w w:val="96"/>
              </w:rPr>
              <w:t>Level 1</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ind w:right="73"/>
              <w:spacing w:after="0"/>
              <w:rPr>
                <w:sz w:val="20"/>
                <w:szCs w:val="20"/>
                <w:color w:val="auto"/>
              </w:rPr>
            </w:pPr>
            <w:r>
              <w:rPr>
                <w:rFonts w:ascii="Arial" w:cs="Arial" w:eastAsia="Arial" w:hAnsi="Arial"/>
                <w:sz w:val="14"/>
                <w:szCs w:val="14"/>
                <w:b w:val="1"/>
                <w:bCs w:val="1"/>
                <w:color w:val="auto"/>
                <w:w w:val="96"/>
              </w:rPr>
              <w:t>Level 2</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ind w:right="93"/>
              <w:spacing w:after="0"/>
              <w:rPr>
                <w:sz w:val="20"/>
                <w:szCs w:val="20"/>
                <w:color w:val="auto"/>
              </w:rPr>
            </w:pPr>
            <w:r>
              <w:rPr>
                <w:rFonts w:ascii="Arial" w:cs="Arial" w:eastAsia="Arial" w:hAnsi="Arial"/>
                <w:sz w:val="14"/>
                <w:szCs w:val="14"/>
                <w:b w:val="1"/>
                <w:bCs w:val="1"/>
                <w:color w:val="auto"/>
                <w:w w:val="96"/>
              </w:rPr>
              <w:t>Level 3</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jc w:val="right"/>
              <w:ind w:right="153"/>
              <w:spacing w:after="0"/>
              <w:rPr>
                <w:sz w:val="20"/>
                <w:szCs w:val="20"/>
                <w:color w:val="auto"/>
              </w:rPr>
            </w:pPr>
            <w:r>
              <w:rPr>
                <w:rFonts w:ascii="Arial" w:cs="Arial" w:eastAsia="Arial" w:hAnsi="Arial"/>
                <w:sz w:val="14"/>
                <w:szCs w:val="14"/>
                <w:b w:val="1"/>
                <w:bCs w:val="1"/>
                <w:color w:val="auto"/>
              </w:rPr>
              <w:t>Total</w:t>
            </w: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2"/>
              </w:rPr>
              <w:t>Level 1</w:t>
            </w:r>
          </w:p>
        </w:tc>
        <w:tc>
          <w:tcPr>
            <w:tcW w:w="10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ind w:right="93"/>
              <w:spacing w:after="0"/>
              <w:rPr>
                <w:sz w:val="20"/>
                <w:szCs w:val="20"/>
                <w:color w:val="auto"/>
              </w:rPr>
            </w:pPr>
            <w:r>
              <w:rPr>
                <w:rFonts w:ascii="Arial" w:cs="Arial" w:eastAsia="Arial" w:hAnsi="Arial"/>
                <w:sz w:val="14"/>
                <w:szCs w:val="14"/>
                <w:b w:val="1"/>
                <w:bCs w:val="1"/>
                <w:color w:val="auto"/>
                <w:w w:val="96"/>
              </w:rPr>
              <w:t>Level 2</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ind w:right="93"/>
              <w:spacing w:after="0"/>
              <w:rPr>
                <w:sz w:val="20"/>
                <w:szCs w:val="20"/>
                <w:color w:val="auto"/>
              </w:rPr>
            </w:pPr>
            <w:r>
              <w:rPr>
                <w:rFonts w:ascii="Arial" w:cs="Arial" w:eastAsia="Arial" w:hAnsi="Arial"/>
                <w:sz w:val="14"/>
                <w:szCs w:val="14"/>
                <w:b w:val="1"/>
                <w:bCs w:val="1"/>
                <w:color w:val="auto"/>
                <w:w w:val="96"/>
              </w:rPr>
              <w:t>Level 3</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jc w:val="right"/>
              <w:ind w:right="153"/>
              <w:spacing w:after="0"/>
              <w:rPr>
                <w:sz w:val="20"/>
                <w:szCs w:val="20"/>
                <w:color w:val="auto"/>
              </w:rPr>
            </w:pPr>
            <w:r>
              <w:rPr>
                <w:rFonts w:ascii="Arial" w:cs="Arial" w:eastAsia="Arial" w:hAnsi="Arial"/>
                <w:sz w:val="14"/>
                <w:szCs w:val="14"/>
                <w:b w:val="1"/>
                <w:bCs w:val="1"/>
                <w:color w:val="auto"/>
              </w:rPr>
              <w:t>Total</w:t>
            </w:r>
          </w:p>
        </w:tc>
      </w:tr>
      <w:tr>
        <w:trPr>
          <w:trHeight w:val="250"/>
        </w:trPr>
        <w:tc>
          <w:tcPr>
            <w:tcW w:w="4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Commodity derivatives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(252)</w:t>
            </w:r>
          </w:p>
        </w:tc>
        <w:tc>
          <w:tcPr>
            <w:tcW w:w="2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(461)</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36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(281)</w:t>
            </w:r>
          </w:p>
        </w:tc>
      </w:tr>
      <w:tr>
        <w:trPr>
          <w:trHeight w:val="243"/>
        </w:trPr>
        <w:tc>
          <w:tcPr>
            <w:tcW w:w="4120" w:type="dxa"/>
            <w:vAlign w:val="bottom"/>
            <w:gridSpan w:val="2"/>
          </w:tcPr>
          <w:p>
            <w:pPr>
              <w:ind w:left="40"/>
              <w:spacing w:after="0"/>
              <w:rPr>
                <w:sz w:val="20"/>
                <w:szCs w:val="20"/>
                <w:color w:val="auto"/>
              </w:rPr>
            </w:pPr>
            <w:r>
              <w:rPr>
                <w:rFonts w:ascii="Arial" w:cs="Arial" w:eastAsia="Arial" w:hAnsi="Arial"/>
                <w:sz w:val="18"/>
                <w:szCs w:val="18"/>
                <w:color w:val="auto"/>
              </w:rPr>
              <w:t>Interest rate derivatives</w:t>
            </w:r>
          </w:p>
        </w:tc>
        <w:tc>
          <w:tcPr>
            <w:tcW w:w="160" w:type="dxa"/>
            <w:vAlign w:val="bottom"/>
          </w:tcPr>
          <w:p>
            <w:pPr>
              <w:spacing w:after="0"/>
              <w:rPr>
                <w:sz w:val="21"/>
                <w:szCs w:val="21"/>
                <w:color w:val="auto"/>
              </w:rPr>
            </w:pPr>
          </w:p>
        </w:tc>
        <w:tc>
          <w:tcPr>
            <w:tcW w:w="68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740" w:type="dxa"/>
            <w:vAlign w:val="bottom"/>
            <w:tcBorders>
              <w:right w:val="single" w:sz="8" w:color="auto"/>
            </w:tcBorders>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7"/>
        </w:trPr>
        <w:tc>
          <w:tcPr>
            <w:tcW w:w="4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0" w:type="dxa"/>
            <w:vAlign w:val="bottom"/>
          </w:tcPr>
          <w:p>
            <w:pPr>
              <w:spacing w:after="0"/>
              <w:rPr>
                <w:sz w:val="2"/>
                <w:szCs w:val="2"/>
                <w:color w:val="auto"/>
              </w:rPr>
            </w:pPr>
          </w:p>
        </w:tc>
      </w:tr>
      <w:tr>
        <w:trPr>
          <w:trHeight w:val="250"/>
        </w:trPr>
        <w:tc>
          <w:tcPr>
            <w:tcW w:w="4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Foreign currency derivatives</w:t>
            </w:r>
          </w:p>
        </w:tc>
        <w:tc>
          <w:tcPr>
            <w:tcW w:w="16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w:t>
            </w:r>
          </w:p>
        </w:tc>
      </w:tr>
      <w:tr>
        <w:trPr>
          <w:trHeight w:val="243"/>
        </w:trPr>
        <w:tc>
          <w:tcPr>
            <w:tcW w:w="4120" w:type="dxa"/>
            <w:vAlign w:val="bottom"/>
            <w:gridSpan w:val="2"/>
          </w:tcPr>
          <w:p>
            <w:pPr>
              <w:ind w:left="40"/>
              <w:spacing w:after="0"/>
              <w:rPr>
                <w:sz w:val="20"/>
                <w:szCs w:val="20"/>
                <w:color w:val="auto"/>
              </w:rPr>
            </w:pPr>
            <w:r>
              <w:rPr>
                <w:rFonts w:ascii="Arial" w:cs="Arial" w:eastAsia="Arial" w:hAnsi="Arial"/>
                <w:sz w:val="18"/>
                <w:szCs w:val="18"/>
                <w:color w:val="auto"/>
              </w:rPr>
              <w:t>Preferred Distribution Rate Reset Option</w:t>
            </w:r>
          </w:p>
        </w:tc>
        <w:tc>
          <w:tcPr>
            <w:tcW w:w="160" w:type="dxa"/>
            <w:vAlign w:val="bottom"/>
          </w:tcPr>
          <w:p>
            <w:pPr>
              <w:spacing w:after="0"/>
              <w:rPr>
                <w:sz w:val="21"/>
                <w:szCs w:val="21"/>
                <w:color w:val="auto"/>
              </w:rPr>
            </w:pPr>
          </w:p>
        </w:tc>
        <w:tc>
          <w:tcPr>
            <w:tcW w:w="68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(17)</w:t>
            </w:r>
          </w:p>
        </w:tc>
        <w:tc>
          <w:tcPr>
            <w:tcW w:w="12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7"/>
        </w:trPr>
        <w:tc>
          <w:tcPr>
            <w:tcW w:w="40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CCEEFF"/>
              <w:right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r>
      <w:tr>
        <w:trPr>
          <w:trHeight w:val="269"/>
        </w:trPr>
        <w:tc>
          <w:tcPr>
            <w:tcW w:w="41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Total net derivative asset/(liability)</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(252)</w:t>
            </w:r>
          </w:p>
        </w:tc>
        <w:tc>
          <w:tcPr>
            <w:tcW w:w="2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(215)</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(485)</w:t>
            </w:r>
          </w:p>
        </w:tc>
        <w:tc>
          <w:tcPr>
            <w:tcW w:w="120" w:type="dxa"/>
            <w:vAlign w:val="bottom"/>
            <w:tcBorders>
              <w:bottom w:val="single" w:sz="8" w:color="CCEEFF"/>
              <w:right w:val="single" w:sz="8" w:color="auto"/>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36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(310)</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(335)</w:t>
            </w:r>
          </w:p>
        </w:tc>
      </w:tr>
      <w:tr>
        <w:trPr>
          <w:trHeight w:val="20"/>
        </w:trPr>
        <w:tc>
          <w:tcPr>
            <w:tcW w:w="40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250444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2504440" cy="8890"/>
                    </a:xfrm>
                    <a:prstGeom prst="rect">
                      <a:avLst/>
                    </a:prstGeom>
                    <a:noFill/>
                  </pic:spPr>
                </pic:pic>
              </a:graphicData>
            </a:graphic>
          </wp:anchor>
        </w:drawing>
      </w:r>
    </w:p>
    <w:p>
      <w:pPr>
        <w:spacing w:after="0" w:line="233" w:lineRule="exact"/>
        <w:rPr>
          <w:sz w:val="20"/>
          <w:szCs w:val="20"/>
          <w:color w:val="auto"/>
        </w:rPr>
      </w:pPr>
    </w:p>
    <w:p>
      <w:pPr>
        <w:ind w:left="660" w:hanging="652"/>
        <w:spacing w:after="0"/>
        <w:tabs>
          <w:tab w:leader="none" w:pos="660" w:val="left"/>
        </w:tabs>
        <w:numPr>
          <w:ilvl w:val="0"/>
          <w:numId w:val="19"/>
        </w:numPr>
        <w:rPr>
          <w:rFonts w:ascii="Arial" w:cs="Arial" w:eastAsia="Arial" w:hAnsi="Arial"/>
          <w:sz w:val="25"/>
          <w:szCs w:val="25"/>
          <w:color w:val="auto"/>
          <w:vertAlign w:val="superscript"/>
        </w:rPr>
      </w:pPr>
      <w:r>
        <w:rPr>
          <w:rFonts w:ascii="Arial" w:cs="Arial" w:eastAsia="Arial" w:hAnsi="Arial"/>
          <w:sz w:val="18"/>
          <w:szCs w:val="18"/>
          <w:color w:val="auto"/>
        </w:rPr>
        <w:t>Derivative assets and liabilities are presented above on a net basis but do not include related cash margin deposits.</w:t>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28</w:t>
      </w:r>
    </w:p>
    <w:p>
      <w:pPr>
        <w:sectPr>
          <w:pgSz w:w="11900" w:h="16838" w:orient="portrait"/>
          <w:cols w:equalWidth="0" w:num="1">
            <w:col w:w="11420"/>
          </w:cols>
          <w:pgMar w:left="240" w:top="125" w:right="239" w:bottom="1440" w:gutter="0" w:footer="0" w:header="0"/>
          <w:type w:val="continuous"/>
        </w:sectPr>
      </w:pPr>
    </w:p>
    <w:bookmarkStart w:id="28" w:name="page29"/>
    <w:bookmarkEnd w:id="2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Level 1</w:t>
      </w:r>
    </w:p>
    <w:p>
      <w:pPr>
        <w:spacing w:after="0" w:line="225" w:lineRule="exact"/>
        <w:rPr>
          <w:sz w:val="20"/>
          <w:szCs w:val="20"/>
          <w:color w:val="auto"/>
        </w:rPr>
      </w:pPr>
    </w:p>
    <w:p>
      <w:pPr>
        <w:jc w:val="both"/>
        <w:ind w:left="660" w:right="120"/>
        <w:spacing w:after="0" w:line="264" w:lineRule="auto"/>
        <w:rPr>
          <w:sz w:val="20"/>
          <w:szCs w:val="20"/>
          <w:color w:val="auto"/>
        </w:rPr>
      </w:pPr>
      <w:r>
        <w:rPr>
          <w:rFonts w:ascii="Arial" w:cs="Arial" w:eastAsia="Arial" w:hAnsi="Arial"/>
          <w:sz w:val="18"/>
          <w:szCs w:val="18"/>
          <w:color w:val="auto"/>
        </w:rPr>
        <w:t>Level 1 of the fair value hierarchy includes exchange-traded commodity derivatives and over-the-counter commodity contracts such as futures and options. The fair value of exchange-traded commodity derivatives and over-the-counter commodity contracts are based on unadjusted quoted prices in active markets.</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Level 2</w:t>
      </w:r>
    </w:p>
    <w:p>
      <w:pPr>
        <w:spacing w:after="0" w:line="225" w:lineRule="exact"/>
        <w:rPr>
          <w:sz w:val="20"/>
          <w:szCs w:val="20"/>
          <w:color w:val="auto"/>
        </w:rPr>
      </w:pPr>
    </w:p>
    <w:p>
      <w:pPr>
        <w:ind w:left="660" w:right="460"/>
        <w:spacing w:after="0" w:line="286" w:lineRule="auto"/>
        <w:rPr>
          <w:sz w:val="20"/>
          <w:szCs w:val="20"/>
          <w:color w:val="auto"/>
        </w:rPr>
      </w:pPr>
      <w:r>
        <w:rPr>
          <w:rFonts w:ascii="Arial" w:cs="Arial" w:eastAsia="Arial" w:hAnsi="Arial"/>
          <w:sz w:val="17"/>
          <w:szCs w:val="17"/>
          <w:color w:val="auto"/>
        </w:rPr>
        <w:t>Level 2 of the fair value hierarchy includes exchange-cleared commodity derivatives and over-the-counter commodity, interest rate and foreign currency derivatives that are traded in active markets. In addition, it includes certain physical commodity contracts. The fair value of these derivatives is based on broker price quotations which are corroborated with market observable inputs.</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Level 3</w:t>
      </w:r>
    </w:p>
    <w:p>
      <w:pPr>
        <w:spacing w:after="0" w:line="225" w:lineRule="exact"/>
        <w:rPr>
          <w:sz w:val="20"/>
          <w:szCs w:val="20"/>
          <w:color w:val="auto"/>
        </w:rPr>
      </w:pPr>
    </w:p>
    <w:p>
      <w:pPr>
        <w:ind w:left="660" w:right="80"/>
        <w:spacing w:after="0" w:line="308" w:lineRule="auto"/>
        <w:rPr>
          <w:sz w:val="20"/>
          <w:szCs w:val="20"/>
          <w:color w:val="auto"/>
        </w:rPr>
      </w:pPr>
      <w:r>
        <w:rPr>
          <w:rFonts w:ascii="Arial" w:cs="Arial" w:eastAsia="Arial" w:hAnsi="Arial"/>
          <w:sz w:val="17"/>
          <w:szCs w:val="17"/>
          <w:color w:val="auto"/>
        </w:rPr>
        <w:t>Level 3 of the fair value hierarchy includes certain physical commodity contracts, over-the-counter financial commodity contracts, and the Preferred Distribution Rate Reset Option contained in PAA’s partnership agreement which is classified as an embedded derivative.</w:t>
      </w:r>
    </w:p>
    <w:p>
      <w:pPr>
        <w:spacing w:after="0" w:line="147" w:lineRule="exact"/>
        <w:rPr>
          <w:sz w:val="20"/>
          <w:szCs w:val="20"/>
          <w:color w:val="auto"/>
        </w:rPr>
      </w:pPr>
    </w:p>
    <w:p>
      <w:pPr>
        <w:ind w:left="660" w:right="20"/>
        <w:spacing w:after="0" w:line="273" w:lineRule="auto"/>
        <w:rPr>
          <w:sz w:val="20"/>
          <w:szCs w:val="20"/>
          <w:color w:val="auto"/>
        </w:rPr>
      </w:pPr>
      <w:r>
        <w:rPr>
          <w:rFonts w:ascii="Arial" w:cs="Arial" w:eastAsia="Arial" w:hAnsi="Arial"/>
          <w:sz w:val="17"/>
          <w:szCs w:val="17"/>
          <w:color w:val="auto"/>
        </w:rPr>
        <w:t>The fair value of our Level 3 physical commodity contracts and over-the-counter financial commodity contracts are based on valuation models utilizing significant unobservable pricing inputs and timing estimates, which involve management judgment. Significant deviations from these inputs and estimates could result in a material change in fair value to our physical commodity contracts and over-the-counter financial commodity contracts. We report unrealized gains and losses associated with these physical commodity contracts in our Condensed Consolidated Statements of Operations as Supply and Logistics segment revenues. Unrealized gains and losses associated with the over-the counter financial commodity contracts are reported in our Condensed Consolidated Statements of Operations as Field operating costs.</w:t>
      </w:r>
    </w:p>
    <w:p>
      <w:pPr>
        <w:spacing w:after="0" w:line="178" w:lineRule="exact"/>
        <w:rPr>
          <w:sz w:val="20"/>
          <w:szCs w:val="20"/>
          <w:color w:val="auto"/>
        </w:rPr>
      </w:pPr>
    </w:p>
    <w:p>
      <w:pPr>
        <w:ind w:left="660"/>
        <w:spacing w:after="0" w:line="297" w:lineRule="auto"/>
        <w:rPr>
          <w:sz w:val="20"/>
          <w:szCs w:val="20"/>
          <w:color w:val="auto"/>
        </w:rPr>
      </w:pPr>
      <w:r>
        <w:rPr>
          <w:rFonts w:ascii="Arial" w:cs="Arial" w:eastAsia="Arial" w:hAnsi="Arial"/>
          <w:sz w:val="16"/>
          <w:szCs w:val="16"/>
          <w:color w:val="auto"/>
        </w:rPr>
        <w:t>The fair value of the embedded derivative feature contained in PAA’s partnership agreement is based on a valuation model that estimates the fair value of the PAA Series A preferred units with and without the Preferred Distribution Rate Reset Option. This model contains inputs, including PAA’s common unit price, ten-year U.S. treasury rates, default probabilities and timing estimates which involve management judgment. A significant change in these inputs could result in a material change in fair value to this embedded derivative feature. We report unrealized gains and losses associated with this embedded derivative in our Condensed Consolidated Statements of Operations in “Other income/(expense), net.”</w:t>
      </w:r>
    </w:p>
    <w:p>
      <w:pPr>
        <w:spacing w:after="0" w:line="158"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To the extent any transfers between levels of the fair value hierarchy occur, our policy is to reflect these transfers as of the beginning of the reporting period in which they occur.</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Rollforward of Level 3 Net Asset/(Liability)</w:t>
      </w:r>
    </w:p>
    <w:p>
      <w:pPr>
        <w:spacing w:after="0" w:line="225"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The following table provides a reconciliation of changes in fair value of the beginning and ending balances for our derivatives classified as Level 3 (in millions):</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220" w:type="dxa"/>
            <w:vAlign w:val="bottom"/>
            <w:gridSpan w:val="4"/>
          </w:tcPr>
          <w:p>
            <w:pPr>
              <w:jc w:val="right"/>
              <w:ind w:right="154"/>
              <w:spacing w:after="0"/>
              <w:rPr>
                <w:sz w:val="20"/>
                <w:szCs w:val="20"/>
                <w:color w:val="auto"/>
              </w:rPr>
            </w:pPr>
            <w:r>
              <w:rPr>
                <w:rFonts w:ascii="Arial" w:cs="Arial" w:eastAsia="Arial" w:hAnsi="Arial"/>
                <w:sz w:val="14"/>
                <w:szCs w:val="14"/>
                <w:b w:val="1"/>
                <w:bCs w:val="1"/>
                <w:color w:val="auto"/>
              </w:rPr>
              <w:t>Three Months Ended</w:t>
            </w: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320" w:type="dxa"/>
            <w:vAlign w:val="bottom"/>
            <w:gridSpan w:val="4"/>
          </w:tcPr>
          <w:p>
            <w:pPr>
              <w:jc w:val="right"/>
              <w:ind w:right="633"/>
              <w:spacing w:after="0"/>
              <w:rPr>
                <w:sz w:val="20"/>
                <w:szCs w:val="20"/>
                <w:color w:val="auto"/>
              </w:rPr>
            </w:pPr>
            <w:r>
              <w:rPr>
                <w:rFonts w:ascii="Arial" w:cs="Arial" w:eastAsia="Arial" w:hAnsi="Arial"/>
                <w:sz w:val="14"/>
                <w:szCs w:val="14"/>
                <w:b w:val="1"/>
                <w:bCs w:val="1"/>
                <w:color w:val="auto"/>
              </w:rPr>
              <w:t>Six Months Ended</w:t>
            </w:r>
          </w:p>
        </w:tc>
      </w:tr>
      <w:tr>
        <w:trPr>
          <w:trHeight w:val="192"/>
        </w:trPr>
        <w:tc>
          <w:tcPr>
            <w:tcW w:w="55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3"/>
          </w:tcPr>
          <w:p>
            <w:pPr>
              <w:jc w:val="right"/>
              <w:ind w:right="554"/>
              <w:spacing w:after="0"/>
              <w:rPr>
                <w:sz w:val="20"/>
                <w:szCs w:val="20"/>
                <w:color w:val="auto"/>
              </w:rPr>
            </w:pPr>
            <w:r>
              <w:rPr>
                <w:rFonts w:ascii="Arial" w:cs="Arial" w:eastAsia="Arial" w:hAnsi="Arial"/>
                <w:sz w:val="14"/>
                <w:szCs w:val="14"/>
                <w:b w:val="1"/>
                <w:bCs w:val="1"/>
                <w:color w:val="auto"/>
              </w:rPr>
              <w:t>June 30,</w:t>
            </w:r>
          </w:p>
        </w:tc>
        <w:tc>
          <w:tcPr>
            <w:tcW w:w="4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4"/>
                <w:szCs w:val="14"/>
                <w:b w:val="1"/>
                <w:bCs w:val="1"/>
                <w:color w:val="auto"/>
              </w:rPr>
              <w:t>June 30,</w:t>
            </w:r>
          </w:p>
        </w:tc>
        <w:tc>
          <w:tcPr>
            <w:tcW w:w="900" w:type="dxa"/>
            <w:vAlign w:val="bottom"/>
            <w:tcBorders>
              <w:bottom w:val="single" w:sz="8" w:color="auto"/>
            </w:tcBorders>
          </w:tcPr>
          <w:p>
            <w:pPr>
              <w:spacing w:after="0"/>
              <w:rPr>
                <w:sz w:val="16"/>
                <w:szCs w:val="16"/>
                <w:color w:val="auto"/>
              </w:rPr>
            </w:pPr>
          </w:p>
        </w:tc>
      </w:tr>
      <w:tr>
        <w:trPr>
          <w:trHeight w:val="264"/>
        </w:trPr>
        <w:tc>
          <w:tcPr>
            <w:tcW w:w="5540" w:type="dxa"/>
            <w:vAlign w:val="bottom"/>
            <w:tcBorders>
              <w:bottom w:val="single" w:sz="8" w:color="CCEEFF"/>
            </w:tcBorders>
          </w:tcPr>
          <w:p>
            <w:pPr>
              <w:spacing w:after="0"/>
              <w:rPr>
                <w:sz w:val="22"/>
                <w:szCs w:val="22"/>
                <w:color w:val="auto"/>
              </w:rPr>
            </w:pPr>
          </w:p>
        </w:tc>
        <w:tc>
          <w:tcPr>
            <w:tcW w:w="520" w:type="dxa"/>
            <w:vAlign w:val="bottom"/>
            <w:tcBorders>
              <w:bottom w:val="single" w:sz="8" w:color="CCEEFF"/>
            </w:tcBorders>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42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42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96"/>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2017</w:t>
            </w:r>
          </w:p>
        </w:tc>
      </w:tr>
      <w:tr>
        <w:trPr>
          <w:trHeight w:val="250"/>
        </w:trPr>
        <w:tc>
          <w:tcPr>
            <w:tcW w:w="5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Beginning Balance</w:t>
            </w:r>
          </w:p>
        </w:tc>
        <w:tc>
          <w:tcPr>
            <w:tcW w:w="1360" w:type="dxa"/>
            <w:vAlign w:val="bottom"/>
            <w:tcBorders>
              <w:bottom w:val="single" w:sz="8" w:color="CCEEFF"/>
            </w:tcBorders>
            <w:gridSpan w:val="2"/>
            <w:shd w:val="clear" w:color="auto" w:fill="CCEEFF"/>
          </w:tcPr>
          <w:p>
            <w:pPr>
              <w:jc w:val="right"/>
              <w:ind w:right="648"/>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634"/>
              <w:spacing w:after="0"/>
              <w:rPr>
                <w:sz w:val="20"/>
                <w:szCs w:val="20"/>
                <w:color w:val="auto"/>
              </w:rPr>
            </w:pPr>
            <w:r>
              <w:rPr>
                <w:rFonts w:ascii="Arial" w:cs="Arial" w:eastAsia="Arial" w:hAnsi="Arial"/>
                <w:sz w:val="18"/>
                <w:szCs w:val="18"/>
                <w:color w:val="auto"/>
                <w:w w:val="99"/>
              </w:rPr>
              <w:t>$</w:t>
            </w: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w:t>
            </w:r>
          </w:p>
        </w:tc>
      </w:tr>
      <w:tr>
        <w:trPr>
          <w:trHeight w:val="243"/>
        </w:trPr>
        <w:tc>
          <w:tcPr>
            <w:tcW w:w="5540" w:type="dxa"/>
            <w:vAlign w:val="bottom"/>
          </w:tcPr>
          <w:p>
            <w:pPr>
              <w:ind w:left="180"/>
              <w:spacing w:after="0"/>
              <w:rPr>
                <w:sz w:val="20"/>
                <w:szCs w:val="20"/>
                <w:color w:val="auto"/>
              </w:rPr>
            </w:pPr>
            <w:r>
              <w:rPr>
                <w:rFonts w:ascii="Arial" w:cs="Arial" w:eastAsia="Arial" w:hAnsi="Arial"/>
                <w:sz w:val="18"/>
                <w:szCs w:val="18"/>
                <w:color w:val="auto"/>
              </w:rPr>
              <w:t>Net gains/(losses) for the period included in earnings</w:t>
            </w:r>
          </w:p>
        </w:tc>
        <w:tc>
          <w:tcPr>
            <w:tcW w:w="5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420" w:type="dxa"/>
            <w:vAlign w:val="bottom"/>
          </w:tcPr>
          <w:p>
            <w:pPr>
              <w:jc w:val="right"/>
              <w:ind w:right="13"/>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420" w:type="dxa"/>
            <w:vAlign w:val="bottom"/>
          </w:tcPr>
          <w:p>
            <w:pPr>
              <w:jc w:val="right"/>
              <w:ind w:right="30"/>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6"/>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7"/>
        </w:trPr>
        <w:tc>
          <w:tcPr>
            <w:tcW w:w="5540" w:type="dxa"/>
            <w:vAlign w:val="bottom"/>
          </w:tcPr>
          <w:p>
            <w:pPr>
              <w:spacing w:after="0"/>
              <w:rPr>
                <w:sz w:val="2"/>
                <w:szCs w:val="2"/>
                <w:color w:val="auto"/>
              </w:rPr>
            </w:pPr>
          </w:p>
        </w:tc>
        <w:tc>
          <w:tcPr>
            <w:tcW w:w="520" w:type="dxa"/>
            <w:vAlign w:val="bottom"/>
          </w:tcPr>
          <w:p>
            <w:pPr>
              <w:spacing w:after="0"/>
              <w:rPr>
                <w:sz w:val="2"/>
                <w:szCs w:val="2"/>
                <w:color w:val="auto"/>
              </w:rPr>
            </w:pPr>
          </w:p>
        </w:tc>
        <w:tc>
          <w:tcPr>
            <w:tcW w:w="8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55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Settlements</w:t>
            </w:r>
          </w:p>
        </w:tc>
        <w:tc>
          <w:tcPr>
            <w:tcW w:w="5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w:t>
            </w:r>
          </w:p>
        </w:tc>
      </w:tr>
      <w:tr>
        <w:trPr>
          <w:trHeight w:val="243"/>
        </w:trPr>
        <w:tc>
          <w:tcPr>
            <w:tcW w:w="5540" w:type="dxa"/>
            <w:vAlign w:val="bottom"/>
          </w:tcPr>
          <w:p>
            <w:pPr>
              <w:ind w:left="180"/>
              <w:spacing w:after="0"/>
              <w:rPr>
                <w:sz w:val="20"/>
                <w:szCs w:val="20"/>
                <w:color w:val="auto"/>
              </w:rPr>
            </w:pPr>
            <w:r>
              <w:rPr>
                <w:rFonts w:ascii="Arial" w:cs="Arial" w:eastAsia="Arial" w:hAnsi="Arial"/>
                <w:sz w:val="18"/>
                <w:szCs w:val="18"/>
                <w:color w:val="auto"/>
              </w:rPr>
              <w:t>Derivatives entered into during the period</w:t>
            </w:r>
          </w:p>
        </w:tc>
        <w:tc>
          <w:tcPr>
            <w:tcW w:w="5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5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40" w:type="dxa"/>
            <w:vAlign w:val="bottom"/>
          </w:tcPr>
          <w:p>
            <w:pPr>
              <w:spacing w:after="0"/>
              <w:rPr>
                <w:sz w:val="21"/>
                <w:szCs w:val="21"/>
                <w:color w:val="auto"/>
              </w:rPr>
            </w:pPr>
          </w:p>
        </w:tc>
        <w:tc>
          <w:tcPr>
            <w:tcW w:w="420" w:type="dxa"/>
            <w:vAlign w:val="bottom"/>
          </w:tcPr>
          <w:p>
            <w:pPr>
              <w:jc w:val="right"/>
              <w:ind w:right="30"/>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900" w:type="dxa"/>
            <w:vAlign w:val="bottom"/>
          </w:tcPr>
          <w:p>
            <w:pPr>
              <w:jc w:val="right"/>
              <w:ind w:right="13"/>
              <w:spacing w:after="0"/>
              <w:rPr>
                <w:sz w:val="20"/>
                <w:szCs w:val="20"/>
                <w:color w:val="auto"/>
              </w:rPr>
            </w:pPr>
            <w:r>
              <w:rPr>
                <w:rFonts w:ascii="Arial" w:cs="Arial" w:eastAsia="Arial" w:hAnsi="Arial"/>
                <w:sz w:val="18"/>
                <w:szCs w:val="18"/>
                <w:color w:val="auto"/>
              </w:rPr>
              <w:t>4</w:t>
            </w:r>
          </w:p>
        </w:tc>
      </w:tr>
      <w:tr>
        <w:trPr>
          <w:trHeight w:val="27"/>
        </w:trPr>
        <w:tc>
          <w:tcPr>
            <w:tcW w:w="5540" w:type="dxa"/>
            <w:vAlign w:val="bottom"/>
            <w:tcBorders>
              <w:bottom w:val="single" w:sz="8" w:color="CCEEFF"/>
            </w:tcBorders>
          </w:tcPr>
          <w:p>
            <w:pPr>
              <w:spacing w:after="0"/>
              <w:rPr>
                <w:sz w:val="2"/>
                <w:szCs w:val="2"/>
                <w:color w:val="auto"/>
              </w:rPr>
            </w:pPr>
          </w:p>
        </w:tc>
        <w:tc>
          <w:tcPr>
            <w:tcW w:w="52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69"/>
        </w:trPr>
        <w:tc>
          <w:tcPr>
            <w:tcW w:w="5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Ending Balance</w:t>
            </w:r>
          </w:p>
        </w:tc>
        <w:tc>
          <w:tcPr>
            <w:tcW w:w="1360" w:type="dxa"/>
            <w:vAlign w:val="bottom"/>
            <w:tcBorders>
              <w:bottom w:val="single" w:sz="8" w:color="CCEEFF"/>
            </w:tcBorders>
            <w:gridSpan w:val="2"/>
            <w:shd w:val="clear" w:color="auto" w:fill="CCEEFF"/>
          </w:tcPr>
          <w:p>
            <w:pPr>
              <w:jc w:val="right"/>
              <w:ind w:right="648"/>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2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ind w:right="634"/>
              <w:spacing w:after="0"/>
              <w:rPr>
                <w:sz w:val="20"/>
                <w:szCs w:val="20"/>
                <w:color w:val="auto"/>
              </w:rPr>
            </w:pPr>
            <w:r>
              <w:rPr>
                <w:rFonts w:ascii="Arial" w:cs="Arial" w:eastAsia="Arial" w:hAnsi="Arial"/>
                <w:sz w:val="18"/>
                <w:szCs w:val="18"/>
                <w:color w:val="auto"/>
                <w:w w:val="99"/>
              </w:rPr>
              <w:t>$</w:t>
            </w: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w:t>
            </w:r>
          </w:p>
        </w:tc>
      </w:tr>
      <w:tr>
        <w:trPr>
          <w:trHeight w:val="20"/>
        </w:trPr>
        <w:tc>
          <w:tcPr>
            <w:tcW w:w="554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r>
      <w:tr>
        <w:trPr>
          <w:trHeight w:val="278"/>
        </w:trPr>
        <w:tc>
          <w:tcPr>
            <w:tcW w:w="55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229"/>
        </w:trPr>
        <w:tc>
          <w:tcPr>
            <w:tcW w:w="5540" w:type="dxa"/>
            <w:vAlign w:val="bottom"/>
            <w:shd w:val="clear" w:color="auto" w:fill="CCEEFF"/>
          </w:tcPr>
          <w:p>
            <w:pPr>
              <w:ind w:left="40"/>
              <w:spacing w:after="0"/>
              <w:rPr>
                <w:sz w:val="20"/>
                <w:szCs w:val="20"/>
                <w:color w:val="auto"/>
              </w:rPr>
            </w:pPr>
            <w:r>
              <w:rPr>
                <w:rFonts w:ascii="Arial" w:cs="Arial" w:eastAsia="Arial" w:hAnsi="Arial"/>
                <w:sz w:val="18"/>
                <w:szCs w:val="18"/>
                <w:color w:val="auto"/>
                <w:w w:val="91"/>
              </w:rPr>
              <w:t>Change in unrealized gains/(losses) included in earnings relating to Level 3</w:t>
            </w:r>
          </w:p>
        </w:tc>
        <w:tc>
          <w:tcPr>
            <w:tcW w:w="5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r>
      <w:tr>
        <w:trPr>
          <w:trHeight w:val="237"/>
        </w:trPr>
        <w:tc>
          <w:tcPr>
            <w:tcW w:w="55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derivatives still held at the end of the period</w:t>
            </w:r>
          </w:p>
        </w:tc>
        <w:tc>
          <w:tcPr>
            <w:tcW w:w="1360" w:type="dxa"/>
            <w:vAlign w:val="bottom"/>
            <w:tcBorders>
              <w:bottom w:val="single" w:sz="8" w:color="CCEEFF"/>
            </w:tcBorders>
            <w:gridSpan w:val="2"/>
            <w:shd w:val="clear" w:color="auto" w:fill="CCEEFF"/>
          </w:tcPr>
          <w:p>
            <w:pPr>
              <w:jc w:val="right"/>
              <w:ind w:right="648"/>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w:t>
            </w:r>
          </w:p>
        </w:tc>
        <w:tc>
          <w:tcPr>
            <w:tcW w:w="12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ind w:right="634"/>
              <w:spacing w:after="0"/>
              <w:rPr>
                <w:sz w:val="20"/>
                <w:szCs w:val="20"/>
                <w:color w:val="auto"/>
              </w:rPr>
            </w:pPr>
            <w:r>
              <w:rPr>
                <w:rFonts w:ascii="Arial" w:cs="Arial" w:eastAsia="Arial" w:hAnsi="Arial"/>
                <w:sz w:val="18"/>
                <w:szCs w:val="18"/>
                <w:color w:val="auto"/>
                <w:w w:val="99"/>
              </w:rPr>
              <w:t>$</w:t>
            </w:r>
          </w:p>
        </w:tc>
        <w:tc>
          <w:tcPr>
            <w:tcW w:w="4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w:t>
            </w:r>
          </w:p>
        </w:tc>
      </w:tr>
      <w:tr>
        <w:trPr>
          <w:trHeight w:val="675"/>
        </w:trPr>
        <w:tc>
          <w:tcPr>
            <w:tcW w:w="5540" w:type="dxa"/>
            <w:vAlign w:val="bottom"/>
          </w:tcPr>
          <w:p>
            <w:pPr>
              <w:spacing w:after="0"/>
              <w:rPr>
                <w:sz w:val="24"/>
                <w:szCs w:val="24"/>
                <w:color w:val="auto"/>
              </w:rPr>
            </w:pPr>
          </w:p>
        </w:tc>
        <w:tc>
          <w:tcPr>
            <w:tcW w:w="520" w:type="dxa"/>
            <w:vAlign w:val="bottom"/>
          </w:tcPr>
          <w:p>
            <w:pPr>
              <w:jc w:val="right"/>
              <w:ind w:right="170"/>
              <w:spacing w:after="0"/>
              <w:rPr>
                <w:sz w:val="20"/>
                <w:szCs w:val="20"/>
                <w:color w:val="auto"/>
              </w:rPr>
            </w:pPr>
            <w:r>
              <w:rPr>
                <w:rFonts w:ascii="Arial" w:cs="Arial" w:eastAsia="Arial" w:hAnsi="Arial"/>
                <w:sz w:val="18"/>
                <w:szCs w:val="18"/>
                <w:color w:val="auto"/>
              </w:rPr>
              <w:t>29</w:t>
            </w:r>
          </w:p>
        </w:tc>
        <w:tc>
          <w:tcPr>
            <w:tcW w:w="8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0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29" w:name="page30"/>
    <w:bookmarkEnd w:id="2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12—Related Party Transactions</w:t>
      </w:r>
    </w:p>
    <w:p>
      <w:pPr>
        <w:spacing w:after="0" w:line="229"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See Note 15 to our Consolidated Financial Statements included in Part IV of our 2017 Annual Report on Form 10-K for a complete discussion of our related party transactions.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Ownership of PAGP Class C Shares</w:t>
      </w:r>
    </w:p>
    <w:p>
      <w:pPr>
        <w:spacing w:after="0" w:line="225"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As of June 30, 2018 and December 31, 2017, PAA owned 515,460,375 and 510,925,432, respectively, Class C shares. The Class C shares represent a non-economic limited partner interest in us that provides PAA, as the sole holder, a “pass-through” voting right through which PAA's common unitholders and Series A preferred unitholders have the effective right to vote, pro rata with the holders of our Class A and Class B shares, for the election of eligible directors.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Transactions with Oxy</w:t>
      </w:r>
    </w:p>
    <w:p>
      <w:pPr>
        <w:spacing w:after="0" w:line="225" w:lineRule="exact"/>
        <w:rPr>
          <w:sz w:val="20"/>
          <w:szCs w:val="20"/>
          <w:color w:val="auto"/>
        </w:rPr>
      </w:pPr>
    </w:p>
    <w:p>
      <w:pPr>
        <w:ind w:right="180" w:firstLine="446"/>
        <w:spacing w:after="0" w:line="297" w:lineRule="auto"/>
        <w:rPr>
          <w:sz w:val="20"/>
          <w:szCs w:val="20"/>
          <w:color w:val="auto"/>
        </w:rPr>
      </w:pPr>
      <w:r>
        <w:rPr>
          <w:rFonts w:ascii="Arial" w:cs="Arial" w:eastAsia="Arial" w:hAnsi="Arial"/>
          <w:sz w:val="16"/>
          <w:szCs w:val="16"/>
          <w:color w:val="auto"/>
        </w:rPr>
        <w:t>As of June 30, 2018, Oxy had a representative on the board of directors of our general partner and owned approximately 11% of the limited partner interests in AAP (which represents an approximate 4% indirect ownership interest in PAA). During the three and six months ended June 30, 2018 and 2017, we recognized sales and transportation revenues and purchased petroleum products from Oxy. These transactions were conducted at posted tariff rates or prices that we believe approximate market. Included in these transactions was a crude oil buy/sell agreement that includes a multi-year minimum volume commitment. The impact to our Condensed Consolidated Statements of Operations from those transactions is included below (in millions):</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60" w:type="dxa"/>
            <w:vAlign w:val="bottom"/>
            <w:gridSpan w:val="3"/>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780" w:type="dxa"/>
            <w:vAlign w:val="bottom"/>
            <w:gridSpan w:val="3"/>
          </w:tcPr>
          <w:p>
            <w:pPr>
              <w:jc w:val="right"/>
              <w:spacing w:after="0"/>
              <w:rPr>
                <w:sz w:val="20"/>
                <w:szCs w:val="20"/>
                <w:color w:val="auto"/>
              </w:rPr>
            </w:pPr>
            <w:r>
              <w:rPr>
                <w:rFonts w:ascii="Arial" w:cs="Arial" w:eastAsia="Arial" w:hAnsi="Arial"/>
                <w:sz w:val="14"/>
                <w:szCs w:val="14"/>
                <w:b w:val="1"/>
                <w:bCs w:val="1"/>
                <w:color w:val="auto"/>
              </w:rPr>
              <w:t>Six Months Ended</w:t>
            </w:r>
          </w:p>
        </w:tc>
        <w:tc>
          <w:tcPr>
            <w:tcW w:w="920" w:type="dxa"/>
            <w:vAlign w:val="bottom"/>
          </w:tcPr>
          <w:p>
            <w:pPr>
              <w:spacing w:after="0"/>
              <w:rPr>
                <w:sz w:val="14"/>
                <w:szCs w:val="14"/>
                <w:color w:val="auto"/>
              </w:rPr>
            </w:pPr>
          </w:p>
        </w:tc>
      </w:tr>
      <w:tr>
        <w:trPr>
          <w:trHeight w:val="192"/>
        </w:trPr>
        <w:tc>
          <w:tcPr>
            <w:tcW w:w="516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gridSpan w:val="3"/>
          </w:tcPr>
          <w:p>
            <w:pPr>
              <w:jc w:val="right"/>
              <w:ind w:right="310"/>
              <w:spacing w:after="0"/>
              <w:rPr>
                <w:sz w:val="20"/>
                <w:szCs w:val="20"/>
                <w:color w:val="auto"/>
              </w:rPr>
            </w:pPr>
            <w:r>
              <w:rPr>
                <w:rFonts w:ascii="Arial" w:cs="Arial" w:eastAsia="Arial" w:hAnsi="Arial"/>
                <w:sz w:val="14"/>
                <w:szCs w:val="14"/>
                <w:b w:val="1"/>
                <w:bCs w:val="1"/>
                <w:color w:val="auto"/>
              </w:rPr>
              <w:t>June 30,</w:t>
            </w:r>
          </w:p>
        </w:tc>
        <w:tc>
          <w:tcPr>
            <w:tcW w:w="8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gridSpan w:val="3"/>
          </w:tcPr>
          <w:p>
            <w:pPr>
              <w:jc w:val="right"/>
              <w:ind w:right="250"/>
              <w:spacing w:after="0"/>
              <w:rPr>
                <w:sz w:val="20"/>
                <w:szCs w:val="20"/>
                <w:color w:val="auto"/>
              </w:rPr>
            </w:pPr>
            <w:r>
              <w:rPr>
                <w:rFonts w:ascii="Arial" w:cs="Arial" w:eastAsia="Arial" w:hAnsi="Arial"/>
                <w:sz w:val="14"/>
                <w:szCs w:val="14"/>
                <w:b w:val="1"/>
                <w:bCs w:val="1"/>
                <w:color w:val="auto"/>
              </w:rPr>
              <w:t>June 30,</w:t>
            </w:r>
          </w:p>
        </w:tc>
        <w:tc>
          <w:tcPr>
            <w:tcW w:w="920" w:type="dxa"/>
            <w:vAlign w:val="bottom"/>
            <w:tcBorders>
              <w:bottom w:val="single" w:sz="8" w:color="auto"/>
            </w:tcBorders>
          </w:tcPr>
          <w:p>
            <w:pPr>
              <w:spacing w:after="0"/>
              <w:rPr>
                <w:sz w:val="16"/>
                <w:szCs w:val="16"/>
                <w:color w:val="auto"/>
              </w:rPr>
            </w:pPr>
          </w:p>
        </w:tc>
      </w:tr>
      <w:tr>
        <w:trPr>
          <w:trHeight w:val="264"/>
        </w:trPr>
        <w:tc>
          <w:tcPr>
            <w:tcW w:w="516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21"/>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w w:val="83"/>
              </w:rPr>
              <w:t>2017</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21"/>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56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w w:val="96"/>
              </w:rPr>
              <w:t>2017</w:t>
            </w: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8"/>
                <w:szCs w:val="18"/>
                <w:color w:val="auto"/>
              </w:rPr>
              <w:t>280</w:t>
            </w: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220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8"/>
                <w:szCs w:val="18"/>
                <w:color w:val="auto"/>
              </w:rPr>
              <w:t>558</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453</w:t>
            </w:r>
          </w:p>
        </w:tc>
      </w:tr>
      <w:tr>
        <w:trPr>
          <w:trHeight w:val="297"/>
        </w:trPr>
        <w:tc>
          <w:tcPr>
            <w:tcW w:w="5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270"/>
        </w:trPr>
        <w:tc>
          <w:tcPr>
            <w:tcW w:w="516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Purchases and related costs </w:t>
            </w:r>
            <w:r>
              <w:rPr>
                <w:rFonts w:ascii="Arial" w:cs="Arial" w:eastAsia="Arial" w:hAnsi="Arial"/>
                <w:sz w:val="25"/>
                <w:szCs w:val="25"/>
                <w:color w:val="auto"/>
                <w:vertAlign w:val="superscript"/>
              </w:rPr>
              <w:t>(1)</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120" w:type="dxa"/>
            <w:vAlign w:val="bottom"/>
            <w:shd w:val="clear" w:color="auto" w:fill="CCEEFF"/>
          </w:tcPr>
          <w:p>
            <w:pPr>
              <w:spacing w:after="0"/>
              <w:rPr>
                <w:sz w:val="23"/>
                <w:szCs w:val="23"/>
                <w:color w:val="auto"/>
              </w:rPr>
            </w:pPr>
          </w:p>
        </w:tc>
        <w:tc>
          <w:tcPr>
            <w:tcW w:w="60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w:t>
            </w:r>
          </w:p>
        </w:tc>
        <w:tc>
          <w:tcPr>
            <w:tcW w:w="100" w:type="dxa"/>
            <w:vAlign w:val="bottom"/>
            <w:shd w:val="clear" w:color="auto" w:fill="CCEEFF"/>
          </w:tcPr>
          <w:p>
            <w:pPr>
              <w:spacing w:after="0"/>
              <w:rPr>
                <w:sz w:val="23"/>
                <w:szCs w:val="23"/>
                <w:color w:val="auto"/>
              </w:rPr>
            </w:pPr>
          </w:p>
        </w:tc>
        <w:tc>
          <w:tcPr>
            <w:tcW w:w="56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250444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2504440" cy="8890"/>
                    </a:xfrm>
                    <a:prstGeom prst="rect">
                      <a:avLst/>
                    </a:prstGeom>
                    <a:noFill/>
                  </pic:spPr>
                </pic:pic>
              </a:graphicData>
            </a:graphic>
          </wp:anchor>
        </w:drawing>
      </w:r>
    </w:p>
    <w:p>
      <w:pPr>
        <w:spacing w:after="0" w:line="290" w:lineRule="exact"/>
        <w:rPr>
          <w:sz w:val="20"/>
          <w:szCs w:val="20"/>
          <w:color w:val="auto"/>
        </w:rPr>
      </w:pPr>
    </w:p>
    <w:p>
      <w:pPr>
        <w:ind w:left="660" w:right="240" w:hanging="652"/>
        <w:spacing w:after="0" w:line="216" w:lineRule="auto"/>
        <w:tabs>
          <w:tab w:leader="none" w:pos="660" w:val="left"/>
        </w:tabs>
        <w:numPr>
          <w:ilvl w:val="0"/>
          <w:numId w:val="20"/>
        </w:numPr>
        <w:rPr>
          <w:rFonts w:ascii="Arial" w:cs="Arial" w:eastAsia="Arial" w:hAnsi="Arial"/>
          <w:sz w:val="25"/>
          <w:szCs w:val="25"/>
          <w:color w:val="auto"/>
          <w:vertAlign w:val="superscript"/>
        </w:rPr>
      </w:pPr>
      <w:r>
        <w:rPr>
          <w:rFonts w:ascii="Arial" w:cs="Arial" w:eastAsia="Arial" w:hAnsi="Arial"/>
          <w:sz w:val="18"/>
          <w:szCs w:val="18"/>
          <w:color w:val="auto"/>
        </w:rPr>
        <w:t>Crude oil purchases that are part of inventory exchanges under buy/sell transactions are netted with the related sales, with any margin presented in “Purchases and related costs” in our Condensed Consolidated Statements of Operations.</w:t>
      </w:r>
    </w:p>
    <w:p>
      <w:pPr>
        <w:spacing w:after="0" w:line="203" w:lineRule="exact"/>
        <w:rPr>
          <w:rFonts w:ascii="Arial" w:cs="Arial" w:eastAsia="Arial" w:hAnsi="Arial"/>
          <w:sz w:val="25"/>
          <w:szCs w:val="25"/>
          <w:color w:val="auto"/>
          <w:vertAlign w:val="superscript"/>
        </w:rPr>
      </w:pPr>
    </w:p>
    <w:p>
      <w:pPr>
        <w:ind w:left="660"/>
        <w:spacing w:after="0"/>
        <w:rPr>
          <w:rFonts w:ascii="Arial" w:cs="Arial" w:eastAsia="Arial" w:hAnsi="Arial"/>
          <w:sz w:val="25"/>
          <w:szCs w:val="25"/>
          <w:color w:val="auto"/>
          <w:vertAlign w:val="superscript"/>
        </w:rPr>
      </w:pPr>
      <w:r>
        <w:rPr>
          <w:rFonts w:ascii="Arial" w:cs="Arial" w:eastAsia="Arial" w:hAnsi="Arial"/>
          <w:sz w:val="18"/>
          <w:szCs w:val="18"/>
          <w:color w:val="auto"/>
        </w:rPr>
        <w:t>We currently have a netting arrangement with Oxy. Our gross receivable and payable amounts with Oxy were as follows (in millions):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00" w:type="dxa"/>
            <w:vAlign w:val="bottom"/>
            <w:gridSpan w:val="2"/>
          </w:tcPr>
          <w:p>
            <w:pPr>
              <w:ind w:left="180"/>
              <w:spacing w:after="0"/>
              <w:rPr>
                <w:sz w:val="20"/>
                <w:szCs w:val="20"/>
                <w:color w:val="auto"/>
              </w:rPr>
            </w:pPr>
            <w:r>
              <w:rPr>
                <w:rFonts w:ascii="Arial" w:cs="Arial" w:eastAsia="Arial" w:hAnsi="Arial"/>
                <w:sz w:val="14"/>
                <w:szCs w:val="14"/>
                <w:b w:val="1"/>
                <w:bCs w:val="1"/>
                <w:color w:val="auto"/>
              </w:rPr>
              <w:t>June 30,</w:t>
            </w:r>
          </w:p>
        </w:tc>
        <w:tc>
          <w:tcPr>
            <w:tcW w:w="220" w:type="dxa"/>
            <w:vAlign w:val="bottom"/>
          </w:tcPr>
          <w:p>
            <w:pPr>
              <w:spacing w:after="0"/>
              <w:rPr>
                <w:sz w:val="14"/>
                <w:szCs w:val="14"/>
                <w:color w:val="auto"/>
              </w:rPr>
            </w:pPr>
          </w:p>
        </w:tc>
        <w:tc>
          <w:tcPr>
            <w:tcW w:w="1260" w:type="dxa"/>
            <w:vAlign w:val="bottom"/>
          </w:tcPr>
          <w:p>
            <w:pPr>
              <w:jc w:val="right"/>
              <w:ind w:right="239"/>
              <w:spacing w:after="0"/>
              <w:rPr>
                <w:sz w:val="20"/>
                <w:szCs w:val="20"/>
                <w:color w:val="auto"/>
              </w:rPr>
            </w:pPr>
            <w:r>
              <w:rPr>
                <w:rFonts w:ascii="Arial" w:cs="Arial" w:eastAsia="Arial" w:hAnsi="Arial"/>
                <w:sz w:val="14"/>
                <w:szCs w:val="14"/>
                <w:b w:val="1"/>
                <w:bCs w:val="1"/>
                <w:color w:val="auto"/>
              </w:rPr>
              <w:t>December 31,</w:t>
            </w:r>
          </w:p>
        </w:tc>
      </w:tr>
      <w:tr>
        <w:trPr>
          <w:trHeight w:val="192"/>
        </w:trPr>
        <w:tc>
          <w:tcPr>
            <w:tcW w:w="834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19"/>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19"/>
              <w:spacing w:after="0"/>
              <w:rPr>
                <w:sz w:val="20"/>
                <w:szCs w:val="20"/>
                <w:color w:val="auto"/>
              </w:rPr>
            </w:pPr>
            <w:r>
              <w:rPr>
                <w:rFonts w:ascii="Arial" w:cs="Arial" w:eastAsia="Arial" w:hAnsi="Arial"/>
                <w:sz w:val="14"/>
                <w:szCs w:val="14"/>
                <w:b w:val="1"/>
                <w:bCs w:val="1"/>
                <w:color w:val="auto"/>
              </w:rPr>
              <w:t>2017</w:t>
            </w: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Trade accounts receivable and other receivables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1,115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1,075</w:t>
            </w:r>
          </w:p>
        </w:tc>
      </w:tr>
      <w:tr>
        <w:trPr>
          <w:trHeight w:val="297"/>
        </w:trPr>
        <w:tc>
          <w:tcPr>
            <w:tcW w:w="8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243"/>
        </w:trPr>
        <w:tc>
          <w:tcPr>
            <w:tcW w:w="8340" w:type="dxa"/>
            <w:vAlign w:val="bottom"/>
            <w:shd w:val="clear" w:color="auto" w:fill="CCEEFF"/>
          </w:tcPr>
          <w:p>
            <w:pPr>
              <w:ind w:left="40"/>
              <w:spacing w:after="0"/>
              <w:rPr>
                <w:sz w:val="20"/>
                <w:szCs w:val="20"/>
                <w:color w:val="auto"/>
              </w:rPr>
            </w:pPr>
            <w:r>
              <w:rPr>
                <w:rFonts w:ascii="Arial" w:cs="Arial" w:eastAsia="Arial" w:hAnsi="Arial"/>
                <w:sz w:val="18"/>
                <w:szCs w:val="18"/>
                <w:color w:val="auto"/>
              </w:rPr>
              <w:t>Accounts payable</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1,012</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990</w:t>
            </w:r>
          </w:p>
        </w:tc>
      </w:tr>
      <w:tr>
        <w:trPr>
          <w:trHeight w:val="27"/>
        </w:trPr>
        <w:tc>
          <w:tcPr>
            <w:tcW w:w="834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Transactions with Equity Method Investees</w:t>
      </w:r>
    </w:p>
    <w:p>
      <w:pPr>
        <w:spacing w:after="0" w:line="225" w:lineRule="exact"/>
        <w:rPr>
          <w:sz w:val="20"/>
          <w:szCs w:val="20"/>
          <w:color w:val="auto"/>
        </w:rPr>
      </w:pPr>
    </w:p>
    <w:p>
      <w:pPr>
        <w:ind w:right="20" w:firstLine="648"/>
        <w:spacing w:after="0" w:line="290" w:lineRule="auto"/>
        <w:rPr>
          <w:sz w:val="20"/>
          <w:szCs w:val="20"/>
          <w:color w:val="auto"/>
        </w:rPr>
      </w:pPr>
      <w:r>
        <w:rPr>
          <w:rFonts w:ascii="Arial" w:cs="Arial" w:eastAsia="Arial" w:hAnsi="Arial"/>
          <w:sz w:val="16"/>
          <w:szCs w:val="16"/>
          <w:color w:val="auto"/>
        </w:rPr>
        <w:t>We also have transactions with companies in which we hold an investment accounted for under the equity method of accounting. We recorded revenues of $3 million and $1 million during the three months ended June 30, 2018 and 2017, respectively, and $5 million and $2 million during the six months ended June 30, 2018 and 2017, respectively, primarily related to transportation services. In addition, we utilized transportation services and purchased petroleum products provided by these companies. Costs related to these services and product purchases totaled $135 million and $108 million for the three months ended June 30, 2018 and 2017, respectively, and $265 million and $193 million for the six months ended June 30, 2018 and 2017, respectively. These costs include amounts associated with a joint tariff administered by an equity method investee, of which $71 million and $52 million for the three months ended June 30, 2018 and 2017, respectively, and $139 million and $93 million for the six months ended June 30, 2018 and 2017, respectively, were associated with a PAA wholly-owned pipeline. These transactions were conducted at posted tariff rates or contracted rates or prices that we believe approximate market.</w:t>
      </w:r>
    </w:p>
    <w:p>
      <w:pPr>
        <w:spacing w:after="0" w:line="166"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color w:val="auto"/>
        </w:rPr>
        <w:t>Receivables from our equity method investees totaled $46 million and $26 million at June 30, 2018 and December 31, 2017, respectively, and primarily included amounts related to transportation services and amounts owed to us related to expansion projects where we serve as construction manager. Accounts payable to our equity method investees were $106 million and $41 million at June 30, 2018 and December 31, 2017, respectively, and primarily included amounts related to</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125" w:right="239" w:bottom="1440" w:gutter="0" w:footer="0" w:header="0"/>
        </w:sectPr>
      </w:pPr>
    </w:p>
    <w:bookmarkStart w:id="30" w:name="page31"/>
    <w:bookmarkEnd w:id="3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transportation services utilized and amounts advanced to us related to expansion projects where we serve as construction manager.</w:t>
      </w:r>
    </w:p>
    <w:p>
      <w:pPr>
        <w:spacing w:after="0" w:line="225" w:lineRule="exact"/>
        <w:rPr>
          <w:sz w:val="20"/>
          <w:szCs w:val="20"/>
          <w:color w:val="auto"/>
        </w:rPr>
      </w:pPr>
    </w:p>
    <w:p>
      <w:pPr>
        <w:ind w:right="160" w:firstLine="648"/>
        <w:spacing w:after="0" w:line="264" w:lineRule="auto"/>
        <w:rPr>
          <w:sz w:val="20"/>
          <w:szCs w:val="20"/>
          <w:color w:val="auto"/>
        </w:rPr>
      </w:pPr>
      <w:r>
        <w:rPr>
          <w:rFonts w:ascii="Arial" w:cs="Arial" w:eastAsia="Arial" w:hAnsi="Arial"/>
          <w:sz w:val="18"/>
          <w:szCs w:val="18"/>
          <w:color w:val="auto"/>
        </w:rPr>
        <w:t>In addition, we have an agreement to transport crude oil at posted tariff rates on a pipeline that is owned by an equity method investee, in which we own a 50% interest. Our commitment to transport is supported by crude oil buy/sell agreements with third parties (including Oxy) with commensurate quantities.</w:t>
      </w:r>
    </w:p>
    <w:p>
      <w:pPr>
        <w:spacing w:after="0" w:line="181"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During the six months ended June 30, 2018, we made net investments in our equity method investees of $216 million (including amounts contributed to and received from Cactus II Pipeline LLC subsequent to its formation, as discussed further below). Such net investments are primarily related to funding our portion of the development, construction or capital expansion projects of such entities and are reflected in “Investments in unconsolidated entities” on our Condensed Consolidated Statement of Cash Flows.</w:t>
      </w:r>
    </w:p>
    <w:p>
      <w:pPr>
        <w:spacing w:after="0" w:line="187" w:lineRule="exact"/>
        <w:rPr>
          <w:sz w:val="20"/>
          <w:szCs w:val="20"/>
          <w:color w:val="auto"/>
        </w:rPr>
      </w:pPr>
    </w:p>
    <w:p>
      <w:pPr>
        <w:ind w:right="160" w:firstLine="648"/>
        <w:spacing w:after="0" w:line="255" w:lineRule="auto"/>
        <w:rPr>
          <w:sz w:val="20"/>
          <w:szCs w:val="20"/>
          <w:color w:val="auto"/>
        </w:rPr>
      </w:pPr>
      <w:r>
        <w:rPr>
          <w:rFonts w:ascii="Arial" w:cs="Arial" w:eastAsia="Arial" w:hAnsi="Arial"/>
          <w:sz w:val="18"/>
          <w:szCs w:val="18"/>
          <w:i w:val="1"/>
          <w:iCs w:val="1"/>
          <w:color w:val="auto"/>
        </w:rPr>
        <w:t xml:space="preserve">Cactus II JV Formation. </w:t>
      </w:r>
      <w:r>
        <w:rPr>
          <w:rFonts w:ascii="Arial" w:cs="Arial" w:eastAsia="Arial" w:hAnsi="Arial"/>
          <w:sz w:val="18"/>
          <w:szCs w:val="18"/>
          <w:color w:val="auto"/>
        </w:rPr>
        <w:t>In the second quarter of 2018, a subsidiary of Oxy and another third party each exercised their purchase options for a 20%</w:t>
      </w:r>
      <w:r>
        <w:rPr>
          <w:rFonts w:ascii="Arial" w:cs="Arial" w:eastAsia="Arial" w:hAnsi="Arial"/>
          <w:sz w:val="18"/>
          <w:szCs w:val="18"/>
          <w:i w:val="1"/>
          <w:iCs w:val="1"/>
          <w:color w:val="auto"/>
        </w:rPr>
        <w:t xml:space="preserve"> </w:t>
      </w:r>
      <w:r>
        <w:rPr>
          <w:rFonts w:ascii="Arial" w:cs="Arial" w:eastAsia="Arial" w:hAnsi="Arial"/>
          <w:sz w:val="18"/>
          <w:szCs w:val="18"/>
          <w:color w:val="auto"/>
        </w:rPr>
        <w:t>interest and a 15% interest, respectively, in Cactus II Pipeline LLC (“Cactus II”), which owns the Cactus II pipeline system that is currently under construction. Although we own a majority of Cactus II’s equity, we do not have a controlling financial interest in Cactus II because the other members have substantive participating rights. Therefore, we account for our ownership interest in Cactus II as an equity method investment. Following the exercise of the purchase options, we deconsolidated Cactus II resulting in a reduction of property and equipment of $74 million (which was representative of the costs incurred to date to construct the pipeline and equivalent to fair value), and we received $26 million of cash from Cactus II, which represented the other members’ portion of the property and equipment.</w:t>
      </w:r>
    </w:p>
    <w:p>
      <w:pPr>
        <w:spacing w:after="0" w:line="189"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In addition, during the second quarter of 2018, we received a $100 million advance cash payment from Cactus II associated with pipeline capacity agreements, which is recorded as long-term deferred revenue within “Other long-term liabilities and deferred credits” on our Condensed Consolidated Balance Sheet. Such amount will be recognized in revenue ratably over the life of the contracts beginning once the Cactus II pipeline system has been placed into service.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13—Commitments and Contingencies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Loss Contingencies — General</w:t>
      </w:r>
    </w:p>
    <w:p>
      <w:pPr>
        <w:spacing w:after="0" w:line="225" w:lineRule="exact"/>
        <w:rPr>
          <w:sz w:val="20"/>
          <w:szCs w:val="20"/>
          <w:color w:val="auto"/>
        </w:rPr>
      </w:pPr>
    </w:p>
    <w:p>
      <w:pPr>
        <w:ind w:right="20" w:firstLine="648"/>
        <w:spacing w:after="0" w:line="276" w:lineRule="auto"/>
        <w:rPr>
          <w:sz w:val="20"/>
          <w:szCs w:val="20"/>
          <w:color w:val="auto"/>
        </w:rPr>
      </w:pPr>
      <w:r>
        <w:rPr>
          <w:rFonts w:ascii="Arial" w:cs="Arial" w:eastAsia="Arial" w:hAnsi="Arial"/>
          <w:sz w:val="17"/>
          <w:szCs w:val="17"/>
          <w:color w:val="auto"/>
        </w:rPr>
        <w:t>To the extent we are able to assess the likelihood of a negative outcome for a contingency, our assessments of such likelihood range from remote to probable. If we determine that a negative outcome is probable and the amount of loss is reasonably estimable, we accrue an undiscounted liability equal to the estimated amount. If a range of probable loss amounts can be reasonably estimated and no amount within the range is a better estimate than any other amount, then we accrue an undiscounted liability equal to the minimum amount in the range. In addition, we estimate legal fees that we expect to incur associated with loss contingencies and accrue those costs when they are material and probable of being incurred.</w:t>
      </w:r>
    </w:p>
    <w:p>
      <w:pPr>
        <w:spacing w:after="0" w:line="173"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We do not record a contingent liability when the likelihood of loss is probable but the amount cannot be reasonably estimated or when the likelihood of loss is believed to be only reasonably possible or remote. For contingencies where an unfavorable outcome is reasonably possible and the impact would be material to our consolidated financial statements, we disclose the nature of the contingency and, where feasible, an estimate of the possible loss or range of loss.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Legal Proceedings — General</w:t>
      </w:r>
    </w:p>
    <w:p>
      <w:pPr>
        <w:spacing w:after="0" w:line="225" w:lineRule="exact"/>
        <w:rPr>
          <w:sz w:val="20"/>
          <w:szCs w:val="20"/>
          <w:color w:val="auto"/>
        </w:rPr>
      </w:pPr>
    </w:p>
    <w:p>
      <w:pPr>
        <w:jc w:val="both"/>
        <w:ind w:right="80" w:firstLine="648"/>
        <w:spacing w:after="0" w:line="286" w:lineRule="auto"/>
        <w:rPr>
          <w:sz w:val="20"/>
          <w:szCs w:val="20"/>
          <w:color w:val="auto"/>
        </w:rPr>
      </w:pPr>
      <w:r>
        <w:rPr>
          <w:rFonts w:ascii="Arial" w:cs="Arial" w:eastAsia="Arial" w:hAnsi="Arial"/>
          <w:sz w:val="17"/>
          <w:szCs w:val="17"/>
          <w:color w:val="auto"/>
        </w:rPr>
        <w:t>In the ordinary course of business, we are involved in various legal proceedings, including those arising from regulatory and environmental matters. Although we are insured against various risks to the extent we believe it is prudent, there is no assurance that the nature and amount of such insurance will be adequate, in every case, to fully protect us from losses arising from current or future legal proceedings.</w:t>
      </w:r>
    </w:p>
    <w:p>
      <w:pPr>
        <w:spacing w:after="0" w:line="166" w:lineRule="exact"/>
        <w:rPr>
          <w:sz w:val="20"/>
          <w:szCs w:val="20"/>
          <w:color w:val="auto"/>
        </w:rPr>
      </w:pPr>
    </w:p>
    <w:p>
      <w:pPr>
        <w:ind w:right="180" w:firstLine="648"/>
        <w:spacing w:after="0" w:line="259" w:lineRule="auto"/>
        <w:rPr>
          <w:sz w:val="20"/>
          <w:szCs w:val="20"/>
          <w:color w:val="auto"/>
        </w:rPr>
      </w:pPr>
      <w:r>
        <w:rPr>
          <w:rFonts w:ascii="Arial" w:cs="Arial" w:eastAsia="Arial" w:hAnsi="Arial"/>
          <w:sz w:val="18"/>
          <w:szCs w:val="18"/>
          <w:color w:val="auto"/>
        </w:rPr>
        <w:t>Taking into account what we believe to be all relevant known facts and circumstances, and based on what we believe to be reasonable assumptions regarding the application of those facts and circumstances to existing laws and regulations, we do not believe that the outcome of the legal proceedings in which we are currently involved (including those described below) will, individually or in the aggregate, have a material adverse effect on our consolidated financial condition, results of operations or cash flows.</w:t>
      </w: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125" w:right="239" w:bottom="1440" w:gutter="0" w:footer="0" w:header="0"/>
        </w:sectPr>
      </w:pPr>
    </w:p>
    <w:bookmarkStart w:id="31" w:name="page32"/>
    <w:bookmarkEnd w:id="3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Environmental — General</w:t>
      </w:r>
    </w:p>
    <w:p>
      <w:pPr>
        <w:spacing w:after="0" w:line="225" w:lineRule="exact"/>
        <w:rPr>
          <w:sz w:val="20"/>
          <w:szCs w:val="20"/>
          <w:color w:val="auto"/>
        </w:rPr>
      </w:pPr>
    </w:p>
    <w:p>
      <w:pPr>
        <w:ind w:right="80" w:firstLine="648"/>
        <w:spacing w:after="0" w:line="297" w:lineRule="auto"/>
        <w:rPr>
          <w:sz w:val="20"/>
          <w:szCs w:val="20"/>
          <w:color w:val="auto"/>
        </w:rPr>
      </w:pPr>
      <w:r>
        <w:rPr>
          <w:rFonts w:ascii="Arial" w:cs="Arial" w:eastAsia="Arial" w:hAnsi="Arial"/>
          <w:sz w:val="16"/>
          <w:szCs w:val="16"/>
          <w:color w:val="auto"/>
        </w:rPr>
        <w:t>Although over the course of the last several years we have made significant investments in our maintenance and integrity programs, and have hired additional personnel in those areas, we have experienced (and likely will experience future) releases of hydrocarbon products into the environment from our pipeline, rail, storage and other facility operations. These releases can result from accidents or from unpredictable man-made or natural forces and may reach surface water bodies, groundwater aquifers or other sensitive environments. Damages and liabilities associated with any such releases from our existing or future assets could be significant and could have a material adverse effect on our consolidated financial condition, results of operations or cash flows.</w:t>
      </w:r>
    </w:p>
    <w:p>
      <w:pPr>
        <w:spacing w:after="0" w:line="158" w:lineRule="exact"/>
        <w:rPr>
          <w:sz w:val="20"/>
          <w:szCs w:val="20"/>
          <w:color w:val="auto"/>
        </w:rPr>
      </w:pPr>
    </w:p>
    <w:p>
      <w:pPr>
        <w:ind w:firstLine="648"/>
        <w:spacing w:after="0" w:line="297" w:lineRule="auto"/>
        <w:rPr>
          <w:sz w:val="20"/>
          <w:szCs w:val="20"/>
          <w:color w:val="auto"/>
        </w:rPr>
      </w:pPr>
      <w:r>
        <w:rPr>
          <w:rFonts w:ascii="Arial" w:cs="Arial" w:eastAsia="Arial" w:hAnsi="Arial"/>
          <w:sz w:val="16"/>
          <w:szCs w:val="16"/>
          <w:color w:val="auto"/>
        </w:rPr>
        <w:t>We record environmental liabilities when environmental assessments and/or remedial efforts are probable and the amounts can be reasonably estimated. Generally, our recording of these accruals coincides with our completion of a feasibility study or our commitment to a formal plan of action. We do not discount our environmental remediation liabilities to present value. We also record environmental liabilities assumed in business combinations based on the estimated fair value of the environmental obligations caused by past operations of the acquired company. We record receivables for amounts recoverable from insurance or from third parties under indemnification agreements in the period that we determine the costs are probable of recovery.</w:t>
      </w:r>
    </w:p>
    <w:p>
      <w:pPr>
        <w:spacing w:after="0" w:line="158"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color w:val="auto"/>
        </w:rPr>
        <w:t>Environmental expenditures that pertain to current operations or to future revenues are expensed or capitalized consistent with our capitalization policy for property and equipment. Expenditures that result from the remediation of an existing condition caused by past operations and that do not contribute to current or future profitability are expensed.</w:t>
      </w:r>
    </w:p>
    <w:p>
      <w:pPr>
        <w:spacing w:after="0" w:line="181"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At June 30, 2018, our estimated undiscounted reserve for environmental liabilities (including liabilities related to the Line 901 incident, as discussed further below) totaled $138 million, of which $53 million was classified as short-term and $85 million was classified as long-term. At December 31, 2017, our estimated undiscounted reserve for environmental liabilities (including liabilities related to the Line 901 incident) totaled $162 million, of which $72 million was classified as short-term and $90 million was classified as long-term. The short- and long-term environmental liabilities referenced above are reflected in “Accounts payable and accrued liabilities” and “Other long-term liabilities and deferred credits,” respectively, on our Condensed Consolidated Balance Sheets. At June 30, 2018, we had recorded receivables totaling $49 million for amounts probable of recovery under insurance and from third parties under indemnification agreements, of which $23 million was reflected in “Trade accounts receivable and other receivables, net” and $26 million was reflected in “Other long-term assets, net” on our Condensed Consolidated Balance Sheet. At December 31, 2017, we had recorded $55 million of such receivables, of which $29 million was reflected in “Trade accounts receivable and other receivables, net” and $26 million was reflected in “Other long-term assets, net” on our Condensed Consolidated Balance Sheet.</w:t>
      </w:r>
    </w:p>
    <w:p>
      <w:pPr>
        <w:spacing w:after="0" w:line="178" w:lineRule="exact"/>
        <w:rPr>
          <w:sz w:val="20"/>
          <w:szCs w:val="20"/>
          <w:color w:val="auto"/>
        </w:rPr>
      </w:pPr>
    </w:p>
    <w:p>
      <w:pPr>
        <w:ind w:right="40" w:firstLine="648"/>
        <w:spacing w:after="0" w:line="271" w:lineRule="auto"/>
        <w:rPr>
          <w:sz w:val="20"/>
          <w:szCs w:val="20"/>
          <w:color w:val="auto"/>
        </w:rPr>
      </w:pPr>
      <w:r>
        <w:rPr>
          <w:rFonts w:ascii="Arial" w:cs="Arial" w:eastAsia="Arial" w:hAnsi="Arial"/>
          <w:sz w:val="17"/>
          <w:szCs w:val="17"/>
          <w:color w:val="auto"/>
        </w:rPr>
        <w:t>In some cases, the actual cash expenditures associated with these liabilities may not occur for three years or longer. Our estimates used in determining these reserves are based on information currently available to us and our assessment of the ultimate outcome. Among the many uncertainties that impact our estimates are the necessary regulatory approvals for, and potential modification of, our remediation plans, the limited amount of data available upon initial assessment of the impact of soil or water contamination, changes in costs associated with environmental remediation services and equipment and the possibility of existing or future legal claims giving rise to additional liabilities. Therefore, although we believe that the reserve is adequate, actual costs incurred (which may ultimately include costs for contingencies that are currently not reasonably estimable or costs for contingencies where the likelihood of loss is currently believed to be only reasonably possible or remote) may be in excess of the reserve and may potentially have a material adverse effect on our consolidated financial condition, results of operations or cash flows.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Specific Legal, Environmental or Regulatory Matters</w:t>
      </w:r>
    </w:p>
    <w:p>
      <w:pPr>
        <w:spacing w:after="0" w:line="225" w:lineRule="exact"/>
        <w:rPr>
          <w:sz w:val="20"/>
          <w:szCs w:val="20"/>
          <w:color w:val="auto"/>
        </w:rPr>
      </w:pPr>
    </w:p>
    <w:p>
      <w:pPr>
        <w:ind w:right="80" w:firstLine="648"/>
        <w:spacing w:after="0" w:line="272" w:lineRule="auto"/>
        <w:rPr>
          <w:sz w:val="20"/>
          <w:szCs w:val="20"/>
          <w:color w:val="auto"/>
        </w:rPr>
      </w:pPr>
      <w:r>
        <w:rPr>
          <w:rFonts w:ascii="Arial" w:cs="Arial" w:eastAsia="Arial" w:hAnsi="Arial"/>
          <w:sz w:val="17"/>
          <w:szCs w:val="17"/>
          <w:i w:val="1"/>
          <w:iCs w:val="1"/>
          <w:color w:val="auto"/>
        </w:rPr>
        <w:t>Line 901 Incident</w:t>
      </w:r>
      <w:r>
        <w:rPr>
          <w:rFonts w:ascii="Arial" w:cs="Arial" w:eastAsia="Arial" w:hAnsi="Arial"/>
          <w:sz w:val="17"/>
          <w:szCs w:val="17"/>
          <w:color w:val="auto"/>
        </w:rPr>
        <w:t>. In May 2015, we experienced a crude oil release from our Las Flores to Gaviota Pipeline (Line 901) in Santa Barbara County,</w:t>
      </w:r>
      <w:r>
        <w:rPr>
          <w:rFonts w:ascii="Arial" w:cs="Arial" w:eastAsia="Arial" w:hAnsi="Arial"/>
          <w:sz w:val="17"/>
          <w:szCs w:val="17"/>
          <w:i w:val="1"/>
          <w:iCs w:val="1"/>
          <w:color w:val="auto"/>
        </w:rPr>
        <w:t xml:space="preserve"> </w:t>
      </w:r>
      <w:r>
        <w:rPr>
          <w:rFonts w:ascii="Arial" w:cs="Arial" w:eastAsia="Arial" w:hAnsi="Arial"/>
          <w:sz w:val="17"/>
          <w:szCs w:val="17"/>
          <w:color w:val="auto"/>
        </w:rPr>
        <w:t>California. A portion of the released crude oil reached the Pacific Ocean at Refugio State Beach through a drainage culvert. Following the release, we shut down the pipeline and initiated our emergency response plan. A Unified Command, which included the United States Coast Guard, the EPA, the California Office of Spill Prevention and Response and the Santa Barbara Office of Emergency Management, was established for the response effort. Clean-up and remediation operations with respect to impacted shoreline and other areas has been determined by the Unified Command to be complete, and the Unified Command has been dissolved. Our estimate of the amount of oil spilled, based on relevant facts, data and information, is approximately 2,934 barrels; of this amount, we estimate that 598 barrels reached the Pacific Ocean.</w:t>
      </w: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00"/>
          </w:cols>
          <w:pgMar w:left="240" w:top="125" w:right="259" w:bottom="1440" w:gutter="0" w:footer="0" w:header="0"/>
        </w:sectPr>
      </w:pPr>
    </w:p>
    <w:bookmarkStart w:id="32" w:name="page33"/>
    <w:bookmarkEnd w:id="3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As a result of the Line 901 incident, several governmental agencies and regulators initiated investigations into the Line 901 incident, various claims have been made against us and a number of lawsuits have been filed against us. We may be subject to additional claims, investigations and lawsuits, which could materially impact the liabilities and costs we currently expect to incur as a result of the Line 901 incident. Set forth below is a brief summary of actions and matters that are currently pending:</w:t>
      </w:r>
    </w:p>
    <w:p>
      <w:pPr>
        <w:spacing w:after="0" w:line="119" w:lineRule="exact"/>
        <w:rPr>
          <w:sz w:val="20"/>
          <w:szCs w:val="20"/>
          <w:color w:val="auto"/>
        </w:rPr>
      </w:pPr>
    </w:p>
    <w:p>
      <w:pPr>
        <w:ind w:right="140" w:firstLine="648"/>
        <w:spacing w:after="0" w:line="287" w:lineRule="auto"/>
        <w:rPr>
          <w:sz w:val="20"/>
          <w:szCs w:val="20"/>
          <w:color w:val="auto"/>
        </w:rPr>
      </w:pPr>
      <w:r>
        <w:rPr>
          <w:rFonts w:ascii="Arial" w:cs="Arial" w:eastAsia="Arial" w:hAnsi="Arial"/>
          <w:sz w:val="16"/>
          <w:szCs w:val="16"/>
          <w:color w:val="auto"/>
        </w:rPr>
        <w:t>On May 21, 2015, we received a corrective action order from the United States Department of Transportation’s Pipeline and Hazardous Materials Safety Administration (“PHMSA”), the governmental agency with jurisdiction over the operation of Line 901 as well as over a second stretch of pipeline extending from Gaviota Pump Station in Santa Barbara County to Emidio Pump Station in Kern County, California (Line 903), requiring us to shut down, purge, review, remediate and test Line 901. The corrective action order was subsequently amended on June 3, 2015; November 13, 2015; and June 16, 2016 to require us to take additional corrective actions with respect to both Lines 901 and 903 (as amended, the “CAO”). Among other requirements, the CAO obligated us to conduct a root cause failure analysis with respect to Line 901 and present remedial work plans and restart plans to PHMSA prior to returning Line 901 and 903 to service; the CAO also imposed a pressure restriction on the section of Line 903 between Pentland Pump Station and Emidio Pump Station and required us to take other specified actions with respect to both Lines 901 and 903. We intend to continue to comply with the CAO and to cooperate with any other governmental investigations relating to or arising out of the release. Excavation and removal of the affected section of the pipeline was completed on May 28, 2015. Line 901 and Line 903 have been purged and are not currently operational, with the exception of the Pentland to Emidio segment of Line 903, which remains in service under a pressure restriction. No timeline has been established for the restart of Line 901 or Line 903.</w:t>
      </w:r>
    </w:p>
    <w:p>
      <w:pPr>
        <w:spacing w:after="0" w:line="173" w:lineRule="exact"/>
        <w:rPr>
          <w:sz w:val="20"/>
          <w:szCs w:val="20"/>
          <w:color w:val="auto"/>
        </w:rPr>
      </w:pPr>
    </w:p>
    <w:p>
      <w:pPr>
        <w:ind w:firstLine="648"/>
        <w:spacing w:after="0" w:line="253" w:lineRule="auto"/>
        <w:rPr>
          <w:sz w:val="20"/>
          <w:szCs w:val="20"/>
          <w:color w:val="auto"/>
        </w:rPr>
      </w:pPr>
      <w:r>
        <w:rPr>
          <w:rFonts w:ascii="Arial" w:cs="Arial" w:eastAsia="Arial" w:hAnsi="Arial"/>
          <w:sz w:val="18"/>
          <w:szCs w:val="18"/>
          <w:color w:val="auto"/>
        </w:rPr>
        <w:t>On February 17, 2016, PHMSA issued a Preliminary Factual Report of the Line 901 failure, which contains PHMSA’s preliminary findings regarding factual information about the events leading up to the accident and the technical analysis that has been conducted to date. On May 19, 2016, PHMSA issued its final Failure Investigation Report regarding the Line 901 incident. PHMSA’s findings indicate that the direct cause of the Line 901 incident was external corrosion that thinned the pipe wall to a level where it ruptured suddenly and released crude oil. PHMSA also concluded that there were numerous contributory causes of the Line 901 incident, including ineffective protection against external corrosion, failure to detect and mitigate the corrosion and a lack of timely detection and response to the rupture. The report also included copies of various engineering and technical reports regarding the incident. By virtue of its statutory authority, PHMSA has the power and authority to impose fines and penalties on us and cause civil or criminal charges to be brought against us. While to date PHMSA has not imposed any such fines or penalties or brought any such civil or criminal charges with respect to the Line 901 release, their investigation is still open and we are likely to have fines or penalties imposed upon us, and we may have civil or criminal charges brought against us, in the future.</w:t>
      </w:r>
    </w:p>
    <w:p>
      <w:pPr>
        <w:spacing w:after="0" w:line="208"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In late May of 2015, the California Attorney General’s Office and the District Attorney’s office for the County of Santa Barbara began investigating the Line 901 incident to determine whether any applicable state or local laws had been violated. On May 16, 2016, PAA and one of its employees were charged by a California state grand jury, pursuant to an indictment filed in California Superior Court, Santa Barbara County (the “May 2016 Indictment”), with alleged violations of California law in connection with the Line 901 incident. The May 2016 Indictment included a total of 46 counts. On July 28, 2016, at an arraignment hearing held in California Superior Court in Santa Barbara County, PAA pled not guilty to all counts. Since May of 2016, 31 of the criminal charges against PAA (including one felony charge) and all of the criminal charges against our employee, have been dismissed. Nine of the remaining 15 charges are misdemeanor charges relating to wildlife allegedly taken as a result of the accidental release. The remaining six counts relate to the release of crude oil or reporting of the release. PAA believes that the criminal charges (including the three felony charges) are unwarranted and that neither PAA nor any of its employees engaged in any criminal behavior at any time in connection with this accident. A jury trial regarding the remaining charges is currently taking place and PAA continues to vigorously defend itself against the charges.</w:t>
      </w:r>
    </w:p>
    <w:p>
      <w:pPr>
        <w:spacing w:after="0" w:line="19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Also in late May of 2015, the United States Attorney for the Department of Justice, Central District of California, Environmental Crimes</w:t>
      </w:r>
    </w:p>
    <w:p>
      <w:pPr>
        <w:spacing w:after="0" w:line="23" w:lineRule="exact"/>
        <w:rPr>
          <w:sz w:val="20"/>
          <w:szCs w:val="20"/>
          <w:color w:val="auto"/>
        </w:rPr>
      </w:pPr>
    </w:p>
    <w:p>
      <w:pPr>
        <w:ind w:right="20"/>
        <w:spacing w:after="0" w:line="268" w:lineRule="auto"/>
        <w:rPr>
          <w:sz w:val="20"/>
          <w:szCs w:val="20"/>
          <w:color w:val="auto"/>
        </w:rPr>
      </w:pPr>
      <w:r>
        <w:rPr>
          <w:rFonts w:ascii="Arial" w:cs="Arial" w:eastAsia="Arial" w:hAnsi="Arial"/>
          <w:sz w:val="17"/>
          <w:szCs w:val="17"/>
          <w:color w:val="auto"/>
        </w:rPr>
        <w:t>Section (“DOJ”) began an investigation into whether there were any violations of federal criminal statutes in connection with the Line 901 incident, including potential violations of the federal Clean Water Act. We are cooperating with the DOJ’s investigation by responding to their requests for documents and access to our employees. The DOJ has already spoken to several of our employees and has expressed an interest in talking to other employees; consistent with the terms of our governing organizational documents, we are funding our employees’ defense costs, including the costs of separate counsel engaged to represent such individuals. On August 26, 2015, we received a Request for Information from the EPA relating to Line 901. We have provided various responsive materials to date and we will continue to do so in the future in cooperation with the EPA. While to date no civil actions or criminal charges with respect to the Line 901 release, other than those brought pursuant to the May 2016 Indictment, have been brought against PAA or any of its affiliates, officers or employees by PHMSA, DOJ, EPA, the California Attorney General, the Santa Barbara District Attorney or the California Department of Fish and Wildlife, and no fines or penalties have been imposed by such governmental agencies, the investigations being conducted by such agencies are still open and we may have fines or penalties imposed upon us, our</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00"/>
          </w:cols>
          <w:pgMar w:left="240" w:top="125" w:right="259" w:bottom="1440" w:gutter="0" w:footer="0" w:header="0"/>
        </w:sectPr>
      </w:pPr>
    </w:p>
    <w:bookmarkStart w:id="33" w:name="page34"/>
    <w:bookmarkEnd w:id="3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officers or our employees, or civil actions or criminal charges brought against us, our officers or our employees in the future, whether by those or other governmental agencies.</w:t>
      </w:r>
    </w:p>
    <w:p>
      <w:pPr>
        <w:spacing w:after="0" w:line="170" w:lineRule="exact"/>
        <w:rPr>
          <w:sz w:val="20"/>
          <w:szCs w:val="20"/>
          <w:color w:val="auto"/>
        </w:rPr>
      </w:pPr>
    </w:p>
    <w:p>
      <w:pPr>
        <w:ind w:right="40" w:firstLine="648"/>
        <w:spacing w:after="0" w:line="287" w:lineRule="auto"/>
        <w:rPr>
          <w:sz w:val="20"/>
          <w:szCs w:val="20"/>
          <w:color w:val="auto"/>
        </w:rPr>
      </w:pPr>
      <w:r>
        <w:rPr>
          <w:rFonts w:ascii="Arial" w:cs="Arial" w:eastAsia="Arial" w:hAnsi="Arial"/>
          <w:sz w:val="16"/>
          <w:szCs w:val="16"/>
          <w:color w:val="auto"/>
        </w:rPr>
        <w:t>Shortly following the Line 901 incident, we established a claims line and encouraged any parties that were damaged by the release to contact us to discuss their damage claims. We have received a number of claims through the claims line and we are processing those claims for payment as we receive them. In addition, we have also had nine class action lawsuits filed against us, six of which have been administratively consolidated into a single proceeding in the United States District Court for the Central District of California. In general, the plaintiffs are seeking to establish different classes of claimants that have allegedly been damaged by the release. To date, the court has certified three sub-classes of claimants and denied certification of the other proposed sub-class. The sub-classes that have been certified include (i) commercial fishermen who landed fish in certain specified fishing blocks in the waters adjacent to Santa Barbara County or persons or businesses who resold commercial seafood landed in such areas; (ii) individuals or businesses who were employed by or had contracts with certain designated oil platforms and related onshore processing facilities in the vicinity of the release as of the date of the release and (iii) beachfront property and easement owners whose properties were oiled. The Ninth Circuit Court of Appeals has granted our petition for leave to appeal the oil industry class certification. We are also defending a separate class action lawsuit proceeding in the United States District Court for the Central District of California brought on behalf of the Line 901 and Line 903 easement holders seeking injunctive relief as well as compensatory damages.</w:t>
      </w:r>
    </w:p>
    <w:p>
      <w:pPr>
        <w:spacing w:after="0" w:line="173" w:lineRule="exact"/>
        <w:rPr>
          <w:sz w:val="20"/>
          <w:szCs w:val="20"/>
          <w:color w:val="auto"/>
        </w:rPr>
      </w:pPr>
    </w:p>
    <w:p>
      <w:pPr>
        <w:ind w:firstLine="648"/>
        <w:spacing w:after="0" w:line="287" w:lineRule="auto"/>
        <w:rPr>
          <w:sz w:val="20"/>
          <w:szCs w:val="20"/>
          <w:color w:val="auto"/>
        </w:rPr>
      </w:pPr>
      <w:r>
        <w:rPr>
          <w:rFonts w:ascii="Arial" w:cs="Arial" w:eastAsia="Arial" w:hAnsi="Arial"/>
          <w:sz w:val="16"/>
          <w:szCs w:val="16"/>
          <w:color w:val="auto"/>
        </w:rPr>
        <w:t>There have also been two securities law class action lawsuits filed on behalf of certain purported investors in PAA and/or PAGP against PAA, PAGP and/or certain of their respective officers, directors and underwriters. Both of these lawsuits have been consolidated into a single proceeding in the United States District Court for the Southern District of Texas. In general, these lawsuits allege that the various defendants violated securities laws by misleading investors regarding the integrity of PAA’s pipelines and related facilities through false and misleading statements, omission of material facts and concealing of the true extent of the spill. The plaintiffs claim unspecified damages as a result of the reduction in value of their investments in PAA and PAGP, which they attribute to the alleged wrongful acts of the defendants. PAA and PAGP, and the other defendants, denied the allegations in, and moved to dismiss these lawsuits. On March 29, 2017, the Court ruled in our favor dismissing all claims against all defendants. Plaintiffs refiled their complaint. On April 2, 2018, the Court dismissed all of the refiled claims against all defendants with prejudice. Plaintiffs have filed notice of intent to file an appeal of the dismissal. Consistent with and subject to the terms of our governing organizational documents (and to the extent applicable, insurance policies), we have indemnified and funded the defense costs of our officers and directors in connection with this lawsuit; we have also indemnified and funded the defense costs of our underwriters pursuant to the terms of the underwriting agreements we previously entered into with such underwriters.</w:t>
      </w:r>
    </w:p>
    <w:p>
      <w:pPr>
        <w:spacing w:after="0" w:line="173" w:lineRule="exact"/>
        <w:rPr>
          <w:sz w:val="20"/>
          <w:szCs w:val="20"/>
          <w:color w:val="auto"/>
        </w:rPr>
      </w:pPr>
    </w:p>
    <w:p>
      <w:pPr>
        <w:ind w:right="20" w:firstLine="648"/>
        <w:spacing w:after="0" w:line="279" w:lineRule="auto"/>
        <w:rPr>
          <w:sz w:val="20"/>
          <w:szCs w:val="20"/>
          <w:color w:val="auto"/>
        </w:rPr>
      </w:pPr>
      <w:r>
        <w:rPr>
          <w:rFonts w:ascii="Arial" w:cs="Arial" w:eastAsia="Arial" w:hAnsi="Arial"/>
          <w:sz w:val="17"/>
          <w:szCs w:val="17"/>
          <w:color w:val="auto"/>
        </w:rPr>
        <w:t>In addition, four unitholder derivative lawsuits have been filed by certain purported investors in PAA against PAA, certain of its affiliates and certain officers and directors. One lawsuit was filed in State District Court in Harris County, Texas and subsequently dismissed by the Court. Two of these lawsuits were filed in the United States District Court for the Southern District of Texas and were administratively consolidated into one action and later dismissed on the basis that Plains Partnership agreements require that derivative suits be filed in Delaware Chancery Court.</w:t>
      </w:r>
    </w:p>
    <w:p>
      <w:pPr>
        <w:spacing w:after="0" w:line="171" w:lineRule="exact"/>
        <w:rPr>
          <w:sz w:val="20"/>
          <w:szCs w:val="20"/>
          <w:color w:val="auto"/>
        </w:rPr>
      </w:pPr>
    </w:p>
    <w:p>
      <w:pPr>
        <w:ind w:right="120" w:firstLine="648"/>
        <w:spacing w:after="0" w:line="291" w:lineRule="auto"/>
        <w:rPr>
          <w:sz w:val="20"/>
          <w:szCs w:val="20"/>
          <w:color w:val="auto"/>
        </w:rPr>
      </w:pPr>
      <w:r>
        <w:rPr>
          <w:rFonts w:ascii="Arial" w:cs="Arial" w:eastAsia="Arial" w:hAnsi="Arial"/>
          <w:sz w:val="16"/>
          <w:szCs w:val="16"/>
          <w:color w:val="auto"/>
        </w:rPr>
        <w:t>Following the order dismissing the Texas Federal Court suits, a new derivative suit brought by different plaintiffs was filed in Delaware Chancery Court. In general, these derivative lawsuits allege that the various defendants breached their fiduciary duties, engaged in gross mismanagement and made false and misleading statements, among other similar allegations, in connection with their management and oversight of PAA during the period of time leading up to and following the Line 901 release. The plaintiffs in the remaining lawsuit claim that PAA suffered unspecified damages as a result of the actions of the various defendants and seek to hold the defendants liable for such damages, in addition to other remedies. The defendants deny the allegations in this lawsuit and have responded accordingly. Consistent with and subject to the terms of our governing organizational documents (and to the extent applicable, insurance policies), we are indemnifying and funding the defense costs of our officers and directors in connection with this lawsuit.</w:t>
      </w:r>
    </w:p>
    <w:p>
      <w:pPr>
        <w:spacing w:after="0" w:line="167" w:lineRule="exact"/>
        <w:rPr>
          <w:sz w:val="20"/>
          <w:szCs w:val="20"/>
          <w:color w:val="auto"/>
        </w:rPr>
      </w:pPr>
    </w:p>
    <w:p>
      <w:pPr>
        <w:ind w:firstLine="648"/>
        <w:spacing w:after="0" w:line="308" w:lineRule="auto"/>
        <w:rPr>
          <w:sz w:val="20"/>
          <w:szCs w:val="20"/>
          <w:color w:val="auto"/>
        </w:rPr>
      </w:pPr>
      <w:r>
        <w:rPr>
          <w:rFonts w:ascii="Arial" w:cs="Arial" w:eastAsia="Arial" w:hAnsi="Arial"/>
          <w:sz w:val="17"/>
          <w:szCs w:val="17"/>
          <w:color w:val="auto"/>
        </w:rPr>
        <w:t>We have also received several other individual lawsuits and complaints from companies and individuals alleging damages arising out of the Line 901 incident. These lawsuits and claims generally seek compensatory and punitive damages, and in some cases permanent injunctive relief.</w:t>
      </w:r>
    </w:p>
    <w:p>
      <w:pPr>
        <w:spacing w:after="0" w:line="147"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In addition to the foregoing, as the “responsible party” for the Line 901 incident we are liable for various costs and for certain natural resource damages under the Oil Pollution Act, and we also have exposure to the payment of additional fines, penalties and costs under other applicable federal, state and local laws, statutes and regulations. To the extent any such costs are reasonably estimable, we have included an estimate of such costs in the loss accrual described below.</w:t>
      </w: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00"/>
          </w:cols>
          <w:pgMar w:left="240" w:top="125" w:right="259" w:bottom="1440" w:gutter="0" w:footer="0" w:header="0"/>
        </w:sectPr>
      </w:pPr>
    </w:p>
    <w:bookmarkStart w:id="34" w:name="page35"/>
    <w:bookmarkEnd w:id="3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60" w:firstLine="648"/>
        <w:spacing w:after="0" w:line="285" w:lineRule="auto"/>
        <w:rPr>
          <w:sz w:val="20"/>
          <w:szCs w:val="20"/>
          <w:color w:val="auto"/>
        </w:rPr>
      </w:pPr>
      <w:r>
        <w:rPr>
          <w:rFonts w:ascii="Arial" w:cs="Arial" w:eastAsia="Arial" w:hAnsi="Arial"/>
          <w:sz w:val="16"/>
          <w:szCs w:val="16"/>
          <w:color w:val="auto"/>
        </w:rPr>
        <w:t>Taking the foregoing into account, as of June 30, 2018, we estimate that the aggregate total costs we have incurred or will incur with respect to the Line 901 incident will be approximately $335 million, which estimate includes actual and projected emergency response and clean-up costs, natural resource damage assessments and certain third party claims settlements, as well as estimates for fines, penalties and certain legal fees. We accrue such estimates of aggregate total costs to “Field operating costs” in our Condensed Consolidated Statement of Operations. This estimate considers our prior experience in environmental investigation and remediation matters and available data from, and in consultation with, our environmental and other specialists, as well as currently available facts and presently enacted laws and regulations. We have made assumptions for (i) the duration of the natural resource damage assessment process and the ultimate amount of damages determined, (ii) the resolution of certain third party claims and lawsuits, but excluding claims and lawsuits with respect to which losses are not probable and reasonably estimable, and excluding future claims and lawsuits, (iii) the determination and calculation of fines and penalties, but excluding fines and penalties that are not probable and reasonably estimable and (iv) the nature, extent and cost of legal services that will be required in connection with all lawsuits, claims and other matters requiring legal or expert advice associated with the Line 901 incident. Our estimate does not include any lost revenue associated with the shutdown of Line 901 or 903 and does not include any liabilities or costs that are not reasonably estimable at this time or that relate to contingencies where we currently regard the likelihood of loss as being only reasonably possible or remote. We believe we have accrued adequate amounts for all probable and reasonably estimable costs; however, this estimate is subject to uncertainties associated with the assumptions that we have made. For example, the amount of time it takes for us to resolve all of the current and future lawsuits, claims and investigations that relate to the Line 901 incident could turn out to be significantly longer than we have assumed, and as a result the costs we incur for legal services could be significantly higher than we have estimated. In addition, with respect to fines and penalties, the ultimate amount of any fines and penalties assessed against us depends on a wide variety of factors, many of which are not estimable at this time. Where fines and penalties are probable and estimable, we have included them in our estimate, although such estimates could turn out to be wrong. Accordingly, our assumptions and estimates may turn out to be inaccurate and our total costs could turn out to be materially higher; therefore, we can provide no assurance that we will not have to accrue significant additional costs in the future with respect to the Line 901 incident.</w:t>
      </w:r>
    </w:p>
    <w:p>
      <w:pPr>
        <w:spacing w:after="0" w:line="168" w:lineRule="exact"/>
        <w:rPr>
          <w:sz w:val="20"/>
          <w:szCs w:val="20"/>
          <w:color w:val="auto"/>
        </w:rPr>
      </w:pPr>
    </w:p>
    <w:p>
      <w:pPr>
        <w:ind w:firstLine="648"/>
        <w:spacing w:after="0" w:line="286" w:lineRule="auto"/>
        <w:rPr>
          <w:sz w:val="20"/>
          <w:szCs w:val="20"/>
          <w:color w:val="auto"/>
        </w:rPr>
      </w:pPr>
      <w:r>
        <w:rPr>
          <w:rFonts w:ascii="Arial" w:cs="Arial" w:eastAsia="Arial" w:hAnsi="Arial"/>
          <w:sz w:val="16"/>
          <w:szCs w:val="16"/>
          <w:color w:val="auto"/>
        </w:rPr>
        <w:t>As of June 30, 2018, we had a remaining undiscounted gross liability of $76 million related to this event, of which approximately $44 million is presented as a current liability in “Accounts payable and accrued liabilities” on our Condensed Consolidated Balance Sheet, with the remainder presented in “Other long-term liabilities and deferred credits”. We maintain insurance coverage, which is subject to certain exclusions and deductibles, in the event of such environmental liabilities. Subject to such exclusions and deductibles, we believe that our coverage is adequate to cover the current estimated total emergency response and clean-up costs, claims settlement costs and remediation costs and we believe that this coverage is also adequate to cover any potential increase in the estimates for these costs that exceed the amounts currently identified. Through June 30, 2018, we had collected, subject to customary reservations, $180 million out of the approximate $220 million of release costs that we believe are probable of recovery from insurance carriers, net of deductibles. Therefore, as of June 30, 2018, we have recognized a receivable of approximately $40 million for the portion of the release costs that we believe is probable of recovery from insurance, net of deductibles and amounts already collected. Of this amount, approximately $16 million is recognized as a current asset in “Trade accounts receivable and other receivables, net” on our Condensed Consolidated Balance Sheet, with the remainder in “Other long-term assets, net”. We have completed the required clean-up and remediation work as determined by the Unified Command and the Unified Command has been dissolved; however, we expect to make payments for additional costs associated with restoration of the impacted areas, as well as natural resource damage assessment and compensation, legal, professional and regulatory costs, in addition to fines and penalties, during future periods.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14—Operating Segments</w:t>
      </w:r>
    </w:p>
    <w:p>
      <w:pPr>
        <w:spacing w:after="0" w:line="229" w:lineRule="exact"/>
        <w:rPr>
          <w:sz w:val="20"/>
          <w:szCs w:val="20"/>
          <w:color w:val="auto"/>
        </w:rPr>
      </w:pPr>
    </w:p>
    <w:p>
      <w:pPr>
        <w:ind w:right="200" w:firstLine="648"/>
        <w:spacing w:after="0" w:line="286" w:lineRule="auto"/>
        <w:rPr>
          <w:sz w:val="20"/>
          <w:szCs w:val="20"/>
          <w:color w:val="auto"/>
        </w:rPr>
      </w:pPr>
      <w:r>
        <w:rPr>
          <w:rFonts w:ascii="Arial" w:cs="Arial" w:eastAsia="Arial" w:hAnsi="Arial"/>
          <w:sz w:val="17"/>
          <w:szCs w:val="17"/>
          <w:color w:val="auto"/>
        </w:rPr>
        <w:t>We manage our operations through three operating segments: Transportation, Facilities and Supply and Logistics. See Note 3 for a summary of the types of products and services from which each segment derives its revenues. Our CODM (our Chief Executive Officer) evaluates segment performance based on measures including segment adjusted EBITDA (as defined below) and maintenance capital investment.</w:t>
      </w:r>
    </w:p>
    <w:p>
      <w:pPr>
        <w:spacing w:after="0" w:line="166" w:lineRule="exact"/>
        <w:rPr>
          <w:sz w:val="20"/>
          <w:szCs w:val="20"/>
          <w:color w:val="auto"/>
        </w:rPr>
      </w:pPr>
    </w:p>
    <w:p>
      <w:pPr>
        <w:ind w:right="40" w:firstLine="648"/>
        <w:spacing w:after="0" w:line="272" w:lineRule="auto"/>
        <w:rPr>
          <w:sz w:val="20"/>
          <w:szCs w:val="20"/>
          <w:color w:val="auto"/>
        </w:rPr>
      </w:pPr>
      <w:r>
        <w:rPr>
          <w:rFonts w:ascii="Arial" w:cs="Arial" w:eastAsia="Arial" w:hAnsi="Arial"/>
          <w:sz w:val="17"/>
          <w:szCs w:val="17"/>
          <w:color w:val="auto"/>
        </w:rPr>
        <w:t>We define segment adjusted EBITDA as revenues and equity earnings in unconsolidated entities less (a) purchases and related costs, (b) field operating costs and (c) segment general and administrative expenses, plus our proportionate share of the depreciation and amortization expense and gains or losses on significant asset sales of unconsolidated entities, and further adjusted for certain selected items including (i) gains and losses on derivative instruments that are related to underlying activities in another period (or the reversal of such adjustments from a prior period), gains and losses on derivatives that are related to investing activities (such as the purchase of linefill) and inventory valuation adjustments, as applicable, (ii) long-term inventory costing adjustments, (iii) charges for obligations that are expected to be settled with the issuance of equity instruments, (iv) amounts related to deficiencies associated with minimum volume commitments, net of the applicable amounts</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125" w:right="239" w:bottom="1440" w:gutter="0" w:footer="0" w:header="0"/>
        </w:sectPr>
      </w:pPr>
    </w:p>
    <w:bookmarkStart w:id="35" w:name="page36"/>
    <w:bookmarkEnd w:id="3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color w:val="auto"/>
        </w:rPr>
        <w:t>subsequently recognized into revenue and (v) other items that our CODM believes are integral to understanding our core segment operating performance.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Segment adjusted EBITDA excludes depreciation and amortization.</w:t>
      </w:r>
    </w:p>
    <w:p>
      <w:pPr>
        <w:spacing w:after="0" w:line="211" w:lineRule="exact"/>
        <w:rPr>
          <w:sz w:val="20"/>
          <w:szCs w:val="20"/>
          <w:color w:val="auto"/>
        </w:rPr>
      </w:pPr>
    </w:p>
    <w:p>
      <w:pPr>
        <w:ind w:right="460" w:firstLine="648"/>
        <w:spacing w:after="0" w:line="277" w:lineRule="auto"/>
        <w:rPr>
          <w:sz w:val="20"/>
          <w:szCs w:val="20"/>
          <w:color w:val="auto"/>
        </w:rPr>
      </w:pPr>
      <w:r>
        <w:rPr>
          <w:rFonts w:ascii="Arial" w:cs="Arial" w:eastAsia="Arial" w:hAnsi="Arial"/>
          <w:sz w:val="18"/>
          <w:szCs w:val="18"/>
          <w:color w:val="auto"/>
        </w:rPr>
        <w:t>Maintenance capital consists of capital expenditures for the replacement and/or refurbishment of partially or fully depreciated assets in order to maintain the operating and/or earnings capacity of our existing assets.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tables reflect certain financial data for each segment (in millions):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39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Three Months Ended June 30, 2018</w:t>
            </w:r>
          </w:p>
        </w:tc>
        <w:tc>
          <w:tcPr>
            <w:tcW w:w="120" w:type="dxa"/>
            <w:vAlign w:val="bottom"/>
            <w:gridSpan w:val="2"/>
            <w:vMerge w:val="restart"/>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vMerge w:val="restart"/>
          </w:tcPr>
          <w:p>
            <w:pPr>
              <w:ind w:left="60"/>
              <w:spacing w:after="0"/>
              <w:rPr>
                <w:sz w:val="20"/>
                <w:szCs w:val="20"/>
                <w:color w:val="auto"/>
              </w:rPr>
            </w:pPr>
            <w:r>
              <w:rPr>
                <w:rFonts w:ascii="Arial" w:cs="Arial" w:eastAsia="Arial" w:hAnsi="Arial"/>
                <w:sz w:val="14"/>
                <w:szCs w:val="14"/>
                <w:b w:val="1"/>
                <w:bCs w:val="1"/>
                <w:color w:val="auto"/>
              </w:rPr>
              <w:t>Transportation</w:t>
            </w:r>
          </w:p>
        </w:tc>
        <w:tc>
          <w:tcPr>
            <w:tcW w:w="120" w:type="dxa"/>
            <w:vAlign w:val="bottom"/>
            <w:gridSpan w:val="2"/>
            <w:vMerge w:val="restart"/>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00" w:type="dxa"/>
            <w:vAlign w:val="bottom"/>
            <w:vMerge w:val="restart"/>
          </w:tcPr>
          <w:p>
            <w:pPr>
              <w:jc w:val="right"/>
              <w:ind w:right="313"/>
              <w:spacing w:after="0"/>
              <w:rPr>
                <w:sz w:val="20"/>
                <w:szCs w:val="20"/>
                <w:color w:val="auto"/>
              </w:rPr>
            </w:pPr>
            <w:r>
              <w:rPr>
                <w:rFonts w:ascii="Arial" w:cs="Arial" w:eastAsia="Arial" w:hAnsi="Arial"/>
                <w:sz w:val="14"/>
                <w:szCs w:val="14"/>
                <w:b w:val="1"/>
                <w:bCs w:val="1"/>
                <w:color w:val="auto"/>
              </w:rPr>
              <w:t>Facilities</w:t>
            </w:r>
          </w:p>
        </w:tc>
        <w:tc>
          <w:tcPr>
            <w:tcW w:w="100" w:type="dxa"/>
            <w:vAlign w:val="bottom"/>
            <w:gridSpan w:val="2"/>
            <w:vMerge w:val="restart"/>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tcPr>
          <w:p>
            <w:pPr>
              <w:jc w:val="center"/>
              <w:ind w:right="134"/>
              <w:spacing w:after="0"/>
              <w:rPr>
                <w:sz w:val="20"/>
                <w:szCs w:val="20"/>
                <w:color w:val="auto"/>
              </w:rPr>
            </w:pPr>
            <w:r>
              <w:rPr>
                <w:rFonts w:ascii="Arial" w:cs="Arial" w:eastAsia="Arial" w:hAnsi="Arial"/>
                <w:sz w:val="14"/>
                <w:szCs w:val="14"/>
                <w:b w:val="1"/>
                <w:bCs w:val="1"/>
                <w:color w:val="auto"/>
                <w:w w:val="92"/>
              </w:rPr>
              <w:t>Supply and</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60" w:type="dxa"/>
            <w:vAlign w:val="bottom"/>
            <w:gridSpan w:val="3"/>
          </w:tcPr>
          <w:p>
            <w:pPr>
              <w:ind w:left="80"/>
              <w:spacing w:after="0"/>
              <w:rPr>
                <w:sz w:val="20"/>
                <w:szCs w:val="20"/>
                <w:color w:val="auto"/>
              </w:rPr>
            </w:pPr>
            <w:r>
              <w:rPr>
                <w:rFonts w:ascii="Arial" w:cs="Arial" w:eastAsia="Arial" w:hAnsi="Arial"/>
                <w:sz w:val="14"/>
                <w:szCs w:val="14"/>
                <w:b w:val="1"/>
                <w:bCs w:val="1"/>
                <w:color w:val="auto"/>
              </w:rPr>
              <w:t>Intersegment</w:t>
            </w:r>
          </w:p>
        </w:tc>
        <w:tc>
          <w:tcPr>
            <w:tcW w:w="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vMerge w:val="restart"/>
          </w:tcPr>
          <w:p>
            <w:pPr>
              <w:jc w:val="right"/>
              <w:ind w:right="453"/>
              <w:spacing w:after="0"/>
              <w:rPr>
                <w:sz w:val="20"/>
                <w:szCs w:val="20"/>
                <w:color w:val="auto"/>
              </w:rPr>
            </w:pPr>
            <w:r>
              <w:rPr>
                <w:rFonts w:ascii="Arial" w:cs="Arial" w:eastAsia="Arial" w:hAnsi="Arial"/>
                <w:sz w:val="14"/>
                <w:szCs w:val="14"/>
                <w:b w:val="1"/>
                <w:bCs w:val="1"/>
                <w:color w:val="auto"/>
              </w:rPr>
              <w:t>Total</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39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gridSpan w:val="2"/>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gridSpan w:val="2"/>
            <w:vMerge w:val="continue"/>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gridSpan w:val="2"/>
            <w:vMerge w:val="continue"/>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ind w:right="134"/>
              <w:spacing w:after="0"/>
              <w:rPr>
                <w:sz w:val="20"/>
                <w:szCs w:val="20"/>
                <w:color w:val="auto"/>
              </w:rPr>
            </w:pPr>
            <w:r>
              <w:rPr>
                <w:rFonts w:ascii="Arial" w:cs="Arial" w:eastAsia="Arial" w:hAnsi="Arial"/>
                <w:sz w:val="14"/>
                <w:szCs w:val="14"/>
                <w:b w:val="1"/>
                <w:bCs w:val="1"/>
                <w:color w:val="auto"/>
                <w:w w:val="87"/>
              </w:rPr>
              <w:t>Logistics</w:t>
            </w:r>
          </w:p>
        </w:tc>
        <w:tc>
          <w:tcPr>
            <w:tcW w:w="4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Adjustment</w:t>
            </w:r>
          </w:p>
        </w:tc>
        <w:tc>
          <w:tcPr>
            <w:tcW w:w="100" w:type="dxa"/>
            <w:vAlign w:val="bottom"/>
            <w:tcBorders>
              <w:bottom w:val="single" w:sz="8" w:color="CCEEFF"/>
            </w:tcBorders>
            <w:gridSpan w:val="2"/>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0" w:type="dxa"/>
            <w:vAlign w:val="bottom"/>
          </w:tcPr>
          <w:p>
            <w:pPr>
              <w:spacing w:after="0"/>
              <w:rPr>
                <w:sz w:val="21"/>
                <w:szCs w:val="21"/>
                <w:color w:val="auto"/>
              </w:rPr>
            </w:pPr>
          </w:p>
        </w:tc>
        <w:tc>
          <w:tcPr>
            <w:tcW w:w="410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4100" w:type="dxa"/>
            <w:vAlign w:val="bottom"/>
            <w:gridSpan w:val="3"/>
          </w:tcPr>
          <w:p>
            <w:pPr>
              <w:ind w:left="180"/>
              <w:spacing w:after="0" w:line="270" w:lineRule="exact"/>
              <w:rPr>
                <w:sz w:val="20"/>
                <w:szCs w:val="20"/>
                <w:color w:val="auto"/>
              </w:rPr>
            </w:pPr>
            <w:r>
              <w:rPr>
                <w:rFonts w:ascii="Arial" w:cs="Arial" w:eastAsia="Arial" w:hAnsi="Arial"/>
                <w:sz w:val="18"/>
                <w:szCs w:val="18"/>
                <w:color w:val="auto"/>
              </w:rPr>
              <w:t xml:space="preserve">External customers </w:t>
            </w:r>
            <w:r>
              <w:rPr>
                <w:rFonts w:ascii="Arial" w:cs="Arial" w:eastAsia="Arial" w:hAnsi="Arial"/>
                <w:sz w:val="25"/>
                <w:szCs w:val="25"/>
                <w:color w:val="auto"/>
                <w:vertAlign w:val="superscript"/>
              </w:rPr>
              <w:t>(1)</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ind w:left="820"/>
              <w:spacing w:after="0"/>
              <w:rPr>
                <w:sz w:val="20"/>
                <w:szCs w:val="20"/>
                <w:color w:val="auto"/>
              </w:rPr>
            </w:pPr>
            <w:r>
              <w:rPr>
                <w:rFonts w:ascii="Arial" w:cs="Arial" w:eastAsia="Arial" w:hAnsi="Arial"/>
                <w:sz w:val="18"/>
                <w:szCs w:val="18"/>
                <w:color w:val="auto"/>
              </w:rPr>
              <w:t>264</w:t>
            </w: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60" w:type="dxa"/>
            <w:vAlign w:val="bottom"/>
            <w:gridSpan w:val="2"/>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ind w:right="33"/>
              <w:spacing w:after="0"/>
              <w:rPr>
                <w:sz w:val="20"/>
                <w:szCs w:val="20"/>
                <w:color w:val="auto"/>
              </w:rPr>
            </w:pPr>
            <w:r>
              <w:rPr>
                <w:rFonts w:ascii="Arial" w:cs="Arial" w:eastAsia="Arial" w:hAnsi="Arial"/>
                <w:sz w:val="18"/>
                <w:szCs w:val="18"/>
                <w:color w:val="auto"/>
              </w:rPr>
              <w:t>147</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40" w:type="dxa"/>
            <w:vAlign w:val="bottom"/>
            <w:gridSpan w:val="2"/>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7,781</w:t>
            </w:r>
          </w:p>
        </w:tc>
        <w:tc>
          <w:tcPr>
            <w:tcW w:w="320" w:type="dxa"/>
            <w:vAlign w:val="bottom"/>
            <w:gridSpan w:val="4"/>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(112)</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40" w:type="dxa"/>
            <w:vAlign w:val="bottom"/>
            <w:gridSpan w:val="2"/>
          </w:tcPr>
          <w:p>
            <w:pPr>
              <w:jc w:val="right"/>
              <w:ind w:right="13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33"/>
              <w:spacing w:after="0"/>
              <w:rPr>
                <w:sz w:val="20"/>
                <w:szCs w:val="20"/>
                <w:color w:val="auto"/>
              </w:rPr>
            </w:pPr>
            <w:r>
              <w:rPr>
                <w:rFonts w:ascii="Arial" w:cs="Arial" w:eastAsia="Arial" w:hAnsi="Arial"/>
                <w:sz w:val="18"/>
                <w:szCs w:val="18"/>
                <w:color w:val="auto"/>
              </w:rPr>
              <w:t>8,080</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4100" w:type="dxa"/>
            <w:vAlign w:val="bottom"/>
            <w:gridSpan w:val="3"/>
            <w:shd w:val="clear" w:color="auto" w:fill="CCEEFF"/>
          </w:tcPr>
          <w:p>
            <w:pPr>
              <w:ind w:left="180"/>
              <w:spacing w:after="0" w:line="270" w:lineRule="exact"/>
              <w:rPr>
                <w:sz w:val="20"/>
                <w:szCs w:val="20"/>
                <w:color w:val="auto"/>
              </w:rPr>
            </w:pPr>
            <w:r>
              <w:rPr>
                <w:rFonts w:ascii="Arial" w:cs="Arial" w:eastAsia="Arial" w:hAnsi="Arial"/>
                <w:sz w:val="18"/>
                <w:szCs w:val="18"/>
                <w:color w:val="auto"/>
              </w:rPr>
              <w:t xml:space="preserve">Intersegment </w:t>
            </w:r>
            <w:r>
              <w:rPr>
                <w:rFonts w:ascii="Arial" w:cs="Arial" w:eastAsia="Arial" w:hAnsi="Arial"/>
                <w:sz w:val="25"/>
                <w:szCs w:val="25"/>
                <w:color w:val="auto"/>
                <w:vertAlign w:val="superscript"/>
              </w:rPr>
              <w:t>(2)</w:t>
            </w:r>
          </w:p>
        </w:tc>
        <w:tc>
          <w:tcPr>
            <w:tcW w:w="16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ind w:left="840"/>
              <w:spacing w:after="0"/>
              <w:rPr>
                <w:sz w:val="20"/>
                <w:szCs w:val="20"/>
                <w:color w:val="auto"/>
              </w:rPr>
            </w:pPr>
            <w:r>
              <w:rPr>
                <w:rFonts w:ascii="Arial" w:cs="Arial" w:eastAsia="Arial" w:hAnsi="Arial"/>
                <w:sz w:val="18"/>
                <w:szCs w:val="18"/>
                <w:color w:val="auto"/>
              </w:rPr>
              <w:t>211</w:t>
            </w:r>
          </w:p>
        </w:tc>
        <w:tc>
          <w:tcPr>
            <w:tcW w:w="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 w:type="dxa"/>
            <w:vAlign w:val="bottom"/>
            <w:tcBorders>
              <w:bottom w:val="single" w:sz="8" w:color="auto"/>
            </w:tcBorders>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137</w:t>
            </w:r>
          </w:p>
        </w:tc>
        <w:tc>
          <w:tcPr>
            <w:tcW w:w="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40" w:type="dxa"/>
            <w:vAlign w:val="bottom"/>
            <w:tcBorders>
              <w:bottom w:val="single" w:sz="8" w:color="auto"/>
            </w:tcBorders>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 w:type="dxa"/>
            <w:vAlign w:val="bottom"/>
            <w:tcBorders>
              <w:bottom w:val="single" w:sz="8" w:color="auto"/>
            </w:tcBorders>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112</w:t>
            </w:r>
          </w:p>
        </w:tc>
        <w:tc>
          <w:tcPr>
            <w:tcW w:w="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40" w:type="dxa"/>
            <w:vAlign w:val="bottom"/>
            <w:tcBorders>
              <w:bottom w:val="single" w:sz="8" w:color="auto"/>
            </w:tcBorders>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460</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4100" w:type="dxa"/>
            <w:vAlign w:val="bottom"/>
            <w:tcBorders>
              <w:bottom w:val="single" w:sz="8" w:color="CCEEFF"/>
            </w:tcBorders>
            <w:gridSpan w:val="3"/>
          </w:tcPr>
          <w:p>
            <w:pPr>
              <w:ind w:left="340"/>
              <w:spacing w:after="0"/>
              <w:rPr>
                <w:sz w:val="20"/>
                <w:szCs w:val="20"/>
                <w:color w:val="auto"/>
              </w:rPr>
            </w:pPr>
            <w:r>
              <w:rPr>
                <w:rFonts w:ascii="Arial" w:cs="Arial" w:eastAsia="Arial" w:hAnsi="Arial"/>
                <w:sz w:val="18"/>
                <w:szCs w:val="18"/>
                <w:color w:val="auto"/>
              </w:rPr>
              <w:t>Total revenues of reportable segments</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ind w:left="820"/>
              <w:spacing w:after="0"/>
              <w:rPr>
                <w:sz w:val="20"/>
                <w:szCs w:val="20"/>
                <w:color w:val="auto"/>
              </w:rPr>
            </w:pPr>
            <w:r>
              <w:rPr>
                <w:rFonts w:ascii="Arial" w:cs="Arial" w:eastAsia="Arial" w:hAnsi="Arial"/>
                <w:sz w:val="18"/>
                <w:szCs w:val="18"/>
                <w:color w:val="auto"/>
              </w:rPr>
              <w:t>475</w:t>
            </w:r>
          </w:p>
        </w:tc>
        <w:tc>
          <w:tcPr>
            <w:tcW w:w="4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gridSpan w:val="2"/>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284</w:t>
            </w:r>
          </w:p>
        </w:tc>
        <w:tc>
          <w:tcPr>
            <w:tcW w:w="2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gridSpan w:val="2"/>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7,781</w:t>
            </w:r>
          </w:p>
        </w:tc>
        <w:tc>
          <w:tcPr>
            <w:tcW w:w="120" w:type="dxa"/>
            <w:vAlign w:val="bottom"/>
            <w:tcBorders>
              <w:bottom w:val="single" w:sz="8" w:color="CCEEFF"/>
            </w:tcBorders>
            <w:gridSpan w:val="2"/>
          </w:tcPr>
          <w:p>
            <w:pPr>
              <w:spacing w:after="0"/>
              <w:rPr>
                <w:sz w:val="24"/>
                <w:szCs w:val="24"/>
                <w:color w:val="auto"/>
              </w:rPr>
            </w:pPr>
          </w:p>
        </w:tc>
        <w:tc>
          <w:tcPr>
            <w:tcW w:w="2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ind w:right="17"/>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gridSpan w:val="2"/>
          </w:tcPr>
          <w:p>
            <w:pPr>
              <w:spacing w:after="0"/>
              <w:rPr>
                <w:sz w:val="24"/>
                <w:szCs w:val="24"/>
                <w:color w:val="auto"/>
              </w:rPr>
            </w:pPr>
          </w:p>
        </w:tc>
        <w:tc>
          <w:tcPr>
            <w:tcW w:w="340" w:type="dxa"/>
            <w:vAlign w:val="bottom"/>
            <w:tcBorders>
              <w:bottom w:val="single" w:sz="8" w:color="auto"/>
            </w:tcBorders>
            <w:gridSpan w:val="2"/>
          </w:tcPr>
          <w:p>
            <w:pPr>
              <w:jc w:val="right"/>
              <w:ind w:right="1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8,540</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1"/>
        </w:trPr>
        <w:tc>
          <w:tcPr>
            <w:tcW w:w="40" w:type="dxa"/>
            <w:vAlign w:val="bottom"/>
          </w:tcPr>
          <w:p>
            <w:pPr>
              <w:spacing w:after="0"/>
              <w:rPr>
                <w:sz w:val="21"/>
                <w:szCs w:val="21"/>
                <w:color w:val="auto"/>
              </w:rPr>
            </w:pPr>
          </w:p>
        </w:tc>
        <w:tc>
          <w:tcPr>
            <w:tcW w:w="410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Equity earnings in unconsolidated entities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ind w:left="920"/>
              <w:spacing w:after="0"/>
              <w:rPr>
                <w:sz w:val="20"/>
                <w:szCs w:val="20"/>
                <w:color w:val="auto"/>
              </w:rPr>
            </w:pPr>
            <w:r>
              <w:rPr>
                <w:rFonts w:ascii="Arial" w:cs="Arial" w:eastAsia="Arial" w:hAnsi="Arial"/>
                <w:sz w:val="18"/>
                <w:szCs w:val="18"/>
                <w:color w:val="auto"/>
              </w:rPr>
              <w:t>96</w:t>
            </w:r>
          </w:p>
        </w:tc>
        <w:tc>
          <w:tcPr>
            <w:tcW w:w="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6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4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96</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9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40" w:type="dxa"/>
            <w:vAlign w:val="bottom"/>
          </w:tcPr>
          <w:p>
            <w:pPr>
              <w:spacing w:after="0"/>
              <w:rPr>
                <w:sz w:val="24"/>
                <w:szCs w:val="24"/>
                <w:color w:val="auto"/>
              </w:rPr>
            </w:pPr>
          </w:p>
        </w:tc>
        <w:tc>
          <w:tcPr>
            <w:tcW w:w="4100" w:type="dxa"/>
            <w:vAlign w:val="bottom"/>
            <w:tcBorders>
              <w:bottom w:val="single" w:sz="8" w:color="CCEEFF"/>
            </w:tcBorders>
            <w:gridSpan w:val="3"/>
          </w:tcPr>
          <w:p>
            <w:pPr>
              <w:ind w:left="20"/>
              <w:spacing w:after="0"/>
              <w:rPr>
                <w:sz w:val="20"/>
                <w:szCs w:val="20"/>
                <w:color w:val="auto"/>
              </w:rPr>
            </w:pPr>
            <w:r>
              <w:rPr>
                <w:rFonts w:ascii="Arial" w:cs="Arial" w:eastAsia="Arial" w:hAnsi="Arial"/>
                <w:sz w:val="18"/>
                <w:szCs w:val="18"/>
                <w:color w:val="auto"/>
              </w:rPr>
              <w:t>Segment adjusted EBITDA</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ind w:left="820"/>
              <w:spacing w:after="0"/>
              <w:rPr>
                <w:sz w:val="20"/>
                <w:szCs w:val="20"/>
                <w:color w:val="auto"/>
              </w:rPr>
            </w:pPr>
            <w:r>
              <w:rPr>
                <w:rFonts w:ascii="Arial" w:cs="Arial" w:eastAsia="Arial" w:hAnsi="Arial"/>
                <w:sz w:val="18"/>
                <w:szCs w:val="18"/>
                <w:color w:val="auto"/>
              </w:rPr>
              <w:t>360</w:t>
            </w:r>
          </w:p>
        </w:tc>
        <w:tc>
          <w:tcPr>
            <w:tcW w:w="4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gridSpan w:val="2"/>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171</w:t>
            </w:r>
          </w:p>
        </w:tc>
        <w:tc>
          <w:tcPr>
            <w:tcW w:w="2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gridSpan w:val="2"/>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w:t>
            </w:r>
          </w:p>
        </w:tc>
        <w:tc>
          <w:tcPr>
            <w:tcW w:w="4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180" w:type="dxa"/>
            <w:vAlign w:val="bottom"/>
            <w:tcBorders>
              <w:bottom w:val="single" w:sz="8" w:color="CCEEFF"/>
            </w:tcBorders>
          </w:tcPr>
          <w:p>
            <w:pPr>
              <w:spacing w:after="0"/>
              <w:rPr>
                <w:sz w:val="24"/>
                <w:szCs w:val="24"/>
                <w:color w:val="auto"/>
              </w:rPr>
            </w:pPr>
          </w:p>
        </w:tc>
        <w:tc>
          <w:tcPr>
            <w:tcW w:w="116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gridSpan w:val="2"/>
          </w:tcPr>
          <w:p>
            <w:pPr>
              <w:jc w:val="right"/>
              <w:ind w:right="1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505</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1"/>
        </w:trPr>
        <w:tc>
          <w:tcPr>
            <w:tcW w:w="40" w:type="dxa"/>
            <w:vAlign w:val="bottom"/>
          </w:tcPr>
          <w:p>
            <w:pPr>
              <w:spacing w:after="0"/>
              <w:rPr>
                <w:sz w:val="21"/>
                <w:szCs w:val="21"/>
                <w:color w:val="auto"/>
              </w:rPr>
            </w:pPr>
          </w:p>
        </w:tc>
        <w:tc>
          <w:tcPr>
            <w:tcW w:w="410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Maintenance capital</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ind w:left="920"/>
              <w:spacing w:after="0"/>
              <w:rPr>
                <w:sz w:val="20"/>
                <w:szCs w:val="20"/>
                <w:color w:val="auto"/>
              </w:rPr>
            </w:pPr>
            <w:r>
              <w:rPr>
                <w:rFonts w:ascii="Arial" w:cs="Arial" w:eastAsia="Arial" w:hAnsi="Arial"/>
                <w:sz w:val="18"/>
                <w:szCs w:val="18"/>
                <w:color w:val="auto"/>
              </w:rPr>
              <w:t>32</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gridSpan w:val="2"/>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26</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5</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gridSpan w:val="2"/>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63</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1"/>
        </w:trPr>
        <w:tc>
          <w:tcPr>
            <w:tcW w:w="40" w:type="dxa"/>
            <w:vAlign w:val="bottom"/>
          </w:tcPr>
          <w:p>
            <w:pPr>
              <w:spacing w:after="0"/>
              <w:rPr>
                <w:sz w:val="24"/>
                <w:szCs w:val="24"/>
                <w:color w:val="auto"/>
              </w:rPr>
            </w:pPr>
          </w:p>
        </w:tc>
        <w:tc>
          <w:tcPr>
            <w:tcW w:w="39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Three Months Ended June 30, 2017</w:t>
            </w:r>
          </w:p>
        </w:tc>
        <w:tc>
          <w:tcPr>
            <w:tcW w:w="120" w:type="dxa"/>
            <w:vAlign w:val="bottom"/>
            <w:gridSpan w:val="2"/>
            <w:vMerge w:val="restart"/>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vMerge w:val="restart"/>
          </w:tcPr>
          <w:p>
            <w:pPr>
              <w:ind w:left="60"/>
              <w:spacing w:after="0"/>
              <w:rPr>
                <w:sz w:val="20"/>
                <w:szCs w:val="20"/>
                <w:color w:val="auto"/>
              </w:rPr>
            </w:pPr>
            <w:r>
              <w:rPr>
                <w:rFonts w:ascii="Arial" w:cs="Arial" w:eastAsia="Arial" w:hAnsi="Arial"/>
                <w:sz w:val="14"/>
                <w:szCs w:val="14"/>
                <w:b w:val="1"/>
                <w:bCs w:val="1"/>
                <w:color w:val="auto"/>
              </w:rPr>
              <w:t>Transportation</w:t>
            </w:r>
          </w:p>
        </w:tc>
        <w:tc>
          <w:tcPr>
            <w:tcW w:w="120" w:type="dxa"/>
            <w:vAlign w:val="bottom"/>
            <w:gridSpan w:val="2"/>
            <w:vMerge w:val="restart"/>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vMerge w:val="restart"/>
          </w:tcPr>
          <w:p>
            <w:pPr>
              <w:jc w:val="right"/>
              <w:ind w:right="313"/>
              <w:spacing w:after="0"/>
              <w:rPr>
                <w:sz w:val="20"/>
                <w:szCs w:val="20"/>
                <w:color w:val="auto"/>
              </w:rPr>
            </w:pPr>
            <w:r>
              <w:rPr>
                <w:rFonts w:ascii="Arial" w:cs="Arial" w:eastAsia="Arial" w:hAnsi="Arial"/>
                <w:sz w:val="14"/>
                <w:szCs w:val="14"/>
                <w:b w:val="1"/>
                <w:bCs w:val="1"/>
                <w:color w:val="auto"/>
              </w:rPr>
              <w:t>Facilities</w:t>
            </w:r>
          </w:p>
        </w:tc>
        <w:tc>
          <w:tcPr>
            <w:tcW w:w="100" w:type="dxa"/>
            <w:vAlign w:val="bottom"/>
            <w:gridSpan w:val="2"/>
            <w:vMerge w:val="restart"/>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jc w:val="center"/>
              <w:ind w:right="134"/>
              <w:spacing w:after="0"/>
              <w:rPr>
                <w:sz w:val="20"/>
                <w:szCs w:val="20"/>
                <w:color w:val="auto"/>
              </w:rPr>
            </w:pPr>
            <w:r>
              <w:rPr>
                <w:rFonts w:ascii="Arial" w:cs="Arial" w:eastAsia="Arial" w:hAnsi="Arial"/>
                <w:sz w:val="14"/>
                <w:szCs w:val="14"/>
                <w:b w:val="1"/>
                <w:bCs w:val="1"/>
                <w:color w:val="auto"/>
                <w:w w:val="92"/>
              </w:rPr>
              <w:t>Supply and</w:t>
            </w: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60" w:type="dxa"/>
            <w:vAlign w:val="bottom"/>
            <w:gridSpan w:val="3"/>
          </w:tcPr>
          <w:p>
            <w:pPr>
              <w:ind w:left="80"/>
              <w:spacing w:after="0"/>
              <w:rPr>
                <w:sz w:val="20"/>
                <w:szCs w:val="20"/>
                <w:color w:val="auto"/>
              </w:rPr>
            </w:pPr>
            <w:r>
              <w:rPr>
                <w:rFonts w:ascii="Arial" w:cs="Arial" w:eastAsia="Arial" w:hAnsi="Arial"/>
                <w:sz w:val="14"/>
                <w:szCs w:val="14"/>
                <w:b w:val="1"/>
                <w:bCs w:val="1"/>
                <w:color w:val="auto"/>
              </w:rPr>
              <w:t>Intersegment</w:t>
            </w: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vMerge w:val="restart"/>
          </w:tcPr>
          <w:p>
            <w:pPr>
              <w:jc w:val="right"/>
              <w:ind w:right="453"/>
              <w:spacing w:after="0"/>
              <w:rPr>
                <w:sz w:val="20"/>
                <w:szCs w:val="20"/>
                <w:color w:val="auto"/>
              </w:rPr>
            </w:pPr>
            <w:r>
              <w:rPr>
                <w:rFonts w:ascii="Arial" w:cs="Arial" w:eastAsia="Arial" w:hAnsi="Arial"/>
                <w:sz w:val="14"/>
                <w:szCs w:val="14"/>
                <w:b w:val="1"/>
                <w:bCs w:val="1"/>
                <w:color w:val="auto"/>
              </w:rPr>
              <w:t>Total</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39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gridSpan w:val="2"/>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gridSpan w:val="2"/>
            <w:vMerge w:val="continue"/>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gridSpan w:val="2"/>
            <w:vMerge w:val="continue"/>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ind w:right="134"/>
              <w:spacing w:after="0"/>
              <w:rPr>
                <w:sz w:val="20"/>
                <w:szCs w:val="20"/>
                <w:color w:val="auto"/>
              </w:rPr>
            </w:pPr>
            <w:r>
              <w:rPr>
                <w:rFonts w:ascii="Arial" w:cs="Arial" w:eastAsia="Arial" w:hAnsi="Arial"/>
                <w:sz w:val="14"/>
                <w:szCs w:val="14"/>
                <w:b w:val="1"/>
                <w:bCs w:val="1"/>
                <w:color w:val="auto"/>
                <w:w w:val="87"/>
              </w:rPr>
              <w:t>Logistics</w:t>
            </w:r>
          </w:p>
        </w:tc>
        <w:tc>
          <w:tcPr>
            <w:tcW w:w="4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Adjustment</w:t>
            </w:r>
          </w:p>
        </w:tc>
        <w:tc>
          <w:tcPr>
            <w:tcW w:w="100" w:type="dxa"/>
            <w:vAlign w:val="bottom"/>
            <w:tcBorders>
              <w:bottom w:val="single" w:sz="8" w:color="CCEEFF"/>
            </w:tcBorders>
            <w:gridSpan w:val="2"/>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0" w:type="dxa"/>
            <w:vAlign w:val="bottom"/>
          </w:tcPr>
          <w:p>
            <w:pPr>
              <w:spacing w:after="0"/>
              <w:rPr>
                <w:sz w:val="21"/>
                <w:szCs w:val="21"/>
                <w:color w:val="auto"/>
              </w:rPr>
            </w:pPr>
          </w:p>
        </w:tc>
        <w:tc>
          <w:tcPr>
            <w:tcW w:w="410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4100" w:type="dxa"/>
            <w:vAlign w:val="bottom"/>
            <w:gridSpan w:val="3"/>
          </w:tcPr>
          <w:p>
            <w:pPr>
              <w:ind w:left="180"/>
              <w:spacing w:after="0" w:line="270" w:lineRule="exact"/>
              <w:rPr>
                <w:sz w:val="20"/>
                <w:szCs w:val="20"/>
                <w:color w:val="auto"/>
              </w:rPr>
            </w:pPr>
            <w:r>
              <w:rPr>
                <w:rFonts w:ascii="Arial" w:cs="Arial" w:eastAsia="Arial" w:hAnsi="Arial"/>
                <w:sz w:val="18"/>
                <w:szCs w:val="18"/>
                <w:color w:val="auto"/>
              </w:rPr>
              <w:t xml:space="preserve">External customers </w:t>
            </w:r>
            <w:r>
              <w:rPr>
                <w:rFonts w:ascii="Arial" w:cs="Arial" w:eastAsia="Arial" w:hAnsi="Arial"/>
                <w:sz w:val="25"/>
                <w:szCs w:val="25"/>
                <w:color w:val="auto"/>
                <w:vertAlign w:val="superscript"/>
              </w:rPr>
              <w:t>(1)</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ind w:left="820"/>
              <w:spacing w:after="0"/>
              <w:rPr>
                <w:sz w:val="20"/>
                <w:szCs w:val="20"/>
                <w:color w:val="auto"/>
              </w:rPr>
            </w:pPr>
            <w:r>
              <w:rPr>
                <w:rFonts w:ascii="Arial" w:cs="Arial" w:eastAsia="Arial" w:hAnsi="Arial"/>
                <w:sz w:val="18"/>
                <w:szCs w:val="18"/>
                <w:color w:val="auto"/>
              </w:rPr>
              <w:t>258</w:t>
            </w: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60" w:type="dxa"/>
            <w:vAlign w:val="bottom"/>
            <w:gridSpan w:val="2"/>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ind w:right="33"/>
              <w:spacing w:after="0"/>
              <w:rPr>
                <w:sz w:val="20"/>
                <w:szCs w:val="20"/>
                <w:color w:val="auto"/>
              </w:rPr>
            </w:pPr>
            <w:r>
              <w:rPr>
                <w:rFonts w:ascii="Arial" w:cs="Arial" w:eastAsia="Arial" w:hAnsi="Arial"/>
                <w:sz w:val="18"/>
                <w:szCs w:val="18"/>
                <w:color w:val="auto"/>
              </w:rPr>
              <w:t>136</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40" w:type="dxa"/>
            <w:vAlign w:val="bottom"/>
            <w:gridSpan w:val="2"/>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5,781</w:t>
            </w:r>
          </w:p>
        </w:tc>
        <w:tc>
          <w:tcPr>
            <w:tcW w:w="320" w:type="dxa"/>
            <w:vAlign w:val="bottom"/>
            <w:gridSpan w:val="4"/>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(97)</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40" w:type="dxa"/>
            <w:vAlign w:val="bottom"/>
            <w:gridSpan w:val="2"/>
          </w:tcPr>
          <w:p>
            <w:pPr>
              <w:jc w:val="right"/>
              <w:ind w:right="13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33"/>
              <w:spacing w:after="0"/>
              <w:rPr>
                <w:sz w:val="20"/>
                <w:szCs w:val="20"/>
                <w:color w:val="auto"/>
              </w:rPr>
            </w:pPr>
            <w:r>
              <w:rPr>
                <w:rFonts w:ascii="Arial" w:cs="Arial" w:eastAsia="Arial" w:hAnsi="Arial"/>
                <w:sz w:val="18"/>
                <w:szCs w:val="18"/>
                <w:color w:val="auto"/>
              </w:rPr>
              <w:t>6,078</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4100" w:type="dxa"/>
            <w:vAlign w:val="bottom"/>
            <w:gridSpan w:val="3"/>
            <w:shd w:val="clear" w:color="auto" w:fill="CCEEFF"/>
          </w:tcPr>
          <w:p>
            <w:pPr>
              <w:ind w:left="180"/>
              <w:spacing w:after="0" w:line="270" w:lineRule="exact"/>
              <w:rPr>
                <w:sz w:val="20"/>
                <w:szCs w:val="20"/>
                <w:color w:val="auto"/>
              </w:rPr>
            </w:pPr>
            <w:r>
              <w:rPr>
                <w:rFonts w:ascii="Arial" w:cs="Arial" w:eastAsia="Arial" w:hAnsi="Arial"/>
                <w:sz w:val="18"/>
                <w:szCs w:val="18"/>
                <w:color w:val="auto"/>
              </w:rPr>
              <w:t xml:space="preserve">Intersegment </w:t>
            </w:r>
            <w:r>
              <w:rPr>
                <w:rFonts w:ascii="Arial" w:cs="Arial" w:eastAsia="Arial" w:hAnsi="Arial"/>
                <w:sz w:val="25"/>
                <w:szCs w:val="25"/>
                <w:color w:val="auto"/>
                <w:vertAlign w:val="superscript"/>
              </w:rPr>
              <w:t>(2)</w:t>
            </w:r>
          </w:p>
        </w:tc>
        <w:tc>
          <w:tcPr>
            <w:tcW w:w="16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ind w:left="820"/>
              <w:spacing w:after="0"/>
              <w:rPr>
                <w:sz w:val="20"/>
                <w:szCs w:val="20"/>
                <w:color w:val="auto"/>
              </w:rPr>
            </w:pPr>
            <w:r>
              <w:rPr>
                <w:rFonts w:ascii="Arial" w:cs="Arial" w:eastAsia="Arial" w:hAnsi="Arial"/>
                <w:sz w:val="18"/>
                <w:szCs w:val="18"/>
                <w:color w:val="auto"/>
              </w:rPr>
              <w:t>167</w:t>
            </w:r>
          </w:p>
        </w:tc>
        <w:tc>
          <w:tcPr>
            <w:tcW w:w="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 w:type="dxa"/>
            <w:vAlign w:val="bottom"/>
            <w:tcBorders>
              <w:bottom w:val="single" w:sz="8" w:color="auto"/>
            </w:tcBorders>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153</w:t>
            </w:r>
          </w:p>
        </w:tc>
        <w:tc>
          <w:tcPr>
            <w:tcW w:w="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40" w:type="dxa"/>
            <w:vAlign w:val="bottom"/>
            <w:tcBorders>
              <w:bottom w:val="single" w:sz="8" w:color="auto"/>
            </w:tcBorders>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2</w:t>
            </w:r>
          </w:p>
        </w:tc>
        <w:tc>
          <w:tcPr>
            <w:tcW w:w="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 w:type="dxa"/>
            <w:vAlign w:val="bottom"/>
            <w:tcBorders>
              <w:bottom w:val="single" w:sz="8" w:color="auto"/>
            </w:tcBorders>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97</w:t>
            </w:r>
          </w:p>
        </w:tc>
        <w:tc>
          <w:tcPr>
            <w:tcW w:w="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40" w:type="dxa"/>
            <w:vAlign w:val="bottom"/>
            <w:tcBorders>
              <w:bottom w:val="single" w:sz="8" w:color="auto"/>
            </w:tcBorders>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419</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4100" w:type="dxa"/>
            <w:vAlign w:val="bottom"/>
            <w:tcBorders>
              <w:bottom w:val="single" w:sz="8" w:color="CCEEFF"/>
            </w:tcBorders>
            <w:gridSpan w:val="3"/>
          </w:tcPr>
          <w:p>
            <w:pPr>
              <w:ind w:left="340"/>
              <w:spacing w:after="0"/>
              <w:rPr>
                <w:sz w:val="20"/>
                <w:szCs w:val="20"/>
                <w:color w:val="auto"/>
              </w:rPr>
            </w:pPr>
            <w:r>
              <w:rPr>
                <w:rFonts w:ascii="Arial" w:cs="Arial" w:eastAsia="Arial" w:hAnsi="Arial"/>
                <w:sz w:val="18"/>
                <w:szCs w:val="18"/>
                <w:color w:val="auto"/>
              </w:rPr>
              <w:t>Total revenues of reportable segments</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ind w:left="820"/>
              <w:spacing w:after="0"/>
              <w:rPr>
                <w:sz w:val="20"/>
                <w:szCs w:val="20"/>
                <w:color w:val="auto"/>
              </w:rPr>
            </w:pPr>
            <w:r>
              <w:rPr>
                <w:rFonts w:ascii="Arial" w:cs="Arial" w:eastAsia="Arial" w:hAnsi="Arial"/>
                <w:sz w:val="18"/>
                <w:szCs w:val="18"/>
                <w:color w:val="auto"/>
              </w:rPr>
              <w:t>425</w:t>
            </w:r>
          </w:p>
        </w:tc>
        <w:tc>
          <w:tcPr>
            <w:tcW w:w="4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gridSpan w:val="2"/>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289</w:t>
            </w:r>
          </w:p>
        </w:tc>
        <w:tc>
          <w:tcPr>
            <w:tcW w:w="2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gridSpan w:val="2"/>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5,783</w:t>
            </w:r>
          </w:p>
        </w:tc>
        <w:tc>
          <w:tcPr>
            <w:tcW w:w="120" w:type="dxa"/>
            <w:vAlign w:val="bottom"/>
            <w:tcBorders>
              <w:bottom w:val="single" w:sz="8" w:color="CCEEFF"/>
            </w:tcBorders>
            <w:gridSpan w:val="2"/>
          </w:tcPr>
          <w:p>
            <w:pPr>
              <w:spacing w:after="0"/>
              <w:rPr>
                <w:sz w:val="24"/>
                <w:szCs w:val="24"/>
                <w:color w:val="auto"/>
              </w:rPr>
            </w:pPr>
          </w:p>
        </w:tc>
        <w:tc>
          <w:tcPr>
            <w:tcW w:w="2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ind w:right="17"/>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gridSpan w:val="2"/>
          </w:tcPr>
          <w:p>
            <w:pPr>
              <w:spacing w:after="0"/>
              <w:rPr>
                <w:sz w:val="24"/>
                <w:szCs w:val="24"/>
                <w:color w:val="auto"/>
              </w:rPr>
            </w:pPr>
          </w:p>
        </w:tc>
        <w:tc>
          <w:tcPr>
            <w:tcW w:w="340" w:type="dxa"/>
            <w:vAlign w:val="bottom"/>
            <w:tcBorders>
              <w:bottom w:val="single" w:sz="8" w:color="auto"/>
            </w:tcBorders>
            <w:gridSpan w:val="2"/>
          </w:tcPr>
          <w:p>
            <w:pPr>
              <w:jc w:val="right"/>
              <w:ind w:right="1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6,497</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1"/>
        </w:trPr>
        <w:tc>
          <w:tcPr>
            <w:tcW w:w="40" w:type="dxa"/>
            <w:vAlign w:val="bottom"/>
          </w:tcPr>
          <w:p>
            <w:pPr>
              <w:spacing w:after="0"/>
              <w:rPr>
                <w:sz w:val="21"/>
                <w:szCs w:val="21"/>
                <w:color w:val="auto"/>
              </w:rPr>
            </w:pPr>
          </w:p>
        </w:tc>
        <w:tc>
          <w:tcPr>
            <w:tcW w:w="410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Equity earnings in unconsolidated entities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ind w:left="920"/>
              <w:spacing w:after="0"/>
              <w:rPr>
                <w:sz w:val="20"/>
                <w:szCs w:val="20"/>
                <w:color w:val="auto"/>
              </w:rPr>
            </w:pPr>
            <w:r>
              <w:rPr>
                <w:rFonts w:ascii="Arial" w:cs="Arial" w:eastAsia="Arial" w:hAnsi="Arial"/>
                <w:sz w:val="18"/>
                <w:szCs w:val="18"/>
                <w:color w:val="auto"/>
              </w:rPr>
              <w:t>68</w:t>
            </w:r>
          </w:p>
        </w:tc>
        <w:tc>
          <w:tcPr>
            <w:tcW w:w="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6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4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68</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4080" w:type="dxa"/>
            <w:vAlign w:val="bottom"/>
            <w:tcBorders>
              <w:top w:val="single" w:sz="8" w:color="CCEEFF"/>
            </w:tcBorders>
            <w:gridSpan w:val="2"/>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40" w:type="dxa"/>
            <w:vAlign w:val="bottom"/>
          </w:tcPr>
          <w:p>
            <w:pPr>
              <w:spacing w:after="0"/>
              <w:rPr>
                <w:sz w:val="24"/>
                <w:szCs w:val="24"/>
                <w:color w:val="auto"/>
              </w:rPr>
            </w:pPr>
          </w:p>
        </w:tc>
        <w:tc>
          <w:tcPr>
            <w:tcW w:w="4100" w:type="dxa"/>
            <w:vAlign w:val="bottom"/>
            <w:tcBorders>
              <w:bottom w:val="single" w:sz="8" w:color="CCEEFF"/>
            </w:tcBorders>
            <w:gridSpan w:val="3"/>
          </w:tcPr>
          <w:p>
            <w:pPr>
              <w:ind w:left="20"/>
              <w:spacing w:after="0"/>
              <w:rPr>
                <w:sz w:val="20"/>
                <w:szCs w:val="20"/>
                <w:color w:val="auto"/>
              </w:rPr>
            </w:pPr>
            <w:r>
              <w:rPr>
                <w:rFonts w:ascii="Arial" w:cs="Arial" w:eastAsia="Arial" w:hAnsi="Arial"/>
                <w:sz w:val="18"/>
                <w:szCs w:val="18"/>
                <w:color w:val="auto"/>
              </w:rPr>
              <w:t>Segment adjusted EBITDA</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ind w:left="820"/>
              <w:spacing w:after="0"/>
              <w:rPr>
                <w:sz w:val="20"/>
                <w:szCs w:val="20"/>
                <w:color w:val="auto"/>
              </w:rPr>
            </w:pPr>
            <w:r>
              <w:rPr>
                <w:rFonts w:ascii="Arial" w:cs="Arial" w:eastAsia="Arial" w:hAnsi="Arial"/>
                <w:sz w:val="18"/>
                <w:szCs w:val="18"/>
                <w:color w:val="auto"/>
              </w:rPr>
              <w:t>298</w:t>
            </w:r>
          </w:p>
        </w:tc>
        <w:tc>
          <w:tcPr>
            <w:tcW w:w="4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gridSpan w:val="2"/>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180</w:t>
            </w:r>
          </w:p>
        </w:tc>
        <w:tc>
          <w:tcPr>
            <w:tcW w:w="2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gridSpan w:val="2"/>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w:t>
            </w:r>
          </w:p>
        </w:tc>
        <w:tc>
          <w:tcPr>
            <w:tcW w:w="4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180" w:type="dxa"/>
            <w:vAlign w:val="bottom"/>
            <w:tcBorders>
              <w:bottom w:val="single" w:sz="8" w:color="CCEEFF"/>
            </w:tcBorders>
          </w:tcPr>
          <w:p>
            <w:pPr>
              <w:spacing w:after="0"/>
              <w:rPr>
                <w:sz w:val="24"/>
                <w:szCs w:val="24"/>
                <w:color w:val="auto"/>
              </w:rPr>
            </w:pPr>
          </w:p>
        </w:tc>
        <w:tc>
          <w:tcPr>
            <w:tcW w:w="116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gridSpan w:val="2"/>
          </w:tcPr>
          <w:p>
            <w:pPr>
              <w:jc w:val="right"/>
              <w:ind w:right="1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450</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1"/>
        </w:trPr>
        <w:tc>
          <w:tcPr>
            <w:tcW w:w="40" w:type="dxa"/>
            <w:vAlign w:val="bottom"/>
          </w:tcPr>
          <w:p>
            <w:pPr>
              <w:spacing w:after="0"/>
              <w:rPr>
                <w:sz w:val="21"/>
                <w:szCs w:val="21"/>
                <w:color w:val="auto"/>
              </w:rPr>
            </w:pPr>
          </w:p>
        </w:tc>
        <w:tc>
          <w:tcPr>
            <w:tcW w:w="410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Maintenance capital</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ind w:left="920"/>
              <w:spacing w:after="0"/>
              <w:rPr>
                <w:sz w:val="20"/>
                <w:szCs w:val="20"/>
                <w:color w:val="auto"/>
              </w:rPr>
            </w:pPr>
            <w:r>
              <w:rPr>
                <w:rFonts w:ascii="Arial" w:cs="Arial" w:eastAsia="Arial" w:hAnsi="Arial"/>
                <w:sz w:val="18"/>
                <w:szCs w:val="18"/>
                <w:color w:val="auto"/>
              </w:rPr>
              <w:t>27</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gridSpan w:val="2"/>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39</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5</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gridSpan w:val="2"/>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71</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5"/>
        </w:trPr>
        <w:tc>
          <w:tcPr>
            <w:tcW w:w="4140" w:type="dxa"/>
            <w:vAlign w:val="bottom"/>
            <w:gridSpan w:val="4"/>
            <w:vMerge w:val="restart"/>
          </w:tcPr>
          <w:p>
            <w:pPr>
              <w:ind w:left="40"/>
              <w:spacing w:after="0"/>
              <w:rPr>
                <w:sz w:val="20"/>
                <w:szCs w:val="20"/>
                <w:color w:val="auto"/>
              </w:rPr>
            </w:pPr>
            <w:r>
              <w:rPr>
                <w:rFonts w:ascii="Arial" w:cs="Arial" w:eastAsia="Arial" w:hAnsi="Arial"/>
                <w:sz w:val="14"/>
                <w:szCs w:val="14"/>
                <w:b w:val="1"/>
                <w:bCs w:val="1"/>
                <w:color w:val="auto"/>
              </w:rPr>
              <w:t>Six Months Ended June 30, 2018</w:t>
            </w:r>
          </w:p>
        </w:tc>
        <w:tc>
          <w:tcPr>
            <w:tcW w:w="160" w:type="dxa"/>
            <w:vAlign w:val="bottom"/>
          </w:tcPr>
          <w:p>
            <w:pPr>
              <w:spacing w:after="0"/>
              <w:rPr>
                <w:sz w:val="23"/>
                <w:szCs w:val="23"/>
                <w:color w:val="auto"/>
              </w:rPr>
            </w:pPr>
          </w:p>
        </w:tc>
        <w:tc>
          <w:tcPr>
            <w:tcW w:w="132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Transportation</w:t>
            </w:r>
          </w:p>
        </w:tc>
        <w:tc>
          <w:tcPr>
            <w:tcW w:w="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00" w:type="dxa"/>
            <w:vAlign w:val="bottom"/>
            <w:gridSpan w:val="3"/>
            <w:vMerge w:val="restart"/>
          </w:tcPr>
          <w:p>
            <w:pPr>
              <w:ind w:left="160"/>
              <w:spacing w:after="0"/>
              <w:rPr>
                <w:sz w:val="20"/>
                <w:szCs w:val="20"/>
                <w:color w:val="auto"/>
              </w:rPr>
            </w:pPr>
            <w:r>
              <w:rPr>
                <w:rFonts w:ascii="Arial" w:cs="Arial" w:eastAsia="Arial" w:hAnsi="Arial"/>
                <w:sz w:val="14"/>
                <w:szCs w:val="14"/>
                <w:b w:val="1"/>
                <w:bCs w:val="1"/>
                <w:color w:val="auto"/>
              </w:rPr>
              <w:t>Facilities</w:t>
            </w:r>
          </w:p>
        </w:tc>
        <w:tc>
          <w:tcPr>
            <w:tcW w:w="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20" w:type="dxa"/>
            <w:vAlign w:val="bottom"/>
          </w:tcPr>
          <w:p>
            <w:pPr>
              <w:jc w:val="center"/>
              <w:ind w:right="94"/>
              <w:spacing w:after="0"/>
              <w:rPr>
                <w:sz w:val="20"/>
                <w:szCs w:val="20"/>
                <w:color w:val="auto"/>
              </w:rPr>
            </w:pPr>
            <w:r>
              <w:rPr>
                <w:rFonts w:ascii="Arial" w:cs="Arial" w:eastAsia="Arial" w:hAnsi="Arial"/>
                <w:sz w:val="14"/>
                <w:szCs w:val="14"/>
                <w:b w:val="1"/>
                <w:bCs w:val="1"/>
                <w:color w:val="auto"/>
                <w:w w:val="92"/>
              </w:rPr>
              <w:t>Supply and</w:t>
            </w: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60" w:type="dxa"/>
            <w:vAlign w:val="bottom"/>
            <w:gridSpan w:val="3"/>
          </w:tcPr>
          <w:p>
            <w:pPr>
              <w:ind w:left="100"/>
              <w:spacing w:after="0"/>
              <w:rPr>
                <w:sz w:val="20"/>
                <w:szCs w:val="20"/>
                <w:color w:val="auto"/>
              </w:rPr>
            </w:pPr>
            <w:r>
              <w:rPr>
                <w:rFonts w:ascii="Arial" w:cs="Arial" w:eastAsia="Arial" w:hAnsi="Arial"/>
                <w:sz w:val="14"/>
                <w:szCs w:val="14"/>
                <w:b w:val="1"/>
                <w:bCs w:val="1"/>
                <w:color w:val="auto"/>
              </w:rPr>
              <w:t>Intersegment</w:t>
            </w:r>
          </w:p>
        </w:tc>
        <w:tc>
          <w:tcPr>
            <w:tcW w:w="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40" w:type="dxa"/>
            <w:vAlign w:val="bottom"/>
            <w:vMerge w:val="restart"/>
          </w:tcPr>
          <w:p>
            <w:pPr>
              <w:jc w:val="right"/>
              <w:ind w:right="413"/>
              <w:spacing w:after="0"/>
              <w:rPr>
                <w:sz w:val="20"/>
                <w:szCs w:val="20"/>
                <w:color w:val="auto"/>
              </w:rPr>
            </w:pPr>
            <w:r>
              <w:rPr>
                <w:rFonts w:ascii="Arial" w:cs="Arial" w:eastAsia="Arial" w:hAnsi="Arial"/>
                <w:sz w:val="14"/>
                <w:szCs w:val="14"/>
                <w:b w:val="1"/>
                <w:bCs w:val="1"/>
                <w:color w:val="auto"/>
              </w:rPr>
              <w:t>Total</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92"/>
        </w:trPr>
        <w:tc>
          <w:tcPr>
            <w:tcW w:w="4140" w:type="dxa"/>
            <w:vAlign w:val="bottom"/>
            <w:gridSpan w:val="4"/>
            <w:vMerge w:val="continue"/>
          </w:tcPr>
          <w:p>
            <w:pPr>
              <w:spacing w:after="0"/>
              <w:rPr>
                <w:sz w:val="16"/>
                <w:szCs w:val="16"/>
                <w:color w:val="auto"/>
              </w:rPr>
            </w:pPr>
          </w:p>
        </w:tc>
        <w:tc>
          <w:tcPr>
            <w:tcW w:w="160" w:type="dxa"/>
            <w:vAlign w:val="bottom"/>
          </w:tcPr>
          <w:p>
            <w:pPr>
              <w:spacing w:after="0"/>
              <w:rPr>
                <w:sz w:val="16"/>
                <w:szCs w:val="16"/>
                <w:color w:val="auto"/>
              </w:rPr>
            </w:pPr>
          </w:p>
        </w:tc>
        <w:tc>
          <w:tcPr>
            <w:tcW w:w="1320" w:type="dxa"/>
            <w:vAlign w:val="bottom"/>
            <w:gridSpan w:val="3"/>
            <w:vMerge w:val="continue"/>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0" w:type="dxa"/>
            <w:vAlign w:val="bottom"/>
            <w:gridSpan w:val="3"/>
            <w:vMerge w:val="continue"/>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tcPr>
          <w:p>
            <w:pPr>
              <w:jc w:val="center"/>
              <w:ind w:right="94"/>
              <w:spacing w:after="0"/>
              <w:rPr>
                <w:sz w:val="20"/>
                <w:szCs w:val="20"/>
                <w:color w:val="auto"/>
              </w:rPr>
            </w:pPr>
            <w:r>
              <w:rPr>
                <w:rFonts w:ascii="Arial" w:cs="Arial" w:eastAsia="Arial" w:hAnsi="Arial"/>
                <w:sz w:val="14"/>
                <w:szCs w:val="14"/>
                <w:b w:val="1"/>
                <w:bCs w:val="1"/>
                <w:color w:val="auto"/>
                <w:w w:val="87"/>
              </w:rPr>
              <w:t>Logistics</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gridSpan w:val="3"/>
          </w:tcPr>
          <w:p>
            <w:pPr>
              <w:ind w:left="140"/>
              <w:spacing w:after="0"/>
              <w:rPr>
                <w:sz w:val="20"/>
                <w:szCs w:val="20"/>
                <w:color w:val="auto"/>
              </w:rPr>
            </w:pPr>
            <w:r>
              <w:rPr>
                <w:rFonts w:ascii="Arial" w:cs="Arial" w:eastAsia="Arial" w:hAnsi="Arial"/>
                <w:sz w:val="14"/>
                <w:szCs w:val="14"/>
                <w:b w:val="1"/>
                <w:bCs w:val="1"/>
                <w:color w:val="auto"/>
              </w:rPr>
              <w:t>Adjustment</w:t>
            </w:r>
          </w:p>
        </w:tc>
        <w:tc>
          <w:tcPr>
            <w:tcW w:w="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140" w:type="dxa"/>
            <w:vAlign w:val="bottom"/>
            <w:tcBorders>
              <w:top w:val="single" w:sz="8" w:color="auto"/>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200" w:type="dxa"/>
            <w:vAlign w:val="bottom"/>
            <w:tcBorders>
              <w:top w:val="single" w:sz="8" w:color="auto"/>
              <w:bottom w:val="single" w:sz="8" w:color="CCEEFF"/>
            </w:tcBorders>
            <w:shd w:val="clear" w:color="auto" w:fill="CCEEFF"/>
          </w:tcPr>
          <w:p>
            <w:pPr>
              <w:spacing w:after="0"/>
              <w:rPr>
                <w:sz w:val="21"/>
                <w:szCs w:val="21"/>
                <w:color w:val="auto"/>
              </w:rPr>
            </w:pPr>
          </w:p>
        </w:tc>
        <w:tc>
          <w:tcPr>
            <w:tcW w:w="40" w:type="dxa"/>
            <w:vAlign w:val="bottom"/>
            <w:tcBorders>
              <w:top w:val="single" w:sz="8" w:color="auto"/>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1100" w:type="dxa"/>
            <w:vAlign w:val="bottom"/>
            <w:tcBorders>
              <w:top w:val="single" w:sz="8" w:color="auto"/>
              <w:bottom w:val="single" w:sz="8" w:color="CCEEFF"/>
            </w:tcBorders>
            <w:shd w:val="clear" w:color="auto" w:fill="CCEEFF"/>
          </w:tcPr>
          <w:p>
            <w:pPr>
              <w:spacing w:after="0"/>
              <w:rPr>
                <w:sz w:val="21"/>
                <w:szCs w:val="21"/>
                <w:color w:val="auto"/>
              </w:rPr>
            </w:pPr>
          </w:p>
        </w:tc>
        <w:tc>
          <w:tcPr>
            <w:tcW w:w="20" w:type="dxa"/>
            <w:vAlign w:val="bottom"/>
            <w:tcBorders>
              <w:top w:val="single" w:sz="8" w:color="auto"/>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120" w:type="dxa"/>
            <w:vAlign w:val="bottom"/>
            <w:tcBorders>
              <w:top w:val="single" w:sz="8" w:color="auto"/>
              <w:bottom w:val="single" w:sz="8" w:color="CCEEFF"/>
            </w:tcBorders>
            <w:shd w:val="clear" w:color="auto" w:fill="CCEEFF"/>
          </w:tcPr>
          <w:p>
            <w:pPr>
              <w:spacing w:after="0"/>
              <w:rPr>
                <w:sz w:val="21"/>
                <w:szCs w:val="21"/>
                <w:color w:val="auto"/>
              </w:rPr>
            </w:pPr>
          </w:p>
        </w:tc>
        <w:tc>
          <w:tcPr>
            <w:tcW w:w="40" w:type="dxa"/>
            <w:vAlign w:val="bottom"/>
            <w:tcBorders>
              <w:top w:val="single" w:sz="8" w:color="auto"/>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160" w:type="dxa"/>
            <w:vAlign w:val="bottom"/>
            <w:tcBorders>
              <w:top w:val="single" w:sz="8" w:color="auto"/>
              <w:bottom w:val="single" w:sz="8" w:color="CCEEFF"/>
            </w:tcBorders>
            <w:shd w:val="clear" w:color="auto" w:fill="CCEEFF"/>
          </w:tcPr>
          <w:p>
            <w:pPr>
              <w:spacing w:after="0"/>
              <w:rPr>
                <w:sz w:val="21"/>
                <w:szCs w:val="21"/>
                <w:color w:val="auto"/>
              </w:rPr>
            </w:pPr>
          </w:p>
        </w:tc>
        <w:tc>
          <w:tcPr>
            <w:tcW w:w="20" w:type="dxa"/>
            <w:vAlign w:val="bottom"/>
            <w:tcBorders>
              <w:top w:val="single" w:sz="8" w:color="auto"/>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CCEEFF"/>
            </w:tcBorders>
            <w:shd w:val="clear" w:color="auto" w:fill="CCEEFF"/>
          </w:tcPr>
          <w:p>
            <w:pPr>
              <w:spacing w:after="0"/>
              <w:rPr>
                <w:sz w:val="21"/>
                <w:szCs w:val="21"/>
                <w:color w:val="auto"/>
              </w:rPr>
            </w:pPr>
          </w:p>
        </w:tc>
        <w:tc>
          <w:tcPr>
            <w:tcW w:w="1040" w:type="dxa"/>
            <w:vAlign w:val="bottom"/>
            <w:tcBorders>
              <w:top w:val="single" w:sz="8" w:color="auto"/>
              <w:bottom w:val="single" w:sz="8" w:color="CCEEFF"/>
            </w:tcBorders>
            <w:shd w:val="clear" w:color="auto" w:fill="CCEEFF"/>
          </w:tcPr>
          <w:p>
            <w:pPr>
              <w:spacing w:after="0"/>
              <w:rPr>
                <w:sz w:val="21"/>
                <w:szCs w:val="21"/>
                <w:color w:val="auto"/>
              </w:rPr>
            </w:pPr>
          </w:p>
        </w:tc>
        <w:tc>
          <w:tcPr>
            <w:tcW w:w="2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4100" w:type="dxa"/>
            <w:vAlign w:val="bottom"/>
            <w:gridSpan w:val="3"/>
          </w:tcPr>
          <w:p>
            <w:pPr>
              <w:ind w:left="160"/>
              <w:spacing w:after="0" w:line="270" w:lineRule="exact"/>
              <w:rPr>
                <w:sz w:val="20"/>
                <w:szCs w:val="20"/>
                <w:color w:val="auto"/>
              </w:rPr>
            </w:pPr>
            <w:r>
              <w:rPr>
                <w:rFonts w:ascii="Arial" w:cs="Arial" w:eastAsia="Arial" w:hAnsi="Arial"/>
                <w:sz w:val="18"/>
                <w:szCs w:val="18"/>
                <w:color w:val="auto"/>
              </w:rPr>
              <w:t xml:space="preserve">External customers </w:t>
            </w:r>
            <w:r>
              <w:rPr>
                <w:rFonts w:ascii="Arial" w:cs="Arial" w:eastAsia="Arial" w:hAnsi="Arial"/>
                <w:sz w:val="25"/>
                <w:szCs w:val="25"/>
                <w:color w:val="auto"/>
                <w:vertAlign w:val="superscript"/>
              </w:rPr>
              <w:t>(1)</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Pr>
          <w:p>
            <w:pPr>
              <w:ind w:left="840"/>
              <w:spacing w:after="0"/>
              <w:rPr>
                <w:sz w:val="20"/>
                <w:szCs w:val="20"/>
                <w:color w:val="auto"/>
              </w:rPr>
            </w:pPr>
            <w:r>
              <w:rPr>
                <w:rFonts w:ascii="Arial" w:cs="Arial" w:eastAsia="Arial" w:hAnsi="Arial"/>
                <w:sz w:val="18"/>
                <w:szCs w:val="18"/>
                <w:color w:val="auto"/>
              </w:rPr>
              <w:t>517</w:t>
            </w: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6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288</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4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15,892</w:t>
            </w:r>
          </w:p>
        </w:tc>
        <w:tc>
          <w:tcPr>
            <w:tcW w:w="320" w:type="dxa"/>
            <w:vAlign w:val="bottom"/>
            <w:gridSpan w:val="4"/>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(219)</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4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16,478</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0" w:type="dxa"/>
            <w:vAlign w:val="bottom"/>
            <w:shd w:val="clear" w:color="auto" w:fill="CCEEFF"/>
          </w:tcPr>
          <w:p>
            <w:pPr>
              <w:spacing w:after="0"/>
              <w:rPr>
                <w:sz w:val="23"/>
                <w:szCs w:val="23"/>
                <w:color w:val="auto"/>
              </w:rPr>
            </w:pPr>
          </w:p>
        </w:tc>
        <w:tc>
          <w:tcPr>
            <w:tcW w:w="4080" w:type="dxa"/>
            <w:vAlign w:val="bottom"/>
            <w:gridSpan w:val="2"/>
            <w:shd w:val="clear" w:color="auto" w:fill="CCEEFF"/>
          </w:tcPr>
          <w:p>
            <w:pPr>
              <w:ind w:left="160"/>
              <w:spacing w:after="0" w:line="270" w:lineRule="exact"/>
              <w:rPr>
                <w:sz w:val="20"/>
                <w:szCs w:val="20"/>
                <w:color w:val="auto"/>
              </w:rPr>
            </w:pPr>
            <w:r>
              <w:rPr>
                <w:rFonts w:ascii="Arial" w:cs="Arial" w:eastAsia="Arial" w:hAnsi="Arial"/>
                <w:sz w:val="18"/>
                <w:szCs w:val="18"/>
                <w:color w:val="auto"/>
              </w:rPr>
              <w:t xml:space="preserve">Intersegment </w:t>
            </w:r>
            <w:r>
              <w:rPr>
                <w:rFonts w:ascii="Arial" w:cs="Arial" w:eastAsia="Arial" w:hAnsi="Arial"/>
                <w:sz w:val="25"/>
                <w:szCs w:val="25"/>
                <w:color w:val="auto"/>
                <w:vertAlign w:val="superscript"/>
              </w:rPr>
              <w:t>(2)</w:t>
            </w:r>
          </w:p>
        </w:tc>
        <w:tc>
          <w:tcPr>
            <w:tcW w:w="20" w:type="dxa"/>
            <w:vAlign w:val="bottom"/>
            <w:tcBorders>
              <w:bottom w:val="single" w:sz="8" w:color="auto"/>
            </w:tcBorders>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ind w:left="840"/>
              <w:spacing w:after="0"/>
              <w:rPr>
                <w:sz w:val="20"/>
                <w:szCs w:val="20"/>
                <w:color w:val="auto"/>
              </w:rPr>
            </w:pPr>
            <w:r>
              <w:rPr>
                <w:rFonts w:ascii="Arial" w:cs="Arial" w:eastAsia="Arial" w:hAnsi="Arial"/>
                <w:sz w:val="18"/>
                <w:szCs w:val="18"/>
                <w:color w:val="auto"/>
              </w:rPr>
              <w:t>412</w:t>
            </w:r>
          </w:p>
        </w:tc>
        <w:tc>
          <w:tcPr>
            <w:tcW w:w="40" w:type="dxa"/>
            <w:vAlign w:val="bottom"/>
            <w:tcBorders>
              <w:bottom w:val="single" w:sz="8" w:color="auto"/>
            </w:tcBorders>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288</w:t>
            </w:r>
          </w:p>
        </w:tc>
        <w:tc>
          <w:tcPr>
            <w:tcW w:w="20" w:type="dxa"/>
            <w:vAlign w:val="bottom"/>
            <w:tcBorders>
              <w:bottom w:val="single" w:sz="8" w:color="auto"/>
            </w:tcBorders>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40" w:type="dxa"/>
            <w:vAlign w:val="bottom"/>
            <w:tcBorders>
              <w:bottom w:val="single" w:sz="8" w:color="auto"/>
            </w:tcBorders>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219</w:t>
            </w:r>
          </w:p>
        </w:tc>
        <w:tc>
          <w:tcPr>
            <w:tcW w:w="20" w:type="dxa"/>
            <w:vAlign w:val="bottom"/>
            <w:tcBorders>
              <w:bottom w:val="single" w:sz="8" w:color="auto"/>
            </w:tcBorders>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920</w:t>
            </w:r>
          </w:p>
        </w:tc>
        <w:tc>
          <w:tcPr>
            <w:tcW w:w="20" w:type="dxa"/>
            <w:vAlign w:val="bottom"/>
            <w:tcBorders>
              <w:bottom w:val="single" w:sz="8" w:color="auto"/>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97"/>
        </w:trPr>
        <w:tc>
          <w:tcPr>
            <w:tcW w:w="40" w:type="dxa"/>
            <w:vAlign w:val="bottom"/>
            <w:tcBorders>
              <w:bottom w:val="single" w:sz="8" w:color="CCEEFF"/>
            </w:tcBorders>
          </w:tcPr>
          <w:p>
            <w:pPr>
              <w:spacing w:after="0"/>
              <w:rPr>
                <w:sz w:val="24"/>
                <w:szCs w:val="24"/>
                <w:color w:val="auto"/>
              </w:rPr>
            </w:pPr>
          </w:p>
        </w:tc>
        <w:tc>
          <w:tcPr>
            <w:tcW w:w="4080" w:type="dxa"/>
            <w:vAlign w:val="bottom"/>
            <w:tcBorders>
              <w:bottom w:val="single" w:sz="8" w:color="CCEEFF"/>
            </w:tcBorders>
            <w:gridSpan w:val="2"/>
          </w:tcPr>
          <w:p>
            <w:pPr>
              <w:ind w:left="320"/>
              <w:spacing w:after="0"/>
              <w:rPr>
                <w:sz w:val="20"/>
                <w:szCs w:val="20"/>
                <w:color w:val="auto"/>
              </w:rPr>
            </w:pPr>
            <w:r>
              <w:rPr>
                <w:rFonts w:ascii="Arial" w:cs="Arial" w:eastAsia="Arial" w:hAnsi="Arial"/>
                <w:sz w:val="18"/>
                <w:szCs w:val="18"/>
                <w:color w:val="auto"/>
              </w:rPr>
              <w:t>Total revenues of reportable segments</w:t>
            </w: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ind w:left="840"/>
              <w:spacing w:after="0"/>
              <w:rPr>
                <w:sz w:val="20"/>
                <w:szCs w:val="20"/>
                <w:color w:val="auto"/>
              </w:rPr>
            </w:pPr>
            <w:r>
              <w:rPr>
                <w:rFonts w:ascii="Arial" w:cs="Arial" w:eastAsia="Arial" w:hAnsi="Arial"/>
                <w:sz w:val="18"/>
                <w:szCs w:val="18"/>
                <w:color w:val="auto"/>
              </w:rPr>
              <w:t>929</w:t>
            </w: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576</w:t>
            </w: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15,893</w:t>
            </w: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gridSpan w:val="2"/>
          </w:tcPr>
          <w:p>
            <w:pPr>
              <w:spacing w:after="0"/>
              <w:rPr>
                <w:sz w:val="24"/>
                <w:szCs w:val="24"/>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17,398</w:t>
            </w: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1"/>
        </w:trPr>
        <w:tc>
          <w:tcPr>
            <w:tcW w:w="41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Equity earnings in unconsolidated entities</w:t>
            </w:r>
          </w:p>
        </w:tc>
        <w:tc>
          <w:tcPr>
            <w:tcW w:w="20" w:type="dxa"/>
            <w:vAlign w:val="bottom"/>
            <w:tcBorders>
              <w:bottom w:val="single" w:sz="8" w:color="auto"/>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ind w:left="840"/>
              <w:spacing w:after="0"/>
              <w:rPr>
                <w:sz w:val="20"/>
                <w:szCs w:val="20"/>
                <w:color w:val="auto"/>
              </w:rPr>
            </w:pPr>
            <w:r>
              <w:rPr>
                <w:rFonts w:ascii="Arial" w:cs="Arial" w:eastAsia="Arial" w:hAnsi="Arial"/>
                <w:sz w:val="18"/>
                <w:szCs w:val="18"/>
                <w:color w:val="auto"/>
              </w:rPr>
              <w:t>171</w:t>
            </w:r>
          </w:p>
        </w:tc>
        <w:tc>
          <w:tcPr>
            <w:tcW w:w="40" w:type="dxa"/>
            <w:vAlign w:val="bottom"/>
            <w:tcBorders>
              <w:bottom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w:t>
            </w:r>
          </w:p>
        </w:tc>
        <w:tc>
          <w:tcPr>
            <w:tcW w:w="20" w:type="dxa"/>
            <w:vAlign w:val="bottom"/>
            <w:tcBorders>
              <w:bottom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120" w:type="dxa"/>
            <w:vAlign w:val="bottom"/>
            <w:gridSpan w:val="3"/>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4120" w:type="dxa"/>
            <w:vAlign w:val="bottom"/>
            <w:tcBorders>
              <w:bottom w:val="single" w:sz="8" w:color="CCEEFF"/>
            </w:tcBorders>
            <w:gridSpan w:val="3"/>
          </w:tcPr>
          <w:p>
            <w:pPr>
              <w:ind w:left="40"/>
              <w:spacing w:after="0"/>
              <w:rPr>
                <w:sz w:val="20"/>
                <w:szCs w:val="20"/>
                <w:color w:val="auto"/>
              </w:rPr>
            </w:pPr>
            <w:r>
              <w:rPr>
                <w:rFonts w:ascii="Arial" w:cs="Arial" w:eastAsia="Arial" w:hAnsi="Arial"/>
                <w:sz w:val="18"/>
                <w:szCs w:val="18"/>
                <w:color w:val="auto"/>
              </w:rPr>
              <w:t>Segment adjusted EBITDA</w:t>
            </w: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ind w:left="840"/>
              <w:spacing w:after="0"/>
              <w:rPr>
                <w:sz w:val="20"/>
                <w:szCs w:val="20"/>
                <w:color w:val="auto"/>
              </w:rPr>
            </w:pPr>
            <w:r>
              <w:rPr>
                <w:rFonts w:ascii="Arial" w:cs="Arial" w:eastAsia="Arial" w:hAnsi="Arial"/>
                <w:sz w:val="18"/>
                <w:szCs w:val="18"/>
                <w:color w:val="auto"/>
              </w:rPr>
              <w:t>695</w:t>
            </w: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357</w:t>
            </w: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w:t>
            </w: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180" w:type="dxa"/>
            <w:vAlign w:val="bottom"/>
            <w:tcBorders>
              <w:bottom w:val="single" w:sz="8" w:color="CCEEFF"/>
            </w:tcBorders>
          </w:tcPr>
          <w:p>
            <w:pPr>
              <w:spacing w:after="0"/>
              <w:rPr>
                <w:sz w:val="24"/>
                <w:szCs w:val="24"/>
                <w:color w:val="auto"/>
              </w:rPr>
            </w:pPr>
          </w:p>
        </w:tc>
        <w:tc>
          <w:tcPr>
            <w:tcW w:w="116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1,097</w:t>
            </w: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1"/>
        </w:trPr>
        <w:tc>
          <w:tcPr>
            <w:tcW w:w="4140" w:type="dxa"/>
            <w:vAlign w:val="bottom"/>
            <w:gridSpan w:val="4"/>
            <w:shd w:val="clear" w:color="auto" w:fill="CCEEFF"/>
          </w:tcPr>
          <w:p>
            <w:pPr>
              <w:ind w:left="40"/>
              <w:spacing w:after="0"/>
              <w:rPr>
                <w:sz w:val="20"/>
                <w:szCs w:val="20"/>
                <w:color w:val="auto"/>
              </w:rPr>
            </w:pPr>
            <w:r>
              <w:rPr>
                <w:rFonts w:ascii="Arial" w:cs="Arial" w:eastAsia="Arial" w:hAnsi="Arial"/>
                <w:sz w:val="18"/>
                <w:szCs w:val="18"/>
                <w:color w:val="auto"/>
              </w:rPr>
              <w:t>Maintenance capital</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ind w:left="940"/>
              <w:spacing w:after="0"/>
              <w:rPr>
                <w:sz w:val="20"/>
                <w:szCs w:val="20"/>
                <w:color w:val="auto"/>
              </w:rPr>
            </w:pPr>
            <w:r>
              <w:rPr>
                <w:rFonts w:ascii="Arial" w:cs="Arial" w:eastAsia="Arial" w:hAnsi="Arial"/>
                <w:sz w:val="18"/>
                <w:szCs w:val="18"/>
                <w:color w:val="auto"/>
              </w:rPr>
              <w:t>61</w:t>
            </w:r>
          </w:p>
        </w:tc>
        <w:tc>
          <w:tcPr>
            <w:tcW w:w="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6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4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4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39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gridSpan w:val="2"/>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1"/>
        </w:trPr>
        <w:tc>
          <w:tcPr>
            <w:tcW w:w="4140" w:type="dxa"/>
            <w:vAlign w:val="bottom"/>
            <w:gridSpan w:val="4"/>
            <w:vMerge w:val="restart"/>
          </w:tcPr>
          <w:p>
            <w:pPr>
              <w:ind w:left="40"/>
              <w:spacing w:after="0"/>
              <w:rPr>
                <w:sz w:val="20"/>
                <w:szCs w:val="20"/>
                <w:color w:val="auto"/>
              </w:rPr>
            </w:pPr>
            <w:r>
              <w:rPr>
                <w:rFonts w:ascii="Arial" w:cs="Arial" w:eastAsia="Arial" w:hAnsi="Arial"/>
                <w:sz w:val="14"/>
                <w:szCs w:val="14"/>
                <w:b w:val="1"/>
                <w:bCs w:val="1"/>
                <w:color w:val="auto"/>
              </w:rPr>
              <w:t>Six Months Ended June 30, 2017</w:t>
            </w:r>
          </w:p>
        </w:tc>
        <w:tc>
          <w:tcPr>
            <w:tcW w:w="160" w:type="dxa"/>
            <w:vAlign w:val="bottom"/>
          </w:tcPr>
          <w:p>
            <w:pPr>
              <w:spacing w:after="0"/>
              <w:rPr>
                <w:sz w:val="24"/>
                <w:szCs w:val="24"/>
                <w:color w:val="auto"/>
              </w:rPr>
            </w:pPr>
          </w:p>
        </w:tc>
        <w:tc>
          <w:tcPr>
            <w:tcW w:w="132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Transportation</w:t>
            </w: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0" w:type="dxa"/>
            <w:vAlign w:val="bottom"/>
            <w:gridSpan w:val="3"/>
            <w:vMerge w:val="restart"/>
          </w:tcPr>
          <w:p>
            <w:pPr>
              <w:ind w:left="160"/>
              <w:spacing w:after="0"/>
              <w:rPr>
                <w:sz w:val="20"/>
                <w:szCs w:val="20"/>
                <w:color w:val="auto"/>
              </w:rPr>
            </w:pPr>
            <w:r>
              <w:rPr>
                <w:rFonts w:ascii="Arial" w:cs="Arial" w:eastAsia="Arial" w:hAnsi="Arial"/>
                <w:sz w:val="14"/>
                <w:szCs w:val="14"/>
                <w:b w:val="1"/>
                <w:bCs w:val="1"/>
                <w:color w:val="auto"/>
              </w:rPr>
              <w:t>Facilities</w:t>
            </w: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jc w:val="center"/>
              <w:ind w:right="94"/>
              <w:spacing w:after="0"/>
              <w:rPr>
                <w:sz w:val="20"/>
                <w:szCs w:val="20"/>
                <w:color w:val="auto"/>
              </w:rPr>
            </w:pPr>
            <w:r>
              <w:rPr>
                <w:rFonts w:ascii="Arial" w:cs="Arial" w:eastAsia="Arial" w:hAnsi="Arial"/>
                <w:sz w:val="14"/>
                <w:szCs w:val="14"/>
                <w:b w:val="1"/>
                <w:bCs w:val="1"/>
                <w:color w:val="auto"/>
                <w:w w:val="92"/>
              </w:rPr>
              <w:t>Supply and</w:t>
            </w: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60" w:type="dxa"/>
            <w:vAlign w:val="bottom"/>
            <w:gridSpan w:val="3"/>
          </w:tcPr>
          <w:p>
            <w:pPr>
              <w:ind w:left="100"/>
              <w:spacing w:after="0"/>
              <w:rPr>
                <w:sz w:val="20"/>
                <w:szCs w:val="20"/>
                <w:color w:val="auto"/>
              </w:rPr>
            </w:pPr>
            <w:r>
              <w:rPr>
                <w:rFonts w:ascii="Arial" w:cs="Arial" w:eastAsia="Arial" w:hAnsi="Arial"/>
                <w:sz w:val="14"/>
                <w:szCs w:val="14"/>
                <w:b w:val="1"/>
                <w:bCs w:val="1"/>
                <w:color w:val="auto"/>
              </w:rPr>
              <w:t>Intersegment</w:t>
            </w: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vMerge w:val="restart"/>
          </w:tcPr>
          <w:p>
            <w:pPr>
              <w:jc w:val="right"/>
              <w:ind w:right="413"/>
              <w:spacing w:after="0"/>
              <w:rPr>
                <w:sz w:val="20"/>
                <w:szCs w:val="20"/>
                <w:color w:val="auto"/>
              </w:rPr>
            </w:pPr>
            <w:r>
              <w:rPr>
                <w:rFonts w:ascii="Arial" w:cs="Arial" w:eastAsia="Arial" w:hAnsi="Arial"/>
                <w:sz w:val="14"/>
                <w:szCs w:val="14"/>
                <w:b w:val="1"/>
                <w:bCs w:val="1"/>
                <w:color w:val="auto"/>
              </w:rPr>
              <w:t>Total</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2"/>
        </w:trPr>
        <w:tc>
          <w:tcPr>
            <w:tcW w:w="4140" w:type="dxa"/>
            <w:vAlign w:val="bottom"/>
            <w:gridSpan w:val="4"/>
            <w:vMerge w:val="continue"/>
          </w:tcPr>
          <w:p>
            <w:pPr>
              <w:spacing w:after="0"/>
              <w:rPr>
                <w:sz w:val="16"/>
                <w:szCs w:val="16"/>
                <w:color w:val="auto"/>
              </w:rPr>
            </w:pPr>
          </w:p>
        </w:tc>
        <w:tc>
          <w:tcPr>
            <w:tcW w:w="160" w:type="dxa"/>
            <w:vAlign w:val="bottom"/>
          </w:tcPr>
          <w:p>
            <w:pPr>
              <w:spacing w:after="0"/>
              <w:rPr>
                <w:sz w:val="16"/>
                <w:szCs w:val="16"/>
                <w:color w:val="auto"/>
              </w:rPr>
            </w:pPr>
          </w:p>
        </w:tc>
        <w:tc>
          <w:tcPr>
            <w:tcW w:w="1320" w:type="dxa"/>
            <w:vAlign w:val="bottom"/>
            <w:gridSpan w:val="3"/>
            <w:vMerge w:val="continue"/>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0" w:type="dxa"/>
            <w:vAlign w:val="bottom"/>
            <w:gridSpan w:val="3"/>
            <w:vMerge w:val="continue"/>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tcPr>
          <w:p>
            <w:pPr>
              <w:jc w:val="center"/>
              <w:ind w:right="94"/>
              <w:spacing w:after="0"/>
              <w:rPr>
                <w:sz w:val="20"/>
                <w:szCs w:val="20"/>
                <w:color w:val="auto"/>
              </w:rPr>
            </w:pPr>
            <w:r>
              <w:rPr>
                <w:rFonts w:ascii="Arial" w:cs="Arial" w:eastAsia="Arial" w:hAnsi="Arial"/>
                <w:sz w:val="14"/>
                <w:szCs w:val="14"/>
                <w:b w:val="1"/>
                <w:bCs w:val="1"/>
                <w:color w:val="auto"/>
                <w:w w:val="87"/>
              </w:rPr>
              <w:t>Logistics</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gridSpan w:val="3"/>
          </w:tcPr>
          <w:p>
            <w:pPr>
              <w:ind w:left="140"/>
              <w:spacing w:after="0"/>
              <w:rPr>
                <w:sz w:val="20"/>
                <w:szCs w:val="20"/>
                <w:color w:val="auto"/>
              </w:rPr>
            </w:pPr>
            <w:r>
              <w:rPr>
                <w:rFonts w:ascii="Arial" w:cs="Arial" w:eastAsia="Arial" w:hAnsi="Arial"/>
                <w:sz w:val="14"/>
                <w:szCs w:val="14"/>
                <w:b w:val="1"/>
                <w:bCs w:val="1"/>
                <w:color w:val="auto"/>
              </w:rPr>
              <w:t>Adjustment</w:t>
            </w:r>
          </w:p>
        </w:tc>
        <w:tc>
          <w:tcPr>
            <w:tcW w:w="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140" w:type="dxa"/>
            <w:vAlign w:val="bottom"/>
            <w:tcBorders>
              <w:top w:val="single" w:sz="8" w:color="auto"/>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200" w:type="dxa"/>
            <w:vAlign w:val="bottom"/>
            <w:tcBorders>
              <w:top w:val="single" w:sz="8" w:color="auto"/>
              <w:bottom w:val="single" w:sz="8" w:color="CCEEFF"/>
            </w:tcBorders>
            <w:shd w:val="clear" w:color="auto" w:fill="CCEEFF"/>
          </w:tcPr>
          <w:p>
            <w:pPr>
              <w:spacing w:after="0"/>
              <w:rPr>
                <w:sz w:val="21"/>
                <w:szCs w:val="21"/>
                <w:color w:val="auto"/>
              </w:rPr>
            </w:pPr>
          </w:p>
        </w:tc>
        <w:tc>
          <w:tcPr>
            <w:tcW w:w="40" w:type="dxa"/>
            <w:vAlign w:val="bottom"/>
            <w:tcBorders>
              <w:top w:val="single" w:sz="8" w:color="auto"/>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1100" w:type="dxa"/>
            <w:vAlign w:val="bottom"/>
            <w:tcBorders>
              <w:top w:val="single" w:sz="8" w:color="auto"/>
              <w:bottom w:val="single" w:sz="8" w:color="CCEEFF"/>
            </w:tcBorders>
            <w:shd w:val="clear" w:color="auto" w:fill="CCEEFF"/>
          </w:tcPr>
          <w:p>
            <w:pPr>
              <w:spacing w:after="0"/>
              <w:rPr>
                <w:sz w:val="21"/>
                <w:szCs w:val="21"/>
                <w:color w:val="auto"/>
              </w:rPr>
            </w:pPr>
          </w:p>
        </w:tc>
        <w:tc>
          <w:tcPr>
            <w:tcW w:w="20" w:type="dxa"/>
            <w:vAlign w:val="bottom"/>
            <w:tcBorders>
              <w:top w:val="single" w:sz="8" w:color="auto"/>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120" w:type="dxa"/>
            <w:vAlign w:val="bottom"/>
            <w:tcBorders>
              <w:top w:val="single" w:sz="8" w:color="auto"/>
              <w:bottom w:val="single" w:sz="8" w:color="CCEEFF"/>
            </w:tcBorders>
            <w:shd w:val="clear" w:color="auto" w:fill="CCEEFF"/>
          </w:tcPr>
          <w:p>
            <w:pPr>
              <w:spacing w:after="0"/>
              <w:rPr>
                <w:sz w:val="21"/>
                <w:szCs w:val="21"/>
                <w:color w:val="auto"/>
              </w:rPr>
            </w:pPr>
          </w:p>
        </w:tc>
        <w:tc>
          <w:tcPr>
            <w:tcW w:w="40" w:type="dxa"/>
            <w:vAlign w:val="bottom"/>
            <w:tcBorders>
              <w:top w:val="single" w:sz="8" w:color="auto"/>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160" w:type="dxa"/>
            <w:vAlign w:val="bottom"/>
            <w:tcBorders>
              <w:top w:val="single" w:sz="8" w:color="auto"/>
              <w:bottom w:val="single" w:sz="8" w:color="CCEEFF"/>
            </w:tcBorders>
            <w:shd w:val="clear" w:color="auto" w:fill="CCEEFF"/>
          </w:tcPr>
          <w:p>
            <w:pPr>
              <w:spacing w:after="0"/>
              <w:rPr>
                <w:sz w:val="21"/>
                <w:szCs w:val="21"/>
                <w:color w:val="auto"/>
              </w:rPr>
            </w:pPr>
          </w:p>
        </w:tc>
        <w:tc>
          <w:tcPr>
            <w:tcW w:w="20" w:type="dxa"/>
            <w:vAlign w:val="bottom"/>
            <w:tcBorders>
              <w:top w:val="single" w:sz="8" w:color="auto"/>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CCEEFF"/>
            </w:tcBorders>
            <w:shd w:val="clear" w:color="auto" w:fill="CCEEFF"/>
          </w:tcPr>
          <w:p>
            <w:pPr>
              <w:spacing w:after="0"/>
              <w:rPr>
                <w:sz w:val="21"/>
                <w:szCs w:val="21"/>
                <w:color w:val="auto"/>
              </w:rPr>
            </w:pPr>
          </w:p>
        </w:tc>
        <w:tc>
          <w:tcPr>
            <w:tcW w:w="1040" w:type="dxa"/>
            <w:vAlign w:val="bottom"/>
            <w:tcBorders>
              <w:top w:val="single" w:sz="8" w:color="auto"/>
              <w:bottom w:val="single" w:sz="8" w:color="CCEEFF"/>
            </w:tcBorders>
            <w:shd w:val="clear" w:color="auto" w:fill="CCEEFF"/>
          </w:tcPr>
          <w:p>
            <w:pPr>
              <w:spacing w:after="0"/>
              <w:rPr>
                <w:sz w:val="21"/>
                <w:szCs w:val="21"/>
                <w:color w:val="auto"/>
              </w:rPr>
            </w:pPr>
          </w:p>
        </w:tc>
        <w:tc>
          <w:tcPr>
            <w:tcW w:w="2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4100" w:type="dxa"/>
            <w:vAlign w:val="bottom"/>
            <w:gridSpan w:val="3"/>
          </w:tcPr>
          <w:p>
            <w:pPr>
              <w:ind w:left="160"/>
              <w:spacing w:after="0" w:line="270" w:lineRule="exact"/>
              <w:rPr>
                <w:sz w:val="20"/>
                <w:szCs w:val="20"/>
                <w:color w:val="auto"/>
              </w:rPr>
            </w:pPr>
            <w:r>
              <w:rPr>
                <w:rFonts w:ascii="Arial" w:cs="Arial" w:eastAsia="Arial" w:hAnsi="Arial"/>
                <w:sz w:val="18"/>
                <w:szCs w:val="18"/>
                <w:color w:val="auto"/>
              </w:rPr>
              <w:t xml:space="preserve">External customers </w:t>
            </w:r>
            <w:r>
              <w:rPr>
                <w:rFonts w:ascii="Arial" w:cs="Arial" w:eastAsia="Arial" w:hAnsi="Arial"/>
                <w:sz w:val="25"/>
                <w:szCs w:val="25"/>
                <w:color w:val="auto"/>
                <w:vertAlign w:val="superscript"/>
              </w:rPr>
              <w:t>(1)</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Pr>
          <w:p>
            <w:pPr>
              <w:ind w:left="840"/>
              <w:spacing w:after="0"/>
              <w:rPr>
                <w:sz w:val="20"/>
                <w:szCs w:val="20"/>
                <w:color w:val="auto"/>
              </w:rPr>
            </w:pPr>
            <w:r>
              <w:rPr>
                <w:rFonts w:ascii="Arial" w:cs="Arial" w:eastAsia="Arial" w:hAnsi="Arial"/>
                <w:sz w:val="18"/>
                <w:szCs w:val="18"/>
                <w:color w:val="auto"/>
              </w:rPr>
              <w:t>483</w:t>
            </w: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6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270</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4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12,176</w:t>
            </w:r>
          </w:p>
        </w:tc>
        <w:tc>
          <w:tcPr>
            <w:tcW w:w="320" w:type="dxa"/>
            <w:vAlign w:val="bottom"/>
            <w:gridSpan w:val="4"/>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(184)</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4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12,745</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0" w:type="dxa"/>
            <w:vAlign w:val="bottom"/>
            <w:shd w:val="clear" w:color="auto" w:fill="CCEEFF"/>
          </w:tcPr>
          <w:p>
            <w:pPr>
              <w:spacing w:after="0"/>
              <w:rPr>
                <w:sz w:val="23"/>
                <w:szCs w:val="23"/>
                <w:color w:val="auto"/>
              </w:rPr>
            </w:pPr>
          </w:p>
        </w:tc>
        <w:tc>
          <w:tcPr>
            <w:tcW w:w="4080" w:type="dxa"/>
            <w:vAlign w:val="bottom"/>
            <w:gridSpan w:val="2"/>
            <w:shd w:val="clear" w:color="auto" w:fill="CCEEFF"/>
          </w:tcPr>
          <w:p>
            <w:pPr>
              <w:ind w:left="160"/>
              <w:spacing w:after="0" w:line="270" w:lineRule="exact"/>
              <w:rPr>
                <w:sz w:val="20"/>
                <w:szCs w:val="20"/>
                <w:color w:val="auto"/>
              </w:rPr>
            </w:pPr>
            <w:r>
              <w:rPr>
                <w:rFonts w:ascii="Arial" w:cs="Arial" w:eastAsia="Arial" w:hAnsi="Arial"/>
                <w:sz w:val="18"/>
                <w:szCs w:val="18"/>
                <w:color w:val="auto"/>
              </w:rPr>
              <w:t xml:space="preserve">Intersegment </w:t>
            </w:r>
            <w:r>
              <w:rPr>
                <w:rFonts w:ascii="Arial" w:cs="Arial" w:eastAsia="Arial" w:hAnsi="Arial"/>
                <w:sz w:val="25"/>
                <w:szCs w:val="25"/>
                <w:color w:val="auto"/>
                <w:vertAlign w:val="superscript"/>
              </w:rPr>
              <w:t>(2)</w:t>
            </w:r>
          </w:p>
        </w:tc>
        <w:tc>
          <w:tcPr>
            <w:tcW w:w="20" w:type="dxa"/>
            <w:vAlign w:val="bottom"/>
            <w:tcBorders>
              <w:bottom w:val="single" w:sz="8" w:color="auto"/>
            </w:tcBorders>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ind w:left="840"/>
              <w:spacing w:after="0"/>
              <w:rPr>
                <w:sz w:val="20"/>
                <w:szCs w:val="20"/>
                <w:color w:val="auto"/>
              </w:rPr>
            </w:pPr>
            <w:r>
              <w:rPr>
                <w:rFonts w:ascii="Arial" w:cs="Arial" w:eastAsia="Arial" w:hAnsi="Arial"/>
                <w:sz w:val="18"/>
                <w:szCs w:val="18"/>
                <w:color w:val="auto"/>
              </w:rPr>
              <w:t>331</w:t>
            </w:r>
          </w:p>
        </w:tc>
        <w:tc>
          <w:tcPr>
            <w:tcW w:w="40" w:type="dxa"/>
            <w:vAlign w:val="bottom"/>
            <w:tcBorders>
              <w:bottom w:val="single" w:sz="8" w:color="auto"/>
            </w:tcBorders>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312</w:t>
            </w:r>
          </w:p>
        </w:tc>
        <w:tc>
          <w:tcPr>
            <w:tcW w:w="20" w:type="dxa"/>
            <w:vAlign w:val="bottom"/>
            <w:tcBorders>
              <w:bottom w:val="single" w:sz="8" w:color="auto"/>
            </w:tcBorders>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40" w:type="dxa"/>
            <w:vAlign w:val="bottom"/>
            <w:tcBorders>
              <w:bottom w:val="single" w:sz="8" w:color="auto"/>
            </w:tcBorders>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184</w:t>
            </w:r>
          </w:p>
        </w:tc>
        <w:tc>
          <w:tcPr>
            <w:tcW w:w="20" w:type="dxa"/>
            <w:vAlign w:val="bottom"/>
            <w:tcBorders>
              <w:bottom w:val="single" w:sz="8" w:color="auto"/>
            </w:tcBorders>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835</w:t>
            </w:r>
          </w:p>
        </w:tc>
        <w:tc>
          <w:tcPr>
            <w:tcW w:w="20" w:type="dxa"/>
            <w:vAlign w:val="bottom"/>
            <w:tcBorders>
              <w:bottom w:val="single" w:sz="8" w:color="auto"/>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97"/>
        </w:trPr>
        <w:tc>
          <w:tcPr>
            <w:tcW w:w="40" w:type="dxa"/>
            <w:vAlign w:val="bottom"/>
            <w:tcBorders>
              <w:bottom w:val="single" w:sz="8" w:color="CCEEFF"/>
            </w:tcBorders>
          </w:tcPr>
          <w:p>
            <w:pPr>
              <w:spacing w:after="0"/>
              <w:rPr>
                <w:sz w:val="24"/>
                <w:szCs w:val="24"/>
                <w:color w:val="auto"/>
              </w:rPr>
            </w:pPr>
          </w:p>
        </w:tc>
        <w:tc>
          <w:tcPr>
            <w:tcW w:w="4080" w:type="dxa"/>
            <w:vAlign w:val="bottom"/>
            <w:tcBorders>
              <w:bottom w:val="single" w:sz="8" w:color="CCEEFF"/>
            </w:tcBorders>
            <w:gridSpan w:val="2"/>
          </w:tcPr>
          <w:p>
            <w:pPr>
              <w:ind w:left="320"/>
              <w:spacing w:after="0"/>
              <w:rPr>
                <w:sz w:val="20"/>
                <w:szCs w:val="20"/>
                <w:color w:val="auto"/>
              </w:rPr>
            </w:pPr>
            <w:r>
              <w:rPr>
                <w:rFonts w:ascii="Arial" w:cs="Arial" w:eastAsia="Arial" w:hAnsi="Arial"/>
                <w:sz w:val="18"/>
                <w:szCs w:val="18"/>
                <w:color w:val="auto"/>
              </w:rPr>
              <w:t>Total revenues of reportable segments</w:t>
            </w: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ind w:left="840"/>
              <w:spacing w:after="0"/>
              <w:rPr>
                <w:sz w:val="20"/>
                <w:szCs w:val="20"/>
                <w:color w:val="auto"/>
              </w:rPr>
            </w:pPr>
            <w:r>
              <w:rPr>
                <w:rFonts w:ascii="Arial" w:cs="Arial" w:eastAsia="Arial" w:hAnsi="Arial"/>
                <w:sz w:val="18"/>
                <w:szCs w:val="18"/>
                <w:color w:val="auto"/>
              </w:rPr>
              <w:t>814</w:t>
            </w: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582</w:t>
            </w: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12,184</w:t>
            </w: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gridSpan w:val="2"/>
          </w:tcPr>
          <w:p>
            <w:pPr>
              <w:spacing w:after="0"/>
              <w:rPr>
                <w:sz w:val="24"/>
                <w:szCs w:val="24"/>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13,580</w:t>
            </w: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1"/>
        </w:trPr>
        <w:tc>
          <w:tcPr>
            <w:tcW w:w="41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Equity earnings in unconsolidated entities</w:t>
            </w:r>
          </w:p>
        </w:tc>
        <w:tc>
          <w:tcPr>
            <w:tcW w:w="20" w:type="dxa"/>
            <w:vAlign w:val="bottom"/>
            <w:tcBorders>
              <w:bottom w:val="single" w:sz="8" w:color="auto"/>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ind w:left="840"/>
              <w:spacing w:after="0"/>
              <w:rPr>
                <w:sz w:val="20"/>
                <w:szCs w:val="20"/>
                <w:color w:val="auto"/>
              </w:rPr>
            </w:pPr>
            <w:r>
              <w:rPr>
                <w:rFonts w:ascii="Arial" w:cs="Arial" w:eastAsia="Arial" w:hAnsi="Arial"/>
                <w:sz w:val="18"/>
                <w:szCs w:val="18"/>
                <w:color w:val="auto"/>
              </w:rPr>
              <w:t>121</w:t>
            </w:r>
          </w:p>
        </w:tc>
        <w:tc>
          <w:tcPr>
            <w:tcW w:w="40" w:type="dxa"/>
            <w:vAlign w:val="bottom"/>
            <w:tcBorders>
              <w:bottom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w:t>
            </w:r>
          </w:p>
        </w:tc>
        <w:tc>
          <w:tcPr>
            <w:tcW w:w="20" w:type="dxa"/>
            <w:vAlign w:val="bottom"/>
            <w:tcBorders>
              <w:bottom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120" w:type="dxa"/>
            <w:vAlign w:val="bottom"/>
            <w:gridSpan w:val="3"/>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4120" w:type="dxa"/>
            <w:vAlign w:val="bottom"/>
            <w:tcBorders>
              <w:bottom w:val="single" w:sz="8" w:color="CCEEFF"/>
            </w:tcBorders>
            <w:gridSpan w:val="3"/>
          </w:tcPr>
          <w:p>
            <w:pPr>
              <w:ind w:left="40"/>
              <w:spacing w:after="0"/>
              <w:rPr>
                <w:sz w:val="20"/>
                <w:szCs w:val="20"/>
                <w:color w:val="auto"/>
              </w:rPr>
            </w:pPr>
            <w:r>
              <w:rPr>
                <w:rFonts w:ascii="Arial" w:cs="Arial" w:eastAsia="Arial" w:hAnsi="Arial"/>
                <w:sz w:val="18"/>
                <w:szCs w:val="18"/>
                <w:color w:val="auto"/>
              </w:rPr>
              <w:t>Segment adjusted EBITDA</w:t>
            </w: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ind w:left="840"/>
              <w:spacing w:after="0"/>
              <w:rPr>
                <w:sz w:val="20"/>
                <w:szCs w:val="20"/>
                <w:color w:val="auto"/>
              </w:rPr>
            </w:pPr>
            <w:r>
              <w:rPr>
                <w:rFonts w:ascii="Arial" w:cs="Arial" w:eastAsia="Arial" w:hAnsi="Arial"/>
                <w:sz w:val="18"/>
                <w:szCs w:val="18"/>
                <w:color w:val="auto"/>
              </w:rPr>
              <w:t>571</w:t>
            </w: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368</w:t>
            </w: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w:t>
            </w: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180" w:type="dxa"/>
            <w:vAlign w:val="bottom"/>
            <w:tcBorders>
              <w:bottom w:val="single" w:sz="8" w:color="CCEEFF"/>
            </w:tcBorders>
          </w:tcPr>
          <w:p>
            <w:pPr>
              <w:spacing w:after="0"/>
              <w:rPr>
                <w:sz w:val="24"/>
                <w:szCs w:val="24"/>
                <w:color w:val="auto"/>
              </w:rPr>
            </w:pPr>
          </w:p>
        </w:tc>
        <w:tc>
          <w:tcPr>
            <w:tcW w:w="116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962</w:t>
            </w: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1"/>
        </w:trPr>
        <w:tc>
          <w:tcPr>
            <w:tcW w:w="4140" w:type="dxa"/>
            <w:vAlign w:val="bottom"/>
            <w:gridSpan w:val="4"/>
            <w:shd w:val="clear" w:color="auto" w:fill="CCEEFF"/>
          </w:tcPr>
          <w:p>
            <w:pPr>
              <w:ind w:left="40"/>
              <w:spacing w:after="0"/>
              <w:rPr>
                <w:sz w:val="20"/>
                <w:szCs w:val="20"/>
                <w:color w:val="auto"/>
              </w:rPr>
            </w:pPr>
            <w:r>
              <w:rPr>
                <w:rFonts w:ascii="Arial" w:cs="Arial" w:eastAsia="Arial" w:hAnsi="Arial"/>
                <w:sz w:val="18"/>
                <w:szCs w:val="18"/>
                <w:color w:val="auto"/>
              </w:rPr>
              <w:t>Maintenance capital</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ind w:left="940"/>
              <w:spacing w:after="0"/>
              <w:rPr>
                <w:sz w:val="20"/>
                <w:szCs w:val="20"/>
                <w:color w:val="auto"/>
              </w:rPr>
            </w:pPr>
            <w:r>
              <w:rPr>
                <w:rFonts w:ascii="Arial" w:cs="Arial" w:eastAsia="Arial" w:hAnsi="Arial"/>
                <w:sz w:val="18"/>
                <w:szCs w:val="18"/>
                <w:color w:val="auto"/>
              </w:rPr>
              <w:t>57</w:t>
            </w:r>
          </w:p>
        </w:tc>
        <w:tc>
          <w:tcPr>
            <w:tcW w:w="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6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4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4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w:t>
            </w:r>
          </w:p>
        </w:tc>
        <w:tc>
          <w:tcPr>
            <w:tcW w:w="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39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250444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2504440" cy="8890"/>
                    </a:xfrm>
                    <a:prstGeom prst="rect">
                      <a:avLst/>
                    </a:prstGeom>
                    <a:noFill/>
                  </pic:spPr>
                </pic:pic>
              </a:graphicData>
            </a:graphic>
          </wp:anchor>
        </w:drawing>
      </w:r>
    </w:p>
    <w:p>
      <w:pPr>
        <w:spacing w:after="0" w:line="290" w:lineRule="exact"/>
        <w:rPr>
          <w:sz w:val="20"/>
          <w:szCs w:val="20"/>
          <w:color w:val="auto"/>
        </w:rPr>
      </w:pPr>
    </w:p>
    <w:p>
      <w:pPr>
        <w:ind w:left="660" w:hanging="652"/>
        <w:spacing w:after="0" w:line="226" w:lineRule="auto"/>
        <w:tabs>
          <w:tab w:leader="none" w:pos="660" w:val="left"/>
        </w:tabs>
        <w:numPr>
          <w:ilvl w:val="0"/>
          <w:numId w:val="21"/>
        </w:numPr>
        <w:rPr>
          <w:rFonts w:ascii="Arial" w:cs="Arial" w:eastAsia="Arial" w:hAnsi="Arial"/>
          <w:sz w:val="25"/>
          <w:szCs w:val="25"/>
          <w:color w:val="auto"/>
          <w:vertAlign w:val="superscript"/>
        </w:rPr>
      </w:pPr>
      <w:r>
        <w:rPr>
          <w:rFonts w:ascii="Arial" w:cs="Arial" w:eastAsia="Arial" w:hAnsi="Arial"/>
          <w:sz w:val="18"/>
          <w:szCs w:val="18"/>
          <w:color w:val="auto"/>
        </w:rPr>
        <w:t>Transportation revenues from external customers include certain inventory exchanges with our customers where our Supply and Logistics segment has transacted the inventory exchange and serves as the shipper on our pipeline systems. See Note 3 for a discussion of our related accounting policy. We have included an estimate of the revenues</w:t>
      </w:r>
    </w:p>
    <w:p>
      <w:pPr>
        <w:sectPr>
          <w:pgSz w:w="11900" w:h="16838" w:orient="portrait"/>
          <w:cols w:equalWidth="0" w:num="1">
            <w:col w:w="11420"/>
          </w:cols>
          <w:pgMar w:left="240" w:top="125" w:right="239" w:bottom="1440" w:gutter="0" w:footer="0" w:header="0"/>
        </w:sect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36</w:t>
      </w:r>
    </w:p>
    <w:p>
      <w:pPr>
        <w:sectPr>
          <w:pgSz w:w="11900" w:h="16838" w:orient="portrait"/>
          <w:cols w:equalWidth="0" w:num="1">
            <w:col w:w="11420"/>
          </w:cols>
          <w:pgMar w:left="240" w:top="125" w:right="239" w:bottom="1440" w:gutter="0" w:footer="0" w:header="0"/>
          <w:type w:val="continuous"/>
        </w:sectPr>
      </w:pPr>
    </w:p>
    <w:bookmarkStart w:id="36" w:name="page37"/>
    <w:bookmarkEnd w:id="3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ind w:left="660" w:right="60"/>
        <w:spacing w:after="0" w:line="311" w:lineRule="auto"/>
        <w:rPr>
          <w:sz w:val="20"/>
          <w:szCs w:val="20"/>
          <w:color w:val="auto"/>
        </w:rPr>
      </w:pPr>
      <w:r>
        <w:rPr>
          <w:rFonts w:ascii="Arial" w:cs="Arial" w:eastAsia="Arial" w:hAnsi="Arial"/>
          <w:sz w:val="18"/>
          <w:szCs w:val="18"/>
          <w:color w:val="auto"/>
        </w:rPr>
        <w:t>from these inventory exchanges in our Transportation segment revenue from external customers presented above and adjusted those revenues out such that Total revenue from External customers reconciles to our Condensed Consolidated Statements of Operations. This presentation is consistent with the information provided to our CODM.</w:t>
      </w:r>
    </w:p>
    <w:p>
      <w:pPr>
        <w:spacing w:after="0" w:line="46" w:lineRule="exact"/>
        <w:rPr>
          <w:sz w:val="20"/>
          <w:szCs w:val="20"/>
          <w:color w:val="auto"/>
        </w:rPr>
      </w:pPr>
    </w:p>
    <w:p>
      <w:pPr>
        <w:ind w:left="660" w:right="160" w:hanging="652"/>
        <w:spacing w:after="0" w:line="262" w:lineRule="auto"/>
        <w:tabs>
          <w:tab w:leader="none" w:pos="660" w:val="left"/>
        </w:tabs>
        <w:numPr>
          <w:ilvl w:val="0"/>
          <w:numId w:val="22"/>
        </w:numPr>
        <w:rPr>
          <w:rFonts w:ascii="Arial" w:cs="Arial" w:eastAsia="Arial" w:hAnsi="Arial"/>
          <w:sz w:val="22"/>
          <w:szCs w:val="22"/>
          <w:color w:val="auto"/>
          <w:vertAlign w:val="superscript"/>
        </w:rPr>
      </w:pPr>
      <w:r>
        <w:rPr>
          <w:rFonts w:ascii="Arial" w:cs="Arial" w:eastAsia="Arial" w:hAnsi="Arial"/>
          <w:sz w:val="16"/>
          <w:szCs w:val="16"/>
          <w:color w:val="auto"/>
        </w:rPr>
        <w:t>Segment revenues include intersegment amounts that are eliminated in Purchases and related costs and Field operating costs in our Condensed Consolidated Statements of Operations. Intersegment activities are conducted at posted tariff rates where applicable, or otherwise at rates similar to those charged to third parties or rates that we believe approximate market at the time the agreement is executed or renegotiated.</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Segment Adjusted EBITDA Reconciliation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reconciles segment adjusted EBITDA to net income attributable to PAGP (in millions):</w:t>
      </w: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20" w:type="dxa"/>
            <w:vAlign w:val="bottom"/>
          </w:tcPr>
          <w:p>
            <w:pPr>
              <w:spacing w:after="0"/>
              <w:rPr>
                <w:sz w:val="14"/>
                <w:szCs w:val="14"/>
                <w:color w:val="auto"/>
              </w:rPr>
            </w:pPr>
          </w:p>
        </w:tc>
        <w:tc>
          <w:tcPr>
            <w:tcW w:w="2380" w:type="dxa"/>
            <w:vAlign w:val="bottom"/>
            <w:gridSpan w:val="4"/>
          </w:tcPr>
          <w:p>
            <w:pPr>
              <w:jc w:val="right"/>
              <w:ind w:right="196"/>
              <w:spacing w:after="0"/>
              <w:rPr>
                <w:sz w:val="20"/>
                <w:szCs w:val="20"/>
                <w:color w:val="auto"/>
              </w:rPr>
            </w:pPr>
            <w:r>
              <w:rPr>
                <w:rFonts w:ascii="Arial" w:cs="Arial" w:eastAsia="Arial" w:hAnsi="Arial"/>
                <w:sz w:val="14"/>
                <w:szCs w:val="14"/>
                <w:b w:val="1"/>
                <w:bCs w:val="1"/>
                <w:color w:val="auto"/>
              </w:rPr>
              <w:t>Three Months Ended</w:t>
            </w: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320" w:type="dxa"/>
            <w:vAlign w:val="bottom"/>
            <w:gridSpan w:val="4"/>
          </w:tcPr>
          <w:p>
            <w:pPr>
              <w:jc w:val="right"/>
              <w:ind w:right="631"/>
              <w:spacing w:after="0"/>
              <w:rPr>
                <w:sz w:val="20"/>
                <w:szCs w:val="20"/>
                <w:color w:val="auto"/>
              </w:rPr>
            </w:pPr>
            <w:r>
              <w:rPr>
                <w:rFonts w:ascii="Arial" w:cs="Arial" w:eastAsia="Arial" w:hAnsi="Arial"/>
                <w:sz w:val="14"/>
                <w:szCs w:val="14"/>
                <w:b w:val="1"/>
                <w:bCs w:val="1"/>
                <w:color w:val="auto"/>
              </w:rPr>
              <w:t>Six Months Ended</w:t>
            </w:r>
          </w:p>
        </w:tc>
      </w:tr>
      <w:tr>
        <w:trPr>
          <w:trHeight w:val="192"/>
        </w:trPr>
        <w:tc>
          <w:tcPr>
            <w:tcW w:w="5820" w:type="dxa"/>
            <w:vAlign w:val="bottom"/>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3"/>
          </w:tcPr>
          <w:p>
            <w:pPr>
              <w:jc w:val="right"/>
              <w:ind w:right="596"/>
              <w:spacing w:after="0"/>
              <w:rPr>
                <w:sz w:val="20"/>
                <w:szCs w:val="20"/>
                <w:color w:val="auto"/>
              </w:rPr>
            </w:pPr>
            <w:r>
              <w:rPr>
                <w:rFonts w:ascii="Arial" w:cs="Arial" w:eastAsia="Arial" w:hAnsi="Arial"/>
                <w:sz w:val="14"/>
                <w:szCs w:val="14"/>
                <w:b w:val="1"/>
                <w:bCs w:val="1"/>
                <w:color w:val="auto"/>
              </w:rPr>
              <w:t>June 30,</w:t>
            </w:r>
          </w:p>
        </w:tc>
        <w:tc>
          <w:tcPr>
            <w:tcW w:w="5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4"/>
                <w:szCs w:val="14"/>
                <w:b w:val="1"/>
                <w:bCs w:val="1"/>
                <w:color w:val="auto"/>
              </w:rPr>
              <w:t>June 30,</w:t>
            </w:r>
          </w:p>
        </w:tc>
        <w:tc>
          <w:tcPr>
            <w:tcW w:w="900" w:type="dxa"/>
            <w:vAlign w:val="bottom"/>
            <w:tcBorders>
              <w:bottom w:val="single" w:sz="8" w:color="auto"/>
            </w:tcBorders>
          </w:tcPr>
          <w:p>
            <w:pPr>
              <w:spacing w:after="0"/>
              <w:rPr>
                <w:sz w:val="16"/>
                <w:szCs w:val="16"/>
                <w:color w:val="auto"/>
              </w:rPr>
            </w:pPr>
          </w:p>
        </w:tc>
      </w:tr>
      <w:tr>
        <w:trPr>
          <w:trHeight w:val="264"/>
        </w:trPr>
        <w:tc>
          <w:tcPr>
            <w:tcW w:w="5820" w:type="dxa"/>
            <w:vAlign w:val="bottom"/>
            <w:tcBorders>
              <w:bottom w:val="single" w:sz="8" w:color="CCEEFF"/>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50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50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2017</w:t>
            </w:r>
          </w:p>
        </w:tc>
      </w:tr>
      <w:tr>
        <w:trPr>
          <w:trHeight w:val="250"/>
        </w:trPr>
        <w:tc>
          <w:tcPr>
            <w:tcW w:w="5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Segment adjusted EBITDA</w:t>
            </w:r>
          </w:p>
        </w:tc>
        <w:tc>
          <w:tcPr>
            <w:tcW w:w="900" w:type="dxa"/>
            <w:vAlign w:val="bottom"/>
            <w:tcBorders>
              <w:bottom w:val="single" w:sz="8" w:color="CCEEFF"/>
            </w:tcBorders>
            <w:shd w:val="clear" w:color="auto" w:fill="CCEEFF"/>
          </w:tcPr>
          <w:p>
            <w:pPr>
              <w:jc w:val="right"/>
              <w:ind w:right="699"/>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505</w:t>
            </w:r>
          </w:p>
        </w:tc>
        <w:tc>
          <w:tcPr>
            <w:tcW w:w="1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676"/>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450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1,097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962</w:t>
            </w:r>
          </w:p>
        </w:tc>
      </w:tr>
      <w:tr>
        <w:trPr>
          <w:trHeight w:val="270"/>
        </w:trPr>
        <w:tc>
          <w:tcPr>
            <w:tcW w:w="582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Adjustments </w:t>
            </w:r>
            <w:r>
              <w:rPr>
                <w:rFonts w:ascii="Arial" w:cs="Arial" w:eastAsia="Arial" w:hAnsi="Arial"/>
                <w:sz w:val="25"/>
                <w:szCs w:val="25"/>
                <w:color w:val="auto"/>
                <w:vertAlign w:val="superscript"/>
              </w:rPr>
              <w:t>(1)</w:t>
            </w:r>
            <w:r>
              <w:rPr>
                <w:rFonts w:ascii="Arial" w:cs="Arial" w:eastAsia="Arial" w:hAnsi="Arial"/>
                <w:sz w:val="18"/>
                <w:szCs w:val="18"/>
                <w:color w:val="auto"/>
              </w:rPr>
              <w:t>:</w:t>
            </w:r>
          </w:p>
        </w:tc>
        <w:tc>
          <w:tcPr>
            <w:tcW w:w="9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900" w:type="dxa"/>
            <w:vAlign w:val="bottom"/>
          </w:tcPr>
          <w:p>
            <w:pPr>
              <w:spacing w:after="0"/>
              <w:rPr>
                <w:sz w:val="23"/>
                <w:szCs w:val="23"/>
                <w:color w:val="auto"/>
              </w:rPr>
            </w:pPr>
          </w:p>
        </w:tc>
      </w:tr>
      <w:tr>
        <w:trPr>
          <w:trHeight w:val="270"/>
        </w:trPr>
        <w:tc>
          <w:tcPr>
            <w:tcW w:w="5820" w:type="dxa"/>
            <w:vAlign w:val="bottom"/>
            <w:shd w:val="clear" w:color="auto" w:fill="CCEEFF"/>
          </w:tcPr>
          <w:p>
            <w:pPr>
              <w:ind w:left="200"/>
              <w:spacing w:after="0" w:line="270" w:lineRule="exact"/>
              <w:rPr>
                <w:sz w:val="20"/>
                <w:szCs w:val="20"/>
                <w:color w:val="auto"/>
              </w:rPr>
            </w:pPr>
            <w:r>
              <w:rPr>
                <w:rFonts w:ascii="Arial" w:cs="Arial" w:eastAsia="Arial" w:hAnsi="Arial"/>
                <w:sz w:val="18"/>
                <w:szCs w:val="18"/>
                <w:color w:val="auto"/>
              </w:rPr>
              <w:t xml:space="preserve">Depreciation and amortization of unconsolidated entities </w:t>
            </w:r>
            <w:r>
              <w:rPr>
                <w:rFonts w:ascii="Arial" w:cs="Arial" w:eastAsia="Arial" w:hAnsi="Arial"/>
                <w:sz w:val="25"/>
                <w:szCs w:val="25"/>
                <w:color w:val="auto"/>
                <w:vertAlign w:val="superscript"/>
              </w:rPr>
              <w:t>(2)</w:t>
            </w:r>
          </w:p>
        </w:tc>
        <w:tc>
          <w:tcPr>
            <w:tcW w:w="900" w:type="dxa"/>
            <w:vAlign w:val="bottom"/>
            <w:shd w:val="clear" w:color="auto" w:fill="CCEEFF"/>
          </w:tcPr>
          <w:p>
            <w:pPr>
              <w:spacing w:after="0"/>
              <w:rPr>
                <w:sz w:val="23"/>
                <w:szCs w:val="23"/>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r>
      <w:tr>
        <w:trPr>
          <w:trHeight w:val="229"/>
        </w:trPr>
        <w:tc>
          <w:tcPr>
            <w:tcW w:w="5820" w:type="dxa"/>
            <w:vAlign w:val="bottom"/>
          </w:tcPr>
          <w:p>
            <w:pPr>
              <w:ind w:left="200"/>
              <w:spacing w:after="0"/>
              <w:rPr>
                <w:sz w:val="20"/>
                <w:szCs w:val="20"/>
                <w:color w:val="auto"/>
              </w:rPr>
            </w:pPr>
            <w:r>
              <w:rPr>
                <w:rFonts w:ascii="Arial" w:cs="Arial" w:eastAsia="Arial" w:hAnsi="Arial"/>
                <w:sz w:val="18"/>
                <w:szCs w:val="18"/>
                <w:color w:val="auto"/>
              </w:rPr>
              <w:t>Gains/(losses) from derivative activities net of inventory valuation</w:t>
            </w:r>
          </w:p>
        </w:tc>
        <w:tc>
          <w:tcPr>
            <w:tcW w:w="9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57"/>
        </w:trPr>
        <w:tc>
          <w:tcPr>
            <w:tcW w:w="5820" w:type="dxa"/>
            <w:vAlign w:val="bottom"/>
          </w:tcPr>
          <w:p>
            <w:pPr>
              <w:ind w:left="360"/>
              <w:spacing w:after="0" w:line="257" w:lineRule="exact"/>
              <w:rPr>
                <w:sz w:val="20"/>
                <w:szCs w:val="20"/>
                <w:color w:val="auto"/>
              </w:rPr>
            </w:pPr>
            <w:r>
              <w:rPr>
                <w:rFonts w:ascii="Arial" w:cs="Arial" w:eastAsia="Arial" w:hAnsi="Arial"/>
                <w:sz w:val="18"/>
                <w:szCs w:val="18"/>
                <w:color w:val="auto"/>
              </w:rPr>
              <w:t xml:space="preserve">adjustments </w:t>
            </w:r>
            <w:r>
              <w:rPr>
                <w:rFonts w:ascii="Arial" w:cs="Arial" w:eastAsia="Arial" w:hAnsi="Arial"/>
                <w:sz w:val="25"/>
                <w:szCs w:val="25"/>
                <w:color w:val="auto"/>
                <w:vertAlign w:val="superscript"/>
              </w:rPr>
              <w:t>(3)</w:t>
            </w:r>
          </w:p>
        </w:tc>
        <w:tc>
          <w:tcPr>
            <w:tcW w:w="900" w:type="dxa"/>
            <w:vAlign w:val="bottom"/>
          </w:tcPr>
          <w:p>
            <w:pPr>
              <w:spacing w:after="0"/>
              <w:rPr>
                <w:sz w:val="22"/>
                <w:szCs w:val="22"/>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(240)</w:t>
            </w:r>
          </w:p>
        </w:tc>
        <w:tc>
          <w:tcPr>
            <w:tcW w:w="10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500" w:type="dxa"/>
            <w:vAlign w:val="bottom"/>
          </w:tcPr>
          <w:p>
            <w:pPr>
              <w:jc w:val="right"/>
              <w:ind w:right="30"/>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(216)</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302</w:t>
            </w:r>
          </w:p>
        </w:tc>
      </w:tr>
      <w:tr>
        <w:trPr>
          <w:trHeight w:val="270"/>
        </w:trPr>
        <w:tc>
          <w:tcPr>
            <w:tcW w:w="5820" w:type="dxa"/>
            <w:vAlign w:val="bottom"/>
            <w:shd w:val="clear" w:color="auto" w:fill="CCEEFF"/>
          </w:tcPr>
          <w:p>
            <w:pPr>
              <w:ind w:left="200"/>
              <w:spacing w:after="0" w:line="270" w:lineRule="exact"/>
              <w:rPr>
                <w:sz w:val="20"/>
                <w:szCs w:val="20"/>
                <w:color w:val="auto"/>
              </w:rPr>
            </w:pPr>
            <w:r>
              <w:rPr>
                <w:rFonts w:ascii="Arial" w:cs="Arial" w:eastAsia="Arial" w:hAnsi="Arial"/>
                <w:sz w:val="18"/>
                <w:szCs w:val="18"/>
                <w:color w:val="auto"/>
              </w:rPr>
              <w:t xml:space="preserve">Long-term inventory costing adjustments </w:t>
            </w:r>
            <w:r>
              <w:rPr>
                <w:rFonts w:ascii="Arial" w:cs="Arial" w:eastAsia="Arial" w:hAnsi="Arial"/>
                <w:sz w:val="25"/>
                <w:szCs w:val="25"/>
                <w:color w:val="auto"/>
                <w:vertAlign w:val="superscript"/>
              </w:rPr>
              <w:t>(4)</w:t>
            </w:r>
          </w:p>
        </w:tc>
        <w:tc>
          <w:tcPr>
            <w:tcW w:w="900" w:type="dxa"/>
            <w:vAlign w:val="bottom"/>
            <w:shd w:val="clear" w:color="auto" w:fill="CCEEFF"/>
          </w:tcPr>
          <w:p>
            <w:pPr>
              <w:spacing w:after="0"/>
              <w:rPr>
                <w:sz w:val="23"/>
                <w:szCs w:val="23"/>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r>
      <w:tr>
        <w:trPr>
          <w:trHeight w:val="270"/>
        </w:trPr>
        <w:tc>
          <w:tcPr>
            <w:tcW w:w="5820" w:type="dxa"/>
            <w:vAlign w:val="bottom"/>
          </w:tcPr>
          <w:p>
            <w:pPr>
              <w:ind w:left="200"/>
              <w:spacing w:after="0" w:line="270" w:lineRule="exact"/>
              <w:rPr>
                <w:sz w:val="20"/>
                <w:szCs w:val="20"/>
                <w:color w:val="auto"/>
              </w:rPr>
            </w:pPr>
            <w:r>
              <w:rPr>
                <w:rFonts w:ascii="Arial" w:cs="Arial" w:eastAsia="Arial" w:hAnsi="Arial"/>
                <w:sz w:val="18"/>
                <w:szCs w:val="18"/>
                <w:color w:val="auto"/>
              </w:rPr>
              <w:t xml:space="preserve">Deficiencies under minimum volume commitments, net </w:t>
            </w:r>
            <w:r>
              <w:rPr>
                <w:rFonts w:ascii="Arial" w:cs="Arial" w:eastAsia="Arial" w:hAnsi="Arial"/>
                <w:sz w:val="25"/>
                <w:szCs w:val="25"/>
                <w:color w:val="auto"/>
                <w:vertAlign w:val="superscript"/>
              </w:rPr>
              <w:t>(5)</w:t>
            </w:r>
          </w:p>
        </w:tc>
        <w:tc>
          <w:tcPr>
            <w:tcW w:w="900" w:type="dxa"/>
            <w:vAlign w:val="bottom"/>
          </w:tcPr>
          <w:p>
            <w:pPr>
              <w:spacing w:after="0"/>
              <w:rPr>
                <w:sz w:val="23"/>
                <w:szCs w:val="23"/>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500" w:type="dxa"/>
            <w:vAlign w:val="bottom"/>
          </w:tcPr>
          <w:p>
            <w:pPr>
              <w:jc w:val="right"/>
              <w:ind w:right="30"/>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3</w:t>
            </w:r>
          </w:p>
        </w:tc>
      </w:tr>
      <w:tr>
        <w:trPr>
          <w:trHeight w:val="270"/>
        </w:trPr>
        <w:tc>
          <w:tcPr>
            <w:tcW w:w="5820" w:type="dxa"/>
            <w:vAlign w:val="bottom"/>
            <w:shd w:val="clear" w:color="auto" w:fill="CCEEFF"/>
          </w:tcPr>
          <w:p>
            <w:pPr>
              <w:ind w:left="200"/>
              <w:spacing w:after="0" w:line="270" w:lineRule="exact"/>
              <w:rPr>
                <w:sz w:val="20"/>
                <w:szCs w:val="20"/>
                <w:color w:val="auto"/>
              </w:rPr>
            </w:pPr>
            <w:r>
              <w:rPr>
                <w:rFonts w:ascii="Arial" w:cs="Arial" w:eastAsia="Arial" w:hAnsi="Arial"/>
                <w:sz w:val="18"/>
                <w:szCs w:val="18"/>
                <w:color w:val="auto"/>
              </w:rPr>
              <w:t xml:space="preserve">Equity-indexed compensation expense </w:t>
            </w:r>
            <w:r>
              <w:rPr>
                <w:rFonts w:ascii="Arial" w:cs="Arial" w:eastAsia="Arial" w:hAnsi="Arial"/>
                <w:sz w:val="25"/>
                <w:szCs w:val="25"/>
                <w:color w:val="auto"/>
                <w:vertAlign w:val="superscript"/>
              </w:rPr>
              <w:t>(6)</w:t>
            </w:r>
          </w:p>
        </w:tc>
        <w:tc>
          <w:tcPr>
            <w:tcW w:w="900" w:type="dxa"/>
            <w:vAlign w:val="bottom"/>
            <w:shd w:val="clear" w:color="auto" w:fill="CCEEFF"/>
          </w:tcPr>
          <w:p>
            <w:pPr>
              <w:spacing w:after="0"/>
              <w:rPr>
                <w:sz w:val="23"/>
                <w:szCs w:val="23"/>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r>
      <w:tr>
        <w:trPr>
          <w:trHeight w:val="270"/>
        </w:trPr>
        <w:tc>
          <w:tcPr>
            <w:tcW w:w="5820" w:type="dxa"/>
            <w:vAlign w:val="bottom"/>
          </w:tcPr>
          <w:p>
            <w:pPr>
              <w:ind w:left="200"/>
              <w:spacing w:after="0" w:line="270" w:lineRule="exact"/>
              <w:rPr>
                <w:sz w:val="20"/>
                <w:szCs w:val="20"/>
                <w:color w:val="auto"/>
              </w:rPr>
            </w:pPr>
            <w:r>
              <w:rPr>
                <w:rFonts w:ascii="Arial" w:cs="Arial" w:eastAsia="Arial" w:hAnsi="Arial"/>
                <w:sz w:val="18"/>
                <w:szCs w:val="18"/>
                <w:color w:val="auto"/>
              </w:rPr>
              <w:t xml:space="preserve">Net gain/(loss) on foreign currency revaluation </w:t>
            </w:r>
            <w:r>
              <w:rPr>
                <w:rFonts w:ascii="Arial" w:cs="Arial" w:eastAsia="Arial" w:hAnsi="Arial"/>
                <w:sz w:val="25"/>
                <w:szCs w:val="25"/>
                <w:color w:val="auto"/>
                <w:vertAlign w:val="superscript"/>
              </w:rPr>
              <w:t>(7)</w:t>
            </w:r>
          </w:p>
        </w:tc>
        <w:tc>
          <w:tcPr>
            <w:tcW w:w="900" w:type="dxa"/>
            <w:vAlign w:val="bottom"/>
          </w:tcPr>
          <w:p>
            <w:pPr>
              <w:spacing w:after="0"/>
              <w:rPr>
                <w:sz w:val="23"/>
                <w:szCs w:val="23"/>
                <w:color w:val="auto"/>
              </w:rPr>
            </w:pPr>
          </w:p>
        </w:tc>
        <w:tc>
          <w:tcPr>
            <w:tcW w:w="500" w:type="dxa"/>
            <w:vAlign w:val="bottom"/>
          </w:tcPr>
          <w:p>
            <w:pPr>
              <w:jc w:val="right"/>
              <w:ind w:right="11"/>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50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14</w:t>
            </w:r>
          </w:p>
        </w:tc>
      </w:tr>
      <w:tr>
        <w:trPr>
          <w:trHeight w:val="270"/>
        </w:trPr>
        <w:tc>
          <w:tcPr>
            <w:tcW w:w="5820" w:type="dxa"/>
            <w:vAlign w:val="bottom"/>
            <w:shd w:val="clear" w:color="auto" w:fill="CCEEFF"/>
          </w:tcPr>
          <w:p>
            <w:pPr>
              <w:ind w:left="200"/>
              <w:spacing w:after="0" w:line="270" w:lineRule="exact"/>
              <w:rPr>
                <w:sz w:val="20"/>
                <w:szCs w:val="20"/>
                <w:color w:val="auto"/>
              </w:rPr>
            </w:pPr>
            <w:r>
              <w:rPr>
                <w:rFonts w:ascii="Arial" w:cs="Arial" w:eastAsia="Arial" w:hAnsi="Arial"/>
                <w:sz w:val="18"/>
                <w:szCs w:val="18"/>
                <w:color w:val="auto"/>
              </w:rPr>
              <w:t xml:space="preserve">Line 901 incident </w:t>
            </w:r>
            <w:r>
              <w:rPr>
                <w:rFonts w:ascii="Arial" w:cs="Arial" w:eastAsia="Arial" w:hAnsi="Arial"/>
                <w:sz w:val="25"/>
                <w:szCs w:val="25"/>
                <w:color w:val="auto"/>
                <w:vertAlign w:val="superscript"/>
              </w:rPr>
              <w:t>(8)</w:t>
            </w:r>
          </w:p>
        </w:tc>
        <w:tc>
          <w:tcPr>
            <w:tcW w:w="900" w:type="dxa"/>
            <w:vAlign w:val="bottom"/>
            <w:shd w:val="clear" w:color="auto" w:fill="CCEEFF"/>
          </w:tcPr>
          <w:p>
            <w:pPr>
              <w:spacing w:after="0"/>
              <w:rPr>
                <w:sz w:val="23"/>
                <w:szCs w:val="23"/>
                <w:color w:val="auto"/>
              </w:rPr>
            </w:pP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spacing w:after="0"/>
              <w:rPr>
                <w:sz w:val="23"/>
                <w:szCs w:val="23"/>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23"/>
                <w:szCs w:val="23"/>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r>
      <w:tr>
        <w:trPr>
          <w:trHeight w:val="270"/>
        </w:trPr>
        <w:tc>
          <w:tcPr>
            <w:tcW w:w="5820" w:type="dxa"/>
            <w:vAlign w:val="bottom"/>
          </w:tcPr>
          <w:p>
            <w:pPr>
              <w:ind w:left="200"/>
              <w:spacing w:after="0" w:line="270" w:lineRule="exact"/>
              <w:rPr>
                <w:sz w:val="20"/>
                <w:szCs w:val="20"/>
                <w:color w:val="auto"/>
              </w:rPr>
            </w:pPr>
            <w:r>
              <w:rPr>
                <w:rFonts w:ascii="Arial" w:cs="Arial" w:eastAsia="Arial" w:hAnsi="Arial"/>
                <w:sz w:val="18"/>
                <w:szCs w:val="18"/>
                <w:color w:val="auto"/>
              </w:rPr>
              <w:t xml:space="preserve">Significant acquisition-related expenses </w:t>
            </w:r>
            <w:r>
              <w:rPr>
                <w:rFonts w:ascii="Arial" w:cs="Arial" w:eastAsia="Arial" w:hAnsi="Arial"/>
                <w:sz w:val="25"/>
                <w:szCs w:val="25"/>
                <w:color w:val="auto"/>
                <w:vertAlign w:val="superscript"/>
              </w:rPr>
              <w:t>(9)</w:t>
            </w:r>
          </w:p>
        </w:tc>
        <w:tc>
          <w:tcPr>
            <w:tcW w:w="900" w:type="dxa"/>
            <w:vAlign w:val="bottom"/>
          </w:tcPr>
          <w:p>
            <w:pPr>
              <w:spacing w:after="0"/>
              <w:rPr>
                <w:sz w:val="23"/>
                <w:szCs w:val="23"/>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80" w:type="dxa"/>
            <w:vAlign w:val="bottom"/>
          </w:tcPr>
          <w:p>
            <w:pPr>
              <w:spacing w:after="0"/>
              <w:rPr>
                <w:sz w:val="23"/>
                <w:szCs w:val="23"/>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50"/>
        </w:trPr>
        <w:tc>
          <w:tcPr>
            <w:tcW w:w="5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Unallocated general and administrative expenses</w:t>
            </w:r>
          </w:p>
        </w:tc>
        <w:tc>
          <w:tcPr>
            <w:tcW w:w="9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r>
      <w:tr>
        <w:trPr>
          <w:trHeight w:val="243"/>
        </w:trPr>
        <w:tc>
          <w:tcPr>
            <w:tcW w:w="5820" w:type="dxa"/>
            <w:vAlign w:val="bottom"/>
          </w:tcPr>
          <w:p>
            <w:pPr>
              <w:ind w:left="40"/>
              <w:spacing w:after="0"/>
              <w:rPr>
                <w:sz w:val="20"/>
                <w:szCs w:val="20"/>
                <w:color w:val="auto"/>
              </w:rPr>
            </w:pPr>
            <w:r>
              <w:rPr>
                <w:rFonts w:ascii="Arial" w:cs="Arial" w:eastAsia="Arial" w:hAnsi="Arial"/>
                <w:sz w:val="18"/>
                <w:szCs w:val="18"/>
                <w:color w:val="auto"/>
              </w:rPr>
              <w:t>Depreciation and amortization</w:t>
            </w:r>
          </w:p>
        </w:tc>
        <w:tc>
          <w:tcPr>
            <w:tcW w:w="90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99"/>
              </w:rPr>
              <w:t>(129)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(176)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(251)</w:t>
            </w:r>
          </w:p>
        </w:tc>
      </w:tr>
      <w:tr>
        <w:trPr>
          <w:trHeight w:val="27"/>
        </w:trPr>
        <w:tc>
          <w:tcPr>
            <w:tcW w:w="5820" w:type="dxa"/>
            <w:vAlign w:val="bottom"/>
          </w:tcPr>
          <w:p>
            <w:pPr>
              <w:spacing w:after="0"/>
              <w:rPr>
                <w:sz w:val="2"/>
                <w:szCs w:val="2"/>
                <w:color w:val="auto"/>
              </w:rPr>
            </w:pPr>
          </w:p>
        </w:tc>
        <w:tc>
          <w:tcPr>
            <w:tcW w:w="9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5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expense, net</w:t>
            </w:r>
          </w:p>
        </w:tc>
        <w:tc>
          <w:tcPr>
            <w:tcW w:w="9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1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(127)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(256)</w:t>
            </w:r>
          </w:p>
        </w:tc>
      </w:tr>
      <w:tr>
        <w:trPr>
          <w:trHeight w:val="243"/>
        </w:trPr>
        <w:tc>
          <w:tcPr>
            <w:tcW w:w="5820" w:type="dxa"/>
            <w:vAlign w:val="bottom"/>
          </w:tcPr>
          <w:p>
            <w:pPr>
              <w:ind w:left="40"/>
              <w:spacing w:after="0"/>
              <w:rPr>
                <w:sz w:val="20"/>
                <w:szCs w:val="20"/>
                <w:color w:val="auto"/>
              </w:rPr>
            </w:pPr>
            <w:r>
              <w:rPr>
                <w:rFonts w:ascii="Arial" w:cs="Arial" w:eastAsia="Arial" w:hAnsi="Arial"/>
                <w:sz w:val="18"/>
                <w:szCs w:val="18"/>
                <w:color w:val="auto"/>
              </w:rPr>
              <w:t>Other income/(expense), net</w:t>
            </w:r>
          </w:p>
        </w:tc>
        <w:tc>
          <w:tcPr>
            <w:tcW w:w="900" w:type="dxa"/>
            <w:vAlign w:val="bottom"/>
          </w:tcPr>
          <w:p>
            <w:pPr>
              <w:spacing w:after="0"/>
              <w:rPr>
                <w:sz w:val="21"/>
                <w:szCs w:val="21"/>
                <w:color w:val="auto"/>
              </w:rPr>
            </w:pPr>
          </w:p>
        </w:tc>
        <w:tc>
          <w:tcPr>
            <w:tcW w:w="500" w:type="dxa"/>
            <w:vAlign w:val="bottom"/>
          </w:tcPr>
          <w:p>
            <w:pPr>
              <w:jc w:val="right"/>
              <w:ind w:right="11"/>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500" w:type="dxa"/>
            <w:vAlign w:val="bottom"/>
          </w:tcPr>
          <w:p>
            <w:pPr>
              <w:jc w:val="right"/>
              <w:ind w:right="3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3"/>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7"/>
        </w:trPr>
        <w:tc>
          <w:tcPr>
            <w:tcW w:w="582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44"/>
        </w:trPr>
        <w:tc>
          <w:tcPr>
            <w:tcW w:w="5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before tax</w:t>
            </w:r>
          </w:p>
        </w:tc>
        <w:tc>
          <w:tcPr>
            <w:tcW w:w="9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82</w:t>
            </w:r>
          </w:p>
        </w:tc>
        <w:tc>
          <w:tcPr>
            <w:tcW w:w="1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430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705</w:t>
            </w:r>
          </w:p>
        </w:tc>
      </w:tr>
      <w:tr>
        <w:trPr>
          <w:trHeight w:val="243"/>
        </w:trPr>
        <w:tc>
          <w:tcPr>
            <w:tcW w:w="5820" w:type="dxa"/>
            <w:vAlign w:val="bottom"/>
          </w:tcPr>
          <w:p>
            <w:pPr>
              <w:ind w:left="40"/>
              <w:spacing w:after="0"/>
              <w:rPr>
                <w:sz w:val="20"/>
                <w:szCs w:val="20"/>
                <w:color w:val="auto"/>
              </w:rPr>
            </w:pPr>
            <w:r>
              <w:rPr>
                <w:rFonts w:ascii="Arial" w:cs="Arial" w:eastAsia="Arial" w:hAnsi="Arial"/>
                <w:sz w:val="18"/>
                <w:szCs w:val="18"/>
                <w:color w:val="auto"/>
              </w:rPr>
              <w:t>Income tax benefit/(expense)</w:t>
            </w:r>
          </w:p>
        </w:tc>
        <w:tc>
          <w:tcPr>
            <w:tcW w:w="900" w:type="dxa"/>
            <w:vAlign w:val="bottom"/>
          </w:tcPr>
          <w:p>
            <w:pPr>
              <w:spacing w:after="0"/>
              <w:rPr>
                <w:sz w:val="21"/>
                <w:szCs w:val="21"/>
                <w:color w:val="auto"/>
              </w:rPr>
            </w:pPr>
          </w:p>
        </w:tc>
        <w:tc>
          <w:tcPr>
            <w:tcW w:w="500" w:type="dxa"/>
            <w:vAlign w:val="bottom"/>
          </w:tcPr>
          <w:p>
            <w:pPr>
              <w:jc w:val="right"/>
              <w:ind w:right="11"/>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(130)</w:t>
            </w:r>
          </w:p>
        </w:tc>
      </w:tr>
      <w:tr>
        <w:trPr>
          <w:trHeight w:val="27"/>
        </w:trPr>
        <w:tc>
          <w:tcPr>
            <w:tcW w:w="582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44"/>
        </w:trPr>
        <w:tc>
          <w:tcPr>
            <w:tcW w:w="5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9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96</w:t>
            </w:r>
          </w:p>
        </w:tc>
        <w:tc>
          <w:tcPr>
            <w:tcW w:w="1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369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575</w:t>
            </w:r>
          </w:p>
        </w:tc>
      </w:tr>
      <w:tr>
        <w:trPr>
          <w:trHeight w:val="243"/>
        </w:trPr>
        <w:tc>
          <w:tcPr>
            <w:tcW w:w="5820" w:type="dxa"/>
            <w:vAlign w:val="bottom"/>
          </w:tcPr>
          <w:p>
            <w:pPr>
              <w:ind w:left="180"/>
              <w:spacing w:after="0"/>
              <w:rPr>
                <w:sz w:val="20"/>
                <w:szCs w:val="20"/>
                <w:color w:val="auto"/>
              </w:rPr>
            </w:pPr>
            <w:r>
              <w:rPr>
                <w:rFonts w:ascii="Arial" w:cs="Arial" w:eastAsia="Arial" w:hAnsi="Arial"/>
                <w:sz w:val="18"/>
                <w:szCs w:val="18"/>
                <w:color w:val="auto"/>
              </w:rPr>
              <w:t>Net income attributable to noncontrolling interests</w:t>
            </w:r>
          </w:p>
        </w:tc>
        <w:tc>
          <w:tcPr>
            <w:tcW w:w="90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(89)</w:t>
            </w:r>
          </w:p>
        </w:tc>
        <w:tc>
          <w:tcPr>
            <w:tcW w:w="1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99"/>
              </w:rPr>
              <w:t>(150)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(325)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(510)</w:t>
            </w:r>
          </w:p>
        </w:tc>
      </w:tr>
      <w:tr>
        <w:trPr>
          <w:trHeight w:val="27"/>
        </w:trPr>
        <w:tc>
          <w:tcPr>
            <w:tcW w:w="582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69"/>
        </w:trPr>
        <w:tc>
          <w:tcPr>
            <w:tcW w:w="5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attributable to PAGP</w:t>
            </w:r>
          </w:p>
        </w:tc>
        <w:tc>
          <w:tcPr>
            <w:tcW w:w="900" w:type="dxa"/>
            <w:vAlign w:val="bottom"/>
            <w:tcBorders>
              <w:bottom w:val="single" w:sz="8" w:color="CCEEFF"/>
            </w:tcBorders>
            <w:shd w:val="clear" w:color="auto" w:fill="CCEEFF"/>
          </w:tcPr>
          <w:p>
            <w:pPr>
              <w:jc w:val="right"/>
              <w:ind w:right="699"/>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676"/>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24</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44</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65</w:t>
            </w:r>
          </w:p>
        </w:tc>
      </w:tr>
      <w:tr>
        <w:trPr>
          <w:trHeight w:val="20"/>
        </w:trPr>
        <w:tc>
          <w:tcPr>
            <w:tcW w:w="58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250444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2504440" cy="8890"/>
                    </a:xfrm>
                    <a:prstGeom prst="rect">
                      <a:avLst/>
                    </a:prstGeom>
                    <a:noFill/>
                  </pic:spPr>
                </pic:pic>
              </a:graphicData>
            </a:graphic>
          </wp:anchor>
        </w:drawing>
      </w:r>
    </w:p>
    <w:p>
      <w:pPr>
        <w:spacing w:after="0" w:line="233" w:lineRule="exact"/>
        <w:rPr>
          <w:sz w:val="20"/>
          <w:szCs w:val="20"/>
          <w:color w:val="auto"/>
        </w:rPr>
      </w:pPr>
    </w:p>
    <w:p>
      <w:pPr>
        <w:ind w:left="660" w:hanging="652"/>
        <w:spacing w:after="0"/>
        <w:tabs>
          <w:tab w:leader="none" w:pos="660" w:val="left"/>
        </w:tabs>
        <w:numPr>
          <w:ilvl w:val="0"/>
          <w:numId w:val="23"/>
        </w:numPr>
        <w:rPr>
          <w:rFonts w:ascii="Arial" w:cs="Arial" w:eastAsia="Arial" w:hAnsi="Arial"/>
          <w:sz w:val="25"/>
          <w:szCs w:val="25"/>
          <w:color w:val="auto"/>
          <w:vertAlign w:val="superscript"/>
        </w:rPr>
      </w:pPr>
      <w:r>
        <w:rPr>
          <w:rFonts w:ascii="Arial" w:cs="Arial" w:eastAsia="Arial" w:hAnsi="Arial"/>
          <w:sz w:val="18"/>
          <w:szCs w:val="18"/>
          <w:color w:val="auto"/>
        </w:rPr>
        <w:t>Represents adjustments utilized by our CODM in the evaluation of segment results.</w:t>
      </w:r>
    </w:p>
    <w:p>
      <w:pPr>
        <w:spacing w:after="0" w:line="98" w:lineRule="exact"/>
        <w:rPr>
          <w:rFonts w:ascii="Arial" w:cs="Arial" w:eastAsia="Arial" w:hAnsi="Arial"/>
          <w:sz w:val="25"/>
          <w:szCs w:val="25"/>
          <w:color w:val="auto"/>
          <w:vertAlign w:val="superscript"/>
        </w:rPr>
      </w:pPr>
    </w:p>
    <w:p>
      <w:pPr>
        <w:ind w:left="660" w:hanging="652"/>
        <w:spacing w:after="0" w:line="214" w:lineRule="auto"/>
        <w:tabs>
          <w:tab w:leader="none" w:pos="660" w:val="left"/>
        </w:tabs>
        <w:numPr>
          <w:ilvl w:val="0"/>
          <w:numId w:val="23"/>
        </w:numPr>
        <w:rPr>
          <w:rFonts w:ascii="Arial" w:cs="Arial" w:eastAsia="Arial" w:hAnsi="Arial"/>
          <w:sz w:val="22"/>
          <w:szCs w:val="22"/>
          <w:color w:val="auto"/>
          <w:vertAlign w:val="superscript"/>
        </w:rPr>
      </w:pPr>
      <w:r>
        <w:rPr>
          <w:rFonts w:ascii="Arial" w:cs="Arial" w:eastAsia="Arial" w:hAnsi="Arial"/>
          <w:sz w:val="16"/>
          <w:szCs w:val="16"/>
          <w:color w:val="auto"/>
        </w:rPr>
        <w:t>Includes our proportionate share of the depreciation and amortization and gains and losses on significant asset sales of equity method investments.</w:t>
      </w:r>
    </w:p>
    <w:p>
      <w:pPr>
        <w:spacing w:after="0" w:line="98" w:lineRule="exact"/>
        <w:rPr>
          <w:rFonts w:ascii="Arial" w:cs="Arial" w:eastAsia="Arial" w:hAnsi="Arial"/>
          <w:sz w:val="22"/>
          <w:szCs w:val="22"/>
          <w:color w:val="auto"/>
          <w:vertAlign w:val="superscript"/>
        </w:rPr>
      </w:pPr>
    </w:p>
    <w:p>
      <w:pPr>
        <w:ind w:left="660" w:right="20" w:hanging="652"/>
        <w:spacing w:after="0" w:line="238" w:lineRule="auto"/>
        <w:tabs>
          <w:tab w:leader="none" w:pos="660" w:val="left"/>
        </w:tabs>
        <w:numPr>
          <w:ilvl w:val="0"/>
          <w:numId w:val="23"/>
        </w:numPr>
        <w:rPr>
          <w:rFonts w:ascii="Arial" w:cs="Arial" w:eastAsia="Arial" w:hAnsi="Arial"/>
          <w:sz w:val="25"/>
          <w:szCs w:val="25"/>
          <w:color w:val="auto"/>
          <w:vertAlign w:val="superscript"/>
        </w:rPr>
      </w:pPr>
      <w:r>
        <w:rPr>
          <w:rFonts w:ascii="Arial" w:cs="Arial" w:eastAsia="Arial" w:hAnsi="Arial"/>
          <w:sz w:val="18"/>
          <w:szCs w:val="18"/>
          <w:color w:val="auto"/>
        </w:rPr>
        <w:t>We use derivative instruments for risk management purposes and our related processes include specific identification of hedging instruments to an underlying hedged transaction. Although we identify an underlying transaction for each derivative instrument we enter into, there may not be an accounting hedge relationship between the instrument and the underlying transaction. In the course of evaluating our results, we identify the earnings that were recognized during the period related to derivative instruments for which the identified underlying transaction does not occur in the current period and exclude the related gains and losses in determining segment adjusted EBITDA. In addition, we exclude gains and losses on derivatives that are related to investing activities, such as the purchase of linefill. We also exclude the impact of corresponding inventory valuation adjustments, as applicable.</w:t>
      </w:r>
    </w:p>
    <w:p>
      <w:pPr>
        <w:spacing w:after="0" w:line="99" w:lineRule="exact"/>
        <w:rPr>
          <w:rFonts w:ascii="Arial" w:cs="Arial" w:eastAsia="Arial" w:hAnsi="Arial"/>
          <w:sz w:val="25"/>
          <w:szCs w:val="25"/>
          <w:color w:val="auto"/>
          <w:vertAlign w:val="superscript"/>
        </w:rPr>
      </w:pPr>
    </w:p>
    <w:p>
      <w:pPr>
        <w:ind w:left="660" w:right="200" w:hanging="652"/>
        <w:spacing w:after="0" w:line="235" w:lineRule="auto"/>
        <w:tabs>
          <w:tab w:leader="none" w:pos="660" w:val="left"/>
        </w:tabs>
        <w:numPr>
          <w:ilvl w:val="0"/>
          <w:numId w:val="23"/>
        </w:numPr>
        <w:rPr>
          <w:rFonts w:ascii="Arial" w:cs="Arial" w:eastAsia="Arial" w:hAnsi="Arial"/>
          <w:sz w:val="25"/>
          <w:szCs w:val="25"/>
          <w:color w:val="auto"/>
          <w:vertAlign w:val="superscript"/>
        </w:rPr>
      </w:pPr>
      <w:r>
        <w:rPr>
          <w:rFonts w:ascii="Arial" w:cs="Arial" w:eastAsia="Arial" w:hAnsi="Arial"/>
          <w:sz w:val="18"/>
          <w:szCs w:val="18"/>
          <w:color w:val="auto"/>
        </w:rPr>
        <w:t>We carry crude oil and NGL inventory that is comprised of minimum working inventory requirements in third-party assets and other working inventory that is needed for our commercial operations. We consider this inventory necessary to conduct our operations and we intend to carry this inventory for the foreseeable future. Therefore, we classify this inventory as long-term on our balance sheet and do not hedge the inventory with derivative instruments (similar to linefill in our own assets). We exclude the impact of changes in the average cost of the long-term inventory (that result</w:t>
      </w:r>
    </w:p>
    <w:p>
      <w:pPr>
        <w:sectPr>
          <w:pgSz w:w="11900" w:h="16838" w:orient="portrait"/>
          <w:cols w:equalWidth="0" w:num="1">
            <w:col w:w="11420"/>
          </w:cols>
          <w:pgMar w:left="240" w:top="125" w:right="239" w:bottom="1440" w:gutter="0" w:footer="0" w:header="0"/>
        </w:sect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37</w:t>
      </w:r>
    </w:p>
    <w:p>
      <w:pPr>
        <w:sectPr>
          <w:pgSz w:w="11900" w:h="16838" w:orient="portrait"/>
          <w:cols w:equalWidth="0" w:num="1">
            <w:col w:w="11420"/>
          </w:cols>
          <w:pgMar w:left="240" w:top="125" w:right="239" w:bottom="1440" w:gutter="0" w:footer="0" w:header="0"/>
          <w:type w:val="continuous"/>
        </w:sectPr>
      </w:pPr>
    </w:p>
    <w:bookmarkStart w:id="37" w:name="page38"/>
    <w:bookmarkEnd w:id="3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7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from fluctuations in market prices) and writedowns of such inventory that result from price declines from segment adjusted EBITDA.</w:t>
      </w:r>
    </w:p>
    <w:p>
      <w:pPr>
        <w:spacing w:after="0" w:line="131" w:lineRule="exact"/>
        <w:rPr>
          <w:sz w:val="20"/>
          <w:szCs w:val="20"/>
          <w:color w:val="auto"/>
        </w:rPr>
      </w:pPr>
    </w:p>
    <w:p>
      <w:pPr>
        <w:ind w:left="660" w:hanging="652"/>
        <w:spacing w:after="0" w:line="258" w:lineRule="auto"/>
        <w:tabs>
          <w:tab w:leader="none" w:pos="660" w:val="left"/>
        </w:tabs>
        <w:numPr>
          <w:ilvl w:val="0"/>
          <w:numId w:val="24"/>
        </w:numPr>
        <w:rPr>
          <w:rFonts w:ascii="Arial" w:cs="Arial" w:eastAsia="Arial" w:hAnsi="Arial"/>
          <w:sz w:val="24"/>
          <w:szCs w:val="24"/>
          <w:color w:val="auto"/>
          <w:vertAlign w:val="superscript"/>
        </w:rPr>
      </w:pPr>
      <w:r>
        <w:rPr>
          <w:rFonts w:ascii="Arial" w:cs="Arial" w:eastAsia="Arial" w:hAnsi="Arial"/>
          <w:sz w:val="17"/>
          <w:szCs w:val="17"/>
          <w:color w:val="auto"/>
        </w:rPr>
        <w:t>We have certain agreements that require counterparties to deliver, transport or throughput a minimum volume over an agreed upon period. Substantially all of such agreements were entered into with counterparties to economically support the return on our capital expenditure necessary to construct the related asset. Some of these agreements include make-up rights if the minimum volume is not met. We record a receivable from the counterparty in the period that services are provided or when the transaction occurs, including amounts for deficiency obligations from counterparties associated with minimum volume commitments. If a counterparty has a make-up right associated with a deficiency, we defer the revenue attributable to the counterparty’s make-up right and subsequently recognize the revenue at the earlier of when the deficiency volume is delivered or shipped, when the make-up right expires or when it is determined that the counterparty’s ability to utilize the make-up right is remote. We include the impact of amounts billed to counterparties for their deficiency obligation, net of applicable amounts subsequently recognized into revenue, as a selected item impacting comparability. Our CODM views the inclusion of the contractually committed revenues associated with that period as meaningful to segment adjusted EBITDA as the related asset has been constructed, is standing ready to provide the committed service and the fixed operating costs are included in the current period results.</w:t>
      </w:r>
    </w:p>
    <w:p>
      <w:pPr>
        <w:spacing w:after="0" w:line="29" w:lineRule="exact"/>
        <w:rPr>
          <w:rFonts w:ascii="Arial" w:cs="Arial" w:eastAsia="Arial" w:hAnsi="Arial"/>
          <w:sz w:val="24"/>
          <w:szCs w:val="24"/>
          <w:color w:val="auto"/>
          <w:vertAlign w:val="superscript"/>
        </w:rPr>
      </w:pPr>
    </w:p>
    <w:p>
      <w:pPr>
        <w:ind w:left="660" w:hanging="652"/>
        <w:spacing w:after="0"/>
        <w:tabs>
          <w:tab w:leader="none" w:pos="660" w:val="left"/>
        </w:tabs>
        <w:numPr>
          <w:ilvl w:val="0"/>
          <w:numId w:val="24"/>
        </w:numPr>
        <w:rPr>
          <w:rFonts w:ascii="Arial" w:cs="Arial" w:eastAsia="Arial" w:hAnsi="Arial"/>
          <w:sz w:val="25"/>
          <w:szCs w:val="25"/>
          <w:color w:val="auto"/>
          <w:vertAlign w:val="superscript"/>
        </w:rPr>
      </w:pPr>
      <w:r>
        <w:rPr>
          <w:rFonts w:ascii="Arial" w:cs="Arial" w:eastAsia="Arial" w:hAnsi="Arial"/>
          <w:sz w:val="18"/>
          <w:szCs w:val="18"/>
          <w:color w:val="auto"/>
        </w:rPr>
        <w:t>Includes equity-indexed compensation expense associated with awards that will or may be settled in PAA common units.</w:t>
      </w:r>
    </w:p>
    <w:p>
      <w:pPr>
        <w:spacing w:after="0" w:line="144" w:lineRule="exact"/>
        <w:rPr>
          <w:rFonts w:ascii="Arial" w:cs="Arial" w:eastAsia="Arial" w:hAnsi="Arial"/>
          <w:sz w:val="25"/>
          <w:szCs w:val="25"/>
          <w:color w:val="auto"/>
          <w:vertAlign w:val="superscript"/>
        </w:rPr>
      </w:pPr>
    </w:p>
    <w:p>
      <w:pPr>
        <w:ind w:left="660" w:hanging="652"/>
        <w:spacing w:after="0"/>
        <w:tabs>
          <w:tab w:leader="none" w:pos="660" w:val="left"/>
        </w:tabs>
        <w:numPr>
          <w:ilvl w:val="0"/>
          <w:numId w:val="24"/>
        </w:numPr>
        <w:rPr>
          <w:rFonts w:ascii="Arial" w:cs="Arial" w:eastAsia="Arial" w:hAnsi="Arial"/>
          <w:sz w:val="25"/>
          <w:szCs w:val="25"/>
          <w:color w:val="auto"/>
          <w:vertAlign w:val="superscript"/>
        </w:rPr>
      </w:pPr>
      <w:r>
        <w:rPr>
          <w:rFonts w:ascii="Arial" w:cs="Arial" w:eastAsia="Arial" w:hAnsi="Arial"/>
          <w:sz w:val="18"/>
          <w:szCs w:val="18"/>
          <w:color w:val="auto"/>
        </w:rPr>
        <w:t>Includes gains and losses from the revaluation of foreign currency transactions and monetary assets and liabilities.</w:t>
      </w:r>
    </w:p>
    <w:p>
      <w:pPr>
        <w:spacing w:after="0" w:line="98" w:lineRule="exact"/>
        <w:rPr>
          <w:rFonts w:ascii="Arial" w:cs="Arial" w:eastAsia="Arial" w:hAnsi="Arial"/>
          <w:sz w:val="25"/>
          <w:szCs w:val="25"/>
          <w:color w:val="auto"/>
          <w:vertAlign w:val="superscript"/>
        </w:rPr>
      </w:pPr>
    </w:p>
    <w:p>
      <w:pPr>
        <w:ind w:left="660" w:right="200" w:hanging="652"/>
        <w:spacing w:after="0" w:line="214" w:lineRule="auto"/>
        <w:tabs>
          <w:tab w:leader="none" w:pos="660" w:val="left"/>
        </w:tabs>
        <w:numPr>
          <w:ilvl w:val="0"/>
          <w:numId w:val="24"/>
        </w:numPr>
        <w:rPr>
          <w:rFonts w:ascii="Arial" w:cs="Arial" w:eastAsia="Arial" w:hAnsi="Arial"/>
          <w:sz w:val="25"/>
          <w:szCs w:val="25"/>
          <w:color w:val="auto"/>
          <w:vertAlign w:val="superscript"/>
        </w:rPr>
      </w:pPr>
      <w:r>
        <w:rPr>
          <w:rFonts w:ascii="Arial" w:cs="Arial" w:eastAsia="Arial" w:hAnsi="Arial"/>
          <w:sz w:val="18"/>
          <w:szCs w:val="18"/>
          <w:color w:val="auto"/>
        </w:rPr>
        <w:t>Includes costs recognized during the period related to the Line 901 incident that occurred in May 2015, net of amounts we believe are probable of recovery from insurance. See Note 13 for additional information regarding the Line 901 incident.</w:t>
      </w:r>
    </w:p>
    <w:p>
      <w:pPr>
        <w:spacing w:after="0" w:line="94" w:lineRule="exact"/>
        <w:rPr>
          <w:rFonts w:ascii="Arial" w:cs="Arial" w:eastAsia="Arial" w:hAnsi="Arial"/>
          <w:sz w:val="25"/>
          <w:szCs w:val="25"/>
          <w:color w:val="auto"/>
          <w:vertAlign w:val="superscript"/>
        </w:rPr>
      </w:pPr>
    </w:p>
    <w:p>
      <w:pPr>
        <w:ind w:left="660" w:hanging="652"/>
        <w:spacing w:after="0" w:line="252" w:lineRule="auto"/>
        <w:tabs>
          <w:tab w:leader="none" w:pos="660" w:val="left"/>
        </w:tabs>
        <w:numPr>
          <w:ilvl w:val="0"/>
          <w:numId w:val="24"/>
        </w:numPr>
        <w:rPr>
          <w:rFonts w:ascii="Arial" w:cs="Arial" w:eastAsia="Arial" w:hAnsi="Arial"/>
          <w:sz w:val="22"/>
          <w:szCs w:val="22"/>
          <w:color w:val="auto"/>
          <w:vertAlign w:val="superscript"/>
        </w:rPr>
      </w:pPr>
      <w:r>
        <w:rPr>
          <w:rFonts w:ascii="Arial" w:cs="Arial" w:eastAsia="Arial" w:hAnsi="Arial"/>
          <w:sz w:val="16"/>
          <w:szCs w:val="16"/>
          <w:color w:val="auto"/>
        </w:rPr>
        <w:t>Includes acquisition-related expenses associated with the acquisition of the Alpha Crude Connector Gathering System (the “ACC Acquisition”). See Note 6 to our Consolidated Financial Statements included in Part IV of our 2017 Annual Report on Form 10-K for additional discussion.</w:t>
      </w:r>
    </w:p>
    <w:p>
      <w:pPr>
        <w:spacing w:after="0" w:line="200" w:lineRule="exact"/>
        <w:rPr>
          <w:sz w:val="20"/>
          <w:szCs w:val="20"/>
          <w:color w:val="auto"/>
        </w:rPr>
      </w:pPr>
    </w:p>
    <w:p>
      <w:pPr>
        <w:spacing w:after="0" w:line="23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360"/>
          </w:cols>
          <w:pgMar w:left="240" w:top="125" w:right="299" w:bottom="1440" w:gutter="0" w:footer="0" w:header="0"/>
        </w:sectPr>
      </w:pPr>
    </w:p>
    <w:bookmarkStart w:id="38" w:name="page39"/>
    <w:bookmarkEnd w:id="3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Introduction</w:t>
      </w:r>
    </w:p>
    <w:p>
      <w:pPr>
        <w:spacing w:after="0" w:line="229"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The following discussion is intended to provide investors with an understanding of our financial condition and results of our operations and should be read in conjunction with our historical Consolidated Financial Statements and accompanying notes and Management’s Discussion and Analysis of Financial Condition and Results of Operations as presented in our 2017 Annual Report on Form 10-K. For more detailed information regarding the basis of presentation for the following financial information, see the Condensed Consolidated Financial Statements and related notes that are contained in Part I, Item 1 of this Quarterly Report on Form 10-Q.</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discussion and analysis includes the following:</w:t>
      </w:r>
    </w:p>
    <w:p>
      <w:pPr>
        <w:spacing w:after="0" w:line="225" w:lineRule="exact"/>
        <w:rPr>
          <w:sz w:val="20"/>
          <w:szCs w:val="20"/>
          <w:color w:val="auto"/>
        </w:rPr>
      </w:pPr>
    </w:p>
    <w:p>
      <w:pPr>
        <w:ind w:left="980" w:hanging="324"/>
        <w:spacing w:after="0"/>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Executive Summary</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Acquisitions and Capital Projects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Results of Operations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Liquidity and Capital Resources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Off-Balance Sheet Arrangements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Recent Accounting Pronouncements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Critical Accounting Policies and Estimates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Other Items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Forward-Looking Statements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Summary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Company Overview</w:t>
      </w:r>
    </w:p>
    <w:p>
      <w:pPr>
        <w:spacing w:after="0" w:line="225" w:lineRule="exact"/>
        <w:rPr>
          <w:sz w:val="20"/>
          <w:szCs w:val="20"/>
          <w:color w:val="auto"/>
        </w:rPr>
      </w:pPr>
    </w:p>
    <w:p>
      <w:pPr>
        <w:ind w:right="120" w:firstLine="648"/>
        <w:spacing w:after="0" w:line="271" w:lineRule="auto"/>
        <w:rPr>
          <w:sz w:val="20"/>
          <w:szCs w:val="20"/>
          <w:color w:val="auto"/>
        </w:rPr>
      </w:pPr>
      <w:r>
        <w:rPr>
          <w:rFonts w:ascii="Arial" w:cs="Arial" w:eastAsia="Arial" w:hAnsi="Arial"/>
          <w:sz w:val="17"/>
          <w:szCs w:val="17"/>
          <w:color w:val="auto"/>
        </w:rPr>
        <w:t>We are a Delaware limited partnership formed on July 17, 2013 that has elected to be taxed as a corporation for United States federal income tax purposes. As of June 30, 2018, our sole assets consisted of (i) a 100% managing member interest in Plains All American GP LLC (“GP LLC”) that has also elected to be taxed as a corporation for United States federal income tax purposes and (ii) an approximate 56% limited partner interest in AAP through our direct ownership of approximately 157.0 million AAP units and indirect ownership of approximately 1.0 million AAP units through GP LLC. GP LLC is a Delaware limited liability company that also holds the non-economic general partner interest in AAP. AAP is a Delaware limited partnership that, as of June 30, 2018, directly owned a limited partner interest in PAA through its ownership of approximately 281.2 million PAA common units (approximately 35% of PAA’s total outstanding common units and Series A preferred units combined). AAP is the sole member of PAA GP LLC (“PAA GP”), a Delaware limited liability company that directly holds the non-economic general partner interest in PAA.</w:t>
      </w:r>
    </w:p>
    <w:p>
      <w:pPr>
        <w:spacing w:after="0" w:line="179"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PAA owns and operates midstream energy infrastructure and provides logistics services primarily for crude oil, NGL and natural gas. PAA owns an extensive network of pipeline transportation, terminalling, storage and gathering assets in key crude oil and NGL producing basins and transportation corridors and at major market hubs in the United States and Canada. PAA's operations are conducted directly and indirectly through its operating subsidiaries and are managed through three operating segments: Transportation, Facilities and Supply and Logistics. See “—Results of Operations —Analysis of Operating Segments” for further discussion.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 of Operating Results, Capital Investments and Other Significant Activities</w:t>
      </w:r>
    </w:p>
    <w:p>
      <w:pPr>
        <w:spacing w:after="0" w:line="225" w:lineRule="exact"/>
        <w:rPr>
          <w:sz w:val="20"/>
          <w:szCs w:val="20"/>
          <w:color w:val="auto"/>
        </w:rPr>
      </w:pPr>
    </w:p>
    <w:p>
      <w:pPr>
        <w:ind w:right="40" w:firstLine="648"/>
        <w:spacing w:after="0" w:line="302" w:lineRule="auto"/>
        <w:rPr>
          <w:sz w:val="20"/>
          <w:szCs w:val="20"/>
          <w:color w:val="auto"/>
        </w:rPr>
      </w:pPr>
      <w:r>
        <w:rPr>
          <w:rFonts w:ascii="Arial" w:cs="Arial" w:eastAsia="Arial" w:hAnsi="Arial"/>
          <w:sz w:val="16"/>
          <w:szCs w:val="16"/>
          <w:color w:val="auto"/>
        </w:rPr>
        <w:t>During the first six months of 2018, we recognized net income of $369 million as compared to net income of $575 million recognized during the first six months of 2017. The year-over-year decrease reflects a $511 million negative impact associated with the difference between losses recognized in the 2018 period from the mark-to-market of certain derivative instruments, as compared to gains recognized in the prior period. The 2018 period was also negatively impacted compared to the 2017 period by asset sales completed during 2017 and 2018. These decreases were partially offset by:</w:t>
      </w:r>
    </w:p>
    <w:p>
      <w:pPr>
        <w:spacing w:after="0" w:line="39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340"/>
          </w:cols>
          <w:pgMar w:left="240" w:top="125" w:right="319" w:bottom="1440" w:gutter="0" w:footer="0" w:header="0"/>
        </w:sectPr>
      </w:pPr>
    </w:p>
    <w:bookmarkStart w:id="39" w:name="page40"/>
    <w:bookmarkEnd w:id="3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1300" w:right="160" w:hanging="320"/>
        <w:spacing w:after="0" w:line="277" w:lineRule="auto"/>
        <w:tabs>
          <w:tab w:leader="none" w:pos="13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Higher results from our Transportation segment, primarily from our pipelines in the Permian Basin region, driven by higher volumes from increased production and our recently completed capital expansion projects;</w:t>
      </w:r>
    </w:p>
    <w:p>
      <w:pPr>
        <w:spacing w:after="0" w:line="170" w:lineRule="exact"/>
        <w:rPr>
          <w:rFonts w:ascii="Arial" w:cs="Arial" w:eastAsia="Arial" w:hAnsi="Arial"/>
          <w:sz w:val="18"/>
          <w:szCs w:val="18"/>
          <w:color w:val="auto"/>
        </w:rPr>
      </w:pPr>
    </w:p>
    <w:p>
      <w:pPr>
        <w:ind w:left="1300" w:hanging="320"/>
        <w:spacing w:after="0"/>
        <w:tabs>
          <w:tab w:leader="none" w:pos="13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Lower depreciation and amortization expense due to net gains recognized during the 2018 period associated with asset sales;</w:t>
      </w:r>
    </w:p>
    <w:p>
      <w:pPr>
        <w:spacing w:after="0" w:line="225" w:lineRule="exact"/>
        <w:rPr>
          <w:rFonts w:ascii="Arial" w:cs="Arial" w:eastAsia="Arial" w:hAnsi="Arial"/>
          <w:sz w:val="18"/>
          <w:szCs w:val="18"/>
          <w:color w:val="auto"/>
        </w:rPr>
      </w:pPr>
    </w:p>
    <w:p>
      <w:pPr>
        <w:ind w:left="1300" w:right="240" w:hanging="320"/>
        <w:spacing w:after="0" w:line="259" w:lineRule="auto"/>
        <w:tabs>
          <w:tab w:leader="none" w:pos="13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Lower interest expense driven by a lower weighted average debt balance in the 2018 period as a result of our efforts to implement our Leverage Reduction Plan announced in August 2017. See “—Executive Summary—Overview of Operating Results, Capital Investments and Other Significant Activities” in Item 7 of our 2017 Annual Report on Form 10-K for further discussion of our Leverage Reduction Plan; and</w:t>
      </w:r>
    </w:p>
    <w:p>
      <w:pPr>
        <w:spacing w:after="0" w:line="186" w:lineRule="exact"/>
        <w:rPr>
          <w:rFonts w:ascii="Arial" w:cs="Arial" w:eastAsia="Arial" w:hAnsi="Arial"/>
          <w:sz w:val="18"/>
          <w:szCs w:val="18"/>
          <w:color w:val="auto"/>
        </w:rPr>
      </w:pPr>
    </w:p>
    <w:p>
      <w:pPr>
        <w:ind w:left="1300" w:right="280" w:hanging="320"/>
        <w:spacing w:after="0" w:line="279" w:lineRule="auto"/>
        <w:tabs>
          <w:tab w:leader="none" w:pos="1300" w:val="left"/>
        </w:tabs>
        <w:numPr>
          <w:ilvl w:val="0"/>
          <w:numId w:val="26"/>
        </w:numPr>
        <w:rPr>
          <w:rFonts w:ascii="Arial" w:cs="Arial" w:eastAsia="Arial" w:hAnsi="Arial"/>
          <w:sz w:val="17"/>
          <w:szCs w:val="17"/>
          <w:color w:val="auto"/>
        </w:rPr>
      </w:pPr>
      <w:r>
        <w:rPr>
          <w:rFonts w:ascii="Arial" w:cs="Arial" w:eastAsia="Arial" w:hAnsi="Arial"/>
          <w:sz w:val="17"/>
          <w:szCs w:val="17"/>
          <w:color w:val="auto"/>
        </w:rPr>
        <w:t>Lower income tax expense primarily due to (i) lower year-over-year income as impacted by fluctuations in derivative mark-to-market valuations in our Canadian operations, partially offset by higher taxable earnings in our Canadian operations and (ii) lower deferred tax expense due to a decrease in our effective tax rate as a result of the enactment of the Tax Cuts and Jobs Act, partially offset by additional deferred tax expense as a result of changes in our effective tax rate in the first and second quarters of 2018.</w:t>
      </w:r>
    </w:p>
    <w:p>
      <w:pPr>
        <w:spacing w:after="0" w:line="171" w:lineRule="exact"/>
        <w:rPr>
          <w:sz w:val="20"/>
          <w:szCs w:val="20"/>
          <w:color w:val="auto"/>
        </w:rPr>
      </w:pPr>
    </w:p>
    <w:p>
      <w:pPr>
        <w:ind w:right="640" w:firstLine="648"/>
        <w:spacing w:after="0" w:line="277" w:lineRule="auto"/>
        <w:rPr>
          <w:sz w:val="20"/>
          <w:szCs w:val="20"/>
          <w:color w:val="auto"/>
        </w:rPr>
      </w:pPr>
      <w:r>
        <w:rPr>
          <w:rFonts w:ascii="Arial" w:cs="Arial" w:eastAsia="Arial" w:hAnsi="Arial"/>
          <w:sz w:val="18"/>
          <w:szCs w:val="18"/>
          <w:color w:val="auto"/>
        </w:rPr>
        <w:t>See further discussion of our operating results in the “—Results of Operations—Analysis of Operating Segments” and “—Other Income and Expenses” sections below.</w:t>
      </w:r>
    </w:p>
    <w:p>
      <w:pPr>
        <w:spacing w:after="0" w:line="170" w:lineRule="exact"/>
        <w:rPr>
          <w:sz w:val="20"/>
          <w:szCs w:val="20"/>
          <w:color w:val="auto"/>
        </w:rPr>
      </w:pPr>
    </w:p>
    <w:p>
      <w:pPr>
        <w:ind w:right="220" w:firstLine="648"/>
        <w:spacing w:after="0" w:line="264" w:lineRule="auto"/>
        <w:rPr>
          <w:sz w:val="20"/>
          <w:szCs w:val="20"/>
          <w:color w:val="auto"/>
        </w:rPr>
      </w:pPr>
      <w:r>
        <w:rPr>
          <w:rFonts w:ascii="Arial" w:cs="Arial" w:eastAsia="Arial" w:hAnsi="Arial"/>
          <w:sz w:val="18"/>
          <w:szCs w:val="18"/>
          <w:color w:val="auto"/>
        </w:rPr>
        <w:t>We invested $832 million in midstream infrastructure projects during the six months ended June 30, 2018, and we expect expansion capital for the full year of 2018 to be approximately $1.95 billion, which will be primarily focused in the Permian Basin. See the “—Acquisitions and Capital Projects” section below for additional information.</w:t>
      </w:r>
    </w:p>
    <w:p>
      <w:pPr>
        <w:spacing w:after="0" w:line="181" w:lineRule="exact"/>
        <w:rPr>
          <w:sz w:val="20"/>
          <w:szCs w:val="20"/>
          <w:color w:val="auto"/>
        </w:rPr>
      </w:pPr>
    </w:p>
    <w:p>
      <w:pPr>
        <w:ind w:right="240" w:firstLine="648"/>
        <w:spacing w:after="0" w:line="279" w:lineRule="auto"/>
        <w:rPr>
          <w:sz w:val="20"/>
          <w:szCs w:val="20"/>
          <w:color w:val="auto"/>
        </w:rPr>
      </w:pPr>
      <w:r>
        <w:rPr>
          <w:rFonts w:ascii="Arial" w:cs="Arial" w:eastAsia="Arial" w:hAnsi="Arial"/>
          <w:sz w:val="17"/>
          <w:szCs w:val="17"/>
          <w:color w:val="auto"/>
        </w:rPr>
        <w:t>We continued to advance our divestiture program, completing asset sales for total proceeds of approximately $426 million during the six months ended June 30, 2018. We also paid approximately $497 million of cash distributions to our Class A shareholders and noncontrolling interests during the six months ended June 30, 2018. In addition, on August 14, 2018, we will pay aggregate cash distributions of $255 million to our Class A shareholders and noncontrolling interests, including PAA’s common and Series A preferred unitholders.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Acquisitions and Capital Projects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our expenditures for acquisition capital, expansion capital and maintenance capital (in millions):</w:t>
      </w:r>
    </w:p>
    <w:p>
      <w:pPr>
        <w:spacing w:after="0" w:line="163" w:lineRule="exact"/>
        <w:rPr>
          <w:sz w:val="20"/>
          <w:szCs w:val="20"/>
          <w:color w:val="auto"/>
        </w:rPr>
      </w:pPr>
    </w:p>
    <w:p>
      <w:pPr>
        <w:jc w:val="center"/>
        <w:ind w:left="8360"/>
        <w:spacing w:after="0"/>
        <w:rPr>
          <w:sz w:val="20"/>
          <w:szCs w:val="20"/>
          <w:color w:val="auto"/>
        </w:rPr>
      </w:pPr>
      <w:r>
        <w:rPr>
          <w:rFonts w:ascii="Arial" w:cs="Arial" w:eastAsia="Arial" w:hAnsi="Arial"/>
          <w:sz w:val="14"/>
          <w:szCs w:val="14"/>
          <w:b w:val="1"/>
          <w:bCs w:val="1"/>
          <w:color w:val="auto"/>
        </w:rPr>
        <w:t>Six Months Ended</w:t>
      </w:r>
    </w:p>
    <w:p>
      <w:pPr>
        <w:spacing w:after="0" w:line="4" w:lineRule="exact"/>
        <w:rPr>
          <w:sz w:val="20"/>
          <w:szCs w:val="20"/>
          <w:color w:val="auto"/>
        </w:rPr>
      </w:pPr>
    </w:p>
    <w:p>
      <w:pPr>
        <w:jc w:val="center"/>
        <w:ind w:left="8360"/>
        <w:spacing w:after="0"/>
        <w:rPr>
          <w:sz w:val="20"/>
          <w:szCs w:val="20"/>
          <w:color w:val="auto"/>
        </w:rPr>
      </w:pPr>
      <w:r>
        <w:rPr>
          <w:rFonts w:ascii="Arial" w:cs="Arial" w:eastAsia="Arial" w:hAnsi="Arial"/>
          <w:sz w:val="14"/>
          <w:szCs w:val="14"/>
          <w:b w:val="1"/>
          <w:bCs w:val="1"/>
          <w:color w:val="auto"/>
        </w:rPr>
        <w:t>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5296535</wp:posOffset>
            </wp:positionH>
            <wp:positionV relativeFrom="paragraph">
              <wp:posOffset>13335</wp:posOffset>
            </wp:positionV>
            <wp:extent cx="195516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955165" cy="8890"/>
                    </a:xfrm>
                    <a:prstGeom prst="rect">
                      <a:avLst/>
                    </a:prstGeom>
                    <a:noFill/>
                  </pic:spPr>
                </pic:pic>
              </a:graphicData>
            </a:graphic>
          </wp:anchor>
        </w:drawing>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40" w:type="dxa"/>
            <w:vAlign w:val="bottom"/>
            <w:tcBorders>
              <w:bottom w:val="single" w:sz="8" w:color="CCEEFF"/>
            </w:tcBorders>
          </w:tcPr>
          <w:p>
            <w:pPr>
              <w:spacing w:after="0"/>
              <w:rPr>
                <w:sz w:val="16"/>
                <w:szCs w:val="16"/>
                <w:color w:val="auto"/>
              </w:rPr>
            </w:pPr>
          </w:p>
        </w:tc>
        <w:tc>
          <w:tcPr>
            <w:tcW w:w="1000" w:type="dxa"/>
            <w:vAlign w:val="bottom"/>
            <w:tcBorders>
              <w:bottom w:val="single" w:sz="8" w:color="auto"/>
            </w:tcBorders>
          </w:tcPr>
          <w:p>
            <w:pPr>
              <w:jc w:val="right"/>
              <w:ind w:right="16"/>
              <w:spacing w:after="0"/>
              <w:rPr>
                <w:sz w:val="20"/>
                <w:szCs w:val="20"/>
                <w:color w:val="auto"/>
              </w:rPr>
            </w:pPr>
            <w:r>
              <w:rPr>
                <w:rFonts w:ascii="Arial" w:cs="Arial" w:eastAsia="Arial" w:hAnsi="Arial"/>
                <w:sz w:val="14"/>
                <w:szCs w:val="14"/>
                <w:b w:val="1"/>
                <w:bCs w:val="1"/>
                <w:color w:val="auto"/>
              </w:rPr>
              <w:t>2018</w:t>
            </w:r>
          </w:p>
        </w:tc>
        <w:tc>
          <w:tcPr>
            <w:tcW w:w="5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2017</w:t>
            </w:r>
          </w:p>
        </w:tc>
      </w:tr>
      <w:tr>
        <w:trPr>
          <w:trHeight w:val="270"/>
        </w:trPr>
        <w:tc>
          <w:tcPr>
            <w:tcW w:w="834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Acquisition capital </w:t>
            </w:r>
            <w:r>
              <w:rPr>
                <w:rFonts w:ascii="Arial" w:cs="Arial" w:eastAsia="Arial" w:hAnsi="Arial"/>
                <w:sz w:val="25"/>
                <w:szCs w:val="25"/>
                <w:color w:val="auto"/>
                <w:vertAlign w:val="superscript"/>
              </w:rPr>
              <w:t>(1) (2)</w:t>
            </w:r>
          </w:p>
        </w:tc>
        <w:tc>
          <w:tcPr>
            <w:tcW w:w="1000" w:type="dxa"/>
            <w:vAlign w:val="bottom"/>
            <w:shd w:val="clear" w:color="auto" w:fill="CCEEFF"/>
          </w:tcPr>
          <w:p>
            <w:pPr>
              <w:jc w:val="right"/>
              <w:ind w:right="796"/>
              <w:spacing w:after="0"/>
              <w:rPr>
                <w:sz w:val="20"/>
                <w:szCs w:val="20"/>
                <w:color w:val="auto"/>
              </w:rPr>
            </w:pPr>
            <w:r>
              <w:rPr>
                <w:rFonts w:ascii="Arial" w:cs="Arial" w:eastAsia="Arial" w:hAnsi="Arial"/>
                <w:sz w:val="18"/>
                <w:szCs w:val="18"/>
                <w:color w:val="auto"/>
                <w:w w:val="99"/>
              </w:rPr>
              <w:t>$</w:t>
            </w: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1,325</w:t>
            </w:r>
          </w:p>
        </w:tc>
      </w:tr>
      <w:tr>
        <w:trPr>
          <w:trHeight w:val="270"/>
        </w:trPr>
        <w:tc>
          <w:tcPr>
            <w:tcW w:w="834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Expansion capital </w:t>
            </w:r>
            <w:r>
              <w:rPr>
                <w:rFonts w:ascii="Arial" w:cs="Arial" w:eastAsia="Arial" w:hAnsi="Arial"/>
                <w:sz w:val="25"/>
                <w:szCs w:val="25"/>
                <w:color w:val="auto"/>
                <w:vertAlign w:val="superscript"/>
              </w:rPr>
              <w:t>(2) (3)</w:t>
            </w:r>
          </w:p>
        </w:tc>
        <w:tc>
          <w:tcPr>
            <w:tcW w:w="1000" w:type="dxa"/>
            <w:vAlign w:val="bottom"/>
          </w:tcPr>
          <w:p>
            <w:pPr>
              <w:spacing w:after="0"/>
              <w:rPr>
                <w:sz w:val="23"/>
                <w:szCs w:val="23"/>
                <w:color w:val="auto"/>
              </w:rPr>
            </w:pPr>
          </w:p>
        </w:tc>
        <w:tc>
          <w:tcPr>
            <w:tcW w:w="500" w:type="dxa"/>
            <w:vAlign w:val="bottom"/>
          </w:tcPr>
          <w:p>
            <w:pPr>
              <w:jc w:val="right"/>
              <w:ind w:right="10"/>
              <w:spacing w:after="0"/>
              <w:rPr>
                <w:sz w:val="20"/>
                <w:szCs w:val="20"/>
                <w:color w:val="auto"/>
              </w:rPr>
            </w:pPr>
            <w:r>
              <w:rPr>
                <w:rFonts w:ascii="Arial" w:cs="Arial" w:eastAsia="Arial" w:hAnsi="Arial"/>
                <w:sz w:val="18"/>
                <w:szCs w:val="18"/>
                <w:color w:val="auto"/>
              </w:rPr>
              <w:t>832</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614</w:t>
            </w:r>
          </w:p>
        </w:tc>
      </w:tr>
      <w:tr>
        <w:trPr>
          <w:trHeight w:val="270"/>
        </w:trPr>
        <w:tc>
          <w:tcPr>
            <w:tcW w:w="834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Maintenance capital </w:t>
            </w:r>
            <w:r>
              <w:rPr>
                <w:rFonts w:ascii="Arial" w:cs="Arial" w:eastAsia="Arial" w:hAnsi="Arial"/>
                <w:sz w:val="25"/>
                <w:szCs w:val="25"/>
                <w:color w:val="auto"/>
                <w:vertAlign w:val="superscript"/>
              </w:rPr>
              <w:t>(3)</w:t>
            </w:r>
          </w:p>
        </w:tc>
        <w:tc>
          <w:tcPr>
            <w:tcW w:w="1000" w:type="dxa"/>
            <w:vAlign w:val="bottom"/>
            <w:tcBorders>
              <w:bottom w:val="single" w:sz="8" w:color="auto"/>
            </w:tcBorders>
            <w:shd w:val="clear" w:color="auto" w:fill="CCEEFF"/>
          </w:tcPr>
          <w:p>
            <w:pPr>
              <w:spacing w:after="0"/>
              <w:rPr>
                <w:sz w:val="23"/>
                <w:szCs w:val="23"/>
                <w:color w:val="auto"/>
              </w:rPr>
            </w:pPr>
          </w:p>
        </w:tc>
        <w:tc>
          <w:tcPr>
            <w:tcW w:w="5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108</w:t>
            </w:r>
          </w:p>
        </w:tc>
        <w:tc>
          <w:tcPr>
            <w:tcW w:w="10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131</w:t>
            </w:r>
          </w:p>
        </w:tc>
      </w:tr>
      <w:tr>
        <w:trPr>
          <w:trHeight w:val="237"/>
        </w:trPr>
        <w:tc>
          <w:tcPr>
            <w:tcW w:w="8340" w:type="dxa"/>
            <w:vAlign w:val="bottom"/>
          </w:tcPr>
          <w:p>
            <w:pPr>
              <w:spacing w:after="0"/>
              <w:rPr>
                <w:sz w:val="20"/>
                <w:szCs w:val="20"/>
                <w:color w:val="auto"/>
              </w:rPr>
            </w:pPr>
          </w:p>
        </w:tc>
        <w:tc>
          <w:tcPr>
            <w:tcW w:w="1000" w:type="dxa"/>
            <w:vAlign w:val="bottom"/>
          </w:tcPr>
          <w:p>
            <w:pPr>
              <w:jc w:val="right"/>
              <w:ind w:right="796"/>
              <w:spacing w:after="0"/>
              <w:rPr>
                <w:sz w:val="20"/>
                <w:szCs w:val="20"/>
                <w:color w:val="auto"/>
              </w:rPr>
            </w:pPr>
            <w:r>
              <w:rPr>
                <w:rFonts w:ascii="Arial" w:cs="Arial" w:eastAsia="Arial" w:hAnsi="Arial"/>
                <w:sz w:val="18"/>
                <w:szCs w:val="18"/>
                <w:color w:val="auto"/>
                <w:w w:val="99"/>
              </w:rPr>
              <w:t>$</w:t>
            </w:r>
          </w:p>
        </w:tc>
        <w:tc>
          <w:tcPr>
            <w:tcW w:w="500" w:type="dxa"/>
            <w:vAlign w:val="bottom"/>
          </w:tcPr>
          <w:p>
            <w:pPr>
              <w:jc w:val="right"/>
              <w:ind w:right="10"/>
              <w:spacing w:after="0"/>
              <w:rPr>
                <w:sz w:val="20"/>
                <w:szCs w:val="20"/>
                <w:color w:val="auto"/>
              </w:rPr>
            </w:pPr>
            <w:r>
              <w:rPr>
                <w:rFonts w:ascii="Arial" w:cs="Arial" w:eastAsia="Arial" w:hAnsi="Arial"/>
                <w:sz w:val="18"/>
                <w:szCs w:val="18"/>
                <w:color w:val="auto"/>
              </w:rPr>
              <w:t>940</w:t>
            </w:r>
          </w:p>
        </w:tc>
        <w:tc>
          <w:tcPr>
            <w:tcW w:w="100" w:type="dxa"/>
            <w:vAlign w:val="bottom"/>
          </w:tcPr>
          <w:p>
            <w:pPr>
              <w:spacing w:after="0"/>
              <w:rPr>
                <w:sz w:val="20"/>
                <w:szCs w:val="20"/>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2,070</w:t>
            </w:r>
          </w:p>
        </w:tc>
      </w:tr>
      <w:tr>
        <w:trPr>
          <w:trHeight w:val="27"/>
        </w:trPr>
        <w:tc>
          <w:tcPr>
            <w:tcW w:w="834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0"/>
        </w:trPr>
        <w:tc>
          <w:tcPr>
            <w:tcW w:w="834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250444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2504440" cy="8890"/>
                    </a:xfrm>
                    <a:prstGeom prst="rect">
                      <a:avLst/>
                    </a:prstGeom>
                    <a:noFill/>
                  </pic:spPr>
                </pic:pic>
              </a:graphicData>
            </a:graphic>
          </wp:anchor>
        </w:drawing>
      </w:r>
    </w:p>
    <w:p>
      <w:pPr>
        <w:spacing w:after="0" w:line="233" w:lineRule="exact"/>
        <w:rPr>
          <w:sz w:val="20"/>
          <w:szCs w:val="20"/>
          <w:color w:val="auto"/>
        </w:rPr>
      </w:pPr>
    </w:p>
    <w:p>
      <w:pPr>
        <w:ind w:left="660" w:hanging="652"/>
        <w:spacing w:after="0"/>
        <w:tabs>
          <w:tab w:leader="none" w:pos="660" w:val="left"/>
        </w:tabs>
        <w:numPr>
          <w:ilvl w:val="0"/>
          <w:numId w:val="27"/>
        </w:numPr>
        <w:rPr>
          <w:rFonts w:ascii="Arial" w:cs="Arial" w:eastAsia="Arial" w:hAnsi="Arial"/>
          <w:sz w:val="25"/>
          <w:szCs w:val="25"/>
          <w:color w:val="auto"/>
          <w:vertAlign w:val="superscript"/>
        </w:rPr>
      </w:pPr>
      <w:r>
        <w:rPr>
          <w:rFonts w:ascii="Arial" w:cs="Arial" w:eastAsia="Arial" w:hAnsi="Arial"/>
          <w:sz w:val="18"/>
          <w:szCs w:val="18"/>
          <w:color w:val="auto"/>
        </w:rPr>
        <w:t>Acquisition capital for the first six months of 2017 primarily relates to the ACC Acquisition.</w:t>
      </w:r>
    </w:p>
    <w:p>
      <w:pPr>
        <w:spacing w:after="0" w:line="147" w:lineRule="exact"/>
        <w:rPr>
          <w:rFonts w:ascii="Arial" w:cs="Arial" w:eastAsia="Arial" w:hAnsi="Arial"/>
          <w:sz w:val="25"/>
          <w:szCs w:val="25"/>
          <w:color w:val="auto"/>
          <w:vertAlign w:val="superscript"/>
        </w:rPr>
      </w:pPr>
    </w:p>
    <w:p>
      <w:pPr>
        <w:ind w:left="660" w:right="20" w:hanging="652"/>
        <w:spacing w:after="0" w:line="226" w:lineRule="auto"/>
        <w:tabs>
          <w:tab w:leader="none" w:pos="660" w:val="left"/>
        </w:tabs>
        <w:numPr>
          <w:ilvl w:val="0"/>
          <w:numId w:val="27"/>
        </w:numPr>
        <w:rPr>
          <w:rFonts w:ascii="Arial" w:cs="Arial" w:eastAsia="Arial" w:hAnsi="Arial"/>
          <w:sz w:val="25"/>
          <w:szCs w:val="25"/>
          <w:color w:val="auto"/>
          <w:vertAlign w:val="superscript"/>
        </w:rPr>
      </w:pPr>
      <w:r>
        <w:rPr>
          <w:rFonts w:ascii="Arial" w:cs="Arial" w:eastAsia="Arial" w:hAnsi="Arial"/>
          <w:sz w:val="18"/>
          <w:szCs w:val="18"/>
          <w:color w:val="auto"/>
        </w:rPr>
        <w:t>Acquisitions of initial investments or additional interests in unconsolidated entities are included in “Acquisition capital.” Subsequent contributions to unconsolidated entities related to expansion projects of such entities are recognized in “Expansion capital.” We account for our investments in such entities under the equity method of accounting.</w:t>
      </w:r>
    </w:p>
    <w:p>
      <w:pPr>
        <w:spacing w:after="0" w:line="95" w:lineRule="exact"/>
        <w:rPr>
          <w:rFonts w:ascii="Arial" w:cs="Arial" w:eastAsia="Arial" w:hAnsi="Arial"/>
          <w:sz w:val="25"/>
          <w:szCs w:val="25"/>
          <w:color w:val="auto"/>
          <w:vertAlign w:val="superscript"/>
        </w:rPr>
      </w:pPr>
    </w:p>
    <w:p>
      <w:pPr>
        <w:ind w:left="660" w:right="280" w:hanging="652"/>
        <w:spacing w:after="0" w:line="226" w:lineRule="auto"/>
        <w:tabs>
          <w:tab w:leader="none" w:pos="660" w:val="left"/>
        </w:tabs>
        <w:numPr>
          <w:ilvl w:val="0"/>
          <w:numId w:val="27"/>
        </w:numPr>
        <w:rPr>
          <w:rFonts w:ascii="Arial" w:cs="Arial" w:eastAsia="Arial" w:hAnsi="Arial"/>
          <w:sz w:val="25"/>
          <w:szCs w:val="25"/>
          <w:color w:val="auto"/>
          <w:vertAlign w:val="superscript"/>
        </w:rPr>
      </w:pPr>
      <w:r>
        <w:rPr>
          <w:rFonts w:ascii="Arial" w:cs="Arial" w:eastAsia="Arial" w:hAnsi="Arial"/>
          <w:sz w:val="18"/>
          <w:szCs w:val="18"/>
          <w:color w:val="auto"/>
        </w:rPr>
        <w:t>Capital expenditures made to expand the existing operating and/or earnings capacity of our assets are classified as expansion capital. Capital expenditures for the replacement of partially or fully depreciated assets in order to maintain the operating and/or earnings capacity of our existing assets are classified as maintenance capital.</w:t>
      </w: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125" w:right="239" w:bottom="1440" w:gutter="0" w:footer="0" w:header="0"/>
        </w:sectPr>
      </w:pPr>
    </w:p>
    <w:bookmarkStart w:id="40" w:name="page41"/>
    <w:bookmarkEnd w:id="4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Expansion Capital Projects</w:t>
      </w:r>
    </w:p>
    <w:p>
      <w:pPr>
        <w:spacing w:after="0" w:line="225" w:lineRule="exact"/>
        <w:rPr>
          <w:sz w:val="20"/>
          <w:szCs w:val="20"/>
          <w:color w:val="auto"/>
        </w:rPr>
      </w:pPr>
    </w:p>
    <w:p>
      <w:pPr>
        <w:ind w:right="460" w:firstLine="648"/>
        <w:spacing w:after="0" w:line="277" w:lineRule="auto"/>
        <w:rPr>
          <w:sz w:val="20"/>
          <w:szCs w:val="20"/>
          <w:color w:val="auto"/>
        </w:rPr>
      </w:pPr>
      <w:r>
        <w:rPr>
          <w:rFonts w:ascii="Arial" w:cs="Arial" w:eastAsia="Arial" w:hAnsi="Arial"/>
          <w:sz w:val="18"/>
          <w:szCs w:val="18"/>
          <w:color w:val="auto"/>
        </w:rPr>
        <w:t>The following table summarizes our notable projects in progress during 2018 and the estimated cost for the year ending December 31, 2018 (in millions):</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7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Projects</w:t>
            </w:r>
          </w:p>
        </w:tc>
        <w:tc>
          <w:tcPr>
            <w:tcW w:w="10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73"/>
              <w:spacing w:after="0"/>
              <w:rPr>
                <w:sz w:val="20"/>
                <w:szCs w:val="20"/>
                <w:color w:val="auto"/>
              </w:rPr>
            </w:pPr>
            <w:r>
              <w:rPr>
                <w:rFonts w:ascii="Arial" w:cs="Arial" w:eastAsia="Arial" w:hAnsi="Arial"/>
                <w:sz w:val="14"/>
                <w:szCs w:val="14"/>
                <w:b w:val="1"/>
                <w:bCs w:val="1"/>
                <w:color w:val="auto"/>
              </w:rPr>
              <w:t>2018</w:t>
            </w:r>
          </w:p>
        </w:tc>
      </w:tr>
      <w:tr>
        <w:trPr>
          <w:trHeight w:val="250"/>
        </w:trPr>
        <w:tc>
          <w:tcPr>
            <w:tcW w:w="98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Permian Basin Takeaway Pipeline Projects</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925</w:t>
            </w:r>
          </w:p>
        </w:tc>
      </w:tr>
      <w:tr>
        <w:trPr>
          <w:trHeight w:val="243"/>
        </w:trPr>
        <w:tc>
          <w:tcPr>
            <w:tcW w:w="9820" w:type="dxa"/>
            <w:vAlign w:val="bottom"/>
            <w:gridSpan w:val="2"/>
          </w:tcPr>
          <w:p>
            <w:pPr>
              <w:ind w:left="40"/>
              <w:spacing w:after="0"/>
              <w:rPr>
                <w:sz w:val="20"/>
                <w:szCs w:val="20"/>
                <w:color w:val="auto"/>
              </w:rPr>
            </w:pPr>
            <w:r>
              <w:rPr>
                <w:rFonts w:ascii="Arial" w:cs="Arial" w:eastAsia="Arial" w:hAnsi="Arial"/>
                <w:sz w:val="18"/>
                <w:szCs w:val="18"/>
                <w:color w:val="auto"/>
              </w:rPr>
              <w:t>Complementary Permian Basin Projects</w:t>
            </w:r>
          </w:p>
        </w:tc>
        <w:tc>
          <w:tcPr>
            <w:tcW w:w="40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675</w:t>
            </w:r>
          </w:p>
        </w:tc>
      </w:tr>
      <w:tr>
        <w:trPr>
          <w:trHeight w:val="27"/>
        </w:trPr>
        <w:tc>
          <w:tcPr>
            <w:tcW w:w="9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9820" w:type="dxa"/>
            <w:vAlign w:val="bottom"/>
            <w:gridSpan w:val="2"/>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Selected Facilities Projects </w:t>
            </w:r>
            <w:r>
              <w:rPr>
                <w:rFonts w:ascii="Arial" w:cs="Arial" w:eastAsia="Arial" w:hAnsi="Arial"/>
                <w:sz w:val="25"/>
                <w:szCs w:val="25"/>
                <w:color w:val="auto"/>
                <w:vertAlign w:val="superscript"/>
              </w:rPr>
              <w:t>(1)</w:t>
            </w:r>
          </w:p>
        </w:tc>
        <w:tc>
          <w:tcPr>
            <w:tcW w:w="400" w:type="dxa"/>
            <w:vAlign w:val="bottom"/>
            <w:shd w:val="clear" w:color="auto" w:fill="CCEEFF"/>
          </w:tcPr>
          <w:p>
            <w:pPr>
              <w:spacing w:after="0"/>
              <w:rPr>
                <w:sz w:val="23"/>
                <w:szCs w:val="23"/>
                <w:color w:val="auto"/>
              </w:rPr>
            </w:pPr>
          </w:p>
        </w:tc>
        <w:tc>
          <w:tcPr>
            <w:tcW w:w="12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65</w:t>
            </w:r>
          </w:p>
        </w:tc>
      </w:tr>
      <w:tr>
        <w:trPr>
          <w:trHeight w:val="243"/>
        </w:trPr>
        <w:tc>
          <w:tcPr>
            <w:tcW w:w="9820" w:type="dxa"/>
            <w:vAlign w:val="bottom"/>
            <w:gridSpan w:val="2"/>
          </w:tcPr>
          <w:p>
            <w:pPr>
              <w:ind w:left="40"/>
              <w:spacing w:after="0"/>
              <w:rPr>
                <w:sz w:val="20"/>
                <w:szCs w:val="20"/>
                <w:color w:val="auto"/>
              </w:rPr>
            </w:pPr>
            <w:r>
              <w:rPr>
                <w:rFonts w:ascii="Arial" w:cs="Arial" w:eastAsia="Arial" w:hAnsi="Arial"/>
                <w:sz w:val="18"/>
                <w:szCs w:val="18"/>
                <w:color w:val="auto"/>
              </w:rPr>
              <w:t>Other Projects</w:t>
            </w:r>
          </w:p>
        </w:tc>
        <w:tc>
          <w:tcPr>
            <w:tcW w:w="40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285</w:t>
            </w:r>
          </w:p>
        </w:tc>
      </w:tr>
      <w:tr>
        <w:trPr>
          <w:trHeight w:val="27"/>
        </w:trPr>
        <w:tc>
          <w:tcPr>
            <w:tcW w:w="97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64"/>
        </w:trPr>
        <w:tc>
          <w:tcPr>
            <w:tcW w:w="9820" w:type="dxa"/>
            <w:vAlign w:val="bottom"/>
            <w:tcBorders>
              <w:bottom w:val="single" w:sz="8" w:color="CCEEFF"/>
            </w:tcBorders>
            <w:gridSpan w:val="2"/>
            <w:shd w:val="clear" w:color="auto" w:fill="CCEEFF"/>
          </w:tcPr>
          <w:p>
            <w:pPr>
              <w:ind w:left="180"/>
              <w:spacing w:after="0" w:line="264" w:lineRule="exact"/>
              <w:rPr>
                <w:sz w:val="20"/>
                <w:szCs w:val="20"/>
                <w:color w:val="auto"/>
              </w:rPr>
            </w:pPr>
            <w:r>
              <w:rPr>
                <w:rFonts w:ascii="Arial" w:cs="Arial" w:eastAsia="Arial" w:hAnsi="Arial"/>
                <w:sz w:val="18"/>
                <w:szCs w:val="18"/>
                <w:color w:val="auto"/>
              </w:rPr>
              <w:t xml:space="preserve">Total Projected 2018 Expansion Capital Expenditures </w:t>
            </w:r>
            <w:r>
              <w:rPr>
                <w:rFonts w:ascii="Arial" w:cs="Arial" w:eastAsia="Arial" w:hAnsi="Arial"/>
                <w:sz w:val="25"/>
                <w:szCs w:val="25"/>
                <w:color w:val="auto"/>
                <w:vertAlign w:val="superscript"/>
              </w:rPr>
              <w:t>(2)</w:t>
            </w: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1,950</w:t>
            </w:r>
          </w:p>
        </w:tc>
      </w:tr>
      <w:tr>
        <w:trPr>
          <w:trHeight w:val="20"/>
        </w:trPr>
        <w:tc>
          <w:tcPr>
            <w:tcW w:w="9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250444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2504440" cy="8890"/>
                    </a:xfrm>
                    <a:prstGeom prst="rect">
                      <a:avLst/>
                    </a:prstGeom>
                    <a:noFill/>
                  </pic:spPr>
                </pic:pic>
              </a:graphicData>
            </a:graphic>
          </wp:anchor>
        </w:drawing>
      </w:r>
    </w:p>
    <w:p>
      <w:pPr>
        <w:spacing w:after="0" w:line="233" w:lineRule="exact"/>
        <w:rPr>
          <w:sz w:val="20"/>
          <w:szCs w:val="20"/>
          <w:color w:val="auto"/>
        </w:rPr>
      </w:pPr>
    </w:p>
    <w:p>
      <w:pPr>
        <w:ind w:left="660" w:hanging="652"/>
        <w:spacing w:after="0"/>
        <w:tabs>
          <w:tab w:leader="none" w:pos="660" w:val="left"/>
        </w:tabs>
        <w:numPr>
          <w:ilvl w:val="0"/>
          <w:numId w:val="28"/>
        </w:numPr>
        <w:rPr>
          <w:rFonts w:ascii="Arial" w:cs="Arial" w:eastAsia="Arial" w:hAnsi="Arial"/>
          <w:sz w:val="25"/>
          <w:szCs w:val="25"/>
          <w:color w:val="auto"/>
          <w:vertAlign w:val="superscript"/>
        </w:rPr>
      </w:pPr>
      <w:r>
        <w:rPr>
          <w:rFonts w:ascii="Arial" w:cs="Arial" w:eastAsia="Arial" w:hAnsi="Arial"/>
          <w:sz w:val="18"/>
          <w:szCs w:val="18"/>
          <w:color w:val="auto"/>
        </w:rPr>
        <w:t>Includes projects at our St. James, Fort Saskatchewan and Cushing terminals.</w:t>
      </w:r>
    </w:p>
    <w:p>
      <w:pPr>
        <w:spacing w:after="0" w:line="147" w:lineRule="exact"/>
        <w:rPr>
          <w:rFonts w:ascii="Arial" w:cs="Arial" w:eastAsia="Arial" w:hAnsi="Arial"/>
          <w:sz w:val="25"/>
          <w:szCs w:val="25"/>
          <w:color w:val="auto"/>
          <w:vertAlign w:val="superscript"/>
        </w:rPr>
      </w:pPr>
    </w:p>
    <w:p>
      <w:pPr>
        <w:ind w:left="660" w:right="700" w:hanging="652"/>
        <w:spacing w:after="0" w:line="216" w:lineRule="auto"/>
        <w:tabs>
          <w:tab w:leader="none" w:pos="660" w:val="left"/>
        </w:tabs>
        <w:numPr>
          <w:ilvl w:val="0"/>
          <w:numId w:val="28"/>
        </w:numPr>
        <w:rPr>
          <w:rFonts w:ascii="Arial" w:cs="Arial" w:eastAsia="Arial" w:hAnsi="Arial"/>
          <w:sz w:val="25"/>
          <w:szCs w:val="25"/>
          <w:color w:val="auto"/>
          <w:vertAlign w:val="superscript"/>
        </w:rPr>
      </w:pPr>
      <w:r>
        <w:rPr>
          <w:rFonts w:ascii="Arial" w:cs="Arial" w:eastAsia="Arial" w:hAnsi="Arial"/>
          <w:sz w:val="18"/>
          <w:szCs w:val="18"/>
          <w:color w:val="auto"/>
        </w:rPr>
        <w:t>Amounts reflect our expectation that certain projects will be owned in a joint venture structure with a proportionate share of the project cost dispersed among the partners.</w:t>
      </w:r>
    </w:p>
    <w:p>
      <w:pPr>
        <w:spacing w:after="0" w:line="203" w:lineRule="exact"/>
        <w:rPr>
          <w:sz w:val="20"/>
          <w:szCs w:val="20"/>
          <w:color w:val="auto"/>
        </w:rPr>
      </w:pPr>
    </w:p>
    <w:p>
      <w:pPr>
        <w:ind w:right="160" w:firstLine="648"/>
        <w:spacing w:after="0" w:line="312" w:lineRule="auto"/>
        <w:rPr>
          <w:sz w:val="20"/>
          <w:szCs w:val="20"/>
          <w:color w:val="auto"/>
        </w:rPr>
      </w:pPr>
      <w:r>
        <w:rPr>
          <w:rFonts w:ascii="Arial" w:cs="Arial" w:eastAsia="Arial" w:hAnsi="Arial"/>
          <w:sz w:val="16"/>
          <w:szCs w:val="16"/>
          <w:color w:val="auto"/>
        </w:rPr>
        <w:t>We have increased our 2018/2019 expansion capital program primarily due to demand for additional Permian Basin infrastructure, and we expect a majority of this increase to occur in 2018. We have also accelerated into 2018 the construction of some projects initially scheduled for 2019 and have increased costs on certain projects. A portion of the cost increase is attributable to the imposition of steel tariffs on the Cactus II pipeline project.</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125" w:right="239" w:bottom="1440" w:gutter="0" w:footer="0" w:header="0"/>
        </w:sectPr>
      </w:pPr>
    </w:p>
    <w:bookmarkStart w:id="41" w:name="page42"/>
    <w:bookmarkEnd w:id="4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 sets forth an overview of our consolidated financial results calculated in accordance with GAAP (in millions, except per share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data):</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0" w:type="dxa"/>
            <w:vAlign w:val="bottom"/>
            <w:gridSpan w:val="5"/>
          </w:tcPr>
          <w:p>
            <w:pPr>
              <w:ind w:left="100"/>
              <w:spacing w:after="0"/>
              <w:rPr>
                <w:sz w:val="20"/>
                <w:szCs w:val="20"/>
                <w:color w:val="auto"/>
              </w:rPr>
            </w:pPr>
            <w:r>
              <w:rPr>
                <w:rFonts w:ascii="Arial" w:cs="Arial" w:eastAsia="Arial" w:hAnsi="Arial"/>
                <w:sz w:val="14"/>
                <w:szCs w:val="14"/>
                <w:b w:val="1"/>
                <w:bCs w:val="1"/>
                <w:color w:val="auto"/>
              </w:rPr>
              <w:t>Three Months Ended</w:t>
            </w:r>
          </w:p>
        </w:tc>
        <w:tc>
          <w:tcPr>
            <w:tcW w:w="260" w:type="dxa"/>
            <w:vAlign w:val="bottom"/>
          </w:tcPr>
          <w:p>
            <w:pPr>
              <w:spacing w:after="0"/>
              <w:rPr>
                <w:sz w:val="14"/>
                <w:szCs w:val="14"/>
                <w:color w:val="auto"/>
              </w:rPr>
            </w:pPr>
          </w:p>
        </w:tc>
        <w:tc>
          <w:tcPr>
            <w:tcW w:w="1120" w:type="dxa"/>
            <w:vAlign w:val="bottom"/>
            <w:gridSpan w:val="3"/>
            <w:vMerge w:val="restart"/>
          </w:tcPr>
          <w:p>
            <w:pPr>
              <w:ind w:left="500"/>
              <w:spacing w:after="0"/>
              <w:rPr>
                <w:sz w:val="20"/>
                <w:szCs w:val="20"/>
                <w:color w:val="auto"/>
              </w:rPr>
            </w:pPr>
            <w:r>
              <w:rPr>
                <w:rFonts w:ascii="Arial" w:cs="Arial" w:eastAsia="Arial" w:hAnsi="Arial"/>
                <w:sz w:val="14"/>
                <w:szCs w:val="14"/>
                <w:b w:val="1"/>
                <w:bCs w:val="1"/>
                <w:color w:val="auto"/>
              </w:rPr>
              <w:t>Variance</w:t>
            </w: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780" w:type="dxa"/>
            <w:vAlign w:val="bottom"/>
            <w:gridSpan w:val="5"/>
          </w:tcPr>
          <w:p>
            <w:pPr>
              <w:ind w:left="180"/>
              <w:spacing w:after="0"/>
              <w:rPr>
                <w:sz w:val="20"/>
                <w:szCs w:val="20"/>
                <w:color w:val="auto"/>
              </w:rPr>
            </w:pPr>
            <w:r>
              <w:rPr>
                <w:rFonts w:ascii="Arial" w:cs="Arial" w:eastAsia="Arial" w:hAnsi="Arial"/>
                <w:sz w:val="14"/>
                <w:szCs w:val="14"/>
                <w:b w:val="1"/>
                <w:bCs w:val="1"/>
                <w:color w:val="auto"/>
              </w:rPr>
              <w:t>Six Months Ended</w:t>
            </w:r>
          </w:p>
        </w:tc>
        <w:tc>
          <w:tcPr>
            <w:tcW w:w="260" w:type="dxa"/>
            <w:vAlign w:val="bottom"/>
          </w:tcPr>
          <w:p>
            <w:pPr>
              <w:spacing w:after="0"/>
              <w:rPr>
                <w:sz w:val="14"/>
                <w:szCs w:val="14"/>
                <w:color w:val="auto"/>
              </w:rPr>
            </w:pPr>
          </w:p>
        </w:tc>
        <w:tc>
          <w:tcPr>
            <w:tcW w:w="1120" w:type="dxa"/>
            <w:vAlign w:val="bottom"/>
            <w:gridSpan w:val="3"/>
            <w:vMerge w:val="restart"/>
          </w:tcPr>
          <w:p>
            <w:pPr>
              <w:ind w:left="500"/>
              <w:spacing w:after="0"/>
              <w:rPr>
                <w:sz w:val="20"/>
                <w:szCs w:val="20"/>
                <w:color w:val="auto"/>
              </w:rPr>
            </w:pPr>
            <w:r>
              <w:rPr>
                <w:rFonts w:ascii="Arial" w:cs="Arial" w:eastAsia="Arial" w:hAnsi="Arial"/>
                <w:sz w:val="14"/>
                <w:szCs w:val="14"/>
                <w:b w:val="1"/>
                <w:bCs w:val="1"/>
                <w:color w:val="auto"/>
              </w:rPr>
              <w:t>Variance</w:t>
            </w: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3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6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3"/>
            <w:vMerge w:val="continue"/>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6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3"/>
            <w:vMerge w:val="continue"/>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3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jc w:val="right"/>
              <w:ind w:right="211"/>
              <w:spacing w:after="0"/>
              <w:rPr>
                <w:sz w:val="20"/>
                <w:szCs w:val="20"/>
                <w:color w:val="auto"/>
              </w:rPr>
            </w:pPr>
            <w:r>
              <w:rPr>
                <w:rFonts w:ascii="Arial" w:cs="Arial" w:eastAsia="Arial" w:hAnsi="Arial"/>
                <w:sz w:val="14"/>
                <w:szCs w:val="14"/>
                <w:b w:val="1"/>
                <w:bCs w:val="1"/>
                <w:color w:val="auto"/>
                <w:w w:val="96"/>
              </w:rPr>
              <w:t>2017</w:t>
            </w: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ind w:right="351"/>
              <w:spacing w:after="0"/>
              <w:rPr>
                <w:sz w:val="20"/>
                <w:szCs w:val="20"/>
                <w:color w:val="auto"/>
              </w:rPr>
            </w:pPr>
            <w:r>
              <w:rPr>
                <w:rFonts w:ascii="Arial" w:cs="Arial" w:eastAsia="Arial" w:hAnsi="Arial"/>
                <w:sz w:val="14"/>
                <w:szCs w:val="14"/>
                <w:b w:val="1"/>
                <w:bCs w:val="1"/>
                <w:color w:val="auto"/>
              </w:rPr>
              <w:t>%</w:t>
            </w: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ind w:right="211"/>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w:t>
            </w:r>
          </w:p>
        </w:tc>
        <w:tc>
          <w:tcPr>
            <w:tcW w:w="1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ind w:right="351"/>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15"/>
        </w:trPr>
        <w:tc>
          <w:tcPr>
            <w:tcW w:w="3120" w:type="dxa"/>
            <w:vAlign w:val="bottom"/>
            <w:shd w:val="clear" w:color="auto" w:fill="CCEEFF"/>
          </w:tcPr>
          <w:p>
            <w:pPr>
              <w:ind w:left="40"/>
              <w:spacing w:after="0"/>
              <w:rPr>
                <w:sz w:val="20"/>
                <w:szCs w:val="20"/>
                <w:color w:val="auto"/>
              </w:rPr>
            </w:pPr>
            <w:r>
              <w:rPr>
                <w:rFonts w:ascii="Arial" w:cs="Arial" w:eastAsia="Arial" w:hAnsi="Arial"/>
                <w:sz w:val="18"/>
                <w:szCs w:val="18"/>
                <w:color w:val="auto"/>
                <w:w w:val="91"/>
              </w:rPr>
              <w:t>Transportation segment adjusted EBITDA</w:t>
            </w:r>
          </w:p>
        </w:tc>
        <w:tc>
          <w:tcPr>
            <w:tcW w:w="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vMerge w:val="restart"/>
            <w:shd w:val="clear" w:color="auto" w:fill="CCEEFF"/>
          </w:tcPr>
          <w:p>
            <w:pPr>
              <w:jc w:val="right"/>
              <w:ind w:right="13"/>
              <w:spacing w:after="0"/>
              <w:rPr>
                <w:sz w:val="20"/>
                <w:szCs w:val="20"/>
                <w:color w:val="auto"/>
              </w:rPr>
            </w:pPr>
            <w:r>
              <w:rPr>
                <w:rFonts w:ascii="Arial" w:cs="Arial" w:eastAsia="Arial" w:hAnsi="Arial"/>
                <w:sz w:val="18"/>
                <w:szCs w:val="18"/>
                <w:color w:val="auto"/>
              </w:rPr>
              <w:t>360</w:t>
            </w:r>
          </w:p>
        </w:tc>
        <w:tc>
          <w:tcPr>
            <w:tcW w:w="120" w:type="dxa"/>
            <w:vAlign w:val="bottom"/>
            <w:shd w:val="clear" w:color="auto" w:fill="CCEEFF"/>
          </w:tcPr>
          <w:p>
            <w:pPr>
              <w:spacing w:after="0"/>
              <w:rPr>
                <w:sz w:val="18"/>
                <w:szCs w:val="18"/>
                <w:color w:val="auto"/>
              </w:rPr>
            </w:pPr>
          </w:p>
        </w:tc>
        <w:tc>
          <w:tcPr>
            <w:tcW w:w="26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620" w:type="dxa"/>
            <w:vAlign w:val="bottom"/>
            <w:vMerge w:val="restart"/>
            <w:shd w:val="clear" w:color="auto" w:fill="CCEEFF"/>
          </w:tcPr>
          <w:p>
            <w:pPr>
              <w:jc w:val="right"/>
              <w:ind w:right="11"/>
              <w:spacing w:after="0"/>
              <w:rPr>
                <w:sz w:val="20"/>
                <w:szCs w:val="20"/>
                <w:color w:val="auto"/>
              </w:rPr>
            </w:pPr>
            <w:r>
              <w:rPr>
                <w:rFonts w:ascii="Arial" w:cs="Arial" w:eastAsia="Arial" w:hAnsi="Arial"/>
                <w:sz w:val="18"/>
                <w:szCs w:val="18"/>
                <w:color w:val="auto"/>
              </w:rPr>
              <w:t>298</w:t>
            </w:r>
          </w:p>
        </w:tc>
        <w:tc>
          <w:tcPr>
            <w:tcW w:w="120" w:type="dxa"/>
            <w:vAlign w:val="bottom"/>
            <w:shd w:val="clear" w:color="auto" w:fill="CCEEFF"/>
          </w:tcPr>
          <w:p>
            <w:pPr>
              <w:spacing w:after="0"/>
              <w:rPr>
                <w:sz w:val="18"/>
                <w:szCs w:val="18"/>
                <w:color w:val="auto"/>
              </w:rPr>
            </w:pPr>
          </w:p>
        </w:tc>
        <w:tc>
          <w:tcPr>
            <w:tcW w:w="26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640" w:type="dxa"/>
            <w:vAlign w:val="bottom"/>
            <w:vMerge w:val="restart"/>
            <w:shd w:val="clear" w:color="auto" w:fill="CCEEFF"/>
          </w:tcPr>
          <w:p>
            <w:pPr>
              <w:jc w:val="right"/>
              <w:ind w:right="32"/>
              <w:spacing w:after="0"/>
              <w:rPr>
                <w:sz w:val="20"/>
                <w:szCs w:val="20"/>
                <w:color w:val="auto"/>
              </w:rPr>
            </w:pPr>
            <w:r>
              <w:rPr>
                <w:rFonts w:ascii="Arial" w:cs="Arial" w:eastAsia="Arial" w:hAnsi="Arial"/>
                <w:sz w:val="18"/>
                <w:szCs w:val="18"/>
                <w:color w:val="auto"/>
              </w:rPr>
              <w:t>62</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21 %</w:t>
            </w:r>
          </w:p>
        </w:tc>
        <w:tc>
          <w:tcPr>
            <w:tcW w:w="120" w:type="dxa"/>
            <w:vAlign w:val="bottom"/>
            <w:tcBorders>
              <w:right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680" w:type="dxa"/>
            <w:vAlign w:val="bottom"/>
            <w:vMerge w:val="restart"/>
            <w:shd w:val="clear" w:color="auto" w:fill="CCEEFF"/>
          </w:tcPr>
          <w:p>
            <w:pPr>
              <w:jc w:val="right"/>
              <w:ind w:right="33"/>
              <w:spacing w:after="0"/>
              <w:rPr>
                <w:sz w:val="20"/>
                <w:szCs w:val="20"/>
                <w:color w:val="auto"/>
              </w:rPr>
            </w:pPr>
            <w:r>
              <w:rPr>
                <w:rFonts w:ascii="Arial" w:cs="Arial" w:eastAsia="Arial" w:hAnsi="Arial"/>
                <w:sz w:val="18"/>
                <w:szCs w:val="18"/>
                <w:color w:val="auto"/>
              </w:rPr>
              <w:t>695</w:t>
            </w:r>
          </w:p>
        </w:tc>
        <w:tc>
          <w:tcPr>
            <w:tcW w:w="100" w:type="dxa"/>
            <w:vAlign w:val="bottom"/>
            <w:shd w:val="clear" w:color="auto" w:fill="CCEEFF"/>
          </w:tcPr>
          <w:p>
            <w:pPr>
              <w:spacing w:after="0"/>
              <w:rPr>
                <w:sz w:val="18"/>
                <w:szCs w:val="18"/>
                <w:color w:val="auto"/>
              </w:rPr>
            </w:pPr>
          </w:p>
        </w:tc>
        <w:tc>
          <w:tcPr>
            <w:tcW w:w="26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640" w:type="dxa"/>
            <w:vAlign w:val="bottom"/>
            <w:vMerge w:val="restart"/>
            <w:shd w:val="clear" w:color="auto" w:fill="CCEEFF"/>
          </w:tcPr>
          <w:p>
            <w:pPr>
              <w:jc w:val="right"/>
              <w:ind w:right="31"/>
              <w:spacing w:after="0"/>
              <w:rPr>
                <w:sz w:val="20"/>
                <w:szCs w:val="20"/>
                <w:color w:val="auto"/>
              </w:rPr>
            </w:pPr>
            <w:r>
              <w:rPr>
                <w:rFonts w:ascii="Arial" w:cs="Arial" w:eastAsia="Arial" w:hAnsi="Arial"/>
                <w:sz w:val="18"/>
                <w:szCs w:val="18"/>
                <w:color w:val="auto"/>
              </w:rPr>
              <w:t>571</w:t>
            </w:r>
          </w:p>
        </w:tc>
        <w:tc>
          <w:tcPr>
            <w:tcW w:w="100" w:type="dxa"/>
            <w:vAlign w:val="bottom"/>
            <w:shd w:val="clear" w:color="auto" w:fill="CCEEFF"/>
          </w:tcPr>
          <w:p>
            <w:pPr>
              <w:spacing w:after="0"/>
              <w:rPr>
                <w:sz w:val="18"/>
                <w:szCs w:val="18"/>
                <w:color w:val="auto"/>
              </w:rPr>
            </w:pPr>
          </w:p>
        </w:tc>
        <w:tc>
          <w:tcPr>
            <w:tcW w:w="26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640" w:type="dxa"/>
            <w:vAlign w:val="bottom"/>
            <w:vMerge w:val="restart"/>
            <w:shd w:val="clear" w:color="auto" w:fill="CCEEFF"/>
          </w:tcPr>
          <w:p>
            <w:pPr>
              <w:jc w:val="right"/>
              <w:ind w:right="12"/>
              <w:spacing w:after="0"/>
              <w:rPr>
                <w:sz w:val="20"/>
                <w:szCs w:val="20"/>
                <w:color w:val="auto"/>
              </w:rPr>
            </w:pPr>
            <w:r>
              <w:rPr>
                <w:rFonts w:ascii="Arial" w:cs="Arial" w:eastAsia="Arial" w:hAnsi="Arial"/>
                <w:sz w:val="18"/>
                <w:szCs w:val="18"/>
                <w:color w:val="auto"/>
              </w:rPr>
              <w:t>124</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22 %</w:t>
            </w:r>
          </w:p>
        </w:tc>
        <w:tc>
          <w:tcPr>
            <w:tcW w:w="0" w:type="dxa"/>
            <w:vAlign w:val="bottom"/>
          </w:tcPr>
          <w:p>
            <w:pPr>
              <w:spacing w:after="0"/>
              <w:rPr>
                <w:sz w:val="1"/>
                <w:szCs w:val="1"/>
                <w:color w:val="auto"/>
              </w:rPr>
            </w:pPr>
          </w:p>
        </w:tc>
      </w:tr>
      <w:tr>
        <w:trPr>
          <w:trHeight w:val="170"/>
        </w:trPr>
        <w:tc>
          <w:tcPr>
            <w:tcW w:w="31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3"/>
                <w:szCs w:val="13"/>
                <w:color w:val="auto"/>
              </w:rPr>
              <w:t>(1)</w:t>
            </w:r>
          </w:p>
        </w:tc>
        <w:tc>
          <w:tcPr>
            <w:tcW w:w="200" w:type="dxa"/>
            <w:vAlign w:val="bottom"/>
            <w:tcBorders>
              <w:bottom w:val="single" w:sz="8" w:color="CCEEFF"/>
            </w:tcBorders>
            <w:vMerge w:val="continue"/>
            <w:shd w:val="clear" w:color="auto" w:fill="CCEEFF"/>
          </w:tcPr>
          <w:p>
            <w:pPr>
              <w:spacing w:after="0"/>
              <w:rPr>
                <w:sz w:val="14"/>
                <w:szCs w:val="14"/>
                <w:color w:val="auto"/>
              </w:rPr>
            </w:pPr>
          </w:p>
        </w:tc>
        <w:tc>
          <w:tcPr>
            <w:tcW w:w="680" w:type="dxa"/>
            <w:vAlign w:val="bottom"/>
            <w:tcBorders>
              <w:bottom w:val="single" w:sz="8" w:color="CCEEFF"/>
            </w:tcBorders>
            <w:vMerge w:val="continue"/>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260" w:type="dxa"/>
            <w:vAlign w:val="bottom"/>
            <w:tcBorders>
              <w:bottom w:val="single" w:sz="8" w:color="CCEEFF"/>
            </w:tcBorders>
            <w:vMerge w:val="continue"/>
            <w:shd w:val="clear" w:color="auto" w:fill="CCEEFF"/>
          </w:tcPr>
          <w:p>
            <w:pPr>
              <w:spacing w:after="0"/>
              <w:rPr>
                <w:sz w:val="14"/>
                <w:szCs w:val="14"/>
                <w:color w:val="auto"/>
              </w:rPr>
            </w:pPr>
          </w:p>
        </w:tc>
        <w:tc>
          <w:tcPr>
            <w:tcW w:w="620" w:type="dxa"/>
            <w:vAlign w:val="bottom"/>
            <w:tcBorders>
              <w:bottom w:val="single" w:sz="8" w:color="CCEEFF"/>
            </w:tcBorders>
            <w:vMerge w:val="continue"/>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260" w:type="dxa"/>
            <w:vAlign w:val="bottom"/>
            <w:tcBorders>
              <w:bottom w:val="single" w:sz="8" w:color="CCEEFF"/>
            </w:tcBorders>
            <w:vMerge w:val="continue"/>
            <w:shd w:val="clear" w:color="auto" w:fill="CCEEFF"/>
          </w:tcPr>
          <w:p>
            <w:pPr>
              <w:spacing w:after="0"/>
              <w:rPr>
                <w:sz w:val="14"/>
                <w:szCs w:val="14"/>
                <w:color w:val="auto"/>
              </w:rPr>
            </w:pPr>
          </w:p>
        </w:tc>
        <w:tc>
          <w:tcPr>
            <w:tcW w:w="640" w:type="dxa"/>
            <w:vAlign w:val="bottom"/>
            <w:tcBorders>
              <w:bottom w:val="single" w:sz="8" w:color="CCEEFF"/>
            </w:tcBorders>
            <w:vMerge w:val="continue"/>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380" w:type="dxa"/>
            <w:vAlign w:val="bottom"/>
            <w:tcBorders>
              <w:bottom w:val="single" w:sz="8" w:color="CCEEFF"/>
            </w:tcBorders>
            <w:shd w:val="clear" w:color="auto" w:fill="CCEEFF"/>
          </w:tcPr>
          <w:p>
            <w:pPr>
              <w:spacing w:after="0"/>
              <w:rPr>
                <w:sz w:val="14"/>
                <w:szCs w:val="14"/>
                <w:color w:val="auto"/>
              </w:rPr>
            </w:pPr>
          </w:p>
        </w:tc>
        <w:tc>
          <w:tcPr>
            <w:tcW w:w="660" w:type="dxa"/>
            <w:vAlign w:val="bottom"/>
            <w:tcBorders>
              <w:bottom w:val="single" w:sz="8" w:color="CCEEFF"/>
            </w:tcBorders>
            <w:vMerge w:val="continue"/>
            <w:shd w:val="clear" w:color="auto" w:fill="CCEEFF"/>
          </w:tcPr>
          <w:p>
            <w:pPr>
              <w:spacing w:after="0"/>
              <w:rPr>
                <w:sz w:val="14"/>
                <w:szCs w:val="14"/>
                <w:color w:val="auto"/>
              </w:rPr>
            </w:pPr>
          </w:p>
        </w:tc>
        <w:tc>
          <w:tcPr>
            <w:tcW w:w="120" w:type="dxa"/>
            <w:vAlign w:val="bottom"/>
            <w:tcBorders>
              <w:bottom w:val="single" w:sz="8" w:color="CCEEFF"/>
              <w:right w:val="single" w:sz="8" w:color="auto"/>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220" w:type="dxa"/>
            <w:vAlign w:val="bottom"/>
            <w:tcBorders>
              <w:bottom w:val="single" w:sz="8" w:color="CCEEFF"/>
            </w:tcBorders>
            <w:vMerge w:val="continue"/>
            <w:shd w:val="clear" w:color="auto" w:fill="CCEEFF"/>
          </w:tcPr>
          <w:p>
            <w:pPr>
              <w:spacing w:after="0"/>
              <w:rPr>
                <w:sz w:val="14"/>
                <w:szCs w:val="14"/>
                <w:color w:val="auto"/>
              </w:rPr>
            </w:pPr>
          </w:p>
        </w:tc>
        <w:tc>
          <w:tcPr>
            <w:tcW w:w="680" w:type="dxa"/>
            <w:vAlign w:val="bottom"/>
            <w:tcBorders>
              <w:bottom w:val="single" w:sz="8" w:color="CCEEFF"/>
            </w:tcBorders>
            <w:vMerge w:val="continue"/>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260" w:type="dxa"/>
            <w:vAlign w:val="bottom"/>
            <w:tcBorders>
              <w:bottom w:val="single" w:sz="8" w:color="CCEEFF"/>
            </w:tcBorders>
            <w:vMerge w:val="continue"/>
            <w:shd w:val="clear" w:color="auto" w:fill="CCEEFF"/>
          </w:tcPr>
          <w:p>
            <w:pPr>
              <w:spacing w:after="0"/>
              <w:rPr>
                <w:sz w:val="14"/>
                <w:szCs w:val="14"/>
                <w:color w:val="auto"/>
              </w:rPr>
            </w:pPr>
          </w:p>
        </w:tc>
        <w:tc>
          <w:tcPr>
            <w:tcW w:w="640" w:type="dxa"/>
            <w:vAlign w:val="bottom"/>
            <w:tcBorders>
              <w:bottom w:val="single" w:sz="8" w:color="CCEEFF"/>
            </w:tcBorders>
            <w:vMerge w:val="continue"/>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260" w:type="dxa"/>
            <w:vAlign w:val="bottom"/>
            <w:tcBorders>
              <w:bottom w:val="single" w:sz="8" w:color="CCEEFF"/>
            </w:tcBorders>
            <w:vMerge w:val="continue"/>
            <w:shd w:val="clear" w:color="auto" w:fill="CCEEFF"/>
          </w:tcPr>
          <w:p>
            <w:pPr>
              <w:spacing w:after="0"/>
              <w:rPr>
                <w:sz w:val="14"/>
                <w:szCs w:val="14"/>
                <w:color w:val="auto"/>
              </w:rPr>
            </w:pPr>
          </w:p>
        </w:tc>
        <w:tc>
          <w:tcPr>
            <w:tcW w:w="640" w:type="dxa"/>
            <w:vAlign w:val="bottom"/>
            <w:tcBorders>
              <w:bottom w:val="single" w:sz="8" w:color="CCEEFF"/>
            </w:tcBorders>
            <w:vMerge w:val="continue"/>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360" w:type="dxa"/>
            <w:vAlign w:val="bottom"/>
            <w:tcBorders>
              <w:bottom w:val="single" w:sz="8" w:color="CCEEFF"/>
            </w:tcBorders>
            <w:shd w:val="clear" w:color="auto" w:fill="CCEEFF"/>
          </w:tcPr>
          <w:p>
            <w:pPr>
              <w:spacing w:after="0"/>
              <w:rPr>
                <w:sz w:val="14"/>
                <w:szCs w:val="14"/>
                <w:color w:val="auto"/>
              </w:rPr>
            </w:pPr>
          </w:p>
        </w:tc>
        <w:tc>
          <w:tcPr>
            <w:tcW w:w="660" w:type="dxa"/>
            <w:vAlign w:val="bottom"/>
            <w:tcBorders>
              <w:bottom w:val="single" w:sz="8" w:color="CCEEFF"/>
            </w:tcBorders>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70"/>
        </w:trPr>
        <w:tc>
          <w:tcPr>
            <w:tcW w:w="3120" w:type="dxa"/>
            <w:vAlign w:val="bottom"/>
          </w:tcPr>
          <w:p>
            <w:pPr>
              <w:ind w:left="40"/>
              <w:spacing w:after="0" w:line="270" w:lineRule="exact"/>
              <w:rPr>
                <w:sz w:val="20"/>
                <w:szCs w:val="20"/>
                <w:color w:val="auto"/>
              </w:rPr>
            </w:pPr>
            <w:r>
              <w:rPr>
                <w:rFonts w:ascii="Arial" w:cs="Arial" w:eastAsia="Arial" w:hAnsi="Arial"/>
                <w:sz w:val="18"/>
                <w:szCs w:val="18"/>
                <w:color w:val="auto"/>
                <w:w w:val="97"/>
              </w:rPr>
              <w:t xml:space="preserve">Facilities segment adjusted EBITDA </w:t>
            </w:r>
            <w:r>
              <w:rPr>
                <w:rFonts w:ascii="Arial" w:cs="Arial" w:eastAsia="Arial" w:hAnsi="Arial"/>
                <w:sz w:val="25"/>
                <w:szCs w:val="25"/>
                <w:color w:val="auto"/>
                <w:w w:val="97"/>
                <w:vertAlign w:val="superscript"/>
              </w:rPr>
              <w:t>(1)</w:t>
            </w:r>
          </w:p>
        </w:tc>
        <w:tc>
          <w:tcPr>
            <w:tcW w:w="200" w:type="dxa"/>
            <w:vAlign w:val="bottom"/>
          </w:tcPr>
          <w:p>
            <w:pPr>
              <w:spacing w:after="0"/>
              <w:rPr>
                <w:sz w:val="23"/>
                <w:szCs w:val="23"/>
                <w:color w:val="auto"/>
              </w:rPr>
            </w:pPr>
          </w:p>
        </w:tc>
        <w:tc>
          <w:tcPr>
            <w:tcW w:w="680" w:type="dxa"/>
            <w:vAlign w:val="bottom"/>
          </w:tcPr>
          <w:p>
            <w:pPr>
              <w:jc w:val="right"/>
              <w:ind w:right="13"/>
              <w:spacing w:after="0"/>
              <w:rPr>
                <w:sz w:val="20"/>
                <w:szCs w:val="20"/>
                <w:color w:val="auto"/>
              </w:rPr>
            </w:pPr>
            <w:r>
              <w:rPr>
                <w:rFonts w:ascii="Arial" w:cs="Arial" w:eastAsia="Arial" w:hAnsi="Arial"/>
                <w:sz w:val="18"/>
                <w:szCs w:val="18"/>
                <w:color w:val="auto"/>
              </w:rPr>
              <w:t>171</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20" w:type="dxa"/>
            <w:vAlign w:val="bottom"/>
          </w:tcPr>
          <w:p>
            <w:pPr>
              <w:jc w:val="right"/>
              <w:ind w:right="11"/>
              <w:spacing w:after="0"/>
              <w:rPr>
                <w:sz w:val="20"/>
                <w:szCs w:val="20"/>
                <w:color w:val="auto"/>
              </w:rPr>
            </w:pPr>
            <w:r>
              <w:rPr>
                <w:rFonts w:ascii="Arial" w:cs="Arial" w:eastAsia="Arial" w:hAnsi="Arial"/>
                <w:sz w:val="18"/>
                <w:szCs w:val="18"/>
                <w:color w:val="auto"/>
              </w:rPr>
              <w:t>180</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w:t>
            </w:r>
          </w:p>
        </w:tc>
        <w:tc>
          <w:tcPr>
            <w:tcW w:w="120" w:type="dxa"/>
            <w:vAlign w:val="bottom"/>
            <w:tcBorders>
              <w:right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80" w:type="dxa"/>
            <w:vAlign w:val="bottom"/>
          </w:tcPr>
          <w:p>
            <w:pPr>
              <w:jc w:val="right"/>
              <w:ind w:right="33"/>
              <w:spacing w:after="0"/>
              <w:rPr>
                <w:sz w:val="20"/>
                <w:szCs w:val="20"/>
                <w:color w:val="auto"/>
              </w:rPr>
            </w:pPr>
            <w:r>
              <w:rPr>
                <w:rFonts w:ascii="Arial" w:cs="Arial" w:eastAsia="Arial" w:hAnsi="Arial"/>
                <w:sz w:val="18"/>
                <w:szCs w:val="18"/>
                <w:color w:val="auto"/>
              </w:rPr>
              <w:t>357</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40" w:type="dxa"/>
            <w:vAlign w:val="bottom"/>
          </w:tcPr>
          <w:p>
            <w:pPr>
              <w:jc w:val="right"/>
              <w:ind w:right="31"/>
              <w:spacing w:after="0"/>
              <w:rPr>
                <w:sz w:val="20"/>
                <w:szCs w:val="20"/>
                <w:color w:val="auto"/>
              </w:rPr>
            </w:pPr>
            <w:r>
              <w:rPr>
                <w:rFonts w:ascii="Arial" w:cs="Arial" w:eastAsia="Arial" w:hAnsi="Arial"/>
                <w:sz w:val="18"/>
                <w:szCs w:val="18"/>
                <w:color w:val="auto"/>
              </w:rPr>
              <w:t>368</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29"/>
        </w:trPr>
        <w:tc>
          <w:tcPr>
            <w:tcW w:w="3120" w:type="dxa"/>
            <w:vAlign w:val="bottom"/>
            <w:shd w:val="clear" w:color="auto" w:fill="CCEEFF"/>
          </w:tcPr>
          <w:p>
            <w:pPr>
              <w:ind w:left="40"/>
              <w:spacing w:after="0"/>
              <w:rPr>
                <w:sz w:val="20"/>
                <w:szCs w:val="20"/>
                <w:color w:val="auto"/>
              </w:rPr>
            </w:pPr>
            <w:r>
              <w:rPr>
                <w:rFonts w:ascii="Arial" w:cs="Arial" w:eastAsia="Arial" w:hAnsi="Arial"/>
                <w:sz w:val="18"/>
                <w:szCs w:val="18"/>
                <w:color w:val="auto"/>
                <w:w w:val="98"/>
              </w:rPr>
              <w:t>Supply and Logistics segment adjusted</w:t>
            </w: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3120" w:type="dxa"/>
            <w:vAlign w:val="bottom"/>
            <w:shd w:val="clear" w:color="auto" w:fill="CCEEFF"/>
          </w:tcPr>
          <w:p>
            <w:pPr>
              <w:ind w:left="200"/>
              <w:spacing w:after="0" w:line="257" w:lineRule="exact"/>
              <w:rPr>
                <w:sz w:val="20"/>
                <w:szCs w:val="20"/>
                <w:color w:val="auto"/>
              </w:rPr>
            </w:pPr>
            <w:r>
              <w:rPr>
                <w:rFonts w:ascii="Arial" w:cs="Arial" w:eastAsia="Arial" w:hAnsi="Arial"/>
                <w:sz w:val="18"/>
                <w:szCs w:val="18"/>
                <w:color w:val="auto"/>
              </w:rPr>
              <w:t xml:space="preserve">EBITDA </w:t>
            </w:r>
            <w:r>
              <w:rPr>
                <w:rFonts w:ascii="Arial" w:cs="Arial" w:eastAsia="Arial" w:hAnsi="Arial"/>
                <w:sz w:val="25"/>
                <w:szCs w:val="25"/>
                <w:color w:val="auto"/>
                <w:vertAlign w:val="superscript"/>
              </w:rPr>
              <w:t>(1)</w:t>
            </w:r>
          </w:p>
        </w:tc>
        <w:tc>
          <w:tcPr>
            <w:tcW w:w="200" w:type="dxa"/>
            <w:vAlign w:val="bottom"/>
            <w:shd w:val="clear" w:color="auto" w:fill="CCEEFF"/>
          </w:tcPr>
          <w:p>
            <w:pPr>
              <w:spacing w:after="0"/>
              <w:rPr>
                <w:sz w:val="22"/>
                <w:szCs w:val="2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6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7 %</w:t>
            </w:r>
          </w:p>
        </w:tc>
        <w:tc>
          <w:tcPr>
            <w:tcW w:w="120" w:type="dxa"/>
            <w:vAlign w:val="bottom"/>
            <w:tcBorders>
              <w:right w:val="single" w:sz="8" w:color="auto"/>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68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45</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6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23</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6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22</w:t>
            </w:r>
          </w:p>
        </w:tc>
        <w:tc>
          <w:tcPr>
            <w:tcW w:w="12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96 %</w:t>
            </w:r>
          </w:p>
        </w:tc>
        <w:tc>
          <w:tcPr>
            <w:tcW w:w="0" w:type="dxa"/>
            <w:vAlign w:val="bottom"/>
          </w:tcPr>
          <w:p>
            <w:pPr>
              <w:spacing w:after="0"/>
              <w:rPr>
                <w:sz w:val="1"/>
                <w:szCs w:val="1"/>
                <w:color w:val="auto"/>
              </w:rPr>
            </w:pPr>
          </w:p>
        </w:tc>
      </w:tr>
      <w:tr>
        <w:trPr>
          <w:trHeight w:val="243"/>
        </w:trPr>
        <w:tc>
          <w:tcPr>
            <w:tcW w:w="3120" w:type="dxa"/>
            <w:vAlign w:val="bottom"/>
          </w:tcPr>
          <w:p>
            <w:pPr>
              <w:ind w:left="40"/>
              <w:spacing w:after="0"/>
              <w:rPr>
                <w:sz w:val="20"/>
                <w:szCs w:val="20"/>
                <w:color w:val="auto"/>
              </w:rPr>
            </w:pPr>
            <w:r>
              <w:rPr>
                <w:rFonts w:ascii="Arial" w:cs="Arial" w:eastAsia="Arial" w:hAnsi="Arial"/>
                <w:sz w:val="18"/>
                <w:szCs w:val="18"/>
                <w:color w:val="auto"/>
              </w:rPr>
              <w:t>Adjustments:</w:t>
            </w:r>
          </w:p>
        </w:tc>
        <w:tc>
          <w:tcPr>
            <w:tcW w:w="2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2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1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Depreciation and amortization of</w:t>
            </w: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1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unconsolidated entities</w:t>
            </w:r>
          </w:p>
        </w:tc>
        <w:tc>
          <w:tcPr>
            <w:tcW w:w="20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(250)%</w:t>
            </w:r>
          </w:p>
        </w:tc>
        <w:tc>
          <w:tcPr>
            <w:tcW w:w="120" w:type="dxa"/>
            <w:vAlign w:val="bottom"/>
            <w:tcBorders>
              <w:bottom w:val="single" w:sz="8" w:color="CCEEFF"/>
              <w:right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29"/>
        </w:trPr>
        <w:tc>
          <w:tcPr>
            <w:tcW w:w="3120" w:type="dxa"/>
            <w:vAlign w:val="bottom"/>
          </w:tcPr>
          <w:p>
            <w:pPr>
              <w:ind w:left="200"/>
              <w:spacing w:after="0"/>
              <w:rPr>
                <w:sz w:val="20"/>
                <w:szCs w:val="20"/>
                <w:color w:val="auto"/>
              </w:rPr>
            </w:pPr>
            <w:r>
              <w:rPr>
                <w:rFonts w:ascii="Arial" w:cs="Arial" w:eastAsia="Arial" w:hAnsi="Arial"/>
                <w:sz w:val="18"/>
                <w:szCs w:val="18"/>
                <w:color w:val="auto"/>
                <w:w w:val="93"/>
              </w:rPr>
              <w:t>Selected items impacting comparability</w:t>
            </w:r>
          </w:p>
        </w:tc>
        <w:tc>
          <w:tcPr>
            <w:tcW w:w="2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120" w:type="dxa"/>
            <w:vAlign w:val="bottom"/>
          </w:tcPr>
          <w:p>
            <w:pPr>
              <w:ind w:left="360"/>
              <w:spacing w:after="0"/>
              <w:rPr>
                <w:sz w:val="20"/>
                <w:szCs w:val="20"/>
                <w:color w:val="auto"/>
              </w:rPr>
            </w:pPr>
            <w:r>
              <w:rPr>
                <w:rFonts w:ascii="Arial" w:cs="Arial" w:eastAsia="Arial" w:hAnsi="Arial"/>
                <w:sz w:val="18"/>
                <w:szCs w:val="18"/>
                <w:color w:val="auto"/>
              </w:rPr>
              <w:t>- segment adjusted EBITDA</w:t>
            </w:r>
          </w:p>
        </w:tc>
        <w:tc>
          <w:tcPr>
            <w:tcW w:w="20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(258)</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20" w:type="dxa"/>
            <w:vAlign w:val="bottom"/>
          </w:tcPr>
          <w:p>
            <w:pPr>
              <w:jc w:val="right"/>
              <w:ind w:right="11"/>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(266)</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60" w:type="dxa"/>
            <w:vAlign w:val="bottom"/>
          </w:tcPr>
          <w:p>
            <w:pPr>
              <w:jc w:val="right"/>
              <w:ind w:right="171"/>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(253)</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40" w:type="dxa"/>
            <w:vAlign w:val="bottom"/>
          </w:tcPr>
          <w:p>
            <w:pPr>
              <w:jc w:val="right"/>
              <w:ind w:right="31"/>
              <w:spacing w:after="0"/>
              <w:rPr>
                <w:sz w:val="20"/>
                <w:szCs w:val="20"/>
                <w:color w:val="auto"/>
              </w:rPr>
            </w:pPr>
            <w:r>
              <w:rPr>
                <w:rFonts w:ascii="Arial" w:cs="Arial" w:eastAsia="Arial" w:hAnsi="Arial"/>
                <w:sz w:val="18"/>
                <w:szCs w:val="18"/>
                <w:color w:val="auto"/>
              </w:rPr>
              <w:t>275</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(528)</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60" w:type="dxa"/>
            <w:vAlign w:val="bottom"/>
          </w:tcPr>
          <w:p>
            <w:pPr>
              <w:jc w:val="right"/>
              <w:ind w:right="15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120" w:type="dxa"/>
            <w:vAlign w:val="bottom"/>
            <w:shd w:val="clear" w:color="auto" w:fill="CCEEFF"/>
          </w:tcPr>
          <w:p>
            <w:pPr>
              <w:ind w:left="40"/>
              <w:spacing w:after="0"/>
              <w:rPr>
                <w:sz w:val="20"/>
                <w:szCs w:val="20"/>
                <w:color w:val="auto"/>
              </w:rPr>
            </w:pPr>
            <w:r>
              <w:rPr>
                <w:rFonts w:ascii="Arial" w:cs="Arial" w:eastAsia="Arial" w:hAnsi="Arial"/>
                <w:sz w:val="18"/>
                <w:szCs w:val="18"/>
                <w:color w:val="auto"/>
                <w:w w:val="98"/>
              </w:rPr>
              <w:t>Unallocated general and administrative</w:t>
            </w: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1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expenses</w:t>
            </w:r>
          </w:p>
        </w:tc>
        <w:tc>
          <w:tcPr>
            <w:tcW w:w="20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gridSpan w:val="3"/>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CCEEFF"/>
              <w:right w:val="single" w:sz="8" w:color="auto"/>
            </w:tcBorders>
            <w:gridSpan w:val="2"/>
            <w:shd w:val="clear" w:color="auto" w:fill="CCEEFF"/>
          </w:tcPr>
          <w:p>
            <w:pPr>
              <w:ind w:left="220"/>
              <w:spacing w:after="0"/>
              <w:rPr>
                <w:sz w:val="20"/>
                <w:szCs w:val="20"/>
                <w:color w:val="auto"/>
              </w:rPr>
            </w:pPr>
            <w:r>
              <w:rPr>
                <w:rFonts w:ascii="Arial" w:cs="Arial" w:eastAsia="Arial" w:hAnsi="Arial"/>
                <w:sz w:val="18"/>
                <w:szCs w:val="18"/>
                <w:color w:val="auto"/>
              </w:rPr>
              <w:t>— %</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33 %</w:t>
            </w:r>
          </w:p>
        </w:tc>
        <w:tc>
          <w:tcPr>
            <w:tcW w:w="0" w:type="dxa"/>
            <w:vAlign w:val="bottom"/>
          </w:tcPr>
          <w:p>
            <w:pPr>
              <w:spacing w:after="0"/>
              <w:rPr>
                <w:sz w:val="1"/>
                <w:szCs w:val="1"/>
                <w:color w:val="auto"/>
              </w:rPr>
            </w:pPr>
          </w:p>
        </w:tc>
      </w:tr>
      <w:tr>
        <w:trPr>
          <w:trHeight w:val="243"/>
        </w:trPr>
        <w:tc>
          <w:tcPr>
            <w:tcW w:w="3120" w:type="dxa"/>
            <w:vAlign w:val="bottom"/>
          </w:tcPr>
          <w:p>
            <w:pPr>
              <w:ind w:left="40"/>
              <w:spacing w:after="0"/>
              <w:rPr>
                <w:sz w:val="20"/>
                <w:szCs w:val="20"/>
                <w:color w:val="auto"/>
              </w:rPr>
            </w:pPr>
            <w:r>
              <w:rPr>
                <w:rFonts w:ascii="Arial" w:cs="Arial" w:eastAsia="Arial" w:hAnsi="Arial"/>
                <w:sz w:val="18"/>
                <w:szCs w:val="18"/>
                <w:color w:val="auto"/>
              </w:rPr>
              <w:t>Depreciation and amortization</w:t>
            </w:r>
          </w:p>
        </w:tc>
        <w:tc>
          <w:tcPr>
            <w:tcW w:w="20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(50)</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(129)</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40" w:type="dxa"/>
            <w:vAlign w:val="bottom"/>
          </w:tcPr>
          <w:p>
            <w:pPr>
              <w:jc w:val="right"/>
              <w:ind w:right="32"/>
              <w:spacing w:after="0"/>
              <w:rPr>
                <w:sz w:val="20"/>
                <w:szCs w:val="20"/>
                <w:color w:val="auto"/>
              </w:rPr>
            </w:pPr>
            <w:r>
              <w:rPr>
                <w:rFonts w:ascii="Arial" w:cs="Arial" w:eastAsia="Arial" w:hAnsi="Arial"/>
                <w:sz w:val="18"/>
                <w:szCs w:val="18"/>
                <w:color w:val="auto"/>
              </w:rPr>
              <w:t>79</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61 %</w:t>
            </w:r>
          </w:p>
        </w:tc>
        <w:tc>
          <w:tcPr>
            <w:tcW w:w="12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(176)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(251)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40" w:type="dxa"/>
            <w:vAlign w:val="bottom"/>
          </w:tcPr>
          <w:p>
            <w:pPr>
              <w:jc w:val="right"/>
              <w:ind w:right="12"/>
              <w:spacing w:after="0"/>
              <w:rPr>
                <w:sz w:val="20"/>
                <w:szCs w:val="20"/>
                <w:color w:val="auto"/>
              </w:rPr>
            </w:pPr>
            <w:r>
              <w:rPr>
                <w:rFonts w:ascii="Arial" w:cs="Arial" w:eastAsia="Arial" w:hAnsi="Arial"/>
                <w:sz w:val="18"/>
                <w:szCs w:val="18"/>
                <w:color w:val="auto"/>
              </w:rPr>
              <w:t>75</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30 %</w:t>
            </w:r>
          </w:p>
        </w:tc>
        <w:tc>
          <w:tcPr>
            <w:tcW w:w="0" w:type="dxa"/>
            <w:vAlign w:val="bottom"/>
          </w:tcPr>
          <w:p>
            <w:pPr>
              <w:spacing w:after="0"/>
              <w:rPr>
                <w:sz w:val="1"/>
                <w:szCs w:val="1"/>
                <w:color w:val="auto"/>
              </w:rPr>
            </w:pPr>
          </w:p>
        </w:tc>
      </w:tr>
      <w:tr>
        <w:trPr>
          <w:trHeight w:val="27"/>
        </w:trPr>
        <w:tc>
          <w:tcPr>
            <w:tcW w:w="3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expense, net</w:t>
            </w:r>
          </w:p>
        </w:tc>
        <w:tc>
          <w:tcPr>
            <w:tcW w:w="2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(127)</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13 %</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39</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15 %</w:t>
            </w:r>
          </w:p>
        </w:tc>
        <w:tc>
          <w:tcPr>
            <w:tcW w:w="0" w:type="dxa"/>
            <w:vAlign w:val="bottom"/>
          </w:tcPr>
          <w:p>
            <w:pPr>
              <w:spacing w:after="0"/>
              <w:rPr>
                <w:sz w:val="1"/>
                <w:szCs w:val="1"/>
                <w:color w:val="auto"/>
              </w:rPr>
            </w:pPr>
          </w:p>
        </w:tc>
      </w:tr>
      <w:tr>
        <w:trPr>
          <w:trHeight w:val="243"/>
        </w:trPr>
        <w:tc>
          <w:tcPr>
            <w:tcW w:w="3120" w:type="dxa"/>
            <w:vAlign w:val="bottom"/>
          </w:tcPr>
          <w:p>
            <w:pPr>
              <w:ind w:left="40"/>
              <w:spacing w:after="0"/>
              <w:rPr>
                <w:sz w:val="20"/>
                <w:szCs w:val="20"/>
                <w:color w:val="auto"/>
              </w:rPr>
            </w:pPr>
            <w:r>
              <w:rPr>
                <w:rFonts w:ascii="Arial" w:cs="Arial" w:eastAsia="Arial" w:hAnsi="Arial"/>
                <w:sz w:val="18"/>
                <w:szCs w:val="18"/>
                <w:color w:val="auto"/>
              </w:rPr>
              <w:t>Other income/(expense), net</w:t>
            </w:r>
          </w:p>
        </w:tc>
        <w:tc>
          <w:tcPr>
            <w:tcW w:w="200" w:type="dxa"/>
            <w:vAlign w:val="bottom"/>
          </w:tcPr>
          <w:p>
            <w:pPr>
              <w:spacing w:after="0"/>
              <w:rPr>
                <w:sz w:val="21"/>
                <w:szCs w:val="21"/>
                <w:color w:val="auto"/>
              </w:rPr>
            </w:pPr>
          </w:p>
        </w:tc>
        <w:tc>
          <w:tcPr>
            <w:tcW w:w="680" w:type="dxa"/>
            <w:vAlign w:val="bottom"/>
          </w:tcPr>
          <w:p>
            <w:pPr>
              <w:jc w:val="right"/>
              <w:ind w:right="13"/>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20" w:type="dxa"/>
            <w:vAlign w:val="bottom"/>
          </w:tcPr>
          <w:p>
            <w:pPr>
              <w:jc w:val="right"/>
              <w:ind w:right="11"/>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40" w:type="dxa"/>
            <w:vAlign w:val="bottom"/>
          </w:tcPr>
          <w:p>
            <w:pPr>
              <w:jc w:val="right"/>
              <w:ind w:right="32"/>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660" w:type="dxa"/>
            <w:vAlign w:val="bottom"/>
          </w:tcPr>
          <w:p>
            <w:pPr>
              <w:jc w:val="right"/>
              <w:ind w:right="171"/>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80" w:type="dxa"/>
            <w:vAlign w:val="bottom"/>
          </w:tcPr>
          <w:p>
            <w:pPr>
              <w:jc w:val="right"/>
              <w:ind w:right="33"/>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40" w:type="dxa"/>
            <w:vAlign w:val="bottom"/>
          </w:tcPr>
          <w:p>
            <w:pPr>
              <w:jc w:val="right"/>
              <w:ind w:right="12"/>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60" w:type="dxa"/>
            <w:vAlign w:val="bottom"/>
          </w:tcPr>
          <w:p>
            <w:pPr>
              <w:jc w:val="right"/>
              <w:ind w:right="15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benefit/(expense)</w:t>
            </w:r>
          </w:p>
        </w:tc>
        <w:tc>
          <w:tcPr>
            <w:tcW w:w="20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14</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38</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158 %</w:t>
            </w:r>
          </w:p>
        </w:tc>
        <w:tc>
          <w:tcPr>
            <w:tcW w:w="120" w:type="dxa"/>
            <w:vAlign w:val="bottom"/>
            <w:tcBorders>
              <w:bottom w:val="single" w:sz="8" w:color="CCEEFF"/>
              <w:right w:val="single" w:sz="8" w:color="auto"/>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(130)</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69</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53 %</w:t>
            </w:r>
          </w:p>
        </w:tc>
        <w:tc>
          <w:tcPr>
            <w:tcW w:w="0" w:type="dxa"/>
            <w:vAlign w:val="bottom"/>
          </w:tcPr>
          <w:p>
            <w:pPr>
              <w:spacing w:after="0"/>
              <w:rPr>
                <w:sz w:val="1"/>
                <w:szCs w:val="1"/>
                <w:color w:val="auto"/>
              </w:rPr>
            </w:pPr>
          </w:p>
        </w:tc>
      </w:tr>
      <w:tr>
        <w:trPr>
          <w:trHeight w:val="237"/>
        </w:trPr>
        <w:tc>
          <w:tcPr>
            <w:tcW w:w="312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20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96</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6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174</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(78)</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(45)%</w:t>
            </w:r>
          </w:p>
        </w:tc>
        <w:tc>
          <w:tcPr>
            <w:tcW w:w="12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369</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6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575</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(206)</w:t>
            </w:r>
          </w:p>
        </w:tc>
        <w:tc>
          <w:tcPr>
            <w:tcW w:w="12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7"/>
        </w:trPr>
        <w:tc>
          <w:tcPr>
            <w:tcW w:w="3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1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income attributable to</w:t>
            </w: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31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noncontrolling interests</w:t>
            </w:r>
          </w:p>
        </w:tc>
        <w:tc>
          <w:tcPr>
            <w:tcW w:w="20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61</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41 %</w:t>
            </w:r>
          </w:p>
        </w:tc>
        <w:tc>
          <w:tcPr>
            <w:tcW w:w="120" w:type="dxa"/>
            <w:vAlign w:val="bottom"/>
            <w:tcBorders>
              <w:bottom w:val="single" w:sz="8" w:color="CCEEFF"/>
              <w:right w:val="single" w:sz="8" w:color="auto"/>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(325)</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(510)</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185</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36 %</w:t>
            </w:r>
          </w:p>
        </w:tc>
        <w:tc>
          <w:tcPr>
            <w:tcW w:w="0" w:type="dxa"/>
            <w:vAlign w:val="bottom"/>
          </w:tcPr>
          <w:p>
            <w:pPr>
              <w:spacing w:after="0"/>
              <w:rPr>
                <w:sz w:val="1"/>
                <w:szCs w:val="1"/>
                <w:color w:val="auto"/>
              </w:rPr>
            </w:pPr>
          </w:p>
        </w:tc>
      </w:tr>
      <w:tr>
        <w:trPr>
          <w:trHeight w:val="297"/>
        </w:trPr>
        <w:tc>
          <w:tcPr>
            <w:tcW w:w="312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Net income attributable to PAGP</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7</w:t>
            </w:r>
          </w:p>
        </w:tc>
        <w:tc>
          <w:tcPr>
            <w:tcW w:w="12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6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24</w:t>
            </w:r>
          </w:p>
        </w:tc>
        <w:tc>
          <w:tcPr>
            <w:tcW w:w="12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CCEEFF"/>
            </w:tcBorders>
          </w:tcPr>
          <w:p>
            <w:pPr>
              <w:spacing w:after="0"/>
              <w:rPr>
                <w:sz w:val="24"/>
                <w:szCs w:val="24"/>
                <w:color w:val="auto"/>
              </w:rPr>
            </w:pPr>
          </w:p>
        </w:tc>
        <w:tc>
          <w:tcPr>
            <w:tcW w:w="380" w:type="dxa"/>
            <w:vAlign w:val="bottom"/>
            <w:tcBorders>
              <w:top w:val="single" w:sz="8" w:color="auto"/>
              <w:bottom w:val="single" w:sz="8" w:color="auto"/>
            </w:tcBorders>
          </w:tcPr>
          <w:p>
            <w:pPr>
              <w:spacing w:after="0"/>
              <w:rPr>
                <w:sz w:val="24"/>
                <w:szCs w:val="24"/>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(71)%</w:t>
            </w:r>
          </w:p>
        </w:tc>
        <w:tc>
          <w:tcPr>
            <w:tcW w:w="120" w:type="dxa"/>
            <w:vAlign w:val="bottom"/>
            <w:tcBorders>
              <w:bottom w:val="single" w:sz="8" w:color="CCEEFF"/>
              <w:right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44</w:t>
            </w:r>
          </w:p>
        </w:tc>
        <w:tc>
          <w:tcPr>
            <w:tcW w:w="10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64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65</w:t>
            </w:r>
          </w:p>
        </w:tc>
        <w:tc>
          <w:tcPr>
            <w:tcW w:w="10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w:t>
            </w:r>
          </w:p>
        </w:tc>
        <w:tc>
          <w:tcPr>
            <w:tcW w:w="120" w:type="dxa"/>
            <w:vAlign w:val="bottom"/>
            <w:tcBorders>
              <w:bottom w:val="single" w:sz="8" w:color="CCEEFF"/>
            </w:tcBorders>
          </w:tcPr>
          <w:p>
            <w:pPr>
              <w:spacing w:after="0"/>
              <w:rPr>
                <w:sz w:val="24"/>
                <w:szCs w:val="24"/>
                <w:color w:val="auto"/>
              </w:rPr>
            </w:pPr>
          </w:p>
        </w:tc>
        <w:tc>
          <w:tcPr>
            <w:tcW w:w="360" w:type="dxa"/>
            <w:vAlign w:val="bottom"/>
            <w:tcBorders>
              <w:top w:val="single" w:sz="8" w:color="auto"/>
              <w:bottom w:val="single" w:sz="8" w:color="auto"/>
            </w:tcBorders>
          </w:tcPr>
          <w:p>
            <w:pPr>
              <w:spacing w:after="0"/>
              <w:rPr>
                <w:sz w:val="24"/>
                <w:szCs w:val="24"/>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84"/>
        </w:trPr>
        <w:tc>
          <w:tcPr>
            <w:tcW w:w="3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120" w:type="dxa"/>
            <w:vAlign w:val="bottom"/>
            <w:tcBorders>
              <w:right w:val="single" w:sz="8" w:color="auto"/>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3120" w:type="dxa"/>
            <w:vAlign w:val="bottom"/>
          </w:tcPr>
          <w:p>
            <w:pPr>
              <w:ind w:left="40"/>
              <w:spacing w:after="0"/>
              <w:rPr>
                <w:sz w:val="20"/>
                <w:szCs w:val="20"/>
                <w:color w:val="auto"/>
              </w:rPr>
            </w:pPr>
            <w:r>
              <w:rPr>
                <w:rFonts w:ascii="Arial" w:cs="Arial" w:eastAsia="Arial" w:hAnsi="Arial"/>
                <w:sz w:val="18"/>
                <w:szCs w:val="18"/>
                <w:color w:val="auto"/>
                <w:w w:val="93"/>
              </w:rPr>
              <w:t>Basic and diluted net income per Class A</w:t>
            </w:r>
          </w:p>
        </w:tc>
        <w:tc>
          <w:tcPr>
            <w:tcW w:w="2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120" w:type="dxa"/>
            <w:vAlign w:val="bottom"/>
          </w:tcPr>
          <w:p>
            <w:pPr>
              <w:ind w:left="200"/>
              <w:spacing w:after="0"/>
              <w:rPr>
                <w:sz w:val="20"/>
                <w:szCs w:val="20"/>
                <w:color w:val="auto"/>
              </w:rPr>
            </w:pPr>
            <w:r>
              <w:rPr>
                <w:rFonts w:ascii="Arial" w:cs="Arial" w:eastAsia="Arial" w:hAnsi="Arial"/>
                <w:sz w:val="18"/>
                <w:szCs w:val="18"/>
                <w:color w:val="auto"/>
              </w:rPr>
              <w:t>share</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ind w:right="13"/>
              <w:spacing w:after="0"/>
              <w:rPr>
                <w:sz w:val="20"/>
                <w:szCs w:val="20"/>
                <w:color w:val="auto"/>
              </w:rPr>
            </w:pPr>
            <w:r>
              <w:rPr>
                <w:rFonts w:ascii="Arial" w:cs="Arial" w:eastAsia="Arial" w:hAnsi="Arial"/>
                <w:sz w:val="18"/>
                <w:szCs w:val="18"/>
                <w:color w:val="auto"/>
              </w:rPr>
              <w:t>0.05</w:t>
            </w:r>
          </w:p>
        </w:tc>
        <w:tc>
          <w:tcPr>
            <w:tcW w:w="120" w:type="dxa"/>
            <w:vAlign w:val="bottom"/>
          </w:tcPr>
          <w:p>
            <w:pPr>
              <w:spacing w:after="0"/>
              <w:rPr>
                <w:sz w:val="20"/>
                <w:szCs w:val="20"/>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620" w:type="dxa"/>
            <w:vAlign w:val="bottom"/>
          </w:tcPr>
          <w:p>
            <w:pPr>
              <w:jc w:val="right"/>
              <w:ind w:right="11"/>
              <w:spacing w:after="0"/>
              <w:rPr>
                <w:sz w:val="20"/>
                <w:szCs w:val="20"/>
                <w:color w:val="auto"/>
              </w:rPr>
            </w:pPr>
            <w:r>
              <w:rPr>
                <w:rFonts w:ascii="Arial" w:cs="Arial" w:eastAsia="Arial" w:hAnsi="Arial"/>
                <w:sz w:val="18"/>
                <w:szCs w:val="18"/>
                <w:color w:val="auto"/>
              </w:rPr>
              <w:t>0.16</w:t>
            </w:r>
          </w:p>
        </w:tc>
        <w:tc>
          <w:tcPr>
            <w:tcW w:w="120" w:type="dxa"/>
            <w:vAlign w:val="bottom"/>
          </w:tcPr>
          <w:p>
            <w:pPr>
              <w:spacing w:after="0"/>
              <w:rPr>
                <w:sz w:val="20"/>
                <w:szCs w:val="20"/>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(0.11)</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(69)%</w:t>
            </w:r>
          </w:p>
        </w:tc>
        <w:tc>
          <w:tcPr>
            <w:tcW w:w="12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ind w:right="33"/>
              <w:spacing w:after="0"/>
              <w:rPr>
                <w:sz w:val="20"/>
                <w:szCs w:val="20"/>
                <w:color w:val="auto"/>
              </w:rPr>
            </w:pPr>
            <w:r>
              <w:rPr>
                <w:rFonts w:ascii="Arial" w:cs="Arial" w:eastAsia="Arial" w:hAnsi="Arial"/>
                <w:sz w:val="18"/>
                <w:szCs w:val="18"/>
                <w:color w:val="auto"/>
              </w:rPr>
              <w:t>0.28</w:t>
            </w:r>
          </w:p>
        </w:tc>
        <w:tc>
          <w:tcPr>
            <w:tcW w:w="100" w:type="dxa"/>
            <w:vAlign w:val="bottom"/>
          </w:tcPr>
          <w:p>
            <w:pPr>
              <w:spacing w:after="0"/>
              <w:rPr>
                <w:sz w:val="20"/>
                <w:szCs w:val="20"/>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640" w:type="dxa"/>
            <w:vAlign w:val="bottom"/>
          </w:tcPr>
          <w:p>
            <w:pPr>
              <w:jc w:val="right"/>
              <w:ind w:right="31"/>
              <w:spacing w:after="0"/>
              <w:rPr>
                <w:sz w:val="20"/>
                <w:szCs w:val="20"/>
                <w:color w:val="auto"/>
              </w:rPr>
            </w:pPr>
            <w:r>
              <w:rPr>
                <w:rFonts w:ascii="Arial" w:cs="Arial" w:eastAsia="Arial" w:hAnsi="Arial"/>
                <w:sz w:val="18"/>
                <w:szCs w:val="18"/>
                <w:color w:val="auto"/>
              </w:rPr>
              <w:t>0.47</w:t>
            </w:r>
          </w:p>
        </w:tc>
        <w:tc>
          <w:tcPr>
            <w:tcW w:w="100" w:type="dxa"/>
            <w:vAlign w:val="bottom"/>
          </w:tcPr>
          <w:p>
            <w:pPr>
              <w:spacing w:after="0"/>
              <w:rPr>
                <w:sz w:val="20"/>
                <w:szCs w:val="20"/>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(0.19)</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7"/>
        </w:trPr>
        <w:tc>
          <w:tcPr>
            <w:tcW w:w="3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120" w:type="dxa"/>
            <w:vAlign w:val="bottom"/>
            <w:shd w:val="clear" w:color="auto" w:fill="CCEEFF"/>
          </w:tcPr>
          <w:p>
            <w:pPr>
              <w:ind w:left="40"/>
              <w:spacing w:after="0"/>
              <w:rPr>
                <w:sz w:val="20"/>
                <w:szCs w:val="20"/>
                <w:color w:val="auto"/>
              </w:rPr>
            </w:pPr>
            <w:r>
              <w:rPr>
                <w:rFonts w:ascii="Arial" w:cs="Arial" w:eastAsia="Arial" w:hAnsi="Arial"/>
                <w:sz w:val="18"/>
                <w:szCs w:val="18"/>
                <w:color w:val="auto"/>
                <w:w w:val="91"/>
              </w:rPr>
              <w:t>Basic and diluted weighted average Class</w:t>
            </w: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1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 shares outstanding</w:t>
            </w:r>
          </w:p>
        </w:tc>
        <w:tc>
          <w:tcPr>
            <w:tcW w:w="200" w:type="dxa"/>
            <w:vAlign w:val="bottom"/>
            <w:shd w:val="clear" w:color="auto" w:fill="CCEEFF"/>
          </w:tcPr>
          <w:p>
            <w:pPr>
              <w:spacing w:after="0"/>
              <w:rPr>
                <w:sz w:val="20"/>
                <w:szCs w:val="20"/>
                <w:color w:val="auto"/>
              </w:rPr>
            </w:pPr>
          </w:p>
        </w:tc>
        <w:tc>
          <w:tcPr>
            <w:tcW w:w="6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157</w:t>
            </w: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6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153</w:t>
            </w: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6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3 %</w:t>
            </w:r>
          </w:p>
        </w:tc>
        <w:tc>
          <w:tcPr>
            <w:tcW w:w="120" w:type="dxa"/>
            <w:vAlign w:val="bottom"/>
            <w:tcBorders>
              <w:right w:val="single" w:sz="8" w:color="auto"/>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68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157</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6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136</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6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21</w:t>
            </w:r>
          </w:p>
        </w:tc>
        <w:tc>
          <w:tcPr>
            <w:tcW w:w="1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15 %</w:t>
            </w:r>
          </w:p>
        </w:tc>
        <w:tc>
          <w:tcPr>
            <w:tcW w:w="0" w:type="dxa"/>
            <w:vAlign w:val="bottom"/>
          </w:tcPr>
          <w:p>
            <w:pPr>
              <w:spacing w:after="0"/>
              <w:rPr>
                <w:sz w:val="1"/>
                <w:szCs w:val="1"/>
                <w:color w:val="auto"/>
              </w:rPr>
            </w:pPr>
          </w:p>
        </w:tc>
      </w:tr>
      <w:tr>
        <w:trPr>
          <w:trHeight w:val="27"/>
        </w:trPr>
        <w:tc>
          <w:tcPr>
            <w:tcW w:w="31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6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6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6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660" w:type="dxa"/>
            <w:vAlign w:val="bottom"/>
            <w:shd w:val="clear" w:color="auto" w:fill="CCEEFF"/>
          </w:tcPr>
          <w:p>
            <w:pPr>
              <w:spacing w:after="0"/>
              <w:rPr>
                <w:sz w:val="2"/>
                <w:szCs w:val="2"/>
                <w:color w:val="auto"/>
              </w:rPr>
            </w:pPr>
          </w:p>
        </w:tc>
        <w:tc>
          <w:tcPr>
            <w:tcW w:w="120" w:type="dxa"/>
            <w:vAlign w:val="bottom"/>
            <w:tcBorders>
              <w:right w:val="single" w:sz="8" w:color="auto"/>
            </w:tcBorders>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6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6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6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6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250444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2504440" cy="8890"/>
                    </a:xfrm>
                    <a:prstGeom prst="rect">
                      <a:avLst/>
                    </a:prstGeom>
                    <a:noFill/>
                  </pic:spPr>
                </pic:pic>
              </a:graphicData>
            </a:graphic>
          </wp:anchor>
        </w:drawing>
      </w:r>
    </w:p>
    <w:p>
      <w:pPr>
        <w:spacing w:after="0" w:line="233" w:lineRule="exact"/>
        <w:rPr>
          <w:sz w:val="20"/>
          <w:szCs w:val="20"/>
          <w:color w:val="auto"/>
        </w:rPr>
      </w:pPr>
    </w:p>
    <w:p>
      <w:pPr>
        <w:ind w:left="660" w:hanging="652"/>
        <w:spacing w:after="0"/>
        <w:tabs>
          <w:tab w:leader="none" w:pos="660" w:val="left"/>
        </w:tabs>
        <w:numPr>
          <w:ilvl w:val="0"/>
          <w:numId w:val="29"/>
        </w:numPr>
        <w:rPr>
          <w:rFonts w:ascii="Arial" w:cs="Arial" w:eastAsia="Arial" w:hAnsi="Arial"/>
          <w:sz w:val="25"/>
          <w:szCs w:val="25"/>
          <w:color w:val="auto"/>
          <w:vertAlign w:val="superscript"/>
        </w:rPr>
      </w:pPr>
      <w:r>
        <w:rPr>
          <w:rFonts w:ascii="Arial" w:cs="Arial" w:eastAsia="Arial" w:hAnsi="Arial"/>
          <w:sz w:val="18"/>
          <w:szCs w:val="18"/>
          <w:color w:val="auto"/>
        </w:rPr>
        <w:t>Indicates that variance as a percentage is not meaningful.</w:t>
      </w:r>
    </w:p>
    <w:p>
      <w:pPr>
        <w:spacing w:after="0" w:line="98" w:lineRule="exact"/>
        <w:rPr>
          <w:sz w:val="20"/>
          <w:szCs w:val="20"/>
          <w:color w:val="auto"/>
        </w:rPr>
      </w:pPr>
    </w:p>
    <w:p>
      <w:pPr>
        <w:ind w:left="660" w:right="160" w:hanging="652"/>
        <w:spacing w:after="0" w:line="260" w:lineRule="auto"/>
        <w:tabs>
          <w:tab w:leader="none" w:pos="660" w:val="left"/>
        </w:tabs>
        <w:numPr>
          <w:ilvl w:val="0"/>
          <w:numId w:val="30"/>
        </w:numPr>
        <w:rPr>
          <w:rFonts w:ascii="Arial" w:cs="Arial" w:eastAsia="Arial" w:hAnsi="Arial"/>
          <w:sz w:val="22"/>
          <w:szCs w:val="22"/>
          <w:color w:val="auto"/>
          <w:vertAlign w:val="superscript"/>
        </w:rPr>
      </w:pPr>
      <w:r>
        <w:rPr>
          <w:rFonts w:ascii="Arial" w:cs="Arial" w:eastAsia="Arial" w:hAnsi="Arial"/>
          <w:sz w:val="16"/>
          <w:szCs w:val="16"/>
          <w:color w:val="auto"/>
        </w:rPr>
        <w:t>Segment adjusted EBITDA is the measure of segment performance that is utilized by our CODM to assess performance and allocate resources among our operating segments. This measure is adjusted for certain items, including those that our CODM believes impact comparability of results across periods. See Note 14 to our Condensed Consolidated Financial Statements for additional discussion of such adjustments.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Non-GAAP Financial Measures</w:t>
      </w:r>
    </w:p>
    <w:p>
      <w:pPr>
        <w:spacing w:after="0" w:line="225" w:lineRule="exact"/>
        <w:rPr>
          <w:sz w:val="20"/>
          <w:szCs w:val="20"/>
          <w:color w:val="auto"/>
        </w:rPr>
      </w:pPr>
    </w:p>
    <w:p>
      <w:pPr>
        <w:ind w:firstLine="648"/>
        <w:spacing w:after="0" w:line="279" w:lineRule="auto"/>
        <w:rPr>
          <w:sz w:val="20"/>
          <w:szCs w:val="20"/>
          <w:color w:val="auto"/>
        </w:rPr>
      </w:pPr>
      <w:r>
        <w:rPr>
          <w:rFonts w:ascii="Arial" w:cs="Arial" w:eastAsia="Arial" w:hAnsi="Arial"/>
          <w:sz w:val="17"/>
          <w:szCs w:val="17"/>
          <w:color w:val="auto"/>
        </w:rPr>
        <w:t>To supplement our financial information presented in accordance with GAAP, management uses additional measures known as “non-GAAP financial measures” in its evaluation of past performance and prospects for the future. The primary additional measure used by management is earnings before interest, taxes, depreciation and amortization (including our proportionate share of depreciation and amortization and gains and losses on significant asset sales of unconsolidated entities) and adjusted for certain selected items impacting comparability (“Adjusted EBITDA”).</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125" w:right="239" w:bottom="1440" w:gutter="0" w:footer="0" w:header="0"/>
        </w:sectPr>
      </w:pPr>
    </w:p>
    <w:bookmarkStart w:id="42" w:name="page43"/>
    <w:bookmarkEnd w:id="4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firstLine="648"/>
        <w:spacing w:after="0" w:line="286" w:lineRule="auto"/>
        <w:rPr>
          <w:sz w:val="20"/>
          <w:szCs w:val="20"/>
          <w:color w:val="auto"/>
        </w:rPr>
      </w:pPr>
      <w:r>
        <w:rPr>
          <w:rFonts w:ascii="Arial" w:cs="Arial" w:eastAsia="Arial" w:hAnsi="Arial"/>
          <w:sz w:val="16"/>
          <w:szCs w:val="16"/>
          <w:color w:val="auto"/>
        </w:rPr>
        <w:t>Management believes that the presentation of such additional financial measure provides useful information to investors regarding our performance and results of operations because this measure, when used to supplement related GAAP financial measures, (i) provide additional information about our core operating performance, (ii) provide investors with the same financial analytical framework upon which management bases financial, operational, compensation and planning/budgeting decisions and (iii) present measures that investors, rating agencies and debt holders have indicated are useful in assessing us and our results of operations. This non-GAAP measure may exclude, for example, (i) charges for obligations that are expected to be settled with the issuance of equity instruments, (ii) gains or losses on derivative instruments that are related to underlying activities in another period (or the reversal of such adjustments from a prior period), the mark-to-market related to PAA's Preferred Distribution Rate Reset Option, gains and losses on derivatives that are related to investing activities (such as the purchase of linefill) and inventory valuation adjustments, as applicable, (iii) long-term inventory costing adjustments, (iv) items that are not indicative of our core operating results and business outlook and/or (v) other items that we believe should be excluded in understanding our core operating performance. This measure may further be adjusted to include amounts related to deficiencies associated with minimum volume commitments whereby we have billed the counterparties for their deficiency obligation and such amounts are recognized as deferred revenue in “Accounts payable and accrued liabilities” in our Condensed Consolidated Financial Statements. Such amounts are presented net of applicable amounts subsequently recognized into revenue. We have defined all such items as “selected items impacting comparability.” We do not necessarily consider all of our selected items impacting comparability to be non-recurring, infrequent or unusual, but we believe that an understanding of these selected items impacting comparability is material to the evaluation of our operating results and prospects.</w:t>
      </w:r>
    </w:p>
    <w:p>
      <w:pPr>
        <w:spacing w:after="0" w:line="169"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Although we present selected items impacting comparability that management considers in evaluating our performance, you should also be aware that the items presented do not represent all items that affect comparability between the periods presented. Variations in our operating results are also caused by changes in volumes, prices, exchange rates, mechanical interruptions, acquisitions, expansion projects and numerous other factors as discussed, as applicable, in “Analysis of Operating Segments.”</w:t>
      </w:r>
    </w:p>
    <w:p>
      <w:pPr>
        <w:spacing w:after="0" w:line="187" w:lineRule="exact"/>
        <w:rPr>
          <w:sz w:val="20"/>
          <w:szCs w:val="20"/>
          <w:color w:val="auto"/>
        </w:rPr>
      </w:pPr>
    </w:p>
    <w:p>
      <w:pPr>
        <w:ind w:right="280" w:firstLine="648"/>
        <w:spacing w:after="0" w:line="264" w:lineRule="auto"/>
        <w:rPr>
          <w:sz w:val="20"/>
          <w:szCs w:val="20"/>
          <w:color w:val="auto"/>
        </w:rPr>
      </w:pPr>
      <w:r>
        <w:rPr>
          <w:rFonts w:ascii="Arial" w:cs="Arial" w:eastAsia="Arial" w:hAnsi="Arial"/>
          <w:sz w:val="18"/>
          <w:szCs w:val="18"/>
          <w:color w:val="auto"/>
        </w:rPr>
        <w:t>Our definition and calculation of certain non-GAAP financial measures may not be comparable to similarly-titled measures of other companies. Adjusted EBITDA is reconciled to Net Income, the most directly comparable measure as reported in accordance with GAAP, and should be viewed in addition to, and not in lieu of, our Condensed Consolidated Financial Statements and footnotes.</w:t>
      </w:r>
    </w:p>
    <w:p>
      <w:pPr>
        <w:spacing w:after="0" w:line="200" w:lineRule="exact"/>
        <w:rPr>
          <w:sz w:val="20"/>
          <w:szCs w:val="20"/>
          <w:color w:val="auto"/>
        </w:rPr>
      </w:pPr>
    </w:p>
    <w:p>
      <w:pPr>
        <w:spacing w:after="0" w:line="22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300"/>
          </w:cols>
          <w:pgMar w:left="240" w:top="125" w:right="359" w:bottom="1440" w:gutter="0" w:footer="0" w:header="0"/>
        </w:sectPr>
      </w:pPr>
    </w:p>
    <w:bookmarkStart w:id="43" w:name="page44"/>
    <w:bookmarkEnd w:id="4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sets forth the reconciliation of this non-GAAP financial performance measure from Net Income (in millions):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0" w:type="dxa"/>
            <w:vAlign w:val="bottom"/>
            <w:gridSpan w:val="5"/>
          </w:tcPr>
          <w:p>
            <w:pPr>
              <w:ind w:left="100"/>
              <w:spacing w:after="0"/>
              <w:rPr>
                <w:sz w:val="20"/>
                <w:szCs w:val="20"/>
                <w:color w:val="auto"/>
              </w:rPr>
            </w:pPr>
            <w:r>
              <w:rPr>
                <w:rFonts w:ascii="Arial" w:cs="Arial" w:eastAsia="Arial" w:hAnsi="Arial"/>
                <w:sz w:val="14"/>
                <w:szCs w:val="14"/>
                <w:b w:val="1"/>
                <w:bCs w:val="1"/>
                <w:color w:val="auto"/>
              </w:rPr>
              <w:t>Three Months Ended</w:t>
            </w:r>
          </w:p>
        </w:tc>
        <w:tc>
          <w:tcPr>
            <w:tcW w:w="260" w:type="dxa"/>
            <w:vAlign w:val="bottom"/>
          </w:tcPr>
          <w:p>
            <w:pPr>
              <w:spacing w:after="0"/>
              <w:rPr>
                <w:sz w:val="14"/>
                <w:szCs w:val="14"/>
                <w:color w:val="auto"/>
              </w:rPr>
            </w:pPr>
          </w:p>
        </w:tc>
        <w:tc>
          <w:tcPr>
            <w:tcW w:w="1100" w:type="dxa"/>
            <w:vAlign w:val="bottom"/>
            <w:gridSpan w:val="3"/>
            <w:vMerge w:val="restart"/>
          </w:tcPr>
          <w:p>
            <w:pPr>
              <w:ind w:left="480"/>
              <w:spacing w:after="0"/>
              <w:rPr>
                <w:sz w:val="20"/>
                <w:szCs w:val="20"/>
                <w:color w:val="auto"/>
              </w:rPr>
            </w:pPr>
            <w:r>
              <w:rPr>
                <w:rFonts w:ascii="Arial" w:cs="Arial" w:eastAsia="Arial" w:hAnsi="Arial"/>
                <w:sz w:val="14"/>
                <w:szCs w:val="14"/>
                <w:b w:val="1"/>
                <w:bCs w:val="1"/>
                <w:color w:val="auto"/>
              </w:rPr>
              <w:t>Variance</w:t>
            </w: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0" w:type="dxa"/>
            <w:vAlign w:val="bottom"/>
            <w:gridSpan w:val="5"/>
          </w:tcPr>
          <w:p>
            <w:pPr>
              <w:ind w:left="180"/>
              <w:spacing w:after="0"/>
              <w:rPr>
                <w:sz w:val="20"/>
                <w:szCs w:val="20"/>
                <w:color w:val="auto"/>
              </w:rPr>
            </w:pPr>
            <w:r>
              <w:rPr>
                <w:rFonts w:ascii="Arial" w:cs="Arial" w:eastAsia="Arial" w:hAnsi="Arial"/>
                <w:sz w:val="14"/>
                <w:szCs w:val="14"/>
                <w:b w:val="1"/>
                <w:bCs w:val="1"/>
                <w:color w:val="auto"/>
              </w:rPr>
              <w:t>Six Months Ended</w:t>
            </w:r>
          </w:p>
        </w:tc>
        <w:tc>
          <w:tcPr>
            <w:tcW w:w="260" w:type="dxa"/>
            <w:vAlign w:val="bottom"/>
          </w:tcPr>
          <w:p>
            <w:pPr>
              <w:spacing w:after="0"/>
              <w:rPr>
                <w:sz w:val="14"/>
                <w:szCs w:val="14"/>
                <w:color w:val="auto"/>
              </w:rPr>
            </w:pPr>
          </w:p>
        </w:tc>
        <w:tc>
          <w:tcPr>
            <w:tcW w:w="1120" w:type="dxa"/>
            <w:vAlign w:val="bottom"/>
            <w:gridSpan w:val="3"/>
            <w:vMerge w:val="restart"/>
          </w:tcPr>
          <w:p>
            <w:pPr>
              <w:ind w:left="500"/>
              <w:spacing w:after="0"/>
              <w:rPr>
                <w:sz w:val="20"/>
                <w:szCs w:val="20"/>
                <w:color w:val="auto"/>
              </w:rPr>
            </w:pPr>
            <w:r>
              <w:rPr>
                <w:rFonts w:ascii="Arial" w:cs="Arial" w:eastAsia="Arial" w:hAnsi="Arial"/>
                <w:sz w:val="14"/>
                <w:szCs w:val="14"/>
                <w:b w:val="1"/>
                <w:bCs w:val="1"/>
                <w:color w:val="auto"/>
              </w:rPr>
              <w:t>Variance</w:t>
            </w: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3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gridSpan w:val="3"/>
          </w:tcPr>
          <w:p>
            <w:pPr>
              <w:ind w:left="500"/>
              <w:spacing w:after="0"/>
              <w:rPr>
                <w:sz w:val="20"/>
                <w:szCs w:val="20"/>
                <w:color w:val="auto"/>
              </w:rPr>
            </w:pPr>
            <w:r>
              <w:rPr>
                <w:rFonts w:ascii="Arial" w:cs="Arial" w:eastAsia="Arial" w:hAnsi="Arial"/>
                <w:sz w:val="14"/>
                <w:szCs w:val="14"/>
                <w:b w:val="1"/>
                <w:bCs w:val="1"/>
                <w:color w:val="auto"/>
                <w:w w:val="96"/>
              </w:rPr>
              <w:t>June 30,</w:t>
            </w:r>
          </w:p>
        </w:tc>
        <w:tc>
          <w:tcPr>
            <w:tcW w:w="6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3"/>
            <w:vMerge w:val="continue"/>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6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3"/>
            <w:vMerge w:val="continue"/>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3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jc w:val="right"/>
              <w:ind w:right="211"/>
              <w:spacing w:after="0"/>
              <w:rPr>
                <w:sz w:val="20"/>
                <w:szCs w:val="20"/>
                <w:color w:val="auto"/>
              </w:rPr>
            </w:pPr>
            <w:r>
              <w:rPr>
                <w:rFonts w:ascii="Arial" w:cs="Arial" w:eastAsia="Arial" w:hAnsi="Arial"/>
                <w:sz w:val="14"/>
                <w:szCs w:val="14"/>
                <w:b w:val="1"/>
                <w:bCs w:val="1"/>
                <w:color w:val="auto"/>
                <w:w w:val="96"/>
              </w:rPr>
              <w:t>2017</w:t>
            </w: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jc w:val="right"/>
              <w:ind w:right="312"/>
              <w:spacing w:after="0"/>
              <w:rPr>
                <w:sz w:val="20"/>
                <w:szCs w:val="20"/>
                <w:color w:val="auto"/>
              </w:rPr>
            </w:pPr>
            <w:r>
              <w:rPr>
                <w:rFonts w:ascii="Arial" w:cs="Arial" w:eastAsia="Arial" w:hAnsi="Arial"/>
                <w:sz w:val="14"/>
                <w:szCs w:val="14"/>
                <w:b w:val="1"/>
                <w:bCs w:val="1"/>
                <w:color w:val="auto"/>
              </w:rPr>
              <w:t>$</w:t>
            </w:r>
          </w:p>
        </w:tc>
        <w:tc>
          <w:tcPr>
            <w:tcW w:w="1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ind w:right="351"/>
              <w:spacing w:after="0"/>
              <w:rPr>
                <w:sz w:val="20"/>
                <w:szCs w:val="20"/>
                <w:color w:val="auto"/>
              </w:rPr>
            </w:pPr>
            <w:r>
              <w:rPr>
                <w:rFonts w:ascii="Arial" w:cs="Arial" w:eastAsia="Arial" w:hAnsi="Arial"/>
                <w:sz w:val="14"/>
                <w:szCs w:val="14"/>
                <w:b w:val="1"/>
                <w:bCs w:val="1"/>
                <w:color w:val="auto"/>
              </w:rPr>
              <w:t>%</w:t>
            </w: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233"/>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ind w:right="211"/>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w:t>
            </w:r>
          </w:p>
        </w:tc>
        <w:tc>
          <w:tcPr>
            <w:tcW w:w="1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ind w:right="351"/>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50"/>
        </w:trPr>
        <w:tc>
          <w:tcPr>
            <w:tcW w:w="3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369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575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(206)</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43"/>
        </w:trPr>
        <w:tc>
          <w:tcPr>
            <w:tcW w:w="3120" w:type="dxa"/>
            <w:vAlign w:val="bottom"/>
          </w:tcPr>
          <w:p>
            <w:pPr>
              <w:ind w:left="40"/>
              <w:spacing w:after="0"/>
              <w:rPr>
                <w:sz w:val="20"/>
                <w:szCs w:val="20"/>
                <w:color w:val="auto"/>
              </w:rPr>
            </w:pPr>
            <w:r>
              <w:rPr>
                <w:rFonts w:ascii="Arial" w:cs="Arial" w:eastAsia="Arial" w:hAnsi="Arial"/>
                <w:sz w:val="18"/>
                <w:szCs w:val="18"/>
                <w:color w:val="auto"/>
              </w:rPr>
              <w:t>Add/(Subtract):</w:t>
            </w:r>
          </w:p>
        </w:tc>
        <w:tc>
          <w:tcPr>
            <w:tcW w:w="2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2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1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Interest expense, net</w:t>
            </w:r>
          </w:p>
        </w:tc>
        <w:tc>
          <w:tcPr>
            <w:tcW w:w="2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127</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217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256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43"/>
        </w:trPr>
        <w:tc>
          <w:tcPr>
            <w:tcW w:w="3120" w:type="dxa"/>
            <w:vAlign w:val="bottom"/>
          </w:tcPr>
          <w:p>
            <w:pPr>
              <w:ind w:left="200"/>
              <w:spacing w:after="0"/>
              <w:rPr>
                <w:sz w:val="20"/>
                <w:szCs w:val="20"/>
                <w:color w:val="auto"/>
              </w:rPr>
            </w:pPr>
            <w:r>
              <w:rPr>
                <w:rFonts w:ascii="Arial" w:cs="Arial" w:eastAsia="Arial" w:hAnsi="Arial"/>
                <w:sz w:val="18"/>
                <w:szCs w:val="18"/>
                <w:color w:val="auto"/>
              </w:rPr>
              <w:t>Income tax (benefit)/expense</w:t>
            </w:r>
          </w:p>
        </w:tc>
        <w:tc>
          <w:tcPr>
            <w:tcW w:w="20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20" w:type="dxa"/>
            <w:vAlign w:val="bottom"/>
          </w:tcPr>
          <w:p>
            <w:pPr>
              <w:jc w:val="right"/>
              <w:ind w:right="11"/>
              <w:spacing w:after="0"/>
              <w:rPr>
                <w:sz w:val="20"/>
                <w:szCs w:val="20"/>
                <w:color w:val="auto"/>
              </w:rPr>
            </w:pPr>
            <w:r>
              <w:rPr>
                <w:rFonts w:ascii="Arial" w:cs="Arial" w:eastAsia="Arial" w:hAnsi="Arial"/>
                <w:sz w:val="18"/>
                <w:szCs w:val="18"/>
                <w:color w:val="auto"/>
              </w:rPr>
              <w:t>24</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(38)</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(158)%</w:t>
            </w:r>
          </w:p>
        </w:tc>
        <w:tc>
          <w:tcPr>
            <w:tcW w:w="12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00" w:type="dxa"/>
            <w:vAlign w:val="bottom"/>
          </w:tcPr>
          <w:p>
            <w:pPr>
              <w:jc w:val="right"/>
              <w:ind w:right="33"/>
              <w:spacing w:after="0"/>
              <w:rPr>
                <w:sz w:val="20"/>
                <w:szCs w:val="20"/>
                <w:color w:val="auto"/>
              </w:rPr>
            </w:pPr>
            <w:r>
              <w:rPr>
                <w:rFonts w:ascii="Arial" w:cs="Arial" w:eastAsia="Arial" w:hAnsi="Arial"/>
                <w:sz w:val="18"/>
                <w:szCs w:val="18"/>
                <w:color w:val="auto"/>
              </w:rPr>
              <w:t>61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40" w:type="dxa"/>
            <w:vAlign w:val="bottom"/>
          </w:tcPr>
          <w:p>
            <w:pPr>
              <w:jc w:val="right"/>
              <w:ind w:right="31"/>
              <w:spacing w:after="0"/>
              <w:rPr>
                <w:sz w:val="20"/>
                <w:szCs w:val="20"/>
                <w:color w:val="auto"/>
              </w:rPr>
            </w:pPr>
            <w:r>
              <w:rPr>
                <w:rFonts w:ascii="Arial" w:cs="Arial" w:eastAsia="Arial" w:hAnsi="Arial"/>
                <w:sz w:val="18"/>
                <w:szCs w:val="18"/>
                <w:color w:val="auto"/>
              </w:rPr>
              <w:t>130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(69)</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7"/>
        </w:trPr>
        <w:tc>
          <w:tcPr>
            <w:tcW w:w="3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1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Depreciation and amortization</w:t>
            </w:r>
          </w:p>
        </w:tc>
        <w:tc>
          <w:tcPr>
            <w:tcW w:w="2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129</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176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251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29"/>
        </w:trPr>
        <w:tc>
          <w:tcPr>
            <w:tcW w:w="3120" w:type="dxa"/>
            <w:vAlign w:val="bottom"/>
          </w:tcPr>
          <w:p>
            <w:pPr>
              <w:ind w:left="200"/>
              <w:spacing w:after="0"/>
              <w:rPr>
                <w:sz w:val="20"/>
                <w:szCs w:val="20"/>
                <w:color w:val="auto"/>
              </w:rPr>
            </w:pPr>
            <w:r>
              <w:rPr>
                <w:rFonts w:ascii="Arial" w:cs="Arial" w:eastAsia="Arial" w:hAnsi="Arial"/>
                <w:sz w:val="18"/>
                <w:szCs w:val="18"/>
                <w:color w:val="auto"/>
              </w:rPr>
              <w:t>Depreciation and amortization of</w:t>
            </w:r>
          </w:p>
        </w:tc>
        <w:tc>
          <w:tcPr>
            <w:tcW w:w="2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3120" w:type="dxa"/>
            <w:vAlign w:val="bottom"/>
          </w:tcPr>
          <w:p>
            <w:pPr>
              <w:ind w:left="360"/>
              <w:spacing w:after="0" w:line="257" w:lineRule="exact"/>
              <w:rPr>
                <w:sz w:val="20"/>
                <w:szCs w:val="20"/>
                <w:color w:val="auto"/>
              </w:rPr>
            </w:pPr>
            <w:r>
              <w:rPr>
                <w:rFonts w:ascii="Arial" w:cs="Arial" w:eastAsia="Arial" w:hAnsi="Arial"/>
                <w:sz w:val="18"/>
                <w:szCs w:val="18"/>
                <w:color w:val="auto"/>
              </w:rPr>
              <w:t xml:space="preserve">unconsolidated entities </w:t>
            </w:r>
            <w:r>
              <w:rPr>
                <w:rFonts w:ascii="Arial" w:cs="Arial" w:eastAsia="Arial" w:hAnsi="Arial"/>
                <w:sz w:val="25"/>
                <w:szCs w:val="25"/>
                <w:color w:val="auto"/>
                <w:vertAlign w:val="superscript"/>
              </w:rPr>
              <w:t>(1)</w:t>
            </w:r>
          </w:p>
        </w:tc>
        <w:tc>
          <w:tcPr>
            <w:tcW w:w="200" w:type="dxa"/>
            <w:vAlign w:val="bottom"/>
          </w:tcPr>
          <w:p>
            <w:pPr>
              <w:spacing w:after="0"/>
              <w:rPr>
                <w:sz w:val="22"/>
                <w:szCs w:val="22"/>
                <w:color w:val="auto"/>
              </w:rPr>
            </w:pPr>
          </w:p>
        </w:tc>
        <w:tc>
          <w:tcPr>
            <w:tcW w:w="680" w:type="dxa"/>
            <w:vAlign w:val="bottom"/>
          </w:tcPr>
          <w:p>
            <w:pPr>
              <w:jc w:val="right"/>
              <w:ind w:right="13"/>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20" w:type="dxa"/>
            <w:vAlign w:val="bottom"/>
          </w:tcPr>
          <w:p>
            <w:pPr>
              <w:jc w:val="right"/>
              <w:ind w:right="11"/>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20" w:type="dxa"/>
            <w:vAlign w:val="bottom"/>
          </w:tcPr>
          <w:p>
            <w:pPr>
              <w:jc w:val="right"/>
              <w:ind w:right="12"/>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250 %</w:t>
            </w:r>
          </w:p>
        </w:tc>
        <w:tc>
          <w:tcPr>
            <w:tcW w:w="120" w:type="dxa"/>
            <w:vAlign w:val="bottom"/>
            <w:tcBorders>
              <w:right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00" w:type="dxa"/>
            <w:vAlign w:val="bottom"/>
          </w:tcPr>
          <w:p>
            <w:pPr>
              <w:jc w:val="right"/>
              <w:ind w:right="33"/>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40" w:type="dxa"/>
            <w:vAlign w:val="bottom"/>
          </w:tcPr>
          <w:p>
            <w:pPr>
              <w:jc w:val="right"/>
              <w:ind w:right="31"/>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40" w:type="dxa"/>
            <w:vAlign w:val="bottom"/>
          </w:tcPr>
          <w:p>
            <w:pPr>
              <w:jc w:val="right"/>
              <w:ind w:right="12"/>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61 %</w:t>
            </w:r>
          </w:p>
        </w:tc>
        <w:tc>
          <w:tcPr>
            <w:tcW w:w="0" w:type="dxa"/>
            <w:vAlign w:val="bottom"/>
          </w:tcPr>
          <w:p>
            <w:pPr>
              <w:spacing w:after="0"/>
              <w:rPr>
                <w:sz w:val="1"/>
                <w:szCs w:val="1"/>
                <w:color w:val="auto"/>
              </w:rPr>
            </w:pPr>
          </w:p>
        </w:tc>
      </w:tr>
      <w:tr>
        <w:trPr>
          <w:trHeight w:val="229"/>
        </w:trPr>
        <w:tc>
          <w:tcPr>
            <w:tcW w:w="31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Selected Items Impacting</w:t>
            </w: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1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Comparability:</w:t>
            </w:r>
          </w:p>
        </w:tc>
        <w:tc>
          <w:tcPr>
            <w:tcW w:w="20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right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3120" w:type="dxa"/>
            <w:vAlign w:val="bottom"/>
          </w:tcPr>
          <w:p>
            <w:pPr>
              <w:ind w:left="360"/>
              <w:spacing w:after="0"/>
              <w:rPr>
                <w:sz w:val="20"/>
                <w:szCs w:val="20"/>
                <w:color w:val="auto"/>
              </w:rPr>
            </w:pPr>
            <w:r>
              <w:rPr>
                <w:rFonts w:ascii="Arial" w:cs="Arial" w:eastAsia="Arial" w:hAnsi="Arial"/>
                <w:sz w:val="18"/>
                <w:szCs w:val="18"/>
                <w:color w:val="auto"/>
              </w:rPr>
              <w:t>(Gains)/losses from derivative</w:t>
            </w:r>
          </w:p>
        </w:tc>
        <w:tc>
          <w:tcPr>
            <w:tcW w:w="2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120" w:type="dxa"/>
            <w:vAlign w:val="bottom"/>
          </w:tcPr>
          <w:p>
            <w:pPr>
              <w:ind w:left="520"/>
              <w:spacing w:after="0"/>
              <w:rPr>
                <w:sz w:val="20"/>
                <w:szCs w:val="20"/>
                <w:color w:val="auto"/>
              </w:rPr>
            </w:pPr>
            <w:r>
              <w:rPr>
                <w:rFonts w:ascii="Arial" w:cs="Arial" w:eastAsia="Arial" w:hAnsi="Arial"/>
                <w:sz w:val="18"/>
                <w:szCs w:val="18"/>
                <w:color w:val="auto"/>
                <w:w w:val="94"/>
              </w:rPr>
              <w:t>activities net of inventory valuation</w:t>
            </w: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3120" w:type="dxa"/>
            <w:vAlign w:val="bottom"/>
          </w:tcPr>
          <w:p>
            <w:pPr>
              <w:ind w:left="520"/>
              <w:spacing w:after="0" w:line="257" w:lineRule="exact"/>
              <w:rPr>
                <w:sz w:val="20"/>
                <w:szCs w:val="20"/>
                <w:color w:val="auto"/>
              </w:rPr>
            </w:pPr>
            <w:r>
              <w:rPr>
                <w:rFonts w:ascii="Arial" w:cs="Arial" w:eastAsia="Arial" w:hAnsi="Arial"/>
                <w:sz w:val="18"/>
                <w:szCs w:val="18"/>
                <w:color w:val="auto"/>
              </w:rPr>
              <w:t xml:space="preserve">adjustments </w:t>
            </w:r>
            <w:r>
              <w:rPr>
                <w:rFonts w:ascii="Arial" w:cs="Arial" w:eastAsia="Arial" w:hAnsi="Arial"/>
                <w:sz w:val="25"/>
                <w:szCs w:val="25"/>
                <w:color w:val="auto"/>
                <w:vertAlign w:val="superscript"/>
              </w:rPr>
              <w:t>(2)</w:t>
            </w:r>
          </w:p>
        </w:tc>
        <w:tc>
          <w:tcPr>
            <w:tcW w:w="200" w:type="dxa"/>
            <w:vAlign w:val="bottom"/>
          </w:tcPr>
          <w:p>
            <w:pPr>
              <w:spacing w:after="0"/>
              <w:rPr>
                <w:sz w:val="22"/>
                <w:szCs w:val="22"/>
                <w:color w:val="auto"/>
              </w:rPr>
            </w:pPr>
          </w:p>
        </w:tc>
        <w:tc>
          <w:tcPr>
            <w:tcW w:w="680" w:type="dxa"/>
            <w:vAlign w:val="bottom"/>
          </w:tcPr>
          <w:p>
            <w:pPr>
              <w:jc w:val="right"/>
              <w:ind w:right="13"/>
              <w:spacing w:after="0"/>
              <w:rPr>
                <w:sz w:val="20"/>
                <w:szCs w:val="20"/>
                <w:color w:val="auto"/>
              </w:rPr>
            </w:pPr>
            <w:r>
              <w:rPr>
                <w:rFonts w:ascii="Arial" w:cs="Arial" w:eastAsia="Arial" w:hAnsi="Arial"/>
                <w:sz w:val="18"/>
                <w:szCs w:val="18"/>
                <w:color w:val="auto"/>
              </w:rPr>
              <w:t>240</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20" w:type="dxa"/>
            <w:vAlign w:val="bottom"/>
          </w:tcPr>
          <w:p>
            <w:pPr>
              <w:jc w:val="right"/>
              <w:ind w:right="12"/>
              <w:spacing w:after="0"/>
              <w:rPr>
                <w:sz w:val="20"/>
                <w:szCs w:val="20"/>
                <w:color w:val="auto"/>
              </w:rPr>
            </w:pPr>
            <w:r>
              <w:rPr>
                <w:rFonts w:ascii="Arial" w:cs="Arial" w:eastAsia="Arial" w:hAnsi="Arial"/>
                <w:sz w:val="18"/>
                <w:szCs w:val="18"/>
                <w:color w:val="auto"/>
              </w:rPr>
              <w:t>253</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660" w:type="dxa"/>
            <w:vAlign w:val="bottom"/>
          </w:tcPr>
          <w:p>
            <w:pPr>
              <w:jc w:val="right"/>
              <w:ind w:right="151"/>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00" w:type="dxa"/>
            <w:vAlign w:val="bottom"/>
          </w:tcPr>
          <w:p>
            <w:pPr>
              <w:jc w:val="right"/>
              <w:ind w:right="33"/>
              <w:spacing w:after="0"/>
              <w:rPr>
                <w:sz w:val="20"/>
                <w:szCs w:val="20"/>
                <w:color w:val="auto"/>
              </w:rPr>
            </w:pPr>
            <w:r>
              <w:rPr>
                <w:rFonts w:ascii="Arial" w:cs="Arial" w:eastAsia="Arial" w:hAnsi="Arial"/>
                <w:sz w:val="18"/>
                <w:szCs w:val="18"/>
                <w:color w:val="auto"/>
              </w:rPr>
              <w:t>216</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(302)</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40" w:type="dxa"/>
            <w:vAlign w:val="bottom"/>
          </w:tcPr>
          <w:p>
            <w:pPr>
              <w:jc w:val="right"/>
              <w:ind w:right="12"/>
              <w:spacing w:after="0"/>
              <w:rPr>
                <w:sz w:val="20"/>
                <w:szCs w:val="20"/>
                <w:color w:val="auto"/>
              </w:rPr>
            </w:pPr>
            <w:r>
              <w:rPr>
                <w:rFonts w:ascii="Arial" w:cs="Arial" w:eastAsia="Arial" w:hAnsi="Arial"/>
                <w:sz w:val="18"/>
                <w:szCs w:val="18"/>
                <w:color w:val="auto"/>
              </w:rPr>
              <w:t>518</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660" w:type="dxa"/>
            <w:vAlign w:val="bottom"/>
          </w:tcPr>
          <w:p>
            <w:pPr>
              <w:jc w:val="right"/>
              <w:ind w:right="15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31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Long-term inventory costing</w:t>
            </w: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3120" w:type="dxa"/>
            <w:vAlign w:val="bottom"/>
            <w:shd w:val="clear" w:color="auto" w:fill="CCEEFF"/>
          </w:tcPr>
          <w:p>
            <w:pPr>
              <w:ind w:left="520"/>
              <w:spacing w:after="0" w:line="257" w:lineRule="exact"/>
              <w:rPr>
                <w:sz w:val="20"/>
                <w:szCs w:val="20"/>
                <w:color w:val="auto"/>
              </w:rPr>
            </w:pPr>
            <w:r>
              <w:rPr>
                <w:rFonts w:ascii="Arial" w:cs="Arial" w:eastAsia="Arial" w:hAnsi="Arial"/>
                <w:sz w:val="18"/>
                <w:szCs w:val="18"/>
                <w:color w:val="auto"/>
              </w:rPr>
              <w:t xml:space="preserve">adjustments </w:t>
            </w:r>
            <w:r>
              <w:rPr>
                <w:rFonts w:ascii="Arial" w:cs="Arial" w:eastAsia="Arial" w:hAnsi="Arial"/>
                <w:sz w:val="25"/>
                <w:szCs w:val="25"/>
                <w:color w:val="auto"/>
                <w:vertAlign w:val="superscript"/>
              </w:rPr>
              <w:t>(3)</w:t>
            </w:r>
          </w:p>
        </w:tc>
        <w:tc>
          <w:tcPr>
            <w:tcW w:w="200" w:type="dxa"/>
            <w:vAlign w:val="bottom"/>
            <w:shd w:val="clear" w:color="auto" w:fill="CCEEFF"/>
          </w:tcPr>
          <w:p>
            <w:pPr>
              <w:spacing w:after="0"/>
              <w:rPr>
                <w:sz w:val="22"/>
                <w:szCs w:val="22"/>
                <w:color w:val="auto"/>
              </w:rPr>
            </w:pPr>
          </w:p>
        </w:tc>
        <w:tc>
          <w:tcPr>
            <w:tcW w:w="6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5</w:t>
            </w: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6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7</w:t>
            </w: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66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auto"/>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6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14</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2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66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3120" w:type="dxa"/>
            <w:vAlign w:val="bottom"/>
          </w:tcPr>
          <w:p>
            <w:pPr>
              <w:ind w:left="360"/>
              <w:spacing w:after="0"/>
              <w:rPr>
                <w:sz w:val="20"/>
                <w:szCs w:val="20"/>
                <w:color w:val="auto"/>
              </w:rPr>
            </w:pPr>
            <w:r>
              <w:rPr>
                <w:rFonts w:ascii="Arial" w:cs="Arial" w:eastAsia="Arial" w:hAnsi="Arial"/>
                <w:sz w:val="18"/>
                <w:szCs w:val="18"/>
                <w:color w:val="auto"/>
                <w:w w:val="94"/>
              </w:rPr>
              <w:t>Deficiencies under minimum volume</w:t>
            </w:r>
          </w:p>
        </w:tc>
        <w:tc>
          <w:tcPr>
            <w:tcW w:w="2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3120" w:type="dxa"/>
            <w:vAlign w:val="bottom"/>
          </w:tcPr>
          <w:p>
            <w:pPr>
              <w:ind w:left="520"/>
              <w:spacing w:after="0" w:line="257" w:lineRule="exact"/>
              <w:rPr>
                <w:sz w:val="20"/>
                <w:szCs w:val="20"/>
                <w:color w:val="auto"/>
              </w:rPr>
            </w:pPr>
            <w:r>
              <w:rPr>
                <w:rFonts w:ascii="Arial" w:cs="Arial" w:eastAsia="Arial" w:hAnsi="Arial"/>
                <w:sz w:val="18"/>
                <w:szCs w:val="18"/>
                <w:color w:val="auto"/>
              </w:rPr>
              <w:t xml:space="preserve">commitments, net </w:t>
            </w:r>
            <w:r>
              <w:rPr>
                <w:rFonts w:ascii="Arial" w:cs="Arial" w:eastAsia="Arial" w:hAnsi="Arial"/>
                <w:sz w:val="25"/>
                <w:szCs w:val="25"/>
                <w:color w:val="auto"/>
                <w:vertAlign w:val="superscript"/>
              </w:rPr>
              <w:t>(4)</w:t>
            </w:r>
          </w:p>
        </w:tc>
        <w:tc>
          <w:tcPr>
            <w:tcW w:w="200" w:type="dxa"/>
            <w:vAlign w:val="bottom"/>
          </w:tcPr>
          <w:p>
            <w:pPr>
              <w:spacing w:after="0"/>
              <w:rPr>
                <w:sz w:val="22"/>
                <w:szCs w:val="22"/>
                <w:color w:val="auto"/>
              </w:rPr>
            </w:pPr>
          </w:p>
        </w:tc>
        <w:tc>
          <w:tcPr>
            <w:tcW w:w="680" w:type="dxa"/>
            <w:vAlign w:val="bottom"/>
          </w:tcPr>
          <w:p>
            <w:pPr>
              <w:jc w:val="right"/>
              <w:ind w:right="13"/>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20" w:type="dxa"/>
            <w:vAlign w:val="bottom"/>
          </w:tcPr>
          <w:p>
            <w:pPr>
              <w:jc w:val="right"/>
              <w:ind w:right="12"/>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660" w:type="dxa"/>
            <w:vAlign w:val="bottom"/>
          </w:tcPr>
          <w:p>
            <w:pPr>
              <w:jc w:val="right"/>
              <w:ind w:right="151"/>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00" w:type="dxa"/>
            <w:vAlign w:val="bottom"/>
          </w:tcPr>
          <w:p>
            <w:pPr>
              <w:jc w:val="right"/>
              <w:ind w:right="33"/>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40" w:type="dxa"/>
            <w:vAlign w:val="bottom"/>
          </w:tcPr>
          <w:p>
            <w:pPr>
              <w:jc w:val="right"/>
              <w:ind w:right="12"/>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660" w:type="dxa"/>
            <w:vAlign w:val="bottom"/>
          </w:tcPr>
          <w:p>
            <w:pPr>
              <w:jc w:val="right"/>
              <w:ind w:right="15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31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Equity-indexed compensation</w:t>
            </w: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3120" w:type="dxa"/>
            <w:vAlign w:val="bottom"/>
            <w:shd w:val="clear" w:color="auto" w:fill="CCEEFF"/>
          </w:tcPr>
          <w:p>
            <w:pPr>
              <w:ind w:left="520"/>
              <w:spacing w:after="0" w:line="257" w:lineRule="exact"/>
              <w:rPr>
                <w:sz w:val="20"/>
                <w:szCs w:val="20"/>
                <w:color w:val="auto"/>
              </w:rPr>
            </w:pPr>
            <w:r>
              <w:rPr>
                <w:rFonts w:ascii="Arial" w:cs="Arial" w:eastAsia="Arial" w:hAnsi="Arial"/>
                <w:sz w:val="18"/>
                <w:szCs w:val="18"/>
                <w:color w:val="auto"/>
              </w:rPr>
              <w:t xml:space="preserve">expense </w:t>
            </w:r>
            <w:r>
              <w:rPr>
                <w:rFonts w:ascii="Arial" w:cs="Arial" w:eastAsia="Arial" w:hAnsi="Arial"/>
                <w:sz w:val="25"/>
                <w:szCs w:val="25"/>
                <w:color w:val="auto"/>
                <w:vertAlign w:val="superscript"/>
              </w:rPr>
              <w:t>(5)</w:t>
            </w:r>
          </w:p>
        </w:tc>
        <w:tc>
          <w:tcPr>
            <w:tcW w:w="200" w:type="dxa"/>
            <w:vAlign w:val="bottom"/>
            <w:shd w:val="clear" w:color="auto" w:fill="CCEEFF"/>
          </w:tcPr>
          <w:p>
            <w:pPr>
              <w:spacing w:after="0"/>
              <w:rPr>
                <w:sz w:val="22"/>
                <w:szCs w:val="22"/>
                <w:color w:val="auto"/>
              </w:rPr>
            </w:pPr>
          </w:p>
        </w:tc>
        <w:tc>
          <w:tcPr>
            <w:tcW w:w="6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12</w:t>
            </w: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6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9</w:t>
            </w: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6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66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auto"/>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70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23</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6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6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11</w:t>
            </w:r>
          </w:p>
        </w:tc>
        <w:tc>
          <w:tcPr>
            <w:tcW w:w="12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66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3120" w:type="dxa"/>
            <w:vAlign w:val="bottom"/>
          </w:tcPr>
          <w:p>
            <w:pPr>
              <w:ind w:left="360"/>
              <w:spacing w:after="0"/>
              <w:rPr>
                <w:sz w:val="20"/>
                <w:szCs w:val="20"/>
                <w:color w:val="auto"/>
              </w:rPr>
            </w:pPr>
            <w:r>
              <w:rPr>
                <w:rFonts w:ascii="Arial" w:cs="Arial" w:eastAsia="Arial" w:hAnsi="Arial"/>
                <w:sz w:val="18"/>
                <w:szCs w:val="18"/>
                <w:color w:val="auto"/>
                <w:w w:val="99"/>
              </w:rPr>
              <w:t>Net (gain)/loss on foreign currency</w:t>
            </w:r>
          </w:p>
        </w:tc>
        <w:tc>
          <w:tcPr>
            <w:tcW w:w="2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3120" w:type="dxa"/>
            <w:vAlign w:val="bottom"/>
          </w:tcPr>
          <w:p>
            <w:pPr>
              <w:ind w:left="520"/>
              <w:spacing w:after="0" w:line="257" w:lineRule="exact"/>
              <w:rPr>
                <w:sz w:val="20"/>
                <w:szCs w:val="20"/>
                <w:color w:val="auto"/>
              </w:rPr>
            </w:pPr>
            <w:r>
              <w:rPr>
                <w:rFonts w:ascii="Arial" w:cs="Arial" w:eastAsia="Arial" w:hAnsi="Arial"/>
                <w:sz w:val="18"/>
                <w:szCs w:val="18"/>
                <w:color w:val="auto"/>
              </w:rPr>
              <w:t xml:space="preserve">revaluation </w:t>
            </w:r>
            <w:r>
              <w:rPr>
                <w:rFonts w:ascii="Arial" w:cs="Arial" w:eastAsia="Arial" w:hAnsi="Arial"/>
                <w:sz w:val="25"/>
                <w:szCs w:val="25"/>
                <w:color w:val="auto"/>
                <w:vertAlign w:val="superscript"/>
              </w:rPr>
              <w:t>(6)</w:t>
            </w:r>
          </w:p>
        </w:tc>
        <w:tc>
          <w:tcPr>
            <w:tcW w:w="20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20" w:type="dxa"/>
            <w:vAlign w:val="bottom"/>
          </w:tcPr>
          <w:p>
            <w:pPr>
              <w:jc w:val="right"/>
              <w:ind w:right="12"/>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660" w:type="dxa"/>
            <w:vAlign w:val="bottom"/>
          </w:tcPr>
          <w:p>
            <w:pPr>
              <w:jc w:val="right"/>
              <w:ind w:right="151"/>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00" w:type="dxa"/>
            <w:vAlign w:val="bottom"/>
          </w:tcPr>
          <w:p>
            <w:pPr>
              <w:jc w:val="right"/>
              <w:ind w:right="33"/>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40" w:type="dxa"/>
            <w:vAlign w:val="bottom"/>
          </w:tcPr>
          <w:p>
            <w:pPr>
              <w:jc w:val="right"/>
              <w:ind w:right="12"/>
              <w:spacing w:after="0"/>
              <w:rPr>
                <w:sz w:val="20"/>
                <w:szCs w:val="20"/>
                <w:color w:val="auto"/>
              </w:rPr>
            </w:pPr>
            <w:r>
              <w:rPr>
                <w:rFonts w:ascii="Arial" w:cs="Arial" w:eastAsia="Arial" w:hAnsi="Arial"/>
                <w:sz w:val="18"/>
                <w:szCs w:val="18"/>
                <w:color w:val="auto"/>
              </w:rPr>
              <w:t>22</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660" w:type="dxa"/>
            <w:vAlign w:val="bottom"/>
          </w:tcPr>
          <w:p>
            <w:pPr>
              <w:jc w:val="right"/>
              <w:ind w:right="15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3120" w:type="dxa"/>
            <w:vAlign w:val="bottom"/>
            <w:shd w:val="clear" w:color="auto" w:fill="CCEEFF"/>
          </w:tcPr>
          <w:p>
            <w:pPr>
              <w:ind w:left="360"/>
              <w:spacing w:after="0" w:line="270" w:lineRule="exact"/>
              <w:rPr>
                <w:sz w:val="20"/>
                <w:szCs w:val="20"/>
                <w:color w:val="auto"/>
              </w:rPr>
            </w:pPr>
            <w:r>
              <w:rPr>
                <w:rFonts w:ascii="Arial" w:cs="Arial" w:eastAsia="Arial" w:hAnsi="Arial"/>
                <w:sz w:val="18"/>
                <w:szCs w:val="18"/>
                <w:color w:val="auto"/>
              </w:rPr>
              <w:t xml:space="preserve">Line 901 incident </w:t>
            </w:r>
            <w:r>
              <w:rPr>
                <w:rFonts w:ascii="Arial" w:cs="Arial" w:eastAsia="Arial" w:hAnsi="Arial"/>
                <w:sz w:val="25"/>
                <w:szCs w:val="25"/>
                <w:color w:val="auto"/>
                <w:vertAlign w:val="superscript"/>
              </w:rPr>
              <w:t>(7)</w:t>
            </w:r>
          </w:p>
        </w:tc>
        <w:tc>
          <w:tcPr>
            <w:tcW w:w="200" w:type="dxa"/>
            <w:vAlign w:val="bottom"/>
            <w:shd w:val="clear" w:color="auto" w:fill="CCEEFF"/>
          </w:tcPr>
          <w:p>
            <w:pPr>
              <w:spacing w:after="0"/>
              <w:rPr>
                <w:sz w:val="23"/>
                <w:szCs w:val="23"/>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3"/>
                <w:szCs w:val="23"/>
                <w:color w:val="auto"/>
              </w:rPr>
            </w:pPr>
          </w:p>
        </w:tc>
        <w:tc>
          <w:tcPr>
            <w:tcW w:w="6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12</w:t>
            </w: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2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66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3"/>
                <w:szCs w:val="23"/>
                <w:color w:val="auto"/>
              </w:rPr>
            </w:pPr>
          </w:p>
        </w:tc>
        <w:tc>
          <w:tcPr>
            <w:tcW w:w="6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2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66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3120" w:type="dxa"/>
            <w:vAlign w:val="bottom"/>
          </w:tcPr>
          <w:p>
            <w:pPr>
              <w:ind w:left="360"/>
              <w:spacing w:after="0"/>
              <w:rPr>
                <w:sz w:val="20"/>
                <w:szCs w:val="20"/>
                <w:color w:val="auto"/>
              </w:rPr>
            </w:pPr>
            <w:r>
              <w:rPr>
                <w:rFonts w:ascii="Arial" w:cs="Arial" w:eastAsia="Arial" w:hAnsi="Arial"/>
                <w:sz w:val="18"/>
                <w:szCs w:val="18"/>
                <w:color w:val="auto"/>
              </w:rPr>
              <w:t>Significant acquisition-related</w:t>
            </w:r>
          </w:p>
        </w:tc>
        <w:tc>
          <w:tcPr>
            <w:tcW w:w="2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3120" w:type="dxa"/>
            <w:vAlign w:val="bottom"/>
          </w:tcPr>
          <w:p>
            <w:pPr>
              <w:ind w:left="520"/>
              <w:spacing w:after="0" w:line="257" w:lineRule="exact"/>
              <w:rPr>
                <w:sz w:val="20"/>
                <w:szCs w:val="20"/>
                <w:color w:val="auto"/>
              </w:rPr>
            </w:pPr>
            <w:r>
              <w:rPr>
                <w:rFonts w:ascii="Arial" w:cs="Arial" w:eastAsia="Arial" w:hAnsi="Arial"/>
                <w:sz w:val="18"/>
                <w:szCs w:val="18"/>
                <w:color w:val="auto"/>
              </w:rPr>
              <w:t xml:space="preserve">expenses </w:t>
            </w:r>
            <w:r>
              <w:rPr>
                <w:rFonts w:ascii="Arial" w:cs="Arial" w:eastAsia="Arial" w:hAnsi="Arial"/>
                <w:sz w:val="25"/>
                <w:szCs w:val="25"/>
                <w:color w:val="auto"/>
                <w:vertAlign w:val="superscript"/>
              </w:rPr>
              <w:t>(8)</w:t>
            </w:r>
          </w:p>
        </w:tc>
        <w:tc>
          <w:tcPr>
            <w:tcW w:w="200" w:type="dxa"/>
            <w:vAlign w:val="bottom"/>
          </w:tcPr>
          <w:p>
            <w:pPr>
              <w:spacing w:after="0"/>
              <w:rPr>
                <w:sz w:val="22"/>
                <w:szCs w:val="22"/>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2"/>
                <w:szCs w:val="22"/>
                <w:color w:val="auto"/>
              </w:rPr>
            </w:pPr>
          </w:p>
        </w:tc>
        <w:tc>
          <w:tcPr>
            <w:tcW w:w="620" w:type="dxa"/>
            <w:vAlign w:val="bottom"/>
          </w:tcPr>
          <w:p>
            <w:pPr>
              <w:jc w:val="right"/>
              <w:ind w:right="11"/>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660" w:type="dxa"/>
            <w:vAlign w:val="bottom"/>
          </w:tcPr>
          <w:p>
            <w:pPr>
              <w:jc w:val="right"/>
              <w:ind w:right="151"/>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2"/>
                <w:szCs w:val="22"/>
                <w:color w:val="auto"/>
              </w:rPr>
            </w:pPr>
          </w:p>
        </w:tc>
        <w:tc>
          <w:tcPr>
            <w:tcW w:w="640" w:type="dxa"/>
            <w:vAlign w:val="bottom"/>
          </w:tcPr>
          <w:p>
            <w:pPr>
              <w:jc w:val="right"/>
              <w:ind w:right="31"/>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660" w:type="dxa"/>
            <w:vAlign w:val="bottom"/>
          </w:tcPr>
          <w:p>
            <w:pPr>
              <w:jc w:val="right"/>
              <w:ind w:right="15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3120" w:type="dxa"/>
            <w:vAlign w:val="bottom"/>
            <w:tcBorders>
              <w:top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Selected Items Impacting</w:t>
            </w:r>
          </w:p>
        </w:tc>
        <w:tc>
          <w:tcPr>
            <w:tcW w:w="20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right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Comparability - segment adjusted</w:t>
            </w: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tcBorders>
              <w:right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31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EBITDA</w:t>
            </w:r>
          </w:p>
        </w:tc>
        <w:tc>
          <w:tcPr>
            <w:tcW w:w="20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258</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266</w:t>
            </w: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right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253</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(275)</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528</w:t>
            </w: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3120" w:type="dxa"/>
            <w:vAlign w:val="bottom"/>
          </w:tcPr>
          <w:p>
            <w:pPr>
              <w:ind w:left="360"/>
              <w:spacing w:after="0"/>
              <w:rPr>
                <w:sz w:val="20"/>
                <w:szCs w:val="20"/>
                <w:color w:val="auto"/>
              </w:rPr>
            </w:pPr>
            <w:r>
              <w:rPr>
                <w:rFonts w:ascii="Arial" w:cs="Arial" w:eastAsia="Arial" w:hAnsi="Arial"/>
                <w:sz w:val="18"/>
                <w:szCs w:val="18"/>
                <w:color w:val="auto"/>
              </w:rPr>
              <w:t>(Gains)/losses from derivative</w:t>
            </w:r>
          </w:p>
        </w:tc>
        <w:tc>
          <w:tcPr>
            <w:tcW w:w="2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3120" w:type="dxa"/>
            <w:vAlign w:val="bottom"/>
          </w:tcPr>
          <w:p>
            <w:pPr>
              <w:ind w:left="520"/>
              <w:spacing w:after="0" w:line="257" w:lineRule="exact"/>
              <w:rPr>
                <w:sz w:val="20"/>
                <w:szCs w:val="20"/>
                <w:color w:val="auto"/>
              </w:rPr>
            </w:pPr>
            <w:r>
              <w:rPr>
                <w:rFonts w:ascii="Arial" w:cs="Arial" w:eastAsia="Arial" w:hAnsi="Arial"/>
                <w:sz w:val="18"/>
                <w:szCs w:val="18"/>
                <w:color w:val="auto"/>
              </w:rPr>
              <w:t xml:space="preserve">activities </w:t>
            </w:r>
            <w:r>
              <w:rPr>
                <w:rFonts w:ascii="Arial" w:cs="Arial" w:eastAsia="Arial" w:hAnsi="Arial"/>
                <w:sz w:val="25"/>
                <w:szCs w:val="25"/>
                <w:color w:val="auto"/>
                <w:vertAlign w:val="superscript"/>
              </w:rPr>
              <w:t>(2)</w:t>
            </w:r>
          </w:p>
        </w:tc>
        <w:tc>
          <w:tcPr>
            <w:tcW w:w="20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660" w:type="dxa"/>
            <w:vAlign w:val="bottom"/>
          </w:tcPr>
          <w:p>
            <w:pPr>
              <w:jc w:val="right"/>
              <w:ind w:right="151"/>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40" w:type="dxa"/>
            <w:vAlign w:val="bottom"/>
          </w:tcPr>
          <w:p>
            <w:pPr>
              <w:jc w:val="right"/>
              <w:ind w:right="31"/>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660" w:type="dxa"/>
            <w:vAlign w:val="bottom"/>
          </w:tcPr>
          <w:p>
            <w:pPr>
              <w:jc w:val="right"/>
              <w:ind w:right="15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3120" w:type="dxa"/>
            <w:vAlign w:val="bottom"/>
            <w:shd w:val="clear" w:color="auto" w:fill="CCEEFF"/>
          </w:tcPr>
          <w:p>
            <w:pPr>
              <w:ind w:left="360"/>
              <w:spacing w:after="0"/>
              <w:rPr>
                <w:sz w:val="20"/>
                <w:szCs w:val="20"/>
                <w:color w:val="auto"/>
              </w:rPr>
            </w:pPr>
            <w:r>
              <w:rPr>
                <w:rFonts w:ascii="Arial" w:cs="Arial" w:eastAsia="Arial" w:hAnsi="Arial"/>
                <w:sz w:val="18"/>
                <w:szCs w:val="18"/>
                <w:color w:val="auto"/>
                <w:w w:val="99"/>
              </w:rPr>
              <w:t>Net (gain)/loss on foreign currency</w:t>
            </w: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3120" w:type="dxa"/>
            <w:vAlign w:val="bottom"/>
            <w:shd w:val="clear" w:color="auto" w:fill="CCEEFF"/>
          </w:tcPr>
          <w:p>
            <w:pPr>
              <w:ind w:left="520"/>
              <w:spacing w:after="0" w:line="257" w:lineRule="exact"/>
              <w:rPr>
                <w:sz w:val="20"/>
                <w:szCs w:val="20"/>
                <w:color w:val="auto"/>
              </w:rPr>
            </w:pPr>
            <w:r>
              <w:rPr>
                <w:rFonts w:ascii="Arial" w:cs="Arial" w:eastAsia="Arial" w:hAnsi="Arial"/>
                <w:sz w:val="18"/>
                <w:szCs w:val="18"/>
                <w:color w:val="auto"/>
              </w:rPr>
              <w:t xml:space="preserve">revaluation </w:t>
            </w:r>
            <w:r>
              <w:rPr>
                <w:rFonts w:ascii="Arial" w:cs="Arial" w:eastAsia="Arial" w:hAnsi="Arial"/>
                <w:sz w:val="25"/>
                <w:szCs w:val="25"/>
                <w:color w:val="auto"/>
                <w:vertAlign w:val="superscript"/>
              </w:rPr>
              <w:t>(6)</w:t>
            </w:r>
          </w:p>
        </w:tc>
        <w:tc>
          <w:tcPr>
            <w:tcW w:w="200" w:type="dxa"/>
            <w:vAlign w:val="bottom"/>
            <w:tcBorders>
              <w:bottom w:val="single" w:sz="8" w:color="auto"/>
            </w:tcBorders>
            <w:shd w:val="clear" w:color="auto" w:fill="CCEEFF"/>
          </w:tcPr>
          <w:p>
            <w:pPr>
              <w:spacing w:after="0"/>
              <w:rPr>
                <w:sz w:val="22"/>
                <w:szCs w:val="22"/>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spacing w:after="0"/>
              <w:rPr>
                <w:sz w:val="22"/>
                <w:szCs w:val="22"/>
                <w:color w:val="auto"/>
              </w:rPr>
            </w:pPr>
          </w:p>
        </w:tc>
        <w:tc>
          <w:tcPr>
            <w:tcW w:w="6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spacing w:after="0"/>
              <w:rPr>
                <w:sz w:val="22"/>
                <w:szCs w:val="22"/>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20" w:type="dxa"/>
            <w:vAlign w:val="bottom"/>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660" w:type="dxa"/>
            <w:vAlign w:val="bottom"/>
            <w:tcBorders>
              <w:bottom w:val="single" w:sz="8" w:color="auto"/>
            </w:tcBorders>
            <w:shd w:val="clear" w:color="auto" w:fill="CCEEFF"/>
          </w:tcPr>
          <w:p>
            <w:pPr>
              <w:jc w:val="right"/>
              <w:ind w:right="151"/>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auto"/>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spacing w:after="0"/>
              <w:rPr>
                <w:sz w:val="22"/>
                <w:szCs w:val="22"/>
                <w:color w:val="auto"/>
              </w:rPr>
            </w:pPr>
          </w:p>
        </w:tc>
        <w:tc>
          <w:tcPr>
            <w:tcW w:w="6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spacing w:after="0"/>
              <w:rPr>
                <w:sz w:val="22"/>
                <w:szCs w:val="22"/>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20" w:type="dxa"/>
            <w:vAlign w:val="bottom"/>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660" w:type="dxa"/>
            <w:vAlign w:val="bottom"/>
            <w:tcBorders>
              <w:bottom w:val="single" w:sz="8" w:color="auto"/>
            </w:tcBorders>
            <w:shd w:val="clear" w:color="auto" w:fill="CCEEFF"/>
          </w:tcPr>
          <w:p>
            <w:pPr>
              <w:jc w:val="right"/>
              <w:ind w:right="15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3120" w:type="dxa"/>
            <w:vAlign w:val="bottom"/>
          </w:tcPr>
          <w:p>
            <w:pPr>
              <w:ind w:left="200"/>
              <w:spacing w:after="0"/>
              <w:rPr>
                <w:sz w:val="20"/>
                <w:szCs w:val="20"/>
                <w:color w:val="auto"/>
              </w:rPr>
            </w:pPr>
            <w:r>
              <w:rPr>
                <w:rFonts w:ascii="Arial" w:cs="Arial" w:eastAsia="Arial" w:hAnsi="Arial"/>
                <w:sz w:val="18"/>
                <w:szCs w:val="18"/>
                <w:color w:val="auto"/>
              </w:rPr>
              <w:t>Selected Items Impacting</w:t>
            </w: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20" w:type="dxa"/>
            <w:vAlign w:val="bottom"/>
          </w:tcPr>
          <w:p>
            <w:pPr>
              <w:ind w:left="360"/>
              <w:spacing w:after="0"/>
              <w:rPr>
                <w:sz w:val="20"/>
                <w:szCs w:val="20"/>
                <w:color w:val="auto"/>
              </w:rPr>
            </w:pPr>
            <w:r>
              <w:rPr>
                <w:rFonts w:ascii="Arial" w:cs="Arial" w:eastAsia="Arial" w:hAnsi="Arial"/>
                <w:sz w:val="18"/>
                <w:szCs w:val="18"/>
                <w:color w:val="auto"/>
              </w:rPr>
              <w:t>Comparability - Adjusted</w:t>
            </w: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3120" w:type="dxa"/>
            <w:vAlign w:val="bottom"/>
            <w:tcBorders>
              <w:bottom w:val="single" w:sz="8" w:color="CCEEFF"/>
            </w:tcBorders>
          </w:tcPr>
          <w:p>
            <w:pPr>
              <w:ind w:left="360"/>
              <w:spacing w:after="0" w:line="257" w:lineRule="exact"/>
              <w:rPr>
                <w:sz w:val="20"/>
                <w:szCs w:val="20"/>
                <w:color w:val="auto"/>
              </w:rPr>
            </w:pPr>
            <w:r>
              <w:rPr>
                <w:rFonts w:ascii="Arial" w:cs="Arial" w:eastAsia="Arial" w:hAnsi="Arial"/>
                <w:sz w:val="18"/>
                <w:szCs w:val="18"/>
                <w:color w:val="auto"/>
              </w:rPr>
              <w:t xml:space="preserve">EBITDA </w:t>
            </w:r>
            <w:r>
              <w:rPr>
                <w:rFonts w:ascii="Arial" w:cs="Arial" w:eastAsia="Arial" w:hAnsi="Arial"/>
                <w:sz w:val="25"/>
                <w:szCs w:val="25"/>
                <w:color w:val="auto"/>
                <w:vertAlign w:val="superscript"/>
              </w:rPr>
              <w:t>(9)</w:t>
            </w:r>
          </w:p>
        </w:tc>
        <w:tc>
          <w:tcPr>
            <w:tcW w:w="20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248</w:t>
            </w: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256</w:t>
            </w:r>
          </w:p>
        </w:tc>
        <w:tc>
          <w:tcPr>
            <w:tcW w:w="1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ind w:right="151"/>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right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244</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(270)</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514</w:t>
            </w:r>
          </w:p>
        </w:tc>
        <w:tc>
          <w:tcPr>
            <w:tcW w:w="1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ind w:right="15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4"/>
        </w:trPr>
        <w:tc>
          <w:tcPr>
            <w:tcW w:w="3120" w:type="dxa"/>
            <w:vAlign w:val="bottom"/>
            <w:tcBorders>
              <w:bottom w:val="single" w:sz="8" w:color="CCEEFF"/>
            </w:tcBorders>
            <w:shd w:val="clear" w:color="auto" w:fill="CCEEFF"/>
          </w:tcPr>
          <w:p>
            <w:pPr>
              <w:ind w:left="40"/>
              <w:spacing w:after="0" w:line="264" w:lineRule="exact"/>
              <w:rPr>
                <w:sz w:val="20"/>
                <w:szCs w:val="20"/>
                <w:color w:val="auto"/>
              </w:rPr>
            </w:pPr>
            <w:r>
              <w:rPr>
                <w:rFonts w:ascii="Arial" w:cs="Arial" w:eastAsia="Arial" w:hAnsi="Arial"/>
                <w:sz w:val="18"/>
                <w:szCs w:val="18"/>
                <w:color w:val="auto"/>
              </w:rPr>
              <w:t xml:space="preserve">Adjusted EBITDA </w:t>
            </w:r>
            <w:r>
              <w:rPr>
                <w:rFonts w:ascii="Arial" w:cs="Arial" w:eastAsia="Arial" w:hAnsi="Arial"/>
                <w:sz w:val="25"/>
                <w:szCs w:val="25"/>
                <w:color w:val="auto"/>
                <w:vertAlign w:val="superscript"/>
              </w:rPr>
              <w:t>(9)</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505</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450</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55</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12 %</w:t>
            </w:r>
          </w:p>
        </w:tc>
        <w:tc>
          <w:tcPr>
            <w:tcW w:w="120" w:type="dxa"/>
            <w:vAlign w:val="bottom"/>
            <w:tcBorders>
              <w:bottom w:val="single" w:sz="8" w:color="CCEEFF"/>
              <w:right w:val="single" w:sz="8" w:color="auto"/>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1,096</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960</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136</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14 %</w:t>
            </w:r>
          </w:p>
        </w:tc>
        <w:tc>
          <w:tcPr>
            <w:tcW w:w="0" w:type="dxa"/>
            <w:vAlign w:val="bottom"/>
          </w:tcPr>
          <w:p>
            <w:pPr>
              <w:spacing w:after="0"/>
              <w:rPr>
                <w:sz w:val="1"/>
                <w:szCs w:val="1"/>
                <w:color w:val="auto"/>
              </w:rPr>
            </w:pPr>
          </w:p>
        </w:tc>
      </w:tr>
      <w:tr>
        <w:trPr>
          <w:trHeight w:val="20"/>
        </w:trPr>
        <w:tc>
          <w:tcPr>
            <w:tcW w:w="3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250444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2504440" cy="8890"/>
                    </a:xfrm>
                    <a:prstGeom prst="rect">
                      <a:avLst/>
                    </a:prstGeom>
                    <a:noFill/>
                  </pic:spPr>
                </pic:pic>
              </a:graphicData>
            </a:graphic>
          </wp:anchor>
        </w:drawing>
      </w:r>
    </w:p>
    <w:p>
      <w:pPr>
        <w:spacing w:after="0" w:line="233" w:lineRule="exact"/>
        <w:rPr>
          <w:sz w:val="20"/>
          <w:szCs w:val="20"/>
          <w:color w:val="auto"/>
        </w:rPr>
      </w:pPr>
    </w:p>
    <w:p>
      <w:pPr>
        <w:ind w:left="660" w:hanging="652"/>
        <w:spacing w:after="0"/>
        <w:tabs>
          <w:tab w:leader="none" w:pos="660" w:val="left"/>
        </w:tabs>
        <w:numPr>
          <w:ilvl w:val="0"/>
          <w:numId w:val="31"/>
        </w:numPr>
        <w:rPr>
          <w:rFonts w:ascii="Arial" w:cs="Arial" w:eastAsia="Arial" w:hAnsi="Arial"/>
          <w:sz w:val="25"/>
          <w:szCs w:val="25"/>
          <w:color w:val="auto"/>
          <w:vertAlign w:val="superscript"/>
        </w:rPr>
      </w:pPr>
      <w:r>
        <w:rPr>
          <w:rFonts w:ascii="Arial" w:cs="Arial" w:eastAsia="Arial" w:hAnsi="Arial"/>
          <w:sz w:val="18"/>
          <w:szCs w:val="18"/>
          <w:color w:val="auto"/>
        </w:rPr>
        <w:t>Indicates that variance as a percentage is not meaningful.</w:t>
      </w:r>
    </w:p>
    <w:p>
      <w:pPr>
        <w:spacing w:after="0" w:line="50" w:lineRule="exact"/>
        <w:rPr>
          <w:sz w:val="20"/>
          <w:szCs w:val="20"/>
          <w:color w:val="auto"/>
        </w:rPr>
      </w:pPr>
    </w:p>
    <w:p>
      <w:pPr>
        <w:ind w:left="660" w:right="60" w:hanging="652"/>
        <w:spacing w:after="0" w:line="223" w:lineRule="auto"/>
        <w:tabs>
          <w:tab w:leader="none" w:pos="660" w:val="left"/>
        </w:tabs>
        <w:numPr>
          <w:ilvl w:val="0"/>
          <w:numId w:val="32"/>
        </w:numPr>
        <w:rPr>
          <w:rFonts w:ascii="Arial" w:cs="Arial" w:eastAsia="Arial" w:hAnsi="Arial"/>
          <w:sz w:val="25"/>
          <w:szCs w:val="25"/>
          <w:color w:val="auto"/>
          <w:vertAlign w:val="superscript"/>
        </w:rPr>
      </w:pPr>
      <w:r>
        <w:rPr>
          <w:rFonts w:ascii="Arial" w:cs="Arial" w:eastAsia="Arial" w:hAnsi="Arial"/>
          <w:sz w:val="18"/>
          <w:szCs w:val="18"/>
          <w:color w:val="auto"/>
        </w:rPr>
        <w:t>Over the past several years, we have increased our participation in pipeline strategic joint ventures, which are accounted for under the equity method of accounting. We exclude our proportionate share of the depreciation and amortization expense and gains and losses on significant asset sales of such unconsolidated entities when reviewing Adjusted EBITDA, similar to our consolidated assets.</w:t>
      </w:r>
    </w:p>
    <w:p>
      <w:pPr>
        <w:spacing w:after="0" w:line="148" w:lineRule="exact"/>
        <w:rPr>
          <w:rFonts w:ascii="Arial" w:cs="Arial" w:eastAsia="Arial" w:hAnsi="Arial"/>
          <w:sz w:val="25"/>
          <w:szCs w:val="25"/>
          <w:color w:val="auto"/>
          <w:vertAlign w:val="superscript"/>
        </w:rPr>
      </w:pPr>
    </w:p>
    <w:p>
      <w:pPr>
        <w:ind w:left="660" w:right="40" w:hanging="652"/>
        <w:spacing w:after="0" w:line="241" w:lineRule="auto"/>
        <w:tabs>
          <w:tab w:leader="none" w:pos="660" w:val="left"/>
        </w:tabs>
        <w:numPr>
          <w:ilvl w:val="0"/>
          <w:numId w:val="32"/>
        </w:numPr>
        <w:rPr>
          <w:rFonts w:ascii="Arial" w:cs="Arial" w:eastAsia="Arial" w:hAnsi="Arial"/>
          <w:sz w:val="25"/>
          <w:szCs w:val="25"/>
          <w:color w:val="auto"/>
          <w:vertAlign w:val="superscript"/>
        </w:rPr>
      </w:pPr>
      <w:r>
        <w:rPr>
          <w:rFonts w:ascii="Arial" w:cs="Arial" w:eastAsia="Arial" w:hAnsi="Arial"/>
          <w:sz w:val="18"/>
          <w:szCs w:val="18"/>
          <w:color w:val="auto"/>
        </w:rPr>
        <w:t>We use derivative instruments for risk management purposes, and our related processes include specific identification of hedging instruments to an underlying hedged transaction. Although we identify an underlying transaction for each derivative instrument we enter into, there may not be an accounting hedge relationship between the instrument and the underlying transaction. In the course of evaluating our results of operations, we identify the earnings that were recognized during the period related to derivative instruments for which the identified underlying transaction does not occur in the current period and exclude the related gains and losses in determining Adjusted EBITDA. In addition, we exclude gains and losses on derivatives that are related to investing activities, such as the purchase of linefill. We also exclude the impact of corresponding inventory valuation adjustments, as applicable, as well as the mark-to-market adjustment related to PAA's Preferred Distribution Rate Reset Option. See Note 11 to our Condensed Consolidated</w:t>
      </w:r>
    </w:p>
    <w:p>
      <w:pPr>
        <w:sectPr>
          <w:pgSz w:w="11900" w:h="16838" w:orient="portrait"/>
          <w:cols w:equalWidth="0" w:num="1">
            <w:col w:w="11420"/>
          </w:cols>
          <w:pgMar w:left="240" w:top="125" w:right="239" w:bottom="1440" w:gutter="0" w:footer="0" w:header="0"/>
        </w:sect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44</w:t>
      </w:r>
    </w:p>
    <w:p>
      <w:pPr>
        <w:sectPr>
          <w:pgSz w:w="11900" w:h="16838" w:orient="portrait"/>
          <w:cols w:equalWidth="0" w:num="1">
            <w:col w:w="11420"/>
          </w:cols>
          <w:pgMar w:left="240" w:top="125" w:right="239" w:bottom="1440" w:gutter="0" w:footer="0" w:header="0"/>
          <w:type w:val="continuous"/>
        </w:sectPr>
      </w:pPr>
    </w:p>
    <w:bookmarkStart w:id="44" w:name="page45"/>
    <w:bookmarkEnd w:id="4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ind w:left="660"/>
        <w:spacing w:after="0" w:line="324" w:lineRule="auto"/>
        <w:rPr>
          <w:sz w:val="20"/>
          <w:szCs w:val="20"/>
          <w:color w:val="auto"/>
        </w:rPr>
      </w:pPr>
      <w:r>
        <w:rPr>
          <w:rFonts w:ascii="Arial" w:cs="Arial" w:eastAsia="Arial" w:hAnsi="Arial"/>
          <w:sz w:val="18"/>
          <w:szCs w:val="18"/>
          <w:color w:val="auto"/>
        </w:rPr>
        <w:t>Financial Statements for a comprehensive discussion regarding our derivatives and risk management activities and PAA's Preferred Distribution Rate Reset Option.</w:t>
      </w:r>
    </w:p>
    <w:p>
      <w:pPr>
        <w:spacing w:after="0" w:line="35" w:lineRule="exact"/>
        <w:rPr>
          <w:sz w:val="20"/>
          <w:szCs w:val="20"/>
          <w:color w:val="auto"/>
        </w:rPr>
      </w:pPr>
    </w:p>
    <w:p>
      <w:pPr>
        <w:ind w:left="660" w:hanging="652"/>
        <w:spacing w:after="0" w:line="273" w:lineRule="auto"/>
        <w:tabs>
          <w:tab w:leader="none" w:pos="660" w:val="left"/>
        </w:tabs>
        <w:numPr>
          <w:ilvl w:val="0"/>
          <w:numId w:val="33"/>
        </w:numPr>
        <w:rPr>
          <w:rFonts w:ascii="Arial" w:cs="Arial" w:eastAsia="Arial" w:hAnsi="Arial"/>
          <w:sz w:val="22"/>
          <w:szCs w:val="22"/>
          <w:color w:val="auto"/>
          <w:vertAlign w:val="superscript"/>
        </w:rPr>
      </w:pPr>
      <w:r>
        <w:rPr>
          <w:rFonts w:ascii="Arial" w:cs="Arial" w:eastAsia="Arial" w:hAnsi="Arial"/>
          <w:sz w:val="16"/>
          <w:szCs w:val="16"/>
          <w:color w:val="auto"/>
        </w:rPr>
        <w:t>We carry crude oil and NGL inventory that is comprised of minimum working inventory requirements in third-party assets and other working inventory that is needed for our commercial operations. We consider this inventory necessary to conduct our operations and we intend to carry this inventory for the foreseeable future. Therefore, we classify this inventory as long-term on our balance sheet and do not hedge the inventory with derivative instruments (similar to linefill in our own assets). We treat the impact of changes in the average cost of the long-term inventory (that result from fluctuations in market prices) and writedowns of such inventory that result from price declines as a selected item impacting comparability. See Note 4 to our Consolidated Financial Statements included in Part IV of our 2017 Annual Report on Form 10-K for additional inventory disclosures.</w:t>
      </w:r>
    </w:p>
    <w:p>
      <w:pPr>
        <w:spacing w:after="0" w:line="70" w:lineRule="exact"/>
        <w:rPr>
          <w:rFonts w:ascii="Arial" w:cs="Arial" w:eastAsia="Arial" w:hAnsi="Arial"/>
          <w:sz w:val="22"/>
          <w:szCs w:val="22"/>
          <w:color w:val="auto"/>
          <w:vertAlign w:val="superscript"/>
        </w:rPr>
      </w:pPr>
    </w:p>
    <w:p>
      <w:pPr>
        <w:ind w:left="660" w:hanging="652"/>
        <w:spacing w:after="0" w:line="258" w:lineRule="auto"/>
        <w:tabs>
          <w:tab w:leader="none" w:pos="660" w:val="left"/>
        </w:tabs>
        <w:numPr>
          <w:ilvl w:val="0"/>
          <w:numId w:val="33"/>
        </w:numPr>
        <w:rPr>
          <w:rFonts w:ascii="Arial" w:cs="Arial" w:eastAsia="Arial" w:hAnsi="Arial"/>
          <w:sz w:val="24"/>
          <w:szCs w:val="24"/>
          <w:color w:val="auto"/>
          <w:vertAlign w:val="superscript"/>
        </w:rPr>
      </w:pPr>
      <w:r>
        <w:rPr>
          <w:rFonts w:ascii="Arial" w:cs="Arial" w:eastAsia="Arial" w:hAnsi="Arial"/>
          <w:sz w:val="17"/>
          <w:szCs w:val="17"/>
          <w:color w:val="auto"/>
        </w:rPr>
        <w:t>We have certain agreements that require counterparties to deliver, transport or throughput a minimum volume over an agreed upon period. Substantially all of such agreements were entered into with counterparties to economically support the return on our capital expenditure necessary to construct the related asset. Some of these agreements include make-up rights if the minimum volume is not met. We record a receivable from the counterparty in the period that services are provided or when the transaction occurs, including amounts for deficiency obligations from counterparties associated with minimum volume commitments. If a counterparty has a make-up right associated with a deficiency, we defer the revenue attributable to the counterparty’s make-up right and subsequently recognize the revenue at the earlier of when the deficiency volume is delivered or shipped, when the make-up right expires or when it is determined that the counterparty’s ability to utilize the make-up right is remote. We include the impact of amounts billed to counterparties for their deficiency obligation, net of applicable amounts subsequently recognized into revenue, as a selected item impacting comparability. We believe the inclusion of the contractually committed revenues associated with that period is meaningful to investors as the related asset has been constructed, is standing ready to provide the committed service and the fixed operating costs are included in the current period results.</w:t>
      </w:r>
    </w:p>
    <w:p>
      <w:pPr>
        <w:spacing w:after="0" w:line="86" w:lineRule="exact"/>
        <w:rPr>
          <w:rFonts w:ascii="Arial" w:cs="Arial" w:eastAsia="Arial" w:hAnsi="Arial"/>
          <w:sz w:val="24"/>
          <w:szCs w:val="24"/>
          <w:color w:val="auto"/>
          <w:vertAlign w:val="superscript"/>
        </w:rPr>
      </w:pPr>
    </w:p>
    <w:p>
      <w:pPr>
        <w:ind w:left="660" w:hanging="652"/>
        <w:spacing w:after="0" w:line="274" w:lineRule="auto"/>
        <w:tabs>
          <w:tab w:leader="none" w:pos="660" w:val="left"/>
        </w:tabs>
        <w:numPr>
          <w:ilvl w:val="0"/>
          <w:numId w:val="33"/>
        </w:numPr>
        <w:rPr>
          <w:rFonts w:ascii="Arial" w:cs="Arial" w:eastAsia="Arial" w:hAnsi="Arial"/>
          <w:sz w:val="22"/>
          <w:szCs w:val="22"/>
          <w:color w:val="auto"/>
          <w:vertAlign w:val="superscript"/>
        </w:rPr>
      </w:pPr>
      <w:r>
        <w:rPr>
          <w:rFonts w:ascii="Arial" w:cs="Arial" w:eastAsia="Arial" w:hAnsi="Arial"/>
          <w:sz w:val="16"/>
          <w:szCs w:val="16"/>
          <w:color w:val="auto"/>
        </w:rPr>
        <w:t>Our total equity-indexed compensation expense includes expense associated with awards that will or may be settled in PAA common units and awards that will or may be settled in cash. The awards that will or may be settled in PAA common units are included in PAA's diluted net income per unit calculation when the applicable performance criteria have been met. We consider the compensation expense associated with these awards as a selected item impacting comparability as the dilutive impact of the outstanding awards is included in PAA's diluted net income per unit calculation, as applicable, and the majority of the awards are expected to be settled in units. The portion of compensation expense associated with awards that are certain to be settled in cash is not considered a selected item impacting comparability. See Note 16 to our Consolidated Financial Statements included in Part IV of our 2017 Annual Report on Form 10-K for a comprehensive discussion regarding our equity-indexed compensation plans.</w:t>
      </w:r>
    </w:p>
    <w:p>
      <w:pPr>
        <w:spacing w:after="0" w:line="71" w:lineRule="exact"/>
        <w:rPr>
          <w:rFonts w:ascii="Arial" w:cs="Arial" w:eastAsia="Arial" w:hAnsi="Arial"/>
          <w:sz w:val="22"/>
          <w:szCs w:val="22"/>
          <w:color w:val="auto"/>
          <w:vertAlign w:val="superscript"/>
        </w:rPr>
      </w:pPr>
    </w:p>
    <w:p>
      <w:pPr>
        <w:jc w:val="both"/>
        <w:ind w:left="660" w:right="380" w:hanging="652"/>
        <w:spacing w:after="0" w:line="238" w:lineRule="auto"/>
        <w:tabs>
          <w:tab w:leader="none" w:pos="660" w:val="left"/>
        </w:tabs>
        <w:numPr>
          <w:ilvl w:val="0"/>
          <w:numId w:val="33"/>
        </w:numPr>
        <w:rPr>
          <w:rFonts w:ascii="Arial" w:cs="Arial" w:eastAsia="Arial" w:hAnsi="Arial"/>
          <w:sz w:val="24"/>
          <w:szCs w:val="24"/>
          <w:color w:val="auto"/>
          <w:vertAlign w:val="superscript"/>
        </w:rPr>
      </w:pPr>
      <w:r>
        <w:rPr>
          <w:rFonts w:ascii="Arial" w:cs="Arial" w:eastAsia="Arial" w:hAnsi="Arial"/>
          <w:sz w:val="17"/>
          <w:szCs w:val="17"/>
          <w:color w:val="auto"/>
        </w:rPr>
        <w:t>During the periods presented, there were fluctuations in the value of CAD to USD, resulting in gains and losses that were not related to our core operating results for the period and were thus classified as a selected item impacting comparability. See Note 11 to our Condensed Consolidated Financial Statements for discussion regarding our currency exchange rate risk hedging activities.</w:t>
      </w:r>
    </w:p>
    <w:p>
      <w:pPr>
        <w:spacing w:after="0" w:line="94" w:lineRule="exact"/>
        <w:rPr>
          <w:rFonts w:ascii="Arial" w:cs="Arial" w:eastAsia="Arial" w:hAnsi="Arial"/>
          <w:sz w:val="24"/>
          <w:szCs w:val="24"/>
          <w:color w:val="auto"/>
          <w:vertAlign w:val="superscript"/>
        </w:rPr>
      </w:pPr>
    </w:p>
    <w:p>
      <w:pPr>
        <w:jc w:val="both"/>
        <w:ind w:left="660" w:right="240" w:hanging="652"/>
        <w:spacing w:after="0" w:line="226" w:lineRule="auto"/>
        <w:tabs>
          <w:tab w:leader="none" w:pos="660" w:val="left"/>
        </w:tabs>
        <w:numPr>
          <w:ilvl w:val="0"/>
          <w:numId w:val="33"/>
        </w:numPr>
        <w:rPr>
          <w:rFonts w:ascii="Arial" w:cs="Arial" w:eastAsia="Arial" w:hAnsi="Arial"/>
          <w:sz w:val="25"/>
          <w:szCs w:val="25"/>
          <w:color w:val="auto"/>
          <w:vertAlign w:val="superscript"/>
        </w:rPr>
      </w:pPr>
      <w:r>
        <w:rPr>
          <w:rFonts w:ascii="Arial" w:cs="Arial" w:eastAsia="Arial" w:hAnsi="Arial"/>
          <w:sz w:val="18"/>
          <w:szCs w:val="18"/>
          <w:color w:val="auto"/>
        </w:rPr>
        <w:t>Includes costs recognized during the period related to the Line 901 incident that occurred in May 2015, net of amounts we believe are probable of recovery from insurance. See Note 17 to our Consolidated Financial Statements included in Part IV of our 2017 Annual Report on Form 10-K for additional information regarding the Line 901 incident.</w:t>
      </w:r>
    </w:p>
    <w:p>
      <w:pPr>
        <w:spacing w:after="0" w:line="38" w:lineRule="exact"/>
        <w:rPr>
          <w:rFonts w:ascii="Arial" w:cs="Arial" w:eastAsia="Arial" w:hAnsi="Arial"/>
          <w:sz w:val="25"/>
          <w:szCs w:val="25"/>
          <w:color w:val="auto"/>
          <w:vertAlign w:val="superscript"/>
        </w:rPr>
      </w:pPr>
    </w:p>
    <w:p>
      <w:pPr>
        <w:ind w:left="660" w:hanging="652"/>
        <w:spacing w:after="0"/>
        <w:tabs>
          <w:tab w:leader="none" w:pos="660" w:val="left"/>
        </w:tabs>
        <w:numPr>
          <w:ilvl w:val="0"/>
          <w:numId w:val="33"/>
        </w:numPr>
        <w:rPr>
          <w:rFonts w:ascii="Arial" w:cs="Arial" w:eastAsia="Arial" w:hAnsi="Arial"/>
          <w:sz w:val="25"/>
          <w:szCs w:val="25"/>
          <w:color w:val="auto"/>
          <w:vertAlign w:val="superscript"/>
        </w:rPr>
      </w:pPr>
      <w:r>
        <w:rPr>
          <w:rFonts w:ascii="Arial" w:cs="Arial" w:eastAsia="Arial" w:hAnsi="Arial"/>
          <w:sz w:val="18"/>
          <w:szCs w:val="18"/>
          <w:color w:val="auto"/>
        </w:rPr>
        <w:t>Includes acquisition-related expenses associated with the ACC Acquisition in February 2017.</w:t>
      </w:r>
    </w:p>
    <w:p>
      <w:pPr>
        <w:spacing w:after="0" w:line="98" w:lineRule="exact"/>
        <w:rPr>
          <w:rFonts w:ascii="Arial" w:cs="Arial" w:eastAsia="Arial" w:hAnsi="Arial"/>
          <w:sz w:val="25"/>
          <w:szCs w:val="25"/>
          <w:color w:val="auto"/>
          <w:vertAlign w:val="superscript"/>
        </w:rPr>
      </w:pPr>
    </w:p>
    <w:p>
      <w:pPr>
        <w:ind w:left="660" w:right="220" w:hanging="652"/>
        <w:spacing w:after="0" w:line="214" w:lineRule="auto"/>
        <w:tabs>
          <w:tab w:leader="none" w:pos="660" w:val="left"/>
        </w:tabs>
        <w:numPr>
          <w:ilvl w:val="0"/>
          <w:numId w:val="33"/>
        </w:numPr>
        <w:rPr>
          <w:rFonts w:ascii="Arial" w:cs="Arial" w:eastAsia="Arial" w:hAnsi="Arial"/>
          <w:sz w:val="25"/>
          <w:szCs w:val="25"/>
          <w:color w:val="auto"/>
          <w:vertAlign w:val="superscript"/>
        </w:rPr>
      </w:pPr>
      <w:r>
        <w:rPr>
          <w:rFonts w:ascii="Arial" w:cs="Arial" w:eastAsia="Arial" w:hAnsi="Arial"/>
          <w:sz w:val="18"/>
          <w:szCs w:val="18"/>
          <w:color w:val="auto"/>
        </w:rPr>
        <w:t>Adjusted EBITDA includes Other income/(expense), net adjusted for selected items impacting comparability (“Adjusted Other income/(expense), net”). Segment adjusted EBITDA does not include Adjusted Other income/(expense), net.</w:t>
      </w: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Analysis of Operating Segments</w:t>
      </w:r>
    </w:p>
    <w:p>
      <w:pPr>
        <w:spacing w:after="0" w:line="225" w:lineRule="exact"/>
        <w:rPr>
          <w:sz w:val="20"/>
          <w:szCs w:val="20"/>
          <w:color w:val="auto"/>
        </w:rPr>
      </w:pPr>
    </w:p>
    <w:p>
      <w:pPr>
        <w:jc w:val="both"/>
        <w:ind w:right="100" w:firstLine="648"/>
        <w:spacing w:after="0" w:line="264" w:lineRule="auto"/>
        <w:rPr>
          <w:sz w:val="20"/>
          <w:szCs w:val="20"/>
          <w:color w:val="auto"/>
        </w:rPr>
      </w:pPr>
      <w:r>
        <w:rPr>
          <w:rFonts w:ascii="Arial" w:cs="Arial" w:eastAsia="Arial" w:hAnsi="Arial"/>
          <w:sz w:val="18"/>
          <w:szCs w:val="18"/>
          <w:color w:val="auto"/>
        </w:rPr>
        <w:t>We manage our operations through three operating segments: Transportation, Facilities and Supply and Logistics. Our CODM (our Chief Executive Officer) evaluates segment performance based on a variety of measures including segment adjusted EBITDA, segment volumes, segment adjusted EBITDA per barrel and maintenance capital investment.</w:t>
      </w:r>
    </w:p>
    <w:p>
      <w:pPr>
        <w:spacing w:after="0" w:line="73"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We define segment adjusted EBITDA as revenues and equity earnings in unconsolidated entities less (a) purchases and related costs, (b) field operating costs and (c) segment general and administrative expenses, plus our proportionate share of the depreciation and amortization expense and gains and losses on significant asset sales of unconsolidated entities, and further adjusted for certain selected items including (i) the mark-to-market of derivative instruments that are related to underlying activities in another period (or the reversal of such adjustments from a prior period), gains and losses on derivatives that are</w:t>
      </w:r>
    </w:p>
    <w:p>
      <w:pPr>
        <w:spacing w:after="0" w:line="3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00"/>
          </w:cols>
          <w:pgMar w:left="240" w:top="125" w:right="259" w:bottom="1440" w:gutter="0" w:footer="0" w:header="0"/>
        </w:sectPr>
      </w:pPr>
    </w:p>
    <w:bookmarkStart w:id="45" w:name="page46"/>
    <w:bookmarkEnd w:id="4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related to investing activities (such as the purchase of linefill) and inventory valuation adjustments, as applicable, (ii) long-term inventory costing adjustments, (iii) charges for obligations that are expected to be settled with the issuance of equity instruments, (iv) amounts related to deficiencies associated with minimum volume commitments, net of applicable amounts subsequently recognized into revenue and (v) other items that our CODM believes are integral to understanding our core segment operating performance. See Note 14 to our Condensed Consolidated Financial Statements for a reconciliation of segment adjusted EBITDA to net income attributable to PAGP.</w:t>
      </w:r>
    </w:p>
    <w:p>
      <w:pPr>
        <w:spacing w:after="0" w:line="80"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Revenues and expenses from our Canadian based subsidiaries, which use CAD as their functional currency, are translated at the prevailing average exchange rates for the month.</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Transportation Segment</w:t>
      </w:r>
    </w:p>
    <w:p>
      <w:pPr>
        <w:spacing w:after="0" w:line="229" w:lineRule="exact"/>
        <w:rPr>
          <w:sz w:val="20"/>
          <w:szCs w:val="20"/>
          <w:color w:val="auto"/>
        </w:rPr>
      </w:pPr>
    </w:p>
    <w:p>
      <w:pPr>
        <w:ind w:right="640" w:firstLine="648"/>
        <w:spacing w:after="0" w:line="264" w:lineRule="auto"/>
        <w:rPr>
          <w:sz w:val="20"/>
          <w:szCs w:val="20"/>
          <w:color w:val="auto"/>
        </w:rPr>
      </w:pPr>
      <w:r>
        <w:rPr>
          <w:rFonts w:ascii="Arial" w:cs="Arial" w:eastAsia="Arial" w:hAnsi="Arial"/>
          <w:sz w:val="18"/>
          <w:szCs w:val="18"/>
          <w:color w:val="auto"/>
        </w:rPr>
        <w:t>Our Transportation segment operations generally consist of fee-based activities associated with transporting crude oil and NGL on pipelines, gathering systems, trucks and barges. The Transportation segment generates revenue through a combination of tariffs, third-party pipeline capacity agreements and other transportation fees.</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tables set forth our operating results from our Transportation segment:</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14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 xml:space="preserve">Operating Results </w:t>
            </w:r>
            <w:r>
              <w:rPr>
                <w:rFonts w:ascii="Arial" w:cs="Arial" w:eastAsia="Arial" w:hAnsi="Arial"/>
                <w:sz w:val="12"/>
                <w:szCs w:val="12"/>
                <w:b w:val="1"/>
                <w:bCs w:val="1"/>
                <w:color w:val="auto"/>
              </w:rPr>
              <w:t>(1)</w:t>
            </w:r>
          </w:p>
        </w:tc>
        <w:tc>
          <w:tcPr>
            <w:tcW w:w="220" w:type="dxa"/>
            <w:vAlign w:val="bottom"/>
          </w:tcPr>
          <w:p>
            <w:pPr>
              <w:spacing w:after="0"/>
              <w:rPr>
                <w:sz w:val="14"/>
                <w:szCs w:val="14"/>
                <w:color w:val="auto"/>
              </w:rPr>
            </w:pPr>
          </w:p>
        </w:tc>
        <w:tc>
          <w:tcPr>
            <w:tcW w:w="1780" w:type="dxa"/>
            <w:vAlign w:val="bottom"/>
            <w:gridSpan w:val="5"/>
          </w:tcPr>
          <w:p>
            <w:pPr>
              <w:ind w:left="80"/>
              <w:spacing w:after="0"/>
              <w:rPr>
                <w:sz w:val="20"/>
                <w:szCs w:val="20"/>
                <w:color w:val="auto"/>
              </w:rPr>
            </w:pPr>
            <w:r>
              <w:rPr>
                <w:rFonts w:ascii="Arial" w:cs="Arial" w:eastAsia="Arial" w:hAnsi="Arial"/>
                <w:sz w:val="14"/>
                <w:szCs w:val="14"/>
                <w:b w:val="1"/>
                <w:bCs w:val="1"/>
                <w:color w:val="auto"/>
              </w:rPr>
              <w:t>Three Months Ended</w:t>
            </w:r>
          </w:p>
        </w:tc>
        <w:tc>
          <w:tcPr>
            <w:tcW w:w="260" w:type="dxa"/>
            <w:vAlign w:val="bottom"/>
          </w:tcPr>
          <w:p>
            <w:pPr>
              <w:spacing w:after="0"/>
              <w:rPr>
                <w:sz w:val="14"/>
                <w:szCs w:val="14"/>
                <w:color w:val="auto"/>
              </w:rPr>
            </w:pPr>
          </w:p>
        </w:tc>
        <w:tc>
          <w:tcPr>
            <w:tcW w:w="1120" w:type="dxa"/>
            <w:vAlign w:val="bottom"/>
            <w:gridSpan w:val="3"/>
            <w:vMerge w:val="restart"/>
          </w:tcPr>
          <w:p>
            <w:pPr>
              <w:ind w:left="500"/>
              <w:spacing w:after="0"/>
              <w:rPr>
                <w:sz w:val="20"/>
                <w:szCs w:val="20"/>
                <w:color w:val="auto"/>
              </w:rPr>
            </w:pPr>
            <w:r>
              <w:rPr>
                <w:rFonts w:ascii="Arial" w:cs="Arial" w:eastAsia="Arial" w:hAnsi="Arial"/>
                <w:sz w:val="14"/>
                <w:szCs w:val="14"/>
                <w:b w:val="1"/>
                <w:bCs w:val="1"/>
                <w:color w:val="auto"/>
              </w:rPr>
              <w:t>Variance</w:t>
            </w: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0" w:type="dxa"/>
            <w:vAlign w:val="bottom"/>
            <w:gridSpan w:val="5"/>
          </w:tcPr>
          <w:p>
            <w:pPr>
              <w:ind w:left="180"/>
              <w:spacing w:after="0"/>
              <w:rPr>
                <w:sz w:val="20"/>
                <w:szCs w:val="20"/>
                <w:color w:val="auto"/>
              </w:rPr>
            </w:pPr>
            <w:r>
              <w:rPr>
                <w:rFonts w:ascii="Arial" w:cs="Arial" w:eastAsia="Arial" w:hAnsi="Arial"/>
                <w:sz w:val="14"/>
                <w:szCs w:val="14"/>
                <w:b w:val="1"/>
                <w:bCs w:val="1"/>
                <w:color w:val="auto"/>
              </w:rPr>
              <w:t>Six Months Ended</w:t>
            </w:r>
          </w:p>
        </w:tc>
        <w:tc>
          <w:tcPr>
            <w:tcW w:w="260" w:type="dxa"/>
            <w:vAlign w:val="bottom"/>
          </w:tcPr>
          <w:p>
            <w:pPr>
              <w:spacing w:after="0"/>
              <w:rPr>
                <w:sz w:val="14"/>
                <w:szCs w:val="14"/>
                <w:color w:val="auto"/>
              </w:rPr>
            </w:pPr>
          </w:p>
        </w:tc>
        <w:tc>
          <w:tcPr>
            <w:tcW w:w="1100" w:type="dxa"/>
            <w:vAlign w:val="bottom"/>
            <w:gridSpan w:val="3"/>
            <w:vMerge w:val="restart"/>
          </w:tcPr>
          <w:p>
            <w:pPr>
              <w:ind w:left="480"/>
              <w:spacing w:after="0"/>
              <w:rPr>
                <w:sz w:val="20"/>
                <w:szCs w:val="20"/>
                <w:color w:val="auto"/>
              </w:rPr>
            </w:pPr>
            <w:r>
              <w:rPr>
                <w:rFonts w:ascii="Arial" w:cs="Arial" w:eastAsia="Arial" w:hAnsi="Arial"/>
                <w:sz w:val="14"/>
                <w:szCs w:val="14"/>
                <w:b w:val="1"/>
                <w:bCs w:val="1"/>
                <w:color w:val="auto"/>
              </w:rPr>
              <w:t>Variance</w:t>
            </w: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3140" w:type="dxa"/>
            <w:vAlign w:val="bottom"/>
            <w:gridSpan w:val="2"/>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6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3"/>
            <w:vMerge w:val="continue"/>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6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3"/>
            <w:vMerge w:val="continue"/>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30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millions, except per barrel data)</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ind w:right="211"/>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ind w:right="351"/>
              <w:spacing w:after="0"/>
              <w:rPr>
                <w:sz w:val="20"/>
                <w:szCs w:val="20"/>
                <w:color w:val="auto"/>
              </w:rPr>
            </w:pPr>
            <w:r>
              <w:rPr>
                <w:rFonts w:ascii="Arial" w:cs="Arial" w:eastAsia="Arial" w:hAnsi="Arial"/>
                <w:sz w:val="14"/>
                <w:szCs w:val="14"/>
                <w:b w:val="1"/>
                <w:bCs w:val="1"/>
                <w:color w:val="auto"/>
              </w:rPr>
              <w:t>%</w:t>
            </w:r>
          </w:p>
        </w:tc>
        <w:tc>
          <w:tcPr>
            <w:tcW w:w="14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jc w:val="right"/>
              <w:ind w:right="211"/>
              <w:spacing w:after="0"/>
              <w:rPr>
                <w:sz w:val="20"/>
                <w:szCs w:val="20"/>
                <w:color w:val="auto"/>
              </w:rPr>
            </w:pPr>
            <w:r>
              <w:rPr>
                <w:rFonts w:ascii="Arial" w:cs="Arial" w:eastAsia="Arial" w:hAnsi="Arial"/>
                <w:sz w:val="14"/>
                <w:szCs w:val="14"/>
                <w:b w:val="1"/>
                <w:bCs w:val="1"/>
                <w:color w:val="auto"/>
                <w:w w:val="96"/>
              </w:rPr>
              <w:t>2017</w:t>
            </w: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jc w:val="right"/>
              <w:ind w:right="312"/>
              <w:spacing w:after="0"/>
              <w:rPr>
                <w:sz w:val="20"/>
                <w:szCs w:val="20"/>
                <w:color w:val="auto"/>
              </w:rPr>
            </w:pPr>
            <w:r>
              <w:rPr>
                <w:rFonts w:ascii="Arial" w:cs="Arial" w:eastAsia="Arial" w:hAnsi="Arial"/>
                <w:sz w:val="14"/>
                <w:szCs w:val="14"/>
                <w:b w:val="1"/>
                <w:bCs w:val="1"/>
                <w:color w:val="auto"/>
              </w:rPr>
              <w:t>$</w:t>
            </w:r>
          </w:p>
        </w:tc>
        <w:tc>
          <w:tcPr>
            <w:tcW w:w="1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ind w:right="351"/>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50"/>
        </w:trPr>
        <w:tc>
          <w:tcPr>
            <w:tcW w:w="31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475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425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12 %</w:t>
            </w:r>
          </w:p>
        </w:tc>
        <w:tc>
          <w:tcPr>
            <w:tcW w:w="14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929</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814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115</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14 %</w:t>
            </w:r>
          </w:p>
        </w:tc>
        <w:tc>
          <w:tcPr>
            <w:tcW w:w="0" w:type="dxa"/>
            <w:vAlign w:val="bottom"/>
          </w:tcPr>
          <w:p>
            <w:pPr>
              <w:spacing w:after="0"/>
              <w:rPr>
                <w:sz w:val="1"/>
                <w:szCs w:val="1"/>
                <w:color w:val="auto"/>
              </w:rPr>
            </w:pPr>
          </w:p>
        </w:tc>
      </w:tr>
      <w:tr>
        <w:trPr>
          <w:trHeight w:val="243"/>
        </w:trPr>
        <w:tc>
          <w:tcPr>
            <w:tcW w:w="3140" w:type="dxa"/>
            <w:vAlign w:val="bottom"/>
            <w:gridSpan w:val="2"/>
          </w:tcPr>
          <w:p>
            <w:pPr>
              <w:ind w:left="40"/>
              <w:spacing w:after="0"/>
              <w:rPr>
                <w:sz w:val="20"/>
                <w:szCs w:val="20"/>
                <w:color w:val="auto"/>
              </w:rPr>
            </w:pPr>
            <w:r>
              <w:rPr>
                <w:rFonts w:ascii="Arial" w:cs="Arial" w:eastAsia="Arial" w:hAnsi="Arial"/>
                <w:sz w:val="18"/>
                <w:szCs w:val="18"/>
                <w:color w:val="auto"/>
              </w:rPr>
              <w:t>Purchases and related costs</w:t>
            </w:r>
          </w:p>
        </w:tc>
        <w:tc>
          <w:tcPr>
            <w:tcW w:w="22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(119)%</w:t>
            </w:r>
          </w:p>
        </w:tc>
        <w:tc>
          <w:tcPr>
            <w:tcW w:w="14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(92)</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(45)</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(47)</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27"/>
        </w:trPr>
        <w:tc>
          <w:tcPr>
            <w:tcW w:w="3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1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Field operating costs</w:t>
            </w: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1 %</w:t>
            </w:r>
          </w:p>
        </w:tc>
        <w:tc>
          <w:tcPr>
            <w:tcW w:w="14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(299)</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29"/>
        </w:trPr>
        <w:tc>
          <w:tcPr>
            <w:tcW w:w="3140" w:type="dxa"/>
            <w:vAlign w:val="bottom"/>
            <w:gridSpan w:val="2"/>
          </w:tcPr>
          <w:p>
            <w:pPr>
              <w:ind w:left="40"/>
              <w:spacing w:after="0"/>
              <w:rPr>
                <w:sz w:val="20"/>
                <w:szCs w:val="20"/>
                <w:color w:val="auto"/>
              </w:rPr>
            </w:pPr>
            <w:r>
              <w:rPr>
                <w:rFonts w:ascii="Arial" w:cs="Arial" w:eastAsia="Arial" w:hAnsi="Arial"/>
                <w:sz w:val="18"/>
                <w:szCs w:val="18"/>
                <w:color w:val="auto"/>
              </w:rPr>
              <w:t>Segment general and administrative</w:t>
            </w:r>
          </w:p>
        </w:tc>
        <w:tc>
          <w:tcPr>
            <w:tcW w:w="2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3140" w:type="dxa"/>
            <w:vAlign w:val="bottom"/>
            <w:gridSpan w:val="2"/>
          </w:tcPr>
          <w:p>
            <w:pPr>
              <w:ind w:left="200"/>
              <w:spacing w:after="0" w:line="257" w:lineRule="exact"/>
              <w:rPr>
                <w:sz w:val="20"/>
                <w:szCs w:val="20"/>
                <w:color w:val="auto"/>
              </w:rPr>
            </w:pPr>
            <w:r>
              <w:rPr>
                <w:rFonts w:ascii="Arial" w:cs="Arial" w:eastAsia="Arial" w:hAnsi="Arial"/>
                <w:sz w:val="18"/>
                <w:szCs w:val="18"/>
                <w:color w:val="auto"/>
              </w:rPr>
              <w:t xml:space="preserve">expenses </w:t>
            </w:r>
            <w:r>
              <w:rPr>
                <w:rFonts w:ascii="Arial" w:cs="Arial" w:eastAsia="Arial" w:hAnsi="Arial"/>
                <w:sz w:val="25"/>
                <w:szCs w:val="25"/>
                <w:color w:val="auto"/>
                <w:vertAlign w:val="superscript"/>
              </w:rPr>
              <w:t>(2)</w:t>
            </w:r>
          </w:p>
        </w:tc>
        <w:tc>
          <w:tcPr>
            <w:tcW w:w="22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(25)%</w:t>
            </w:r>
          </w:p>
        </w:tc>
        <w:tc>
          <w:tcPr>
            <w:tcW w:w="140" w:type="dxa"/>
            <w:vAlign w:val="bottom"/>
            <w:tcBorders>
              <w:right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(58)</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(53)</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29"/>
        </w:trPr>
        <w:tc>
          <w:tcPr>
            <w:tcW w:w="31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Equity earnings in unconsolidated</w:t>
            </w:r>
          </w:p>
        </w:tc>
        <w:tc>
          <w:tcPr>
            <w:tcW w:w="2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4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14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entities</w:t>
            </w:r>
          </w:p>
        </w:tc>
        <w:tc>
          <w:tcPr>
            <w:tcW w:w="22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96</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68</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28</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41 %</w:t>
            </w:r>
          </w:p>
        </w:tc>
        <w:tc>
          <w:tcPr>
            <w:tcW w:w="140" w:type="dxa"/>
            <w:vAlign w:val="bottom"/>
            <w:tcBorders>
              <w:bottom w:val="single" w:sz="8" w:color="CCEEFF"/>
              <w:right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171</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121</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50</w:t>
            </w: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41 %</w:t>
            </w:r>
          </w:p>
        </w:tc>
        <w:tc>
          <w:tcPr>
            <w:tcW w:w="0" w:type="dxa"/>
            <w:vAlign w:val="bottom"/>
          </w:tcPr>
          <w:p>
            <w:pPr>
              <w:spacing w:after="0"/>
              <w:rPr>
                <w:sz w:val="1"/>
                <w:szCs w:val="1"/>
                <w:color w:val="auto"/>
              </w:rPr>
            </w:pPr>
          </w:p>
        </w:tc>
      </w:tr>
      <w:tr>
        <w:trPr>
          <w:trHeight w:val="297"/>
        </w:trPr>
        <w:tc>
          <w:tcPr>
            <w:tcW w:w="3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140" w:type="dxa"/>
            <w:vAlign w:val="bottom"/>
            <w:gridSpan w:val="2"/>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Adjustments </w:t>
            </w:r>
            <w:r>
              <w:rPr>
                <w:rFonts w:ascii="Arial" w:cs="Arial" w:eastAsia="Arial" w:hAnsi="Arial"/>
                <w:sz w:val="25"/>
                <w:szCs w:val="25"/>
                <w:color w:val="auto"/>
                <w:vertAlign w:val="superscript"/>
              </w:rPr>
              <w:t>(3)</w:t>
            </w:r>
            <w:r>
              <w:rPr>
                <w:rFonts w:ascii="Arial" w:cs="Arial" w:eastAsia="Arial" w:hAnsi="Arial"/>
                <w:sz w:val="18"/>
                <w:szCs w:val="18"/>
                <w:color w:val="auto"/>
              </w:rPr>
              <w:t>:</w:t>
            </w:r>
          </w:p>
        </w:tc>
        <w:tc>
          <w:tcPr>
            <w:tcW w:w="22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6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6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640" w:type="dxa"/>
            <w:vAlign w:val="bottom"/>
            <w:shd w:val="clear" w:color="auto" w:fill="CCEEFF"/>
          </w:tcPr>
          <w:p>
            <w:pPr>
              <w:spacing w:after="0"/>
              <w:rPr>
                <w:sz w:val="23"/>
                <w:szCs w:val="23"/>
                <w:color w:val="auto"/>
              </w:rPr>
            </w:pPr>
          </w:p>
        </w:tc>
        <w:tc>
          <w:tcPr>
            <w:tcW w:w="140" w:type="dxa"/>
            <w:vAlign w:val="bottom"/>
            <w:tcBorders>
              <w:right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6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6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6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3140" w:type="dxa"/>
            <w:vAlign w:val="bottom"/>
            <w:gridSpan w:val="2"/>
          </w:tcPr>
          <w:p>
            <w:pPr>
              <w:ind w:left="200"/>
              <w:spacing w:after="0"/>
              <w:rPr>
                <w:sz w:val="20"/>
                <w:szCs w:val="20"/>
                <w:color w:val="auto"/>
              </w:rPr>
            </w:pPr>
            <w:r>
              <w:rPr>
                <w:rFonts w:ascii="Arial" w:cs="Arial" w:eastAsia="Arial" w:hAnsi="Arial"/>
                <w:sz w:val="18"/>
                <w:szCs w:val="18"/>
                <w:color w:val="auto"/>
              </w:rPr>
              <w:t>Depreciation and amortization of</w:t>
            </w:r>
          </w:p>
        </w:tc>
        <w:tc>
          <w:tcPr>
            <w:tcW w:w="2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140" w:type="dxa"/>
            <w:vAlign w:val="bottom"/>
            <w:gridSpan w:val="2"/>
          </w:tcPr>
          <w:p>
            <w:pPr>
              <w:ind w:left="360"/>
              <w:spacing w:after="0"/>
              <w:rPr>
                <w:sz w:val="20"/>
                <w:szCs w:val="20"/>
                <w:color w:val="auto"/>
              </w:rPr>
            </w:pPr>
            <w:r>
              <w:rPr>
                <w:rFonts w:ascii="Arial" w:cs="Arial" w:eastAsia="Arial" w:hAnsi="Arial"/>
                <w:sz w:val="18"/>
                <w:szCs w:val="18"/>
                <w:color w:val="auto"/>
              </w:rPr>
              <w:t>unconsolidated entities</w:t>
            </w:r>
          </w:p>
        </w:tc>
        <w:tc>
          <w:tcPr>
            <w:tcW w:w="220" w:type="dxa"/>
            <w:vAlign w:val="bottom"/>
          </w:tcPr>
          <w:p>
            <w:pPr>
              <w:spacing w:after="0"/>
              <w:rPr>
                <w:sz w:val="20"/>
                <w:szCs w:val="20"/>
                <w:color w:val="auto"/>
              </w:rPr>
            </w:pPr>
          </w:p>
        </w:tc>
        <w:tc>
          <w:tcPr>
            <w:tcW w:w="680" w:type="dxa"/>
            <w:vAlign w:val="bottom"/>
          </w:tcPr>
          <w:p>
            <w:pPr>
              <w:jc w:val="right"/>
              <w:ind w:right="33"/>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40" w:type="dxa"/>
            <w:vAlign w:val="bottom"/>
          </w:tcPr>
          <w:p>
            <w:pPr>
              <w:jc w:val="right"/>
              <w:ind w:right="31"/>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40" w:type="dxa"/>
            <w:vAlign w:val="bottom"/>
          </w:tcPr>
          <w:p>
            <w:pPr>
              <w:jc w:val="right"/>
              <w:ind w:right="32"/>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250 %</w:t>
            </w:r>
          </w:p>
        </w:tc>
        <w:tc>
          <w:tcPr>
            <w:tcW w:w="14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80" w:type="dxa"/>
            <w:vAlign w:val="bottom"/>
          </w:tcPr>
          <w:p>
            <w:pPr>
              <w:jc w:val="right"/>
              <w:ind w:right="13"/>
              <w:spacing w:after="0"/>
              <w:rPr>
                <w:sz w:val="20"/>
                <w:szCs w:val="20"/>
                <w:color w:val="auto"/>
              </w:rPr>
            </w:pPr>
            <w:r>
              <w:rPr>
                <w:rFonts w:ascii="Arial" w:cs="Arial" w:eastAsia="Arial" w:hAnsi="Arial"/>
                <w:sz w:val="18"/>
                <w:szCs w:val="18"/>
                <w:color w:val="auto"/>
              </w:rPr>
              <w:t>29</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20" w:type="dxa"/>
            <w:vAlign w:val="bottom"/>
          </w:tcPr>
          <w:p>
            <w:pPr>
              <w:jc w:val="right"/>
              <w:ind w:right="11"/>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20" w:type="dxa"/>
            <w:vAlign w:val="bottom"/>
          </w:tcPr>
          <w:p>
            <w:pPr>
              <w:jc w:val="right"/>
              <w:ind w:right="12"/>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61 %</w:t>
            </w:r>
          </w:p>
        </w:tc>
        <w:tc>
          <w:tcPr>
            <w:tcW w:w="0" w:type="dxa"/>
            <w:vAlign w:val="bottom"/>
          </w:tcPr>
          <w:p>
            <w:pPr>
              <w:spacing w:after="0"/>
              <w:rPr>
                <w:sz w:val="1"/>
                <w:szCs w:val="1"/>
                <w:color w:val="auto"/>
              </w:rPr>
            </w:pPr>
          </w:p>
        </w:tc>
      </w:tr>
      <w:tr>
        <w:trPr>
          <w:trHeight w:val="27"/>
        </w:trPr>
        <w:tc>
          <w:tcPr>
            <w:tcW w:w="3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14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Gains from derivative activities</w:t>
            </w: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3"/>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3140" w:type="dxa"/>
            <w:vAlign w:val="bottom"/>
            <w:gridSpan w:val="2"/>
          </w:tcPr>
          <w:p>
            <w:pPr>
              <w:ind w:left="200"/>
              <w:spacing w:after="0"/>
              <w:rPr>
                <w:sz w:val="20"/>
                <w:szCs w:val="20"/>
                <w:color w:val="auto"/>
              </w:rPr>
            </w:pPr>
            <w:r>
              <w:rPr>
                <w:rFonts w:ascii="Arial" w:cs="Arial" w:eastAsia="Arial" w:hAnsi="Arial"/>
                <w:sz w:val="18"/>
                <w:szCs w:val="18"/>
                <w:color w:val="auto"/>
              </w:rPr>
              <w:t>Deficiencies under minimum volume</w:t>
            </w:r>
          </w:p>
        </w:tc>
        <w:tc>
          <w:tcPr>
            <w:tcW w:w="2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140" w:type="dxa"/>
            <w:vAlign w:val="bottom"/>
            <w:gridSpan w:val="2"/>
          </w:tcPr>
          <w:p>
            <w:pPr>
              <w:ind w:left="360"/>
              <w:spacing w:after="0"/>
              <w:rPr>
                <w:sz w:val="20"/>
                <w:szCs w:val="20"/>
                <w:color w:val="auto"/>
              </w:rPr>
            </w:pPr>
            <w:r>
              <w:rPr>
                <w:rFonts w:ascii="Arial" w:cs="Arial" w:eastAsia="Arial" w:hAnsi="Arial"/>
                <w:sz w:val="18"/>
                <w:szCs w:val="18"/>
                <w:color w:val="auto"/>
              </w:rPr>
              <w:t>commitments, net</w:t>
            </w:r>
          </w:p>
        </w:tc>
        <w:tc>
          <w:tcPr>
            <w:tcW w:w="220" w:type="dxa"/>
            <w:vAlign w:val="bottom"/>
          </w:tcPr>
          <w:p>
            <w:pPr>
              <w:spacing w:after="0"/>
              <w:rPr>
                <w:sz w:val="20"/>
                <w:szCs w:val="20"/>
                <w:color w:val="auto"/>
              </w:rPr>
            </w:pPr>
          </w:p>
        </w:tc>
        <w:tc>
          <w:tcPr>
            <w:tcW w:w="680" w:type="dxa"/>
            <w:vAlign w:val="bottom"/>
          </w:tcPr>
          <w:p>
            <w:pPr>
              <w:jc w:val="right"/>
              <w:ind w:right="33"/>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40" w:type="dxa"/>
            <w:vAlign w:val="bottom"/>
          </w:tcPr>
          <w:p>
            <w:pPr>
              <w:jc w:val="right"/>
              <w:ind w:right="32"/>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40" w:type="dxa"/>
            <w:vAlign w:val="bottom"/>
          </w:tcPr>
          <w:p>
            <w:pPr>
              <w:jc w:val="right"/>
              <w:ind w:right="151"/>
              <w:spacing w:after="0"/>
              <w:rPr>
                <w:sz w:val="20"/>
                <w:szCs w:val="20"/>
                <w:color w:val="auto"/>
              </w:rPr>
            </w:pPr>
            <w:r>
              <w:rPr>
                <w:rFonts w:ascii="Arial" w:cs="Arial" w:eastAsia="Arial" w:hAnsi="Arial"/>
                <w:sz w:val="18"/>
                <w:szCs w:val="18"/>
                <w:color w:val="auto"/>
              </w:rPr>
              <w:t>**</w:t>
            </w:r>
          </w:p>
        </w:tc>
        <w:tc>
          <w:tcPr>
            <w:tcW w:w="14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80" w:type="dxa"/>
            <w:vAlign w:val="bottom"/>
          </w:tcPr>
          <w:p>
            <w:pPr>
              <w:jc w:val="right"/>
              <w:ind w:right="13"/>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20" w:type="dxa"/>
            <w:vAlign w:val="bottom"/>
          </w:tcPr>
          <w:p>
            <w:pPr>
              <w:jc w:val="right"/>
              <w:ind w:right="12"/>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60" w:type="dxa"/>
            <w:vAlign w:val="bottom"/>
          </w:tcPr>
          <w:p>
            <w:pPr>
              <w:jc w:val="right"/>
              <w:ind w:right="15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14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w w:val="94"/>
              </w:rPr>
              <w:t>Equity-indexed compensation expense</w:t>
            </w: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140" w:type="dxa"/>
            <w:vAlign w:val="bottom"/>
            <w:gridSpan w:val="2"/>
          </w:tcPr>
          <w:p>
            <w:pPr>
              <w:ind w:left="200"/>
              <w:spacing w:after="0"/>
              <w:rPr>
                <w:sz w:val="20"/>
                <w:szCs w:val="20"/>
                <w:color w:val="auto"/>
              </w:rPr>
            </w:pPr>
            <w:r>
              <w:rPr>
                <w:rFonts w:ascii="Arial" w:cs="Arial" w:eastAsia="Arial" w:hAnsi="Arial"/>
                <w:sz w:val="18"/>
                <w:szCs w:val="18"/>
                <w:color w:val="auto"/>
              </w:rPr>
              <w:t>Line 901 incident</w:t>
            </w:r>
          </w:p>
        </w:tc>
        <w:tc>
          <w:tcPr>
            <w:tcW w:w="220" w:type="dxa"/>
            <w:vAlign w:val="bottom"/>
          </w:tcPr>
          <w:p>
            <w:pPr>
              <w:spacing w:after="0"/>
              <w:rPr>
                <w:sz w:val="21"/>
                <w:szCs w:val="21"/>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640" w:type="dxa"/>
            <w:vAlign w:val="bottom"/>
          </w:tcPr>
          <w:p>
            <w:pPr>
              <w:jc w:val="right"/>
              <w:ind w:right="31"/>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640" w:type="dxa"/>
            <w:vAlign w:val="bottom"/>
          </w:tcPr>
          <w:p>
            <w:pPr>
              <w:jc w:val="right"/>
              <w:ind w:right="151"/>
              <w:spacing w:after="0"/>
              <w:rPr>
                <w:sz w:val="20"/>
                <w:szCs w:val="20"/>
                <w:color w:val="auto"/>
              </w:rPr>
            </w:pPr>
            <w:r>
              <w:rPr>
                <w:rFonts w:ascii="Arial" w:cs="Arial" w:eastAsia="Arial" w:hAnsi="Arial"/>
                <w:sz w:val="18"/>
                <w:szCs w:val="18"/>
                <w:color w:val="auto"/>
              </w:rPr>
              <w:t>**</w:t>
            </w:r>
          </w:p>
        </w:tc>
        <w:tc>
          <w:tcPr>
            <w:tcW w:w="14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620" w:type="dxa"/>
            <w:vAlign w:val="bottom"/>
          </w:tcPr>
          <w:p>
            <w:pPr>
              <w:jc w:val="right"/>
              <w:ind w:right="11"/>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60" w:type="dxa"/>
            <w:vAlign w:val="bottom"/>
          </w:tcPr>
          <w:p>
            <w:pPr>
              <w:jc w:val="right"/>
              <w:ind w:right="15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1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Significant acquisition-related</w:t>
            </w:r>
          </w:p>
        </w:tc>
        <w:tc>
          <w:tcPr>
            <w:tcW w:w="2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4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314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8"/>
                <w:szCs w:val="18"/>
                <w:color w:val="auto"/>
              </w:rPr>
              <w:t>expenses</w:t>
            </w:r>
          </w:p>
        </w:tc>
        <w:tc>
          <w:tcPr>
            <w:tcW w:w="22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right w:val="single" w:sz="8" w:color="auto"/>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3140" w:type="dxa"/>
            <w:vAlign w:val="bottom"/>
            <w:gridSpan w:val="2"/>
          </w:tcPr>
          <w:p>
            <w:pPr>
              <w:ind w:left="40"/>
              <w:spacing w:after="0"/>
              <w:rPr>
                <w:sz w:val="20"/>
                <w:szCs w:val="20"/>
                <w:color w:val="auto"/>
              </w:rPr>
            </w:pPr>
            <w:r>
              <w:rPr>
                <w:rFonts w:ascii="Arial" w:cs="Arial" w:eastAsia="Arial" w:hAnsi="Arial"/>
                <w:sz w:val="18"/>
                <w:szCs w:val="18"/>
                <w:color w:val="auto"/>
              </w:rPr>
              <w:t>Segment adjusted EBITDA</w:t>
            </w: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360</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6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298</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6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62</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21 %</w:t>
            </w:r>
          </w:p>
        </w:tc>
        <w:tc>
          <w:tcPr>
            <w:tcW w:w="14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695</w:t>
            </w:r>
          </w:p>
        </w:tc>
        <w:tc>
          <w:tcPr>
            <w:tcW w:w="12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6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571</w:t>
            </w:r>
          </w:p>
        </w:tc>
        <w:tc>
          <w:tcPr>
            <w:tcW w:w="12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6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124</w:t>
            </w:r>
          </w:p>
        </w:tc>
        <w:tc>
          <w:tcPr>
            <w:tcW w:w="12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22 %</w:t>
            </w:r>
          </w:p>
        </w:tc>
        <w:tc>
          <w:tcPr>
            <w:tcW w:w="0" w:type="dxa"/>
            <w:vAlign w:val="bottom"/>
          </w:tcPr>
          <w:p>
            <w:pPr>
              <w:spacing w:after="0"/>
              <w:rPr>
                <w:sz w:val="1"/>
                <w:szCs w:val="1"/>
                <w:color w:val="auto"/>
              </w:rPr>
            </w:pPr>
          </w:p>
        </w:tc>
      </w:tr>
      <w:tr>
        <w:trPr>
          <w:trHeight w:val="67"/>
        </w:trPr>
        <w:tc>
          <w:tcPr>
            <w:tcW w:w="3040" w:type="dxa"/>
            <w:vAlign w:val="bottom"/>
            <w:tcBorders>
              <w:bottom w:val="single" w:sz="8" w:color="CCEEFF"/>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6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6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6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640" w:type="dxa"/>
            <w:vAlign w:val="bottom"/>
            <w:tcBorders>
              <w:bottom w:val="single" w:sz="8" w:color="auto"/>
            </w:tcBorders>
          </w:tcPr>
          <w:p>
            <w:pPr>
              <w:spacing w:after="0"/>
              <w:rPr>
                <w:sz w:val="5"/>
                <w:szCs w:val="5"/>
                <w:color w:val="auto"/>
              </w:rPr>
            </w:pPr>
          </w:p>
        </w:tc>
        <w:tc>
          <w:tcPr>
            <w:tcW w:w="140" w:type="dxa"/>
            <w:vAlign w:val="bottom"/>
            <w:tcBorders>
              <w:bottom w:val="single" w:sz="8" w:color="CCEEFF"/>
              <w:right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68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62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62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6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3140" w:type="dxa"/>
            <w:vAlign w:val="bottom"/>
            <w:tcBorders>
              <w:bottom w:val="single" w:sz="8" w:color="CCEEFF"/>
            </w:tcBorders>
            <w:gridSpan w:val="2"/>
            <w:shd w:val="clear" w:color="auto" w:fill="CCEEFF"/>
          </w:tcPr>
          <w:p>
            <w:pPr>
              <w:ind w:left="40"/>
              <w:spacing w:after="0" w:line="196" w:lineRule="exact"/>
              <w:rPr>
                <w:sz w:val="20"/>
                <w:szCs w:val="20"/>
                <w:color w:val="auto"/>
              </w:rPr>
            </w:pPr>
            <w:r>
              <w:rPr>
                <w:rFonts w:ascii="Arial" w:cs="Arial" w:eastAsia="Arial" w:hAnsi="Arial"/>
                <w:sz w:val="18"/>
                <w:szCs w:val="18"/>
                <w:color w:val="auto"/>
              </w:rPr>
              <w:t>Maintenance capital</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19 %</w:t>
            </w:r>
          </w:p>
        </w:tc>
        <w:tc>
          <w:tcPr>
            <w:tcW w:w="14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57</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7 %</w:t>
            </w:r>
          </w:p>
        </w:tc>
        <w:tc>
          <w:tcPr>
            <w:tcW w:w="0" w:type="dxa"/>
            <w:vAlign w:val="bottom"/>
          </w:tcPr>
          <w:p>
            <w:pPr>
              <w:spacing w:after="0"/>
              <w:rPr>
                <w:sz w:val="1"/>
                <w:szCs w:val="1"/>
                <w:color w:val="auto"/>
              </w:rPr>
            </w:pPr>
          </w:p>
        </w:tc>
      </w:tr>
      <w:tr>
        <w:trPr>
          <w:trHeight w:val="20"/>
        </w:trPr>
        <w:tc>
          <w:tcPr>
            <w:tcW w:w="3140" w:type="dxa"/>
            <w:vAlign w:val="bottom"/>
            <w:tcBorders>
              <w:top w:val="single" w:sz="8" w:color="CCEEFF"/>
              <w:bottom w:val="single" w:sz="8" w:color="CCEEFF"/>
            </w:tcBorders>
            <w:gridSpan w:val="2"/>
            <w:vMerge w:val="restart"/>
          </w:tcPr>
          <w:p>
            <w:pPr>
              <w:ind w:left="40"/>
              <w:spacing w:after="0"/>
              <w:rPr>
                <w:sz w:val="20"/>
                <w:szCs w:val="20"/>
                <w:color w:val="auto"/>
              </w:rPr>
            </w:pPr>
            <w:r>
              <w:rPr>
                <w:rFonts w:ascii="Arial" w:cs="Arial" w:eastAsia="Arial" w:hAnsi="Arial"/>
                <w:sz w:val="18"/>
                <w:szCs w:val="18"/>
                <w:color w:val="auto"/>
              </w:rPr>
              <w:t>Segment adjusted EBITDA per barrel</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right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3140" w:type="dxa"/>
            <w:vAlign w:val="bottom"/>
            <w:gridSpan w:val="2"/>
            <w:vMerge w:val="continue"/>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ind w:right="33"/>
              <w:spacing w:after="0"/>
              <w:rPr>
                <w:sz w:val="20"/>
                <w:szCs w:val="20"/>
                <w:color w:val="auto"/>
              </w:rPr>
            </w:pPr>
            <w:r>
              <w:rPr>
                <w:rFonts w:ascii="Arial" w:cs="Arial" w:eastAsia="Arial" w:hAnsi="Arial"/>
                <w:sz w:val="18"/>
                <w:szCs w:val="18"/>
                <w:color w:val="auto"/>
              </w:rPr>
              <w:t>0.68</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640" w:type="dxa"/>
            <w:vAlign w:val="bottom"/>
          </w:tcPr>
          <w:p>
            <w:pPr>
              <w:jc w:val="right"/>
              <w:ind w:right="31"/>
              <w:spacing w:after="0"/>
              <w:rPr>
                <w:sz w:val="20"/>
                <w:szCs w:val="20"/>
                <w:color w:val="auto"/>
              </w:rPr>
            </w:pPr>
            <w:r>
              <w:rPr>
                <w:rFonts w:ascii="Arial" w:cs="Arial" w:eastAsia="Arial" w:hAnsi="Arial"/>
                <w:sz w:val="18"/>
                <w:szCs w:val="18"/>
                <w:color w:val="auto"/>
              </w:rPr>
              <w:t>0.63</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640" w:type="dxa"/>
            <w:vAlign w:val="bottom"/>
          </w:tcPr>
          <w:p>
            <w:pPr>
              <w:jc w:val="right"/>
              <w:ind w:right="32"/>
              <w:spacing w:after="0"/>
              <w:rPr>
                <w:sz w:val="20"/>
                <w:szCs w:val="20"/>
                <w:color w:val="auto"/>
              </w:rPr>
            </w:pPr>
            <w:r>
              <w:rPr>
                <w:rFonts w:ascii="Arial" w:cs="Arial" w:eastAsia="Arial" w:hAnsi="Arial"/>
                <w:sz w:val="18"/>
                <w:szCs w:val="18"/>
                <w:color w:val="auto"/>
              </w:rPr>
              <w:t>0.05</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8 %</w:t>
            </w:r>
          </w:p>
        </w:tc>
        <w:tc>
          <w:tcPr>
            <w:tcW w:w="14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ind w:right="13"/>
              <w:spacing w:after="0"/>
              <w:rPr>
                <w:sz w:val="20"/>
                <w:szCs w:val="20"/>
                <w:color w:val="auto"/>
              </w:rPr>
            </w:pPr>
            <w:r>
              <w:rPr>
                <w:rFonts w:ascii="Arial" w:cs="Arial" w:eastAsia="Arial" w:hAnsi="Arial"/>
                <w:sz w:val="18"/>
                <w:szCs w:val="18"/>
                <w:color w:val="auto"/>
              </w:rPr>
              <w:t>0.69</w:t>
            </w:r>
          </w:p>
        </w:tc>
        <w:tc>
          <w:tcPr>
            <w:tcW w:w="12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620" w:type="dxa"/>
            <w:vAlign w:val="bottom"/>
          </w:tcPr>
          <w:p>
            <w:pPr>
              <w:jc w:val="right"/>
              <w:ind w:right="11"/>
              <w:spacing w:after="0"/>
              <w:rPr>
                <w:sz w:val="20"/>
                <w:szCs w:val="20"/>
                <w:color w:val="auto"/>
              </w:rPr>
            </w:pPr>
            <w:r>
              <w:rPr>
                <w:rFonts w:ascii="Arial" w:cs="Arial" w:eastAsia="Arial" w:hAnsi="Arial"/>
                <w:sz w:val="18"/>
                <w:szCs w:val="18"/>
                <w:color w:val="auto"/>
              </w:rPr>
              <w:t>0.64</w:t>
            </w:r>
          </w:p>
        </w:tc>
        <w:tc>
          <w:tcPr>
            <w:tcW w:w="12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620" w:type="dxa"/>
            <w:vAlign w:val="bottom"/>
          </w:tcPr>
          <w:p>
            <w:pPr>
              <w:jc w:val="right"/>
              <w:ind w:right="12"/>
              <w:spacing w:after="0"/>
              <w:rPr>
                <w:sz w:val="20"/>
                <w:szCs w:val="20"/>
                <w:color w:val="auto"/>
              </w:rPr>
            </w:pPr>
            <w:r>
              <w:rPr>
                <w:rFonts w:ascii="Arial" w:cs="Arial" w:eastAsia="Arial" w:hAnsi="Arial"/>
                <w:sz w:val="18"/>
                <w:szCs w:val="18"/>
                <w:color w:val="auto"/>
              </w:rPr>
              <w:t>0.05</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8 %</w:t>
            </w:r>
          </w:p>
        </w:tc>
        <w:tc>
          <w:tcPr>
            <w:tcW w:w="0" w:type="dxa"/>
            <w:vAlign w:val="bottom"/>
          </w:tcPr>
          <w:p>
            <w:pPr>
              <w:spacing w:after="0"/>
              <w:rPr>
                <w:sz w:val="1"/>
                <w:szCs w:val="1"/>
                <w:color w:val="auto"/>
              </w:rPr>
            </w:pPr>
          </w:p>
        </w:tc>
      </w:tr>
      <w:tr>
        <w:trPr>
          <w:trHeight w:val="27"/>
        </w:trPr>
        <w:tc>
          <w:tcPr>
            <w:tcW w:w="3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3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40" w:type="dxa"/>
            <w:vAlign w:val="bottom"/>
          </w:tcPr>
          <w:p>
            <w:pPr>
              <w:jc w:val="right"/>
              <w:ind w:right="152"/>
              <w:spacing w:after="0"/>
              <w:rPr>
                <w:sz w:val="20"/>
                <w:szCs w:val="20"/>
                <w:color w:val="auto"/>
              </w:rPr>
            </w:pPr>
            <w:r>
              <w:rPr>
                <w:rFonts w:ascii="Arial" w:cs="Arial" w:eastAsia="Arial" w:hAnsi="Arial"/>
                <w:sz w:val="18"/>
                <w:szCs w:val="18"/>
                <w:color w:val="auto"/>
              </w:rPr>
              <w:t>46</w:t>
            </w: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46" w:name="page47"/>
    <w:bookmarkEnd w:id="4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9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12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Average Daily Volumes</w:t>
            </w:r>
          </w:p>
        </w:tc>
        <w:tc>
          <w:tcPr>
            <w:tcW w:w="2000" w:type="dxa"/>
            <w:vAlign w:val="bottom"/>
            <w:gridSpan w:val="5"/>
          </w:tcPr>
          <w:p>
            <w:pPr>
              <w:ind w:left="320"/>
              <w:spacing w:after="0"/>
              <w:rPr>
                <w:sz w:val="20"/>
                <w:szCs w:val="20"/>
                <w:color w:val="auto"/>
              </w:rPr>
            </w:pPr>
            <w:r>
              <w:rPr>
                <w:rFonts w:ascii="Arial" w:cs="Arial" w:eastAsia="Arial" w:hAnsi="Arial"/>
                <w:sz w:val="14"/>
                <w:szCs w:val="14"/>
                <w:b w:val="1"/>
                <w:bCs w:val="1"/>
                <w:color w:val="auto"/>
              </w:rPr>
              <w:t>Three Months Ended</w:t>
            </w:r>
          </w:p>
        </w:tc>
        <w:tc>
          <w:tcPr>
            <w:tcW w:w="1380" w:type="dxa"/>
            <w:vAlign w:val="bottom"/>
            <w:gridSpan w:val="3"/>
            <w:vMerge w:val="restart"/>
          </w:tcPr>
          <w:p>
            <w:pPr>
              <w:ind w:left="760"/>
              <w:spacing w:after="0"/>
              <w:rPr>
                <w:sz w:val="20"/>
                <w:szCs w:val="20"/>
                <w:color w:val="auto"/>
              </w:rPr>
            </w:pPr>
            <w:r>
              <w:rPr>
                <w:rFonts w:ascii="Arial" w:cs="Arial" w:eastAsia="Arial" w:hAnsi="Arial"/>
                <w:sz w:val="14"/>
                <w:szCs w:val="14"/>
                <w:b w:val="1"/>
                <w:bCs w:val="1"/>
                <w:color w:val="auto"/>
              </w:rPr>
              <w:t>Variance</w:t>
            </w: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0" w:type="dxa"/>
            <w:vAlign w:val="bottom"/>
            <w:gridSpan w:val="5"/>
          </w:tcPr>
          <w:p>
            <w:pPr>
              <w:jc w:val="center"/>
              <w:ind w:right="80"/>
              <w:spacing w:after="0"/>
              <w:rPr>
                <w:sz w:val="20"/>
                <w:szCs w:val="20"/>
                <w:color w:val="auto"/>
              </w:rPr>
            </w:pPr>
            <w:r>
              <w:rPr>
                <w:rFonts w:ascii="Arial" w:cs="Arial" w:eastAsia="Arial" w:hAnsi="Arial"/>
                <w:sz w:val="14"/>
                <w:szCs w:val="14"/>
                <w:b w:val="1"/>
                <w:bCs w:val="1"/>
                <w:color w:val="auto"/>
                <w:w w:val="92"/>
              </w:rPr>
              <w:t>Six Months Ended</w:t>
            </w:r>
          </w:p>
        </w:tc>
        <w:tc>
          <w:tcPr>
            <w:tcW w:w="1380" w:type="dxa"/>
            <w:vAlign w:val="bottom"/>
            <w:gridSpan w:val="3"/>
            <w:vMerge w:val="restart"/>
          </w:tcPr>
          <w:p>
            <w:pPr>
              <w:ind w:left="760"/>
              <w:spacing w:after="0"/>
              <w:rPr>
                <w:sz w:val="20"/>
                <w:szCs w:val="20"/>
                <w:color w:val="auto"/>
              </w:rPr>
            </w:pPr>
            <w:r>
              <w:rPr>
                <w:rFonts w:ascii="Arial" w:cs="Arial" w:eastAsia="Arial" w:hAnsi="Arial"/>
                <w:sz w:val="14"/>
                <w:szCs w:val="14"/>
                <w:b w:val="1"/>
                <w:bCs w:val="1"/>
                <w:color w:val="auto"/>
              </w:rPr>
              <w:t>Variance</w:t>
            </w: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3120" w:type="dxa"/>
            <w:vAlign w:val="bottom"/>
            <w:gridSpan w:val="2"/>
            <w:vMerge w:val="continue"/>
          </w:tcPr>
          <w:p>
            <w:pPr>
              <w:spacing w:after="0"/>
              <w:rPr>
                <w:sz w:val="16"/>
                <w:szCs w:val="16"/>
                <w:color w:val="auto"/>
              </w:rPr>
            </w:pPr>
          </w:p>
        </w:tc>
        <w:tc>
          <w:tcPr>
            <w:tcW w:w="1260" w:type="dxa"/>
            <w:vAlign w:val="bottom"/>
            <w:tcBorders>
              <w:bottom w:val="single" w:sz="8" w:color="auto"/>
            </w:tcBorders>
            <w:gridSpan w:val="3"/>
          </w:tcPr>
          <w:p>
            <w:pPr>
              <w:ind w:left="720"/>
              <w:spacing w:after="0"/>
              <w:rPr>
                <w:sz w:val="20"/>
                <w:szCs w:val="20"/>
                <w:color w:val="auto"/>
              </w:rPr>
            </w:pPr>
            <w:r>
              <w:rPr>
                <w:rFonts w:ascii="Arial" w:cs="Arial" w:eastAsia="Arial" w:hAnsi="Arial"/>
                <w:sz w:val="14"/>
                <w:szCs w:val="14"/>
                <w:b w:val="1"/>
                <w:bCs w:val="1"/>
                <w:color w:val="auto"/>
                <w:w w:val="92"/>
              </w:rPr>
              <w:t>June 30,</w:t>
            </w:r>
          </w:p>
        </w:tc>
        <w:tc>
          <w:tcPr>
            <w:tcW w:w="6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tcBorders>
              <w:bottom w:val="single" w:sz="8" w:color="auto"/>
            </w:tcBorders>
            <w:gridSpan w:val="3"/>
            <w:vMerge w:val="continue"/>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tcBorders>
              <w:bottom w:val="single" w:sz="8" w:color="auto"/>
            </w:tcBorders>
            <w:gridSpan w:val="3"/>
          </w:tcPr>
          <w:p>
            <w:pPr>
              <w:jc w:val="center"/>
              <w:ind w:left="574"/>
              <w:spacing w:after="0"/>
              <w:rPr>
                <w:sz w:val="20"/>
                <w:szCs w:val="20"/>
                <w:color w:val="auto"/>
              </w:rPr>
            </w:pPr>
            <w:r>
              <w:rPr>
                <w:rFonts w:ascii="Arial" w:cs="Arial" w:eastAsia="Arial" w:hAnsi="Arial"/>
                <w:sz w:val="14"/>
                <w:szCs w:val="14"/>
                <w:b w:val="1"/>
                <w:bCs w:val="1"/>
                <w:color w:val="auto"/>
                <w:w w:val="92"/>
              </w:rPr>
              <w:t>June 30,</w:t>
            </w:r>
          </w:p>
        </w:tc>
        <w:tc>
          <w:tcPr>
            <w:tcW w:w="6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tcBorders>
              <w:bottom w:val="single" w:sz="8" w:color="auto"/>
            </w:tcBorders>
            <w:gridSpan w:val="3"/>
            <w:vMerge w:val="continue"/>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30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 xml:space="preserve">(in thousands of barrels per day) </w:t>
            </w:r>
            <w:r>
              <w:rPr>
                <w:rFonts w:ascii="Arial" w:cs="Arial" w:eastAsia="Arial" w:hAnsi="Arial"/>
                <w:sz w:val="12"/>
                <w:szCs w:val="12"/>
                <w:b w:val="1"/>
                <w:bCs w:val="1"/>
                <w:color w:val="auto"/>
              </w:rPr>
              <w:t>(4)</w:t>
            </w:r>
          </w:p>
        </w:tc>
        <w:tc>
          <w:tcPr>
            <w:tcW w:w="100" w:type="dxa"/>
            <w:vAlign w:val="bottom"/>
            <w:tcBorders>
              <w:bottom w:val="single" w:sz="8" w:color="CCEEFF"/>
            </w:tcBorders>
          </w:tcPr>
          <w:p>
            <w:pPr>
              <w:spacing w:after="0"/>
              <w:rPr>
                <w:sz w:val="22"/>
                <w:szCs w:val="22"/>
                <w:color w:val="auto"/>
              </w:rPr>
            </w:pPr>
          </w:p>
        </w:tc>
        <w:tc>
          <w:tcPr>
            <w:tcW w:w="900" w:type="dxa"/>
            <w:vAlign w:val="bottom"/>
            <w:tcBorders>
              <w:bottom w:val="single" w:sz="8" w:color="auto"/>
            </w:tcBorders>
          </w:tcPr>
          <w:p>
            <w:pPr>
              <w:ind w:left="300"/>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ind w:right="211"/>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900" w:type="dxa"/>
            <w:vAlign w:val="bottom"/>
            <w:tcBorders>
              <w:bottom w:val="single" w:sz="8" w:color="auto"/>
            </w:tcBorders>
          </w:tcPr>
          <w:p>
            <w:pPr>
              <w:jc w:val="right"/>
              <w:ind w:right="93"/>
              <w:spacing w:after="0"/>
              <w:rPr>
                <w:sz w:val="20"/>
                <w:szCs w:val="20"/>
                <w:color w:val="auto"/>
              </w:rPr>
            </w:pPr>
            <w:r>
              <w:rPr>
                <w:rFonts w:ascii="Arial" w:cs="Arial" w:eastAsia="Arial" w:hAnsi="Arial"/>
                <w:sz w:val="14"/>
                <w:szCs w:val="14"/>
                <w:b w:val="1"/>
                <w:bCs w:val="1"/>
                <w:color w:val="auto"/>
              </w:rPr>
              <w:t>Volumes</w:t>
            </w:r>
          </w:p>
        </w:tc>
        <w:tc>
          <w:tcPr>
            <w:tcW w:w="1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ind w:right="351"/>
              <w:spacing w:after="0"/>
              <w:rPr>
                <w:sz w:val="20"/>
                <w:szCs w:val="20"/>
                <w:color w:val="auto"/>
              </w:rPr>
            </w:pPr>
            <w:r>
              <w:rPr>
                <w:rFonts w:ascii="Arial" w:cs="Arial" w:eastAsia="Arial" w:hAnsi="Arial"/>
                <w:sz w:val="14"/>
                <w:szCs w:val="14"/>
                <w:b w:val="1"/>
                <w:bCs w:val="1"/>
                <w:color w:val="auto"/>
              </w:rPr>
              <w:t>%</w:t>
            </w: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90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ind w:right="211"/>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900" w:type="dxa"/>
            <w:vAlign w:val="bottom"/>
            <w:tcBorders>
              <w:bottom w:val="single" w:sz="8" w:color="auto"/>
            </w:tcBorders>
          </w:tcPr>
          <w:p>
            <w:pPr>
              <w:jc w:val="right"/>
              <w:ind w:right="93"/>
              <w:spacing w:after="0"/>
              <w:rPr>
                <w:sz w:val="20"/>
                <w:szCs w:val="20"/>
                <w:color w:val="auto"/>
              </w:rPr>
            </w:pPr>
            <w:r>
              <w:rPr>
                <w:rFonts w:ascii="Arial" w:cs="Arial" w:eastAsia="Arial" w:hAnsi="Arial"/>
                <w:sz w:val="14"/>
                <w:szCs w:val="14"/>
                <w:b w:val="1"/>
                <w:bCs w:val="1"/>
                <w:color w:val="auto"/>
              </w:rPr>
              <w:t>Volumes</w:t>
            </w:r>
          </w:p>
        </w:tc>
        <w:tc>
          <w:tcPr>
            <w:tcW w:w="1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ind w:right="351"/>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50"/>
        </w:trPr>
        <w:tc>
          <w:tcPr>
            <w:tcW w:w="3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Tariff activities volumes</w:t>
            </w: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120" w:type="dxa"/>
            <w:vAlign w:val="bottom"/>
            <w:gridSpan w:val="2"/>
          </w:tcPr>
          <w:p>
            <w:pPr>
              <w:ind w:left="200"/>
              <w:spacing w:after="0"/>
              <w:rPr>
                <w:sz w:val="20"/>
                <w:szCs w:val="20"/>
                <w:color w:val="auto"/>
              </w:rPr>
            </w:pPr>
            <w:r>
              <w:rPr>
                <w:rFonts w:ascii="Arial" w:cs="Arial" w:eastAsia="Arial" w:hAnsi="Arial"/>
                <w:sz w:val="18"/>
                <w:szCs w:val="18"/>
                <w:color w:val="auto"/>
              </w:rPr>
              <w:t>Crude oil pipelines (by region):</w:t>
            </w: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2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120" w:type="dxa"/>
            <w:vAlign w:val="bottom"/>
            <w:gridSpan w:val="2"/>
            <w:shd w:val="clear" w:color="auto" w:fill="CCEEFF"/>
          </w:tcPr>
          <w:p>
            <w:pPr>
              <w:ind w:left="360"/>
              <w:spacing w:after="0" w:line="270" w:lineRule="exact"/>
              <w:rPr>
                <w:sz w:val="20"/>
                <w:szCs w:val="20"/>
                <w:color w:val="auto"/>
              </w:rPr>
            </w:pPr>
            <w:r>
              <w:rPr>
                <w:rFonts w:ascii="Arial" w:cs="Arial" w:eastAsia="Arial" w:hAnsi="Arial"/>
                <w:sz w:val="18"/>
                <w:szCs w:val="18"/>
                <w:color w:val="auto"/>
              </w:rPr>
              <w:t xml:space="preserve">Permian Basin </w:t>
            </w:r>
            <w:r>
              <w:rPr>
                <w:rFonts w:ascii="Arial" w:cs="Arial" w:eastAsia="Arial" w:hAnsi="Arial"/>
                <w:sz w:val="25"/>
                <w:szCs w:val="25"/>
                <w:color w:val="auto"/>
                <w:vertAlign w:val="superscript"/>
              </w:rPr>
              <w:t>(5)</w:t>
            </w:r>
          </w:p>
        </w:tc>
        <w:tc>
          <w:tcPr>
            <w:tcW w:w="9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3,734</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6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2,761</w:t>
            </w:r>
          </w:p>
        </w:tc>
        <w:tc>
          <w:tcPr>
            <w:tcW w:w="10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973</w:t>
            </w:r>
          </w:p>
        </w:tc>
        <w:tc>
          <w:tcPr>
            <w:tcW w:w="10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35 %</w:t>
            </w:r>
          </w:p>
        </w:tc>
        <w:tc>
          <w:tcPr>
            <w:tcW w:w="120" w:type="dxa"/>
            <w:vAlign w:val="bottom"/>
            <w:tcBorders>
              <w:right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3,489</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6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2,614</w:t>
            </w:r>
          </w:p>
        </w:tc>
        <w:tc>
          <w:tcPr>
            <w:tcW w:w="10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875</w:t>
            </w:r>
          </w:p>
        </w:tc>
        <w:tc>
          <w:tcPr>
            <w:tcW w:w="12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33 %</w:t>
            </w:r>
          </w:p>
        </w:tc>
        <w:tc>
          <w:tcPr>
            <w:tcW w:w="0" w:type="dxa"/>
            <w:vAlign w:val="bottom"/>
          </w:tcPr>
          <w:p>
            <w:pPr>
              <w:spacing w:after="0"/>
              <w:rPr>
                <w:sz w:val="1"/>
                <w:szCs w:val="1"/>
                <w:color w:val="auto"/>
              </w:rPr>
            </w:pPr>
          </w:p>
        </w:tc>
      </w:tr>
      <w:tr>
        <w:trPr>
          <w:trHeight w:val="270"/>
        </w:trPr>
        <w:tc>
          <w:tcPr>
            <w:tcW w:w="3120" w:type="dxa"/>
            <w:vAlign w:val="bottom"/>
            <w:gridSpan w:val="2"/>
          </w:tcPr>
          <w:p>
            <w:pPr>
              <w:ind w:left="360"/>
              <w:spacing w:after="0" w:line="270" w:lineRule="exact"/>
              <w:rPr>
                <w:sz w:val="20"/>
                <w:szCs w:val="20"/>
                <w:color w:val="auto"/>
              </w:rPr>
            </w:pPr>
            <w:r>
              <w:rPr>
                <w:rFonts w:ascii="Arial" w:cs="Arial" w:eastAsia="Arial" w:hAnsi="Arial"/>
                <w:sz w:val="18"/>
                <w:szCs w:val="18"/>
                <w:color w:val="auto"/>
              </w:rPr>
              <w:t xml:space="preserve">South Texas / Eagle Ford </w:t>
            </w:r>
            <w:r>
              <w:rPr>
                <w:rFonts w:ascii="Arial" w:cs="Arial" w:eastAsia="Arial" w:hAnsi="Arial"/>
                <w:sz w:val="25"/>
                <w:szCs w:val="25"/>
                <w:color w:val="auto"/>
                <w:vertAlign w:val="superscript"/>
              </w:rPr>
              <w:t>(5)</w:t>
            </w:r>
          </w:p>
        </w:tc>
        <w:tc>
          <w:tcPr>
            <w:tcW w:w="900" w:type="dxa"/>
            <w:vAlign w:val="bottom"/>
          </w:tcPr>
          <w:p>
            <w:pPr>
              <w:jc w:val="right"/>
              <w:ind w:right="14"/>
              <w:spacing w:after="0"/>
              <w:rPr>
                <w:sz w:val="20"/>
                <w:szCs w:val="20"/>
                <w:color w:val="auto"/>
              </w:rPr>
            </w:pPr>
            <w:r>
              <w:rPr>
                <w:rFonts w:ascii="Arial" w:cs="Arial" w:eastAsia="Arial" w:hAnsi="Arial"/>
                <w:sz w:val="18"/>
                <w:szCs w:val="18"/>
                <w:color w:val="auto"/>
              </w:rPr>
              <w:t>434</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40" w:type="dxa"/>
            <w:vAlign w:val="bottom"/>
          </w:tcPr>
          <w:p>
            <w:pPr>
              <w:jc w:val="right"/>
              <w:ind w:right="11"/>
              <w:spacing w:after="0"/>
              <w:rPr>
                <w:sz w:val="20"/>
                <w:szCs w:val="20"/>
                <w:color w:val="auto"/>
              </w:rPr>
            </w:pPr>
            <w:r>
              <w:rPr>
                <w:rFonts w:ascii="Arial" w:cs="Arial" w:eastAsia="Arial" w:hAnsi="Arial"/>
                <w:sz w:val="18"/>
                <w:szCs w:val="18"/>
                <w:color w:val="auto"/>
              </w:rPr>
              <w:t>349</w:t>
            </w:r>
          </w:p>
        </w:tc>
        <w:tc>
          <w:tcPr>
            <w:tcW w:w="100" w:type="dxa"/>
            <w:vAlign w:val="bottom"/>
          </w:tcPr>
          <w:p>
            <w:pPr>
              <w:spacing w:after="0"/>
              <w:rPr>
                <w:sz w:val="23"/>
                <w:szCs w:val="23"/>
                <w:color w:val="auto"/>
              </w:rPr>
            </w:pPr>
          </w:p>
        </w:tc>
        <w:tc>
          <w:tcPr>
            <w:tcW w:w="900" w:type="dxa"/>
            <w:vAlign w:val="bottom"/>
          </w:tcPr>
          <w:p>
            <w:pPr>
              <w:jc w:val="right"/>
              <w:ind w:right="33"/>
              <w:spacing w:after="0"/>
              <w:rPr>
                <w:sz w:val="20"/>
                <w:szCs w:val="20"/>
                <w:color w:val="auto"/>
              </w:rPr>
            </w:pPr>
            <w:r>
              <w:rPr>
                <w:rFonts w:ascii="Arial" w:cs="Arial" w:eastAsia="Arial" w:hAnsi="Arial"/>
                <w:sz w:val="18"/>
                <w:szCs w:val="18"/>
                <w:color w:val="auto"/>
              </w:rPr>
              <w:t>85</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24 %</w:t>
            </w:r>
          </w:p>
        </w:tc>
        <w:tc>
          <w:tcPr>
            <w:tcW w:w="120" w:type="dxa"/>
            <w:vAlign w:val="bottom"/>
            <w:tcBorders>
              <w:right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900" w:type="dxa"/>
            <w:vAlign w:val="bottom"/>
          </w:tcPr>
          <w:p>
            <w:pPr>
              <w:jc w:val="right"/>
              <w:ind w:right="34"/>
              <w:spacing w:after="0"/>
              <w:rPr>
                <w:sz w:val="20"/>
                <w:szCs w:val="20"/>
                <w:color w:val="auto"/>
              </w:rPr>
            </w:pPr>
            <w:r>
              <w:rPr>
                <w:rFonts w:ascii="Arial" w:cs="Arial" w:eastAsia="Arial" w:hAnsi="Arial"/>
                <w:sz w:val="18"/>
                <w:szCs w:val="18"/>
                <w:color w:val="auto"/>
              </w:rPr>
              <w:t>428</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40" w:type="dxa"/>
            <w:vAlign w:val="bottom"/>
          </w:tcPr>
          <w:p>
            <w:pPr>
              <w:jc w:val="right"/>
              <w:ind w:right="31"/>
              <w:spacing w:after="0"/>
              <w:rPr>
                <w:sz w:val="20"/>
                <w:szCs w:val="20"/>
                <w:color w:val="auto"/>
              </w:rPr>
            </w:pPr>
            <w:r>
              <w:rPr>
                <w:rFonts w:ascii="Arial" w:cs="Arial" w:eastAsia="Arial" w:hAnsi="Arial"/>
                <w:sz w:val="18"/>
                <w:szCs w:val="18"/>
                <w:color w:val="auto"/>
              </w:rPr>
              <w:t>330</w:t>
            </w:r>
          </w:p>
        </w:tc>
        <w:tc>
          <w:tcPr>
            <w:tcW w:w="100" w:type="dxa"/>
            <w:vAlign w:val="bottom"/>
          </w:tcPr>
          <w:p>
            <w:pPr>
              <w:spacing w:after="0"/>
              <w:rPr>
                <w:sz w:val="23"/>
                <w:szCs w:val="23"/>
                <w:color w:val="auto"/>
              </w:rPr>
            </w:pPr>
          </w:p>
        </w:tc>
        <w:tc>
          <w:tcPr>
            <w:tcW w:w="900" w:type="dxa"/>
            <w:vAlign w:val="bottom"/>
          </w:tcPr>
          <w:p>
            <w:pPr>
              <w:jc w:val="right"/>
              <w:ind w:right="13"/>
              <w:spacing w:after="0"/>
              <w:rPr>
                <w:sz w:val="20"/>
                <w:szCs w:val="20"/>
                <w:color w:val="auto"/>
              </w:rPr>
            </w:pPr>
            <w:r>
              <w:rPr>
                <w:rFonts w:ascii="Arial" w:cs="Arial" w:eastAsia="Arial" w:hAnsi="Arial"/>
                <w:sz w:val="18"/>
                <w:szCs w:val="18"/>
                <w:color w:val="auto"/>
              </w:rPr>
              <w:t>98</w:t>
            </w: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30 %</w:t>
            </w:r>
          </w:p>
        </w:tc>
        <w:tc>
          <w:tcPr>
            <w:tcW w:w="0" w:type="dxa"/>
            <w:vAlign w:val="bottom"/>
          </w:tcPr>
          <w:p>
            <w:pPr>
              <w:spacing w:after="0"/>
              <w:rPr>
                <w:sz w:val="1"/>
                <w:szCs w:val="1"/>
                <w:color w:val="auto"/>
              </w:rPr>
            </w:pPr>
          </w:p>
        </w:tc>
      </w:tr>
      <w:tr>
        <w:trPr>
          <w:trHeight w:val="270"/>
        </w:trPr>
        <w:tc>
          <w:tcPr>
            <w:tcW w:w="3120" w:type="dxa"/>
            <w:vAlign w:val="bottom"/>
            <w:gridSpan w:val="2"/>
            <w:shd w:val="clear" w:color="auto" w:fill="CCEEFF"/>
          </w:tcPr>
          <w:p>
            <w:pPr>
              <w:ind w:left="360"/>
              <w:spacing w:after="0" w:line="270" w:lineRule="exact"/>
              <w:rPr>
                <w:sz w:val="20"/>
                <w:szCs w:val="20"/>
                <w:color w:val="auto"/>
              </w:rPr>
            </w:pPr>
            <w:r>
              <w:rPr>
                <w:rFonts w:ascii="Arial" w:cs="Arial" w:eastAsia="Arial" w:hAnsi="Arial"/>
                <w:sz w:val="18"/>
                <w:szCs w:val="18"/>
                <w:color w:val="auto"/>
              </w:rPr>
              <w:t xml:space="preserve">Central </w:t>
            </w:r>
            <w:r>
              <w:rPr>
                <w:rFonts w:ascii="Arial" w:cs="Arial" w:eastAsia="Arial" w:hAnsi="Arial"/>
                <w:sz w:val="25"/>
                <w:szCs w:val="25"/>
                <w:color w:val="auto"/>
                <w:vertAlign w:val="superscript"/>
              </w:rPr>
              <w:t>(5)</w:t>
            </w:r>
          </w:p>
        </w:tc>
        <w:tc>
          <w:tcPr>
            <w:tcW w:w="9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448</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6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427</w:t>
            </w:r>
          </w:p>
        </w:tc>
        <w:tc>
          <w:tcPr>
            <w:tcW w:w="10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21</w:t>
            </w:r>
          </w:p>
        </w:tc>
        <w:tc>
          <w:tcPr>
            <w:tcW w:w="10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5 %</w:t>
            </w:r>
          </w:p>
        </w:tc>
        <w:tc>
          <w:tcPr>
            <w:tcW w:w="120" w:type="dxa"/>
            <w:vAlign w:val="bottom"/>
            <w:tcBorders>
              <w:right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445</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6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416</w:t>
            </w:r>
          </w:p>
        </w:tc>
        <w:tc>
          <w:tcPr>
            <w:tcW w:w="10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29</w:t>
            </w:r>
          </w:p>
        </w:tc>
        <w:tc>
          <w:tcPr>
            <w:tcW w:w="12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7 %</w:t>
            </w:r>
          </w:p>
        </w:tc>
        <w:tc>
          <w:tcPr>
            <w:tcW w:w="0" w:type="dxa"/>
            <w:vAlign w:val="bottom"/>
          </w:tcPr>
          <w:p>
            <w:pPr>
              <w:spacing w:after="0"/>
              <w:rPr>
                <w:sz w:val="1"/>
                <w:szCs w:val="1"/>
                <w:color w:val="auto"/>
              </w:rPr>
            </w:pPr>
          </w:p>
        </w:tc>
      </w:tr>
      <w:tr>
        <w:trPr>
          <w:trHeight w:val="243"/>
        </w:trPr>
        <w:tc>
          <w:tcPr>
            <w:tcW w:w="3120" w:type="dxa"/>
            <w:vAlign w:val="bottom"/>
            <w:gridSpan w:val="2"/>
          </w:tcPr>
          <w:p>
            <w:pPr>
              <w:ind w:left="360"/>
              <w:spacing w:after="0"/>
              <w:rPr>
                <w:sz w:val="20"/>
                <w:szCs w:val="20"/>
                <w:color w:val="auto"/>
              </w:rPr>
            </w:pPr>
            <w:r>
              <w:rPr>
                <w:rFonts w:ascii="Arial" w:cs="Arial" w:eastAsia="Arial" w:hAnsi="Arial"/>
                <w:sz w:val="18"/>
                <w:szCs w:val="18"/>
                <w:color w:val="auto"/>
              </w:rPr>
              <w:t>Gulf Coast</w:t>
            </w:r>
          </w:p>
        </w:tc>
        <w:tc>
          <w:tcPr>
            <w:tcW w:w="900" w:type="dxa"/>
            <w:vAlign w:val="bottom"/>
          </w:tcPr>
          <w:p>
            <w:pPr>
              <w:jc w:val="right"/>
              <w:ind w:right="14"/>
              <w:spacing w:after="0"/>
              <w:rPr>
                <w:sz w:val="20"/>
                <w:szCs w:val="20"/>
                <w:color w:val="auto"/>
              </w:rPr>
            </w:pPr>
            <w:r>
              <w:rPr>
                <w:rFonts w:ascii="Arial" w:cs="Arial" w:eastAsia="Arial" w:hAnsi="Arial"/>
                <w:sz w:val="18"/>
                <w:szCs w:val="18"/>
                <w:color w:val="auto"/>
              </w:rPr>
              <w:t>170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40" w:type="dxa"/>
            <w:vAlign w:val="bottom"/>
          </w:tcPr>
          <w:p>
            <w:pPr>
              <w:jc w:val="right"/>
              <w:ind w:right="11"/>
              <w:spacing w:after="0"/>
              <w:rPr>
                <w:sz w:val="20"/>
                <w:szCs w:val="20"/>
                <w:color w:val="auto"/>
              </w:rPr>
            </w:pPr>
            <w:r>
              <w:rPr>
                <w:rFonts w:ascii="Arial" w:cs="Arial" w:eastAsia="Arial" w:hAnsi="Arial"/>
                <w:sz w:val="18"/>
                <w:szCs w:val="18"/>
                <w:color w:val="auto"/>
              </w:rPr>
              <w:t>385</w:t>
            </w:r>
          </w:p>
        </w:tc>
        <w:tc>
          <w:tcPr>
            <w:tcW w:w="1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(215)</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(56)%</w:t>
            </w:r>
          </w:p>
        </w:tc>
        <w:tc>
          <w:tcPr>
            <w:tcW w:w="12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jc w:val="right"/>
              <w:ind w:right="34"/>
              <w:spacing w:after="0"/>
              <w:rPr>
                <w:sz w:val="20"/>
                <w:szCs w:val="20"/>
                <w:color w:val="auto"/>
              </w:rPr>
            </w:pPr>
            <w:r>
              <w:rPr>
                <w:rFonts w:ascii="Arial" w:cs="Arial" w:eastAsia="Arial" w:hAnsi="Arial"/>
                <w:sz w:val="18"/>
                <w:szCs w:val="18"/>
                <w:color w:val="auto"/>
              </w:rPr>
              <w:t>187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40" w:type="dxa"/>
            <w:vAlign w:val="bottom"/>
          </w:tcPr>
          <w:p>
            <w:pPr>
              <w:jc w:val="right"/>
              <w:ind w:right="31"/>
              <w:spacing w:after="0"/>
              <w:rPr>
                <w:sz w:val="20"/>
                <w:szCs w:val="20"/>
                <w:color w:val="auto"/>
              </w:rPr>
            </w:pPr>
            <w:r>
              <w:rPr>
                <w:rFonts w:ascii="Arial" w:cs="Arial" w:eastAsia="Arial" w:hAnsi="Arial"/>
                <w:sz w:val="18"/>
                <w:szCs w:val="18"/>
                <w:color w:val="auto"/>
              </w:rPr>
              <w:t>364</w:t>
            </w:r>
          </w:p>
        </w:tc>
        <w:tc>
          <w:tcPr>
            <w:tcW w:w="1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(177)</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7"/>
        </w:trPr>
        <w:tc>
          <w:tcPr>
            <w:tcW w:w="3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120" w:type="dxa"/>
            <w:vAlign w:val="bottom"/>
            <w:gridSpan w:val="2"/>
            <w:shd w:val="clear" w:color="auto" w:fill="CCEEFF"/>
          </w:tcPr>
          <w:p>
            <w:pPr>
              <w:ind w:left="360"/>
              <w:spacing w:after="0" w:line="270" w:lineRule="exact"/>
              <w:rPr>
                <w:sz w:val="20"/>
                <w:szCs w:val="20"/>
                <w:color w:val="auto"/>
              </w:rPr>
            </w:pPr>
            <w:r>
              <w:rPr>
                <w:rFonts w:ascii="Arial" w:cs="Arial" w:eastAsia="Arial" w:hAnsi="Arial"/>
                <w:sz w:val="18"/>
                <w:szCs w:val="18"/>
                <w:color w:val="auto"/>
              </w:rPr>
              <w:t xml:space="preserve">Rocky Mountain </w:t>
            </w:r>
            <w:r>
              <w:rPr>
                <w:rFonts w:ascii="Arial" w:cs="Arial" w:eastAsia="Arial" w:hAnsi="Arial"/>
                <w:sz w:val="25"/>
                <w:szCs w:val="25"/>
                <w:color w:val="auto"/>
                <w:vertAlign w:val="superscript"/>
              </w:rPr>
              <w:t>(5)</w:t>
            </w:r>
          </w:p>
        </w:tc>
        <w:tc>
          <w:tcPr>
            <w:tcW w:w="9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270</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6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444</w:t>
            </w:r>
          </w:p>
        </w:tc>
        <w:tc>
          <w:tcPr>
            <w:tcW w:w="100" w:type="dxa"/>
            <w:vAlign w:val="bottom"/>
            <w:shd w:val="clear" w:color="auto" w:fill="CCEEFF"/>
          </w:tcPr>
          <w:p>
            <w:pPr>
              <w:spacing w:after="0"/>
              <w:rPr>
                <w:sz w:val="23"/>
                <w:szCs w:val="23"/>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w:t>
            </w:r>
          </w:p>
        </w:tc>
        <w:tc>
          <w:tcPr>
            <w:tcW w:w="10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120" w:type="dxa"/>
            <w:vAlign w:val="bottom"/>
            <w:tcBorders>
              <w:right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263</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6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415</w:t>
            </w:r>
          </w:p>
        </w:tc>
        <w:tc>
          <w:tcPr>
            <w:tcW w:w="100" w:type="dxa"/>
            <w:vAlign w:val="bottom"/>
            <w:shd w:val="clear" w:color="auto" w:fill="CCEEFF"/>
          </w:tcPr>
          <w:p>
            <w:pPr>
              <w:spacing w:after="0"/>
              <w:rPr>
                <w:sz w:val="23"/>
                <w:szCs w:val="23"/>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w:t>
            </w:r>
          </w:p>
        </w:tc>
        <w:tc>
          <w:tcPr>
            <w:tcW w:w="12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43"/>
        </w:trPr>
        <w:tc>
          <w:tcPr>
            <w:tcW w:w="3120" w:type="dxa"/>
            <w:vAlign w:val="bottom"/>
            <w:gridSpan w:val="2"/>
          </w:tcPr>
          <w:p>
            <w:pPr>
              <w:ind w:left="360"/>
              <w:spacing w:after="0"/>
              <w:rPr>
                <w:sz w:val="20"/>
                <w:szCs w:val="20"/>
                <w:color w:val="auto"/>
              </w:rPr>
            </w:pPr>
            <w:r>
              <w:rPr>
                <w:rFonts w:ascii="Arial" w:cs="Arial" w:eastAsia="Arial" w:hAnsi="Arial"/>
                <w:sz w:val="18"/>
                <w:szCs w:val="18"/>
                <w:color w:val="auto"/>
              </w:rPr>
              <w:t>Western</w:t>
            </w:r>
          </w:p>
        </w:tc>
        <w:tc>
          <w:tcPr>
            <w:tcW w:w="900" w:type="dxa"/>
            <w:vAlign w:val="bottom"/>
          </w:tcPr>
          <w:p>
            <w:pPr>
              <w:jc w:val="right"/>
              <w:ind w:right="14"/>
              <w:spacing w:after="0"/>
              <w:rPr>
                <w:sz w:val="20"/>
                <w:szCs w:val="20"/>
                <w:color w:val="auto"/>
              </w:rPr>
            </w:pPr>
            <w:r>
              <w:rPr>
                <w:rFonts w:ascii="Arial" w:cs="Arial" w:eastAsia="Arial" w:hAnsi="Arial"/>
                <w:sz w:val="18"/>
                <w:szCs w:val="18"/>
                <w:color w:val="auto"/>
              </w:rPr>
              <w:t>181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40" w:type="dxa"/>
            <w:vAlign w:val="bottom"/>
          </w:tcPr>
          <w:p>
            <w:pPr>
              <w:jc w:val="right"/>
              <w:ind w:right="11"/>
              <w:spacing w:after="0"/>
              <w:rPr>
                <w:sz w:val="20"/>
                <w:szCs w:val="20"/>
                <w:color w:val="auto"/>
              </w:rPr>
            </w:pPr>
            <w:r>
              <w:rPr>
                <w:rFonts w:ascii="Arial" w:cs="Arial" w:eastAsia="Arial" w:hAnsi="Arial"/>
                <w:sz w:val="18"/>
                <w:szCs w:val="18"/>
                <w:color w:val="auto"/>
              </w:rPr>
              <w:t>179</w:t>
            </w:r>
          </w:p>
        </w:tc>
        <w:tc>
          <w:tcPr>
            <w:tcW w:w="100" w:type="dxa"/>
            <w:vAlign w:val="bottom"/>
          </w:tcPr>
          <w:p>
            <w:pPr>
              <w:spacing w:after="0"/>
              <w:rPr>
                <w:sz w:val="21"/>
                <w:szCs w:val="21"/>
                <w:color w:val="auto"/>
              </w:rPr>
            </w:pPr>
          </w:p>
        </w:tc>
        <w:tc>
          <w:tcPr>
            <w:tcW w:w="900" w:type="dxa"/>
            <w:vAlign w:val="bottom"/>
          </w:tcPr>
          <w:p>
            <w:pPr>
              <w:jc w:val="right"/>
              <w:ind w:right="13"/>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1 %</w:t>
            </w:r>
          </w:p>
        </w:tc>
        <w:tc>
          <w:tcPr>
            <w:tcW w:w="12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jc w:val="right"/>
              <w:ind w:right="34"/>
              <w:spacing w:after="0"/>
              <w:rPr>
                <w:sz w:val="20"/>
                <w:szCs w:val="20"/>
                <w:color w:val="auto"/>
              </w:rPr>
            </w:pPr>
            <w:r>
              <w:rPr>
                <w:rFonts w:ascii="Arial" w:cs="Arial" w:eastAsia="Arial" w:hAnsi="Arial"/>
                <w:sz w:val="18"/>
                <w:szCs w:val="18"/>
                <w:color w:val="auto"/>
              </w:rPr>
              <w:t>177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40" w:type="dxa"/>
            <w:vAlign w:val="bottom"/>
          </w:tcPr>
          <w:p>
            <w:pPr>
              <w:jc w:val="right"/>
              <w:ind w:right="31"/>
              <w:spacing w:after="0"/>
              <w:rPr>
                <w:sz w:val="20"/>
                <w:szCs w:val="20"/>
                <w:color w:val="auto"/>
              </w:rPr>
            </w:pPr>
            <w:r>
              <w:rPr>
                <w:rFonts w:ascii="Arial" w:cs="Arial" w:eastAsia="Arial" w:hAnsi="Arial"/>
                <w:sz w:val="18"/>
                <w:szCs w:val="18"/>
                <w:color w:val="auto"/>
              </w:rPr>
              <w:t>184</w:t>
            </w:r>
          </w:p>
        </w:tc>
        <w:tc>
          <w:tcPr>
            <w:tcW w:w="1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7"/>
        </w:trPr>
        <w:tc>
          <w:tcPr>
            <w:tcW w:w="3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12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8"/>
                <w:szCs w:val="18"/>
                <w:color w:val="auto"/>
              </w:rPr>
              <w:t>Canada</w:t>
            </w:r>
          </w:p>
        </w:tc>
        <w:tc>
          <w:tcPr>
            <w:tcW w:w="9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298</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363</w:t>
            </w:r>
          </w:p>
        </w:tc>
        <w:tc>
          <w:tcPr>
            <w:tcW w:w="10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20" w:type="dxa"/>
            <w:vAlign w:val="bottom"/>
            <w:tcBorders>
              <w:bottom w:val="single" w:sz="8" w:color="CCEEFF"/>
              <w:right w:val="single" w:sz="8" w:color="auto"/>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308</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363</w:t>
            </w:r>
          </w:p>
        </w:tc>
        <w:tc>
          <w:tcPr>
            <w:tcW w:w="10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37"/>
        </w:trPr>
        <w:tc>
          <w:tcPr>
            <w:tcW w:w="3120" w:type="dxa"/>
            <w:vAlign w:val="bottom"/>
            <w:gridSpan w:val="2"/>
          </w:tcPr>
          <w:p>
            <w:pPr>
              <w:ind w:left="200"/>
              <w:spacing w:after="0"/>
              <w:rPr>
                <w:sz w:val="20"/>
                <w:szCs w:val="20"/>
                <w:color w:val="auto"/>
              </w:rPr>
            </w:pPr>
            <w:r>
              <w:rPr>
                <w:rFonts w:ascii="Arial" w:cs="Arial" w:eastAsia="Arial" w:hAnsi="Arial"/>
                <w:sz w:val="18"/>
                <w:szCs w:val="18"/>
                <w:color w:val="auto"/>
              </w:rPr>
              <w:t>Crude oil pipelines</w:t>
            </w:r>
          </w:p>
        </w:tc>
        <w:tc>
          <w:tcPr>
            <w:tcW w:w="90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5,535</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6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4,908</w:t>
            </w:r>
          </w:p>
        </w:tc>
        <w:tc>
          <w:tcPr>
            <w:tcW w:w="100" w:type="dxa"/>
            <w:vAlign w:val="bottom"/>
          </w:tcPr>
          <w:p>
            <w:pPr>
              <w:spacing w:after="0"/>
              <w:rPr>
                <w:sz w:val="20"/>
                <w:szCs w:val="20"/>
                <w:color w:val="auto"/>
              </w:rPr>
            </w:pPr>
          </w:p>
        </w:tc>
        <w:tc>
          <w:tcPr>
            <w:tcW w:w="9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627</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13 %</w:t>
            </w:r>
          </w:p>
        </w:tc>
        <w:tc>
          <w:tcPr>
            <w:tcW w:w="12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5,297</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6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4,686</w:t>
            </w:r>
          </w:p>
        </w:tc>
        <w:tc>
          <w:tcPr>
            <w:tcW w:w="100" w:type="dxa"/>
            <w:vAlign w:val="bottom"/>
          </w:tcPr>
          <w:p>
            <w:pPr>
              <w:spacing w:after="0"/>
              <w:rPr>
                <w:sz w:val="20"/>
                <w:szCs w:val="20"/>
                <w:color w:val="auto"/>
              </w:rPr>
            </w:pPr>
          </w:p>
        </w:tc>
        <w:tc>
          <w:tcPr>
            <w:tcW w:w="9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611</w:t>
            </w:r>
          </w:p>
        </w:tc>
        <w:tc>
          <w:tcPr>
            <w:tcW w:w="12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13 %</w:t>
            </w:r>
          </w:p>
        </w:tc>
        <w:tc>
          <w:tcPr>
            <w:tcW w:w="0" w:type="dxa"/>
            <w:vAlign w:val="bottom"/>
          </w:tcPr>
          <w:p>
            <w:pPr>
              <w:spacing w:after="0"/>
              <w:rPr>
                <w:sz w:val="1"/>
                <w:szCs w:val="1"/>
                <w:color w:val="auto"/>
              </w:rPr>
            </w:pPr>
          </w:p>
        </w:tc>
      </w:tr>
      <w:tr>
        <w:trPr>
          <w:trHeight w:val="27"/>
        </w:trPr>
        <w:tc>
          <w:tcPr>
            <w:tcW w:w="3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12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NGL pipelines</w:t>
            </w:r>
          </w:p>
        </w:tc>
        <w:tc>
          <w:tcPr>
            <w:tcW w:w="9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171</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156</w:t>
            </w:r>
          </w:p>
        </w:tc>
        <w:tc>
          <w:tcPr>
            <w:tcW w:w="10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10 %</w:t>
            </w:r>
          </w:p>
        </w:tc>
        <w:tc>
          <w:tcPr>
            <w:tcW w:w="120" w:type="dxa"/>
            <w:vAlign w:val="bottom"/>
            <w:tcBorders>
              <w:bottom w:val="single" w:sz="8" w:color="CCEEFF"/>
              <w:right w:val="single" w:sz="8" w:color="auto"/>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172</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168</w:t>
            </w:r>
          </w:p>
        </w:tc>
        <w:tc>
          <w:tcPr>
            <w:tcW w:w="10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2 %</w:t>
            </w:r>
          </w:p>
        </w:tc>
        <w:tc>
          <w:tcPr>
            <w:tcW w:w="0" w:type="dxa"/>
            <w:vAlign w:val="bottom"/>
          </w:tcPr>
          <w:p>
            <w:pPr>
              <w:spacing w:after="0"/>
              <w:rPr>
                <w:sz w:val="1"/>
                <w:szCs w:val="1"/>
                <w:color w:val="auto"/>
              </w:rPr>
            </w:pPr>
          </w:p>
        </w:tc>
      </w:tr>
      <w:tr>
        <w:trPr>
          <w:trHeight w:val="237"/>
        </w:trPr>
        <w:tc>
          <w:tcPr>
            <w:tcW w:w="3120" w:type="dxa"/>
            <w:vAlign w:val="bottom"/>
            <w:gridSpan w:val="2"/>
          </w:tcPr>
          <w:p>
            <w:pPr>
              <w:ind w:left="40"/>
              <w:spacing w:after="0"/>
              <w:rPr>
                <w:sz w:val="20"/>
                <w:szCs w:val="20"/>
                <w:color w:val="auto"/>
              </w:rPr>
            </w:pPr>
            <w:r>
              <w:rPr>
                <w:rFonts w:ascii="Arial" w:cs="Arial" w:eastAsia="Arial" w:hAnsi="Arial"/>
                <w:sz w:val="18"/>
                <w:szCs w:val="18"/>
                <w:color w:val="auto"/>
              </w:rPr>
              <w:t>Tariff activities total volumes</w:t>
            </w:r>
          </w:p>
        </w:tc>
        <w:tc>
          <w:tcPr>
            <w:tcW w:w="90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5,706</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6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5,064</w:t>
            </w:r>
          </w:p>
        </w:tc>
        <w:tc>
          <w:tcPr>
            <w:tcW w:w="100" w:type="dxa"/>
            <w:vAlign w:val="bottom"/>
          </w:tcPr>
          <w:p>
            <w:pPr>
              <w:spacing w:after="0"/>
              <w:rPr>
                <w:sz w:val="20"/>
                <w:szCs w:val="20"/>
                <w:color w:val="auto"/>
              </w:rPr>
            </w:pPr>
          </w:p>
        </w:tc>
        <w:tc>
          <w:tcPr>
            <w:tcW w:w="9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642</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13 %</w:t>
            </w:r>
          </w:p>
        </w:tc>
        <w:tc>
          <w:tcPr>
            <w:tcW w:w="12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5,469</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6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4,854</w:t>
            </w:r>
          </w:p>
        </w:tc>
        <w:tc>
          <w:tcPr>
            <w:tcW w:w="100" w:type="dxa"/>
            <w:vAlign w:val="bottom"/>
          </w:tcPr>
          <w:p>
            <w:pPr>
              <w:spacing w:after="0"/>
              <w:rPr>
                <w:sz w:val="20"/>
                <w:szCs w:val="20"/>
                <w:color w:val="auto"/>
              </w:rPr>
            </w:pPr>
          </w:p>
        </w:tc>
        <w:tc>
          <w:tcPr>
            <w:tcW w:w="9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615</w:t>
            </w:r>
          </w:p>
        </w:tc>
        <w:tc>
          <w:tcPr>
            <w:tcW w:w="12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13 %</w:t>
            </w:r>
          </w:p>
        </w:tc>
        <w:tc>
          <w:tcPr>
            <w:tcW w:w="0" w:type="dxa"/>
            <w:vAlign w:val="bottom"/>
          </w:tcPr>
          <w:p>
            <w:pPr>
              <w:spacing w:after="0"/>
              <w:rPr>
                <w:sz w:val="1"/>
                <w:szCs w:val="1"/>
                <w:color w:val="auto"/>
              </w:rPr>
            </w:pPr>
          </w:p>
        </w:tc>
      </w:tr>
      <w:tr>
        <w:trPr>
          <w:trHeight w:val="27"/>
        </w:trPr>
        <w:tc>
          <w:tcPr>
            <w:tcW w:w="3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12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Trucking volumes</w:t>
            </w:r>
          </w:p>
        </w:tc>
        <w:tc>
          <w:tcPr>
            <w:tcW w:w="9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91</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99</w:t>
            </w:r>
          </w:p>
        </w:tc>
        <w:tc>
          <w:tcPr>
            <w:tcW w:w="10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20" w:type="dxa"/>
            <w:vAlign w:val="bottom"/>
            <w:tcBorders>
              <w:bottom w:val="single" w:sz="8" w:color="CCEEFF"/>
              <w:right w:val="single" w:sz="8" w:color="auto"/>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95</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106</w:t>
            </w:r>
          </w:p>
        </w:tc>
        <w:tc>
          <w:tcPr>
            <w:tcW w:w="10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37"/>
        </w:trPr>
        <w:tc>
          <w:tcPr>
            <w:tcW w:w="3120" w:type="dxa"/>
            <w:vAlign w:val="bottom"/>
            <w:gridSpan w:val="2"/>
          </w:tcPr>
          <w:p>
            <w:pPr>
              <w:ind w:left="40"/>
              <w:spacing w:after="0"/>
              <w:rPr>
                <w:sz w:val="20"/>
                <w:szCs w:val="20"/>
                <w:color w:val="auto"/>
              </w:rPr>
            </w:pPr>
            <w:r>
              <w:rPr>
                <w:rFonts w:ascii="Arial" w:cs="Arial" w:eastAsia="Arial" w:hAnsi="Arial"/>
                <w:sz w:val="18"/>
                <w:szCs w:val="18"/>
                <w:color w:val="auto"/>
              </w:rPr>
              <w:t>Transportation segment total volumes</w:t>
            </w:r>
          </w:p>
        </w:tc>
        <w:tc>
          <w:tcPr>
            <w:tcW w:w="90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5,797</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6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5,163</w:t>
            </w:r>
          </w:p>
        </w:tc>
        <w:tc>
          <w:tcPr>
            <w:tcW w:w="100" w:type="dxa"/>
            <w:vAlign w:val="bottom"/>
          </w:tcPr>
          <w:p>
            <w:pPr>
              <w:spacing w:after="0"/>
              <w:rPr>
                <w:sz w:val="20"/>
                <w:szCs w:val="20"/>
                <w:color w:val="auto"/>
              </w:rPr>
            </w:pPr>
          </w:p>
        </w:tc>
        <w:tc>
          <w:tcPr>
            <w:tcW w:w="9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634</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12 %</w:t>
            </w:r>
          </w:p>
        </w:tc>
        <w:tc>
          <w:tcPr>
            <w:tcW w:w="12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5,564</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6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4,960</w:t>
            </w:r>
          </w:p>
        </w:tc>
        <w:tc>
          <w:tcPr>
            <w:tcW w:w="100" w:type="dxa"/>
            <w:vAlign w:val="bottom"/>
          </w:tcPr>
          <w:p>
            <w:pPr>
              <w:spacing w:after="0"/>
              <w:rPr>
                <w:sz w:val="20"/>
                <w:szCs w:val="20"/>
                <w:color w:val="auto"/>
              </w:rPr>
            </w:pPr>
          </w:p>
        </w:tc>
        <w:tc>
          <w:tcPr>
            <w:tcW w:w="9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604</w:t>
            </w:r>
          </w:p>
        </w:tc>
        <w:tc>
          <w:tcPr>
            <w:tcW w:w="12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12 %</w:t>
            </w:r>
          </w:p>
        </w:tc>
        <w:tc>
          <w:tcPr>
            <w:tcW w:w="0" w:type="dxa"/>
            <w:vAlign w:val="bottom"/>
          </w:tcPr>
          <w:p>
            <w:pPr>
              <w:spacing w:after="0"/>
              <w:rPr>
                <w:sz w:val="1"/>
                <w:szCs w:val="1"/>
                <w:color w:val="auto"/>
              </w:rPr>
            </w:pPr>
          </w:p>
        </w:tc>
      </w:tr>
      <w:tr>
        <w:trPr>
          <w:trHeight w:val="27"/>
        </w:trPr>
        <w:tc>
          <w:tcPr>
            <w:tcW w:w="3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250444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2504440" cy="8890"/>
                    </a:xfrm>
                    <a:prstGeom prst="rect">
                      <a:avLst/>
                    </a:prstGeom>
                    <a:noFill/>
                  </pic:spPr>
                </pic:pic>
              </a:graphicData>
            </a:graphic>
          </wp:anchor>
        </w:drawing>
      </w:r>
    </w:p>
    <w:p>
      <w:pPr>
        <w:spacing w:after="0" w:line="233" w:lineRule="exact"/>
        <w:rPr>
          <w:sz w:val="20"/>
          <w:szCs w:val="20"/>
          <w:color w:val="auto"/>
        </w:rPr>
      </w:pPr>
    </w:p>
    <w:p>
      <w:pPr>
        <w:ind w:left="660" w:hanging="652"/>
        <w:spacing w:after="0"/>
        <w:tabs>
          <w:tab w:leader="none" w:pos="660" w:val="left"/>
        </w:tabs>
        <w:numPr>
          <w:ilvl w:val="0"/>
          <w:numId w:val="34"/>
        </w:numPr>
        <w:rPr>
          <w:rFonts w:ascii="Arial" w:cs="Arial" w:eastAsia="Arial" w:hAnsi="Arial"/>
          <w:sz w:val="25"/>
          <w:szCs w:val="25"/>
          <w:color w:val="auto"/>
          <w:vertAlign w:val="superscript"/>
        </w:rPr>
      </w:pPr>
      <w:r>
        <w:rPr>
          <w:rFonts w:ascii="Arial" w:cs="Arial" w:eastAsia="Arial" w:hAnsi="Arial"/>
          <w:sz w:val="18"/>
          <w:szCs w:val="18"/>
          <w:color w:val="auto"/>
        </w:rPr>
        <w:t>Indicates that variance as a percentage is not meaningful.</w:t>
      </w:r>
    </w:p>
    <w:p>
      <w:pPr>
        <w:spacing w:after="0" w:line="91" w:lineRule="exact"/>
        <w:rPr>
          <w:sz w:val="20"/>
          <w:szCs w:val="20"/>
          <w:color w:val="auto"/>
        </w:rPr>
      </w:pPr>
    </w:p>
    <w:p>
      <w:pPr>
        <w:ind w:left="660" w:hanging="652"/>
        <w:spacing w:after="0"/>
        <w:tabs>
          <w:tab w:leader="none" w:pos="660" w:val="left"/>
        </w:tabs>
        <w:numPr>
          <w:ilvl w:val="0"/>
          <w:numId w:val="35"/>
        </w:numPr>
        <w:rPr>
          <w:rFonts w:ascii="Arial" w:cs="Arial" w:eastAsia="Arial" w:hAnsi="Arial"/>
          <w:sz w:val="25"/>
          <w:szCs w:val="25"/>
          <w:color w:val="auto"/>
          <w:vertAlign w:val="superscript"/>
        </w:rPr>
      </w:pPr>
      <w:r>
        <w:rPr>
          <w:rFonts w:ascii="Arial" w:cs="Arial" w:eastAsia="Arial" w:hAnsi="Arial"/>
          <w:sz w:val="18"/>
          <w:szCs w:val="18"/>
          <w:color w:val="auto"/>
        </w:rPr>
        <w:t>Revenues and costs and expenses include intersegment amounts.</w:t>
      </w:r>
    </w:p>
    <w:p>
      <w:pPr>
        <w:spacing w:after="0" w:line="98" w:lineRule="exact"/>
        <w:rPr>
          <w:rFonts w:ascii="Arial" w:cs="Arial" w:eastAsia="Arial" w:hAnsi="Arial"/>
          <w:sz w:val="25"/>
          <w:szCs w:val="25"/>
          <w:color w:val="auto"/>
          <w:vertAlign w:val="superscript"/>
        </w:rPr>
      </w:pPr>
    </w:p>
    <w:p>
      <w:pPr>
        <w:ind w:left="660" w:right="260" w:hanging="652"/>
        <w:spacing w:after="0" w:line="246" w:lineRule="auto"/>
        <w:tabs>
          <w:tab w:leader="none" w:pos="660" w:val="left"/>
        </w:tabs>
        <w:numPr>
          <w:ilvl w:val="0"/>
          <w:numId w:val="35"/>
        </w:numPr>
        <w:rPr>
          <w:rFonts w:ascii="Arial" w:cs="Arial" w:eastAsia="Arial" w:hAnsi="Arial"/>
          <w:sz w:val="22"/>
          <w:szCs w:val="22"/>
          <w:color w:val="auto"/>
          <w:vertAlign w:val="superscript"/>
        </w:rPr>
      </w:pPr>
      <w:r>
        <w:rPr>
          <w:rFonts w:ascii="Arial" w:cs="Arial" w:eastAsia="Arial" w:hAnsi="Arial"/>
          <w:sz w:val="16"/>
          <w:szCs w:val="16"/>
          <w:color w:val="auto"/>
        </w:rPr>
        <w:t>Segment general and administrative expenses reflect direct costs attributable to each segment and an allocation of other expenses to the segments. The proportional allocations by segment require judgment by management and are based on the business activities that exist during each period.</w:t>
      </w:r>
    </w:p>
    <w:p>
      <w:pPr>
        <w:spacing w:after="0" w:line="87" w:lineRule="exact"/>
        <w:rPr>
          <w:rFonts w:ascii="Arial" w:cs="Arial" w:eastAsia="Arial" w:hAnsi="Arial"/>
          <w:sz w:val="22"/>
          <w:szCs w:val="22"/>
          <w:color w:val="auto"/>
          <w:vertAlign w:val="superscript"/>
        </w:rPr>
      </w:pPr>
    </w:p>
    <w:p>
      <w:pPr>
        <w:ind w:left="660" w:right="640" w:hanging="652"/>
        <w:spacing w:after="0" w:line="216" w:lineRule="auto"/>
        <w:tabs>
          <w:tab w:leader="none" w:pos="660" w:val="left"/>
        </w:tabs>
        <w:numPr>
          <w:ilvl w:val="0"/>
          <w:numId w:val="35"/>
        </w:numPr>
        <w:rPr>
          <w:rFonts w:ascii="Arial" w:cs="Arial" w:eastAsia="Arial" w:hAnsi="Arial"/>
          <w:sz w:val="25"/>
          <w:szCs w:val="25"/>
          <w:color w:val="auto"/>
          <w:vertAlign w:val="superscript"/>
        </w:rPr>
      </w:pPr>
      <w:r>
        <w:rPr>
          <w:rFonts w:ascii="Arial" w:cs="Arial" w:eastAsia="Arial" w:hAnsi="Arial"/>
          <w:sz w:val="18"/>
          <w:szCs w:val="18"/>
          <w:color w:val="auto"/>
        </w:rPr>
        <w:t>Represents adjustments included in the performance measure utilized by our CODM in the evaluation of segment results. See Note 14 to our Condensed Consolidated Financial Statements for additional discussion of such adjustments.</w:t>
      </w:r>
    </w:p>
    <w:p>
      <w:pPr>
        <w:spacing w:after="0" w:line="72" w:lineRule="exact"/>
        <w:rPr>
          <w:rFonts w:ascii="Arial" w:cs="Arial" w:eastAsia="Arial" w:hAnsi="Arial"/>
          <w:sz w:val="25"/>
          <w:szCs w:val="25"/>
          <w:color w:val="auto"/>
          <w:vertAlign w:val="superscript"/>
        </w:rPr>
      </w:pPr>
    </w:p>
    <w:p>
      <w:pPr>
        <w:ind w:left="660" w:hanging="652"/>
        <w:spacing w:after="0"/>
        <w:tabs>
          <w:tab w:leader="none" w:pos="660" w:val="left"/>
        </w:tabs>
        <w:numPr>
          <w:ilvl w:val="0"/>
          <w:numId w:val="35"/>
        </w:numPr>
        <w:rPr>
          <w:rFonts w:ascii="Arial" w:cs="Arial" w:eastAsia="Arial" w:hAnsi="Arial"/>
          <w:sz w:val="22"/>
          <w:szCs w:val="22"/>
          <w:color w:val="auto"/>
          <w:vertAlign w:val="superscript"/>
        </w:rPr>
      </w:pPr>
      <w:r>
        <w:rPr>
          <w:rFonts w:ascii="Arial" w:cs="Arial" w:eastAsia="Arial" w:hAnsi="Arial"/>
          <w:sz w:val="16"/>
          <w:szCs w:val="16"/>
          <w:color w:val="auto"/>
        </w:rPr>
        <w:t>Average daily volumes are calculated as the total volumes (attributable to our interest) for the period divided by the number of days in the period.</w:t>
      </w:r>
    </w:p>
    <w:p>
      <w:pPr>
        <w:spacing w:after="0" w:line="98" w:lineRule="exact"/>
        <w:rPr>
          <w:rFonts w:ascii="Arial" w:cs="Arial" w:eastAsia="Arial" w:hAnsi="Arial"/>
          <w:sz w:val="22"/>
          <w:szCs w:val="22"/>
          <w:color w:val="auto"/>
          <w:vertAlign w:val="superscript"/>
        </w:rPr>
      </w:pPr>
    </w:p>
    <w:p>
      <w:pPr>
        <w:ind w:left="660" w:hanging="652"/>
        <w:spacing w:after="0" w:line="188" w:lineRule="auto"/>
        <w:tabs>
          <w:tab w:leader="none" w:pos="660" w:val="left"/>
        </w:tabs>
        <w:numPr>
          <w:ilvl w:val="0"/>
          <w:numId w:val="35"/>
        </w:numPr>
        <w:rPr>
          <w:rFonts w:ascii="Arial" w:cs="Arial" w:eastAsia="Arial" w:hAnsi="Arial"/>
          <w:sz w:val="25"/>
          <w:szCs w:val="25"/>
          <w:color w:val="auto"/>
          <w:vertAlign w:val="superscript"/>
        </w:rPr>
      </w:pPr>
      <w:r>
        <w:rPr>
          <w:rFonts w:ascii="Arial" w:cs="Arial" w:eastAsia="Arial" w:hAnsi="Arial"/>
          <w:sz w:val="18"/>
          <w:szCs w:val="18"/>
          <w:color w:val="auto"/>
        </w:rPr>
        <w:t>Region includes volumes (attributable to our interest) from pipelines owned by unconsolidated entities.</w:t>
      </w:r>
    </w:p>
    <w:p>
      <w:pPr>
        <w:spacing w:after="0" w:line="202" w:lineRule="exact"/>
        <w:rPr>
          <w:sz w:val="20"/>
          <w:szCs w:val="20"/>
          <w:color w:val="auto"/>
        </w:rPr>
      </w:pPr>
    </w:p>
    <w:p>
      <w:pPr>
        <w:ind w:right="280" w:firstLine="648"/>
        <w:spacing w:after="0" w:line="259" w:lineRule="auto"/>
        <w:rPr>
          <w:sz w:val="20"/>
          <w:szCs w:val="20"/>
          <w:color w:val="auto"/>
        </w:rPr>
      </w:pPr>
      <w:r>
        <w:rPr>
          <w:rFonts w:ascii="Arial" w:cs="Arial" w:eastAsia="Arial" w:hAnsi="Arial"/>
          <w:sz w:val="18"/>
          <w:szCs w:val="18"/>
          <w:color w:val="auto"/>
        </w:rPr>
        <w:t>Tariffs and other fees on our pipeline systems vary by receipt point and delivery point. The segment results generated by our tariff and other fee-related activities depend on the volumes transported on the pipeline and the level of the tariff and other fees charged, as well as the fixed and variable field costs of operating the pipeline. As is common in the pipeline transportation industry, our tariffs incorporate a loss allowance factor. We recognize the allowance volumes collected at fair value.</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125" w:right="239" w:bottom="1440" w:gutter="0" w:footer="0" w:header="0"/>
        </w:sectPr>
      </w:pPr>
    </w:p>
    <w:bookmarkStart w:id="47" w:name="page48"/>
    <w:bookmarkEnd w:id="4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is a discussion of items impacting Transportation segment operating results for the periods indicated.</w:t>
      </w:r>
    </w:p>
    <w:p>
      <w:pPr>
        <w:spacing w:after="0" w:line="225" w:lineRule="exact"/>
        <w:rPr>
          <w:sz w:val="20"/>
          <w:szCs w:val="20"/>
          <w:color w:val="auto"/>
        </w:rPr>
      </w:pPr>
    </w:p>
    <w:p>
      <w:pPr>
        <w:ind w:right="600" w:firstLine="693"/>
        <w:spacing w:after="0" w:line="342" w:lineRule="auto"/>
        <w:rPr>
          <w:sz w:val="20"/>
          <w:szCs w:val="20"/>
          <w:color w:val="auto"/>
        </w:rPr>
      </w:pPr>
      <w:r>
        <w:rPr>
          <w:rFonts w:ascii="Arial" w:cs="Arial" w:eastAsia="Arial" w:hAnsi="Arial"/>
          <w:sz w:val="16"/>
          <w:szCs w:val="16"/>
          <w:i w:val="1"/>
          <w:iCs w:val="1"/>
          <w:color w:val="auto"/>
        </w:rPr>
        <w:t xml:space="preserve">Revenues, Purchases and Related Costs, Equity Earnings in Unconsolidated Entities and Volumes. </w:t>
      </w:r>
      <w:r>
        <w:rPr>
          <w:rFonts w:ascii="Arial" w:cs="Arial" w:eastAsia="Arial" w:hAnsi="Arial"/>
          <w:sz w:val="16"/>
          <w:szCs w:val="16"/>
          <w:color w:val="auto"/>
        </w:rPr>
        <w:t>The following table presents variances in</w:t>
      </w:r>
      <w:r>
        <w:rPr>
          <w:rFonts w:ascii="Arial" w:cs="Arial" w:eastAsia="Arial" w:hAnsi="Arial"/>
          <w:sz w:val="16"/>
          <w:szCs w:val="16"/>
          <w:i w:val="1"/>
          <w:iCs w:val="1"/>
          <w:color w:val="auto"/>
        </w:rPr>
        <w:t xml:space="preserve"> </w:t>
      </w:r>
      <w:r>
        <w:rPr>
          <w:rFonts w:ascii="Arial" w:cs="Arial" w:eastAsia="Arial" w:hAnsi="Arial"/>
          <w:sz w:val="16"/>
          <w:szCs w:val="16"/>
          <w:color w:val="auto"/>
        </w:rPr>
        <w:t>revenues, purchases and related costs and equity earnings in unconsolidated entities by region for the comparative periods presented:</w:t>
      </w:r>
    </w:p>
    <w:p>
      <w:pPr>
        <w:spacing w:after="0" w:line="49" w:lineRule="exact"/>
        <w:rPr>
          <w:sz w:val="20"/>
          <w:szCs w:val="20"/>
          <w:color w:val="auto"/>
        </w:rPr>
      </w:pPr>
    </w:p>
    <w:tbl>
      <w:tblPr>
        <w:tblLayout w:type="fixed"/>
        <w:tblInd w:w="660" w:type="dxa"/>
        <w:tblCellMar>
          <w:top w:w="0" w:type="dxa"/>
          <w:left w:w="0" w:type="dxa"/>
          <w:bottom w:w="0" w:type="dxa"/>
          <w:right w:w="0" w:type="dxa"/>
        </w:tblCellMar>
      </w:tblPr>
      <w:tr>
        <w:trPr>
          <w:trHeight w:val="161"/>
        </w:trPr>
        <w:tc>
          <w:tcPr>
            <w:tcW w:w="2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660" w:type="dxa"/>
            <w:vAlign w:val="bottom"/>
            <w:gridSpan w:val="9"/>
          </w:tcPr>
          <w:p>
            <w:pPr>
              <w:jc w:val="center"/>
              <w:ind w:right="400"/>
              <w:spacing w:after="0"/>
              <w:rPr>
                <w:sz w:val="20"/>
                <w:szCs w:val="20"/>
                <w:color w:val="auto"/>
              </w:rPr>
            </w:pPr>
            <w:r>
              <w:rPr>
                <w:rFonts w:ascii="Arial" w:cs="Arial" w:eastAsia="Arial" w:hAnsi="Arial"/>
                <w:sz w:val="14"/>
                <w:szCs w:val="14"/>
                <w:b w:val="1"/>
                <w:bCs w:val="1"/>
                <w:color w:val="auto"/>
                <w:w w:val="94"/>
              </w:rPr>
              <w:t>Favorable/(Unfavorable) Variance</w:t>
            </w:r>
          </w:p>
        </w:tc>
        <w:tc>
          <w:tcPr>
            <w:tcW w:w="180" w:type="dxa"/>
            <w:vAlign w:val="bottom"/>
          </w:tcPr>
          <w:p>
            <w:pPr>
              <w:spacing w:after="0"/>
              <w:rPr>
                <w:sz w:val="14"/>
                <w:szCs w:val="14"/>
                <w:color w:val="auto"/>
              </w:rPr>
            </w:pPr>
          </w:p>
        </w:tc>
        <w:tc>
          <w:tcPr>
            <w:tcW w:w="3440" w:type="dxa"/>
            <w:vAlign w:val="bottom"/>
            <w:gridSpan w:val="7"/>
          </w:tcPr>
          <w:p>
            <w:pPr>
              <w:jc w:val="center"/>
              <w:ind w:right="94"/>
              <w:spacing w:after="0"/>
              <w:rPr>
                <w:sz w:val="20"/>
                <w:szCs w:val="20"/>
                <w:color w:val="auto"/>
              </w:rPr>
            </w:pPr>
            <w:r>
              <w:rPr>
                <w:rFonts w:ascii="Arial" w:cs="Arial" w:eastAsia="Arial" w:hAnsi="Arial"/>
                <w:sz w:val="14"/>
                <w:szCs w:val="14"/>
                <w:b w:val="1"/>
                <w:bCs w:val="1"/>
                <w:color w:val="auto"/>
                <w:w w:val="94"/>
              </w:rPr>
              <w:t>Favorable/(Unfavorable) Variance</w:t>
            </w:r>
          </w:p>
        </w:tc>
        <w:tc>
          <w:tcPr>
            <w:tcW w:w="0" w:type="dxa"/>
            <w:vAlign w:val="bottom"/>
          </w:tcPr>
          <w:p>
            <w:pPr>
              <w:spacing w:after="0"/>
              <w:rPr>
                <w:sz w:val="1"/>
                <w:szCs w:val="1"/>
                <w:color w:val="auto"/>
              </w:rPr>
            </w:pPr>
          </w:p>
        </w:tc>
      </w:tr>
      <w:tr>
        <w:trPr>
          <w:trHeight w:val="149"/>
        </w:trPr>
        <w:tc>
          <w:tcPr>
            <w:tcW w:w="2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580" w:type="dxa"/>
            <w:vAlign w:val="bottom"/>
            <w:gridSpan w:val="6"/>
          </w:tcPr>
          <w:p>
            <w:pPr>
              <w:jc w:val="center"/>
              <w:ind w:left="595"/>
              <w:spacing w:after="0" w:line="149" w:lineRule="exact"/>
              <w:rPr>
                <w:sz w:val="20"/>
                <w:szCs w:val="20"/>
                <w:color w:val="auto"/>
              </w:rPr>
            </w:pPr>
            <w:r>
              <w:rPr>
                <w:rFonts w:ascii="Arial" w:cs="Arial" w:eastAsia="Arial" w:hAnsi="Arial"/>
                <w:sz w:val="14"/>
                <w:szCs w:val="14"/>
                <w:b w:val="1"/>
                <w:bCs w:val="1"/>
                <w:color w:val="auto"/>
                <w:w w:val="93"/>
              </w:rPr>
              <w:t>Three Months Ended June 30,</w:t>
            </w: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540" w:type="dxa"/>
            <w:vAlign w:val="bottom"/>
            <w:gridSpan w:val="6"/>
          </w:tcPr>
          <w:p>
            <w:pPr>
              <w:jc w:val="center"/>
              <w:ind w:left="655"/>
              <w:spacing w:after="0" w:line="149" w:lineRule="exact"/>
              <w:rPr>
                <w:sz w:val="20"/>
                <w:szCs w:val="20"/>
                <w:color w:val="auto"/>
              </w:rPr>
            </w:pPr>
            <w:r>
              <w:rPr>
                <w:rFonts w:ascii="Arial" w:cs="Arial" w:eastAsia="Arial" w:hAnsi="Arial"/>
                <w:sz w:val="14"/>
                <w:szCs w:val="14"/>
                <w:b w:val="1"/>
                <w:bCs w:val="1"/>
                <w:color w:val="auto"/>
                <w:w w:val="92"/>
              </w:rPr>
              <w:t>Six Months Ended June 30,</w:t>
            </w: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2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35"/>
              <w:spacing w:after="0"/>
              <w:rPr>
                <w:sz w:val="20"/>
                <w:szCs w:val="20"/>
                <w:color w:val="auto"/>
              </w:rPr>
            </w:pPr>
            <w:r>
              <w:rPr>
                <w:rFonts w:ascii="Arial" w:cs="Arial" w:eastAsia="Arial" w:hAnsi="Arial"/>
                <w:sz w:val="14"/>
                <w:szCs w:val="14"/>
                <w:b w:val="1"/>
                <w:bCs w:val="1"/>
                <w:color w:val="auto"/>
                <w:w w:val="92"/>
              </w:rPr>
              <w:t>2018-2017</w:t>
            </w: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15"/>
              <w:spacing w:after="0"/>
              <w:rPr>
                <w:sz w:val="20"/>
                <w:szCs w:val="20"/>
                <w:color w:val="auto"/>
              </w:rPr>
            </w:pPr>
            <w:r>
              <w:rPr>
                <w:rFonts w:ascii="Arial" w:cs="Arial" w:eastAsia="Arial" w:hAnsi="Arial"/>
                <w:sz w:val="14"/>
                <w:szCs w:val="14"/>
                <w:b w:val="1"/>
                <w:bCs w:val="1"/>
                <w:color w:val="auto"/>
                <w:w w:val="92"/>
              </w:rPr>
              <w:t>2018-2017</w:t>
            </w: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24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millions)</w:t>
            </w:r>
          </w:p>
        </w:tc>
        <w:tc>
          <w:tcPr>
            <w:tcW w:w="120" w:type="dxa"/>
            <w:vAlign w:val="bottom"/>
            <w:vMerge w:val="restart"/>
          </w:tcPr>
          <w:p>
            <w:pPr>
              <w:spacing w:after="0"/>
              <w:rPr>
                <w:sz w:val="13"/>
                <w:szCs w:val="13"/>
                <w:color w:val="auto"/>
              </w:rPr>
            </w:pPr>
          </w:p>
        </w:tc>
        <w:tc>
          <w:tcPr>
            <w:tcW w:w="180" w:type="dxa"/>
            <w:vAlign w:val="bottom"/>
          </w:tcPr>
          <w:p>
            <w:pPr>
              <w:spacing w:after="0"/>
              <w:rPr>
                <w:sz w:val="13"/>
                <w:szCs w:val="13"/>
                <w:color w:val="auto"/>
              </w:rPr>
            </w:pPr>
          </w:p>
        </w:tc>
        <w:tc>
          <w:tcPr>
            <w:tcW w:w="900" w:type="dxa"/>
            <w:vAlign w:val="bottom"/>
            <w:vMerge w:val="restart"/>
          </w:tcPr>
          <w:p>
            <w:pPr>
              <w:jc w:val="right"/>
              <w:ind w:right="155"/>
              <w:spacing w:after="0"/>
              <w:rPr>
                <w:sz w:val="20"/>
                <w:szCs w:val="20"/>
                <w:color w:val="auto"/>
              </w:rPr>
            </w:pPr>
            <w:r>
              <w:rPr>
                <w:rFonts w:ascii="Arial" w:cs="Arial" w:eastAsia="Arial" w:hAnsi="Arial"/>
                <w:sz w:val="14"/>
                <w:szCs w:val="14"/>
                <w:b w:val="1"/>
                <w:bCs w:val="1"/>
                <w:color w:val="auto"/>
                <w:w w:val="96"/>
              </w:rPr>
              <w:t>Revenues</w:t>
            </w:r>
          </w:p>
        </w:tc>
        <w:tc>
          <w:tcPr>
            <w:tcW w:w="120" w:type="dxa"/>
            <w:vAlign w:val="bottom"/>
            <w:vMerge w:val="restart"/>
          </w:tcPr>
          <w:p>
            <w:pPr>
              <w:spacing w:after="0"/>
              <w:rPr>
                <w:sz w:val="13"/>
                <w:szCs w:val="13"/>
                <w:color w:val="auto"/>
              </w:rPr>
            </w:pPr>
          </w:p>
        </w:tc>
        <w:tc>
          <w:tcPr>
            <w:tcW w:w="140" w:type="dxa"/>
            <w:vAlign w:val="bottom"/>
          </w:tcPr>
          <w:p>
            <w:pPr>
              <w:spacing w:after="0"/>
              <w:rPr>
                <w:sz w:val="13"/>
                <w:szCs w:val="13"/>
                <w:color w:val="auto"/>
              </w:rPr>
            </w:pPr>
          </w:p>
        </w:tc>
        <w:tc>
          <w:tcPr>
            <w:tcW w:w="1160" w:type="dxa"/>
            <w:vAlign w:val="bottom"/>
            <w:gridSpan w:val="2"/>
          </w:tcPr>
          <w:p>
            <w:pPr>
              <w:jc w:val="center"/>
              <w:ind w:right="240"/>
              <w:spacing w:after="0" w:line="153" w:lineRule="exact"/>
              <w:rPr>
                <w:sz w:val="20"/>
                <w:szCs w:val="20"/>
                <w:color w:val="auto"/>
              </w:rPr>
            </w:pPr>
            <w:r>
              <w:rPr>
                <w:rFonts w:ascii="Arial" w:cs="Arial" w:eastAsia="Arial" w:hAnsi="Arial"/>
                <w:sz w:val="14"/>
                <w:szCs w:val="14"/>
                <w:b w:val="1"/>
                <w:bCs w:val="1"/>
                <w:color w:val="auto"/>
                <w:w w:val="88"/>
              </w:rPr>
              <w:t>Purchases and</w:t>
            </w:r>
          </w:p>
        </w:tc>
        <w:tc>
          <w:tcPr>
            <w:tcW w:w="260" w:type="dxa"/>
            <w:vAlign w:val="bottom"/>
          </w:tcPr>
          <w:p>
            <w:pPr>
              <w:spacing w:after="0"/>
              <w:rPr>
                <w:sz w:val="13"/>
                <w:szCs w:val="13"/>
                <w:color w:val="auto"/>
              </w:rPr>
            </w:pPr>
          </w:p>
        </w:tc>
        <w:tc>
          <w:tcPr>
            <w:tcW w:w="1080" w:type="dxa"/>
            <w:vAlign w:val="bottom"/>
            <w:gridSpan w:val="3"/>
          </w:tcPr>
          <w:p>
            <w:pPr>
              <w:ind w:left="80"/>
              <w:spacing w:after="0" w:line="153" w:lineRule="exact"/>
              <w:rPr>
                <w:sz w:val="20"/>
                <w:szCs w:val="20"/>
                <w:color w:val="auto"/>
              </w:rPr>
            </w:pPr>
            <w:r>
              <w:rPr>
                <w:rFonts w:ascii="Arial" w:cs="Arial" w:eastAsia="Arial" w:hAnsi="Arial"/>
                <w:sz w:val="14"/>
                <w:szCs w:val="14"/>
                <w:b w:val="1"/>
                <w:bCs w:val="1"/>
                <w:color w:val="auto"/>
              </w:rPr>
              <w:t>Equity</w:t>
            </w:r>
          </w:p>
        </w:tc>
        <w:tc>
          <w:tcPr>
            <w:tcW w:w="180" w:type="dxa"/>
            <w:vAlign w:val="bottom"/>
          </w:tcPr>
          <w:p>
            <w:pPr>
              <w:spacing w:after="0"/>
              <w:rPr>
                <w:sz w:val="13"/>
                <w:szCs w:val="13"/>
                <w:color w:val="auto"/>
              </w:rPr>
            </w:pPr>
          </w:p>
        </w:tc>
        <w:tc>
          <w:tcPr>
            <w:tcW w:w="900" w:type="dxa"/>
            <w:vAlign w:val="bottom"/>
            <w:vMerge w:val="restart"/>
          </w:tcPr>
          <w:p>
            <w:pPr>
              <w:jc w:val="right"/>
              <w:ind w:right="175"/>
              <w:spacing w:after="0"/>
              <w:rPr>
                <w:sz w:val="20"/>
                <w:szCs w:val="20"/>
                <w:color w:val="auto"/>
              </w:rPr>
            </w:pPr>
            <w:r>
              <w:rPr>
                <w:rFonts w:ascii="Arial" w:cs="Arial" w:eastAsia="Arial" w:hAnsi="Arial"/>
                <w:sz w:val="14"/>
                <w:szCs w:val="14"/>
                <w:b w:val="1"/>
                <w:bCs w:val="1"/>
                <w:color w:val="auto"/>
                <w:w w:val="93"/>
              </w:rPr>
              <w:t>Revenues</w:t>
            </w:r>
          </w:p>
        </w:tc>
        <w:tc>
          <w:tcPr>
            <w:tcW w:w="120" w:type="dxa"/>
            <w:vAlign w:val="bottom"/>
            <w:vMerge w:val="restart"/>
          </w:tcPr>
          <w:p>
            <w:pPr>
              <w:spacing w:after="0"/>
              <w:rPr>
                <w:sz w:val="13"/>
                <w:szCs w:val="13"/>
                <w:color w:val="auto"/>
              </w:rPr>
            </w:pPr>
          </w:p>
        </w:tc>
        <w:tc>
          <w:tcPr>
            <w:tcW w:w="120" w:type="dxa"/>
            <w:vAlign w:val="bottom"/>
          </w:tcPr>
          <w:p>
            <w:pPr>
              <w:spacing w:after="0"/>
              <w:rPr>
                <w:sz w:val="13"/>
                <w:szCs w:val="13"/>
                <w:color w:val="auto"/>
              </w:rPr>
            </w:pPr>
          </w:p>
        </w:tc>
        <w:tc>
          <w:tcPr>
            <w:tcW w:w="1180" w:type="dxa"/>
            <w:vAlign w:val="bottom"/>
            <w:gridSpan w:val="2"/>
          </w:tcPr>
          <w:p>
            <w:pPr>
              <w:jc w:val="center"/>
              <w:ind w:right="240"/>
              <w:spacing w:after="0" w:line="153" w:lineRule="exact"/>
              <w:rPr>
                <w:sz w:val="20"/>
                <w:szCs w:val="20"/>
                <w:color w:val="auto"/>
              </w:rPr>
            </w:pPr>
            <w:r>
              <w:rPr>
                <w:rFonts w:ascii="Arial" w:cs="Arial" w:eastAsia="Arial" w:hAnsi="Arial"/>
                <w:sz w:val="14"/>
                <w:szCs w:val="14"/>
                <w:b w:val="1"/>
                <w:bCs w:val="1"/>
                <w:color w:val="auto"/>
                <w:w w:val="90"/>
              </w:rPr>
              <w:t>Purchases and</w:t>
            </w:r>
          </w:p>
        </w:tc>
        <w:tc>
          <w:tcPr>
            <w:tcW w:w="220" w:type="dxa"/>
            <w:vAlign w:val="bottom"/>
          </w:tcPr>
          <w:p>
            <w:pPr>
              <w:spacing w:after="0"/>
              <w:rPr>
                <w:sz w:val="13"/>
                <w:szCs w:val="13"/>
                <w:color w:val="auto"/>
              </w:rPr>
            </w:pPr>
          </w:p>
        </w:tc>
        <w:tc>
          <w:tcPr>
            <w:tcW w:w="900" w:type="dxa"/>
            <w:vAlign w:val="bottom"/>
          </w:tcPr>
          <w:p>
            <w:pPr>
              <w:jc w:val="right"/>
              <w:ind w:right="274"/>
              <w:spacing w:after="0" w:line="153" w:lineRule="exact"/>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192"/>
        </w:trPr>
        <w:tc>
          <w:tcPr>
            <w:tcW w:w="24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55"/>
              <w:spacing w:after="0"/>
              <w:rPr>
                <w:sz w:val="20"/>
                <w:szCs w:val="20"/>
                <w:color w:val="auto"/>
              </w:rPr>
            </w:pPr>
            <w:r>
              <w:rPr>
                <w:rFonts w:ascii="Arial" w:cs="Arial" w:eastAsia="Arial" w:hAnsi="Arial"/>
                <w:sz w:val="14"/>
                <w:szCs w:val="14"/>
                <w:b w:val="1"/>
                <w:bCs w:val="1"/>
                <w:color w:val="auto"/>
                <w:w w:val="89"/>
              </w:rPr>
              <w:t>Related Costs</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w w:val="93"/>
              </w:rPr>
              <w:t>Earnings</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35"/>
              <w:spacing w:after="0"/>
              <w:rPr>
                <w:sz w:val="20"/>
                <w:szCs w:val="20"/>
                <w:color w:val="auto"/>
              </w:rPr>
            </w:pPr>
            <w:r>
              <w:rPr>
                <w:rFonts w:ascii="Arial" w:cs="Arial" w:eastAsia="Arial" w:hAnsi="Arial"/>
                <w:sz w:val="14"/>
                <w:szCs w:val="14"/>
                <w:b w:val="1"/>
                <w:bCs w:val="1"/>
                <w:color w:val="auto"/>
                <w:w w:val="89"/>
              </w:rPr>
              <w:t>Related Costs</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Earnings</w:t>
            </w:r>
          </w:p>
        </w:tc>
        <w:tc>
          <w:tcPr>
            <w:tcW w:w="0" w:type="dxa"/>
            <w:vAlign w:val="bottom"/>
          </w:tcPr>
          <w:p>
            <w:pPr>
              <w:spacing w:after="0"/>
              <w:rPr>
                <w:sz w:val="1"/>
                <w:szCs w:val="1"/>
                <w:color w:val="auto"/>
              </w:rPr>
            </w:pPr>
          </w:p>
        </w:tc>
      </w:tr>
      <w:tr>
        <w:trPr>
          <w:trHeight w:val="250"/>
        </w:trPr>
        <w:tc>
          <w:tcPr>
            <w:tcW w:w="25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Permian Basin region</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15</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134</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43"/>
        </w:trPr>
        <w:tc>
          <w:tcPr>
            <w:tcW w:w="2540" w:type="dxa"/>
            <w:vAlign w:val="bottom"/>
            <w:gridSpan w:val="2"/>
          </w:tcPr>
          <w:p>
            <w:pPr>
              <w:ind w:left="20"/>
              <w:spacing w:after="0"/>
              <w:rPr>
                <w:sz w:val="20"/>
                <w:szCs w:val="20"/>
                <w:color w:val="auto"/>
              </w:rPr>
            </w:pPr>
            <w:r>
              <w:rPr>
                <w:rFonts w:ascii="Arial" w:cs="Arial" w:eastAsia="Arial" w:hAnsi="Arial"/>
                <w:sz w:val="18"/>
                <w:szCs w:val="18"/>
                <w:color w:val="auto"/>
                <w:w w:val="96"/>
              </w:rPr>
              <w:t>South Texas / Eagle Ford region</w:t>
            </w:r>
          </w:p>
        </w:tc>
        <w:tc>
          <w:tcPr>
            <w:tcW w:w="1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840" w:type="dxa"/>
            <w:vAlign w:val="bottom"/>
          </w:tcPr>
          <w:p>
            <w:pPr>
              <w:jc w:val="right"/>
              <w:ind w:right="14"/>
              <w:spacing w:after="0"/>
              <w:rPr>
                <w:sz w:val="20"/>
                <w:szCs w:val="20"/>
                <w:color w:val="auto"/>
              </w:rPr>
            </w:pPr>
            <w:r>
              <w:rPr>
                <w:rFonts w:ascii="Arial" w:cs="Arial" w:eastAsia="Arial" w:hAnsi="Arial"/>
                <w:sz w:val="18"/>
                <w:szCs w:val="18"/>
                <w:color w:val="auto"/>
              </w:rPr>
              <w:t>8</w:t>
            </w:r>
          </w:p>
        </w:tc>
        <w:tc>
          <w:tcPr>
            <w:tcW w:w="120" w:type="dxa"/>
            <w:vAlign w:val="bottom"/>
            <w:tcBorders>
              <w:right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900" w:type="dxa"/>
            <w:vAlign w:val="bottom"/>
          </w:tcPr>
          <w:p>
            <w:pPr>
              <w:jc w:val="right"/>
              <w:ind w:right="14"/>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7"/>
        </w:trPr>
        <w:tc>
          <w:tcPr>
            <w:tcW w:w="2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5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Central region</w:t>
            </w:r>
          </w:p>
        </w:tc>
        <w:tc>
          <w:tcPr>
            <w:tcW w:w="1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43"/>
        </w:trPr>
        <w:tc>
          <w:tcPr>
            <w:tcW w:w="2540" w:type="dxa"/>
            <w:vAlign w:val="bottom"/>
            <w:gridSpan w:val="2"/>
          </w:tcPr>
          <w:p>
            <w:pPr>
              <w:ind w:left="20"/>
              <w:spacing w:after="0"/>
              <w:rPr>
                <w:sz w:val="20"/>
                <w:szCs w:val="20"/>
                <w:color w:val="auto"/>
              </w:rPr>
            </w:pPr>
            <w:r>
              <w:rPr>
                <w:rFonts w:ascii="Arial" w:cs="Arial" w:eastAsia="Arial" w:hAnsi="Arial"/>
                <w:sz w:val="18"/>
                <w:szCs w:val="18"/>
                <w:color w:val="auto"/>
              </w:rPr>
              <w:t>Gulf Coast region</w:t>
            </w:r>
          </w:p>
        </w:tc>
        <w:tc>
          <w:tcPr>
            <w:tcW w:w="1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960" w:type="dxa"/>
            <w:vAlign w:val="bottom"/>
            <w:tcBorders>
              <w:right w:val="single" w:sz="8" w:color="auto"/>
            </w:tcBorders>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90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5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Rocky Mountain region</w:t>
            </w:r>
          </w:p>
        </w:tc>
        <w:tc>
          <w:tcPr>
            <w:tcW w:w="1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9"/>
        </w:trPr>
        <w:tc>
          <w:tcPr>
            <w:tcW w:w="2540" w:type="dxa"/>
            <w:vAlign w:val="bottom"/>
            <w:gridSpan w:val="2"/>
          </w:tcPr>
          <w:p>
            <w:pPr>
              <w:ind w:left="20"/>
              <w:spacing w:after="0"/>
              <w:rPr>
                <w:sz w:val="20"/>
                <w:szCs w:val="20"/>
                <w:color w:val="auto"/>
              </w:rPr>
            </w:pPr>
            <w:r>
              <w:rPr>
                <w:rFonts w:ascii="Arial" w:cs="Arial" w:eastAsia="Arial" w:hAnsi="Arial"/>
                <w:sz w:val="18"/>
                <w:szCs w:val="18"/>
                <w:color w:val="auto"/>
              </w:rPr>
              <w:t>Other (including trucking and</w:t>
            </w:r>
          </w:p>
        </w:tc>
        <w:tc>
          <w:tcPr>
            <w:tcW w:w="1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540" w:type="dxa"/>
            <w:vAlign w:val="bottom"/>
            <w:gridSpan w:val="2"/>
          </w:tcPr>
          <w:p>
            <w:pPr>
              <w:ind w:left="180"/>
              <w:spacing w:after="0"/>
              <w:rPr>
                <w:sz w:val="20"/>
                <w:szCs w:val="20"/>
                <w:color w:val="auto"/>
              </w:rPr>
            </w:pPr>
            <w:r>
              <w:rPr>
                <w:rFonts w:ascii="Arial" w:cs="Arial" w:eastAsia="Arial" w:hAnsi="Arial"/>
                <w:sz w:val="18"/>
                <w:szCs w:val="18"/>
                <w:color w:val="auto"/>
              </w:rPr>
              <w:t>pipeline loss allowance</w:t>
            </w: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540" w:type="dxa"/>
            <w:vAlign w:val="bottom"/>
            <w:gridSpan w:val="2"/>
          </w:tcPr>
          <w:p>
            <w:pPr>
              <w:ind w:left="180"/>
              <w:spacing w:after="0"/>
              <w:rPr>
                <w:sz w:val="20"/>
                <w:szCs w:val="20"/>
                <w:color w:val="auto"/>
              </w:rPr>
            </w:pPr>
            <w:r>
              <w:rPr>
                <w:rFonts w:ascii="Arial" w:cs="Arial" w:eastAsia="Arial" w:hAnsi="Arial"/>
                <w:sz w:val="18"/>
                <w:szCs w:val="18"/>
                <w:color w:val="auto"/>
              </w:rPr>
              <w:t>revenue)</w:t>
            </w:r>
          </w:p>
        </w:tc>
        <w:tc>
          <w:tcPr>
            <w:tcW w:w="1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w:t>
            </w:r>
          </w:p>
        </w:tc>
        <w:tc>
          <w:tcPr>
            <w:tcW w:w="120" w:type="dxa"/>
            <w:vAlign w:val="bottom"/>
            <w:tcBorders>
              <w:right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21</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7"/>
        </w:trPr>
        <w:tc>
          <w:tcPr>
            <w:tcW w:w="24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right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25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Total variance</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28</w:t>
            </w:r>
          </w:p>
        </w:tc>
        <w:tc>
          <w:tcPr>
            <w:tcW w:w="120" w:type="dxa"/>
            <w:vAlign w:val="bottom"/>
            <w:tcBorders>
              <w:bottom w:val="single" w:sz="8" w:color="CCEEFF"/>
              <w:right w:val="single" w:sz="8" w:color="auto"/>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0"/>
        </w:trPr>
        <w:tc>
          <w:tcPr>
            <w:tcW w:w="2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980" w:hanging="324"/>
        <w:spacing w:after="0" w:line="255" w:lineRule="auto"/>
        <w:tabs>
          <w:tab w:leader="none" w:pos="980" w:val="left"/>
        </w:tabs>
        <w:numPr>
          <w:ilvl w:val="0"/>
          <w:numId w:val="36"/>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Permian Basin region. </w:t>
      </w:r>
      <w:r>
        <w:rPr>
          <w:rFonts w:ascii="Arial" w:cs="Arial" w:eastAsia="Arial" w:hAnsi="Arial"/>
          <w:sz w:val="18"/>
          <w:szCs w:val="18"/>
          <w:color w:val="auto"/>
        </w:rPr>
        <w:t>Total revenues, net of purchases and related costs, and equity earnings in unconsolidated entities increased by</w:t>
      </w:r>
      <w:r>
        <w:rPr>
          <w:rFonts w:ascii="Arial" w:cs="Arial" w:eastAsia="Arial" w:hAnsi="Arial"/>
          <w:sz w:val="18"/>
          <w:szCs w:val="18"/>
          <w:i w:val="1"/>
          <w:iCs w:val="1"/>
          <w:color w:val="auto"/>
        </w:rPr>
        <w:t xml:space="preserve"> </w:t>
      </w:r>
      <w:r>
        <w:rPr>
          <w:rFonts w:ascii="Arial" w:cs="Arial" w:eastAsia="Arial" w:hAnsi="Arial"/>
          <w:sz w:val="18"/>
          <w:szCs w:val="18"/>
          <w:color w:val="auto"/>
        </w:rPr>
        <w:t>approximately $57 million and $112 million, respectively, for the three and six month comparative periods primarily due to higher volumes from increased production and our recently completed capital expansion projects. For the three and six months ended June 30, 2018, these increases included (i) higher volumes of approximately 360,000 and 333,000 barrels per day, respectively, on our gathering systems, including our ACC system acquired in February 2017, (ii) higher volumes of approximately 424,000 and 367,000 barrels per day, respectively, on our intra-basin pipelines and (iii) a volume increase of approximately 189,000 and 175,000 barrels per day, respectively, on our long-haul pipelines, including our 50% equity interest in BridgeTex.</w:t>
      </w:r>
    </w:p>
    <w:p>
      <w:pPr>
        <w:spacing w:after="0" w:line="189" w:lineRule="exact"/>
        <w:rPr>
          <w:rFonts w:ascii="Arial" w:cs="Arial" w:eastAsia="Arial" w:hAnsi="Arial"/>
          <w:sz w:val="18"/>
          <w:szCs w:val="18"/>
          <w:i w:val="1"/>
          <w:iCs w:val="1"/>
          <w:color w:val="auto"/>
        </w:rPr>
      </w:pPr>
    </w:p>
    <w:p>
      <w:pPr>
        <w:ind w:left="980" w:right="460" w:hanging="324"/>
        <w:spacing w:after="0" w:line="277" w:lineRule="auto"/>
        <w:tabs>
          <w:tab w:leader="none" w:pos="980" w:val="left"/>
        </w:tabs>
        <w:numPr>
          <w:ilvl w:val="0"/>
          <w:numId w:val="36"/>
        </w:numPr>
        <w:rPr>
          <w:rFonts w:ascii="Arial" w:cs="Arial" w:eastAsia="Arial" w:hAnsi="Arial"/>
          <w:sz w:val="18"/>
          <w:szCs w:val="18"/>
          <w:color w:val="auto"/>
        </w:rPr>
      </w:pPr>
      <w:r>
        <w:rPr>
          <w:rFonts w:ascii="Arial" w:cs="Arial" w:eastAsia="Arial" w:hAnsi="Arial"/>
          <w:sz w:val="18"/>
          <w:szCs w:val="18"/>
          <w:i w:val="1"/>
          <w:iCs w:val="1"/>
          <w:color w:val="auto"/>
        </w:rPr>
        <w:t xml:space="preserve">South Texas / Eagle Ford region. </w:t>
      </w:r>
      <w:r>
        <w:rPr>
          <w:rFonts w:ascii="Arial" w:cs="Arial" w:eastAsia="Arial" w:hAnsi="Arial"/>
          <w:sz w:val="18"/>
          <w:szCs w:val="18"/>
          <w:color w:val="auto"/>
        </w:rPr>
        <w:t>Equity earnings from our 50% interest in Eagle Ford Pipeline LLC increased for each of the comparative</w:t>
      </w:r>
      <w:r>
        <w:rPr>
          <w:rFonts w:ascii="Arial" w:cs="Arial" w:eastAsia="Arial" w:hAnsi="Arial"/>
          <w:sz w:val="18"/>
          <w:szCs w:val="18"/>
          <w:i w:val="1"/>
          <w:iCs w:val="1"/>
          <w:color w:val="auto"/>
        </w:rPr>
        <w:t xml:space="preserve"> </w:t>
      </w:r>
      <w:r>
        <w:rPr>
          <w:rFonts w:ascii="Arial" w:cs="Arial" w:eastAsia="Arial" w:hAnsi="Arial"/>
          <w:sz w:val="18"/>
          <w:szCs w:val="18"/>
          <w:color w:val="auto"/>
        </w:rPr>
        <w:t>periods presented primarily due to higher volumes from our Cactus pipeline.</w:t>
      </w:r>
    </w:p>
    <w:p>
      <w:pPr>
        <w:spacing w:after="0" w:line="170" w:lineRule="exact"/>
        <w:rPr>
          <w:rFonts w:ascii="Arial" w:cs="Arial" w:eastAsia="Arial" w:hAnsi="Arial"/>
          <w:sz w:val="18"/>
          <w:szCs w:val="18"/>
          <w:color w:val="auto"/>
        </w:rPr>
      </w:pPr>
    </w:p>
    <w:p>
      <w:pPr>
        <w:ind w:left="980" w:right="40" w:hanging="324"/>
        <w:spacing w:after="0" w:line="264" w:lineRule="auto"/>
        <w:tabs>
          <w:tab w:leader="none" w:pos="980" w:val="left"/>
        </w:tabs>
        <w:numPr>
          <w:ilvl w:val="0"/>
          <w:numId w:val="36"/>
        </w:numPr>
        <w:rPr>
          <w:rFonts w:ascii="Arial" w:cs="Arial" w:eastAsia="Arial" w:hAnsi="Arial"/>
          <w:sz w:val="18"/>
          <w:szCs w:val="18"/>
          <w:color w:val="auto"/>
        </w:rPr>
      </w:pPr>
      <w:r>
        <w:rPr>
          <w:rFonts w:ascii="Arial" w:cs="Arial" w:eastAsia="Arial" w:hAnsi="Arial"/>
          <w:sz w:val="18"/>
          <w:szCs w:val="18"/>
          <w:i w:val="1"/>
          <w:iCs w:val="1"/>
          <w:color w:val="auto"/>
        </w:rPr>
        <w:t xml:space="preserve">Central region. </w:t>
      </w:r>
      <w:r>
        <w:rPr>
          <w:rFonts w:ascii="Arial" w:cs="Arial" w:eastAsia="Arial" w:hAnsi="Arial"/>
          <w:sz w:val="18"/>
          <w:szCs w:val="18"/>
          <w:color w:val="auto"/>
        </w:rPr>
        <w:t>The decrease in revenues for each of the comparative periods was primarily due to the sale of certain of our Mid-Continent Area</w:t>
      </w:r>
      <w:r>
        <w:rPr>
          <w:rFonts w:ascii="Arial" w:cs="Arial" w:eastAsia="Arial" w:hAnsi="Arial"/>
          <w:sz w:val="18"/>
          <w:szCs w:val="18"/>
          <w:i w:val="1"/>
          <w:iCs w:val="1"/>
          <w:color w:val="auto"/>
        </w:rPr>
        <w:t xml:space="preserve"> </w:t>
      </w:r>
      <w:r>
        <w:rPr>
          <w:rFonts w:ascii="Arial" w:cs="Arial" w:eastAsia="Arial" w:hAnsi="Arial"/>
          <w:sz w:val="18"/>
          <w:szCs w:val="18"/>
          <w:color w:val="auto"/>
        </w:rPr>
        <w:t>System assets in the fourth quarter of 2017, including the sale of a portion of our interest in our Midway pipeline for which our remaining interest is now accounted for under the equity method of accounting.</w:t>
      </w:r>
    </w:p>
    <w:p>
      <w:pPr>
        <w:spacing w:after="0" w:line="181" w:lineRule="exact"/>
        <w:rPr>
          <w:rFonts w:ascii="Arial" w:cs="Arial" w:eastAsia="Arial" w:hAnsi="Arial"/>
          <w:sz w:val="18"/>
          <w:szCs w:val="18"/>
          <w:color w:val="auto"/>
        </w:rPr>
      </w:pPr>
    </w:p>
    <w:p>
      <w:pPr>
        <w:ind w:left="980" w:right="20"/>
        <w:spacing w:after="0" w:line="264" w:lineRule="auto"/>
        <w:rPr>
          <w:rFonts w:ascii="Arial" w:cs="Arial" w:eastAsia="Arial" w:hAnsi="Arial"/>
          <w:sz w:val="18"/>
          <w:szCs w:val="18"/>
          <w:color w:val="auto"/>
        </w:rPr>
      </w:pPr>
      <w:r>
        <w:rPr>
          <w:rFonts w:ascii="Arial" w:cs="Arial" w:eastAsia="Arial" w:hAnsi="Arial"/>
          <w:sz w:val="18"/>
          <w:szCs w:val="18"/>
          <w:color w:val="auto"/>
        </w:rPr>
        <w:t>Equity earnings increased for each of the comparative periods from (i) our 50% interest in the Diamond joint venture pipeline, which was placed in service in late 2017, and (ii) our 50% interest in Midway pipeline, which we now account for under the equity method of accounting following the sale of a portion of our interest in the pipeline in the fourth quarter of 2017, as discussed above.</w:t>
      </w:r>
    </w:p>
    <w:p>
      <w:pPr>
        <w:spacing w:after="0" w:line="181" w:lineRule="exact"/>
        <w:rPr>
          <w:rFonts w:ascii="Arial" w:cs="Arial" w:eastAsia="Arial" w:hAnsi="Arial"/>
          <w:sz w:val="18"/>
          <w:szCs w:val="18"/>
          <w:color w:val="auto"/>
        </w:rPr>
      </w:pPr>
    </w:p>
    <w:p>
      <w:pPr>
        <w:ind w:left="980" w:right="200" w:hanging="324"/>
        <w:spacing w:after="0" w:line="308" w:lineRule="auto"/>
        <w:tabs>
          <w:tab w:leader="none" w:pos="980" w:val="left"/>
        </w:tabs>
        <w:numPr>
          <w:ilvl w:val="0"/>
          <w:numId w:val="36"/>
        </w:numPr>
        <w:rPr>
          <w:rFonts w:ascii="Arial" w:cs="Arial" w:eastAsia="Arial" w:hAnsi="Arial"/>
          <w:sz w:val="17"/>
          <w:szCs w:val="17"/>
          <w:color w:val="auto"/>
        </w:rPr>
      </w:pPr>
      <w:r>
        <w:rPr>
          <w:rFonts w:ascii="Arial" w:cs="Arial" w:eastAsia="Arial" w:hAnsi="Arial"/>
          <w:sz w:val="17"/>
          <w:szCs w:val="17"/>
          <w:i w:val="1"/>
          <w:iCs w:val="1"/>
          <w:color w:val="auto"/>
        </w:rPr>
        <w:t xml:space="preserve">Gulf Coast Region. </w:t>
      </w:r>
      <w:r>
        <w:rPr>
          <w:rFonts w:ascii="Arial" w:cs="Arial" w:eastAsia="Arial" w:hAnsi="Arial"/>
          <w:sz w:val="17"/>
          <w:szCs w:val="17"/>
          <w:color w:val="auto"/>
        </w:rPr>
        <w:t>The decrease in revenues for each of the comparative periods was primarily due to lower volumes on the Capline pipeline,</w:t>
      </w:r>
      <w:r>
        <w:rPr>
          <w:rFonts w:ascii="Arial" w:cs="Arial" w:eastAsia="Arial" w:hAnsi="Arial"/>
          <w:sz w:val="17"/>
          <w:szCs w:val="17"/>
          <w:i w:val="1"/>
          <w:iCs w:val="1"/>
          <w:color w:val="auto"/>
        </w:rPr>
        <w:t xml:space="preserve"> </w:t>
      </w:r>
      <w:r>
        <w:rPr>
          <w:rFonts w:ascii="Arial" w:cs="Arial" w:eastAsia="Arial" w:hAnsi="Arial"/>
          <w:sz w:val="17"/>
          <w:szCs w:val="17"/>
          <w:color w:val="auto"/>
        </w:rPr>
        <w:t>resulting from the movement of volumes to the Diamond joint venture pipeline, which was placed in service in late 2017.</w:t>
      </w:r>
    </w:p>
    <w:p>
      <w:pPr>
        <w:spacing w:after="0" w:line="146" w:lineRule="exact"/>
        <w:rPr>
          <w:rFonts w:ascii="Arial" w:cs="Arial" w:eastAsia="Arial" w:hAnsi="Arial"/>
          <w:sz w:val="17"/>
          <w:szCs w:val="17"/>
          <w:color w:val="auto"/>
        </w:rPr>
      </w:pPr>
    </w:p>
    <w:p>
      <w:pPr>
        <w:ind w:left="980" w:right="340" w:hanging="324"/>
        <w:spacing w:after="0" w:line="277" w:lineRule="auto"/>
        <w:tabs>
          <w:tab w:leader="none" w:pos="980" w:val="left"/>
        </w:tabs>
        <w:numPr>
          <w:ilvl w:val="0"/>
          <w:numId w:val="36"/>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Rocky Mountain Region. </w:t>
      </w:r>
      <w:r>
        <w:rPr>
          <w:rFonts w:ascii="Arial" w:cs="Arial" w:eastAsia="Arial" w:hAnsi="Arial"/>
          <w:sz w:val="18"/>
          <w:szCs w:val="18"/>
          <w:color w:val="auto"/>
        </w:rPr>
        <w:t>The decrease in revenues for each of the comparative periods was primarily due to the sale of certain pipelines and</w:t>
      </w:r>
      <w:r>
        <w:rPr>
          <w:rFonts w:ascii="Arial" w:cs="Arial" w:eastAsia="Arial" w:hAnsi="Arial"/>
          <w:sz w:val="18"/>
          <w:szCs w:val="18"/>
          <w:i w:val="1"/>
          <w:iCs w:val="1"/>
          <w:color w:val="auto"/>
        </w:rPr>
        <w:t xml:space="preserve"> </w:t>
      </w:r>
      <w:r>
        <w:rPr>
          <w:rFonts w:ascii="Arial" w:cs="Arial" w:eastAsia="Arial" w:hAnsi="Arial"/>
          <w:sz w:val="18"/>
          <w:szCs w:val="18"/>
          <w:color w:val="auto"/>
        </w:rPr>
        <w:t>related assets in the fourth quarter of 2017 and the second quarter of 2018.</w:t>
      </w:r>
    </w:p>
    <w:p>
      <w:pPr>
        <w:spacing w:after="0" w:line="170" w:lineRule="exact"/>
        <w:rPr>
          <w:rFonts w:ascii="Arial" w:cs="Arial" w:eastAsia="Arial" w:hAnsi="Arial"/>
          <w:sz w:val="18"/>
          <w:szCs w:val="18"/>
          <w:i w:val="1"/>
          <w:iCs w:val="1"/>
          <w:color w:val="auto"/>
        </w:rPr>
      </w:pPr>
    </w:p>
    <w:p>
      <w:pPr>
        <w:ind w:left="980" w:right="80" w:hanging="324"/>
        <w:spacing w:after="0" w:line="259" w:lineRule="auto"/>
        <w:tabs>
          <w:tab w:leader="none" w:pos="980" w:val="left"/>
        </w:tabs>
        <w:numPr>
          <w:ilvl w:val="0"/>
          <w:numId w:val="36"/>
        </w:numPr>
        <w:rPr>
          <w:rFonts w:ascii="Arial" w:cs="Arial" w:eastAsia="Arial" w:hAnsi="Arial"/>
          <w:sz w:val="18"/>
          <w:szCs w:val="18"/>
          <w:color w:val="auto"/>
        </w:rPr>
      </w:pPr>
      <w:r>
        <w:rPr>
          <w:rFonts w:ascii="Arial" w:cs="Arial" w:eastAsia="Arial" w:hAnsi="Arial"/>
          <w:sz w:val="18"/>
          <w:szCs w:val="18"/>
          <w:i w:val="1"/>
          <w:iCs w:val="1"/>
          <w:color w:val="auto"/>
        </w:rPr>
        <w:t xml:space="preserve">Other. </w:t>
      </w:r>
      <w:r>
        <w:rPr>
          <w:rFonts w:ascii="Arial" w:cs="Arial" w:eastAsia="Arial" w:hAnsi="Arial"/>
          <w:sz w:val="18"/>
          <w:szCs w:val="18"/>
          <w:color w:val="auto"/>
        </w:rPr>
        <w:t>The increase in other revenue for each of the comparative periods was primarily due to greater pipeline loss allowance revenue driven by</w:t>
      </w:r>
      <w:r>
        <w:rPr>
          <w:rFonts w:ascii="Arial" w:cs="Arial" w:eastAsia="Arial" w:hAnsi="Arial"/>
          <w:sz w:val="18"/>
          <w:szCs w:val="18"/>
          <w:i w:val="1"/>
          <w:iCs w:val="1"/>
          <w:color w:val="auto"/>
        </w:rPr>
        <w:t xml:space="preserve"> </w:t>
      </w:r>
      <w:r>
        <w:rPr>
          <w:rFonts w:ascii="Arial" w:cs="Arial" w:eastAsia="Arial" w:hAnsi="Arial"/>
          <w:sz w:val="18"/>
          <w:szCs w:val="18"/>
          <w:color w:val="auto"/>
        </w:rPr>
        <w:t>higher volumes in the 2018 periods. The impact on revenues from the decrease in volumes on our Canadian crude oil pipelines for the comparative periods was partially offset by increased tariff rates on certain of our Canadian crude oil pipelines as well as favorable foreign exchange impacts.</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125" w:right="239" w:bottom="1440" w:gutter="0" w:footer="0" w:header="0"/>
        </w:sectPr>
      </w:pPr>
    </w:p>
    <w:bookmarkStart w:id="48" w:name="page49"/>
    <w:bookmarkEnd w:id="4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i w:val="1"/>
          <w:iCs w:val="1"/>
          <w:color w:val="auto"/>
        </w:rPr>
        <w:t>Adjustments: Deficiencies under minimum volume commitments, net</w:t>
      </w:r>
      <w:r>
        <w:rPr>
          <w:rFonts w:ascii="Arial" w:cs="Arial" w:eastAsia="Arial" w:hAnsi="Arial"/>
          <w:sz w:val="18"/>
          <w:szCs w:val="18"/>
          <w:color w:val="auto"/>
        </w:rPr>
        <w:t>. Many industry infrastructure projects developed and completed over the last</w:t>
      </w:r>
      <w:r>
        <w:rPr>
          <w:rFonts w:ascii="Arial" w:cs="Arial" w:eastAsia="Arial" w:hAnsi="Arial"/>
          <w:sz w:val="18"/>
          <w:szCs w:val="18"/>
          <w:i w:val="1"/>
          <w:iCs w:val="1"/>
          <w:color w:val="auto"/>
        </w:rPr>
        <w:t xml:space="preserve"> </w:t>
      </w:r>
      <w:r>
        <w:rPr>
          <w:rFonts w:ascii="Arial" w:cs="Arial" w:eastAsia="Arial" w:hAnsi="Arial"/>
          <w:sz w:val="18"/>
          <w:szCs w:val="18"/>
          <w:color w:val="auto"/>
        </w:rPr>
        <w:t>several years were underpinned by long-term minimum volume commitment contracts whereby the shipper, based on an expectation of continued production growth, agreed to either: (i) ship and pay for certain stated volumes or (ii) pay the agreed upon price for a minimum contract quantity. During the 2018 periods presented in the table above, we had net collections for deficiencies under minimum volume commitments resulting in deferred revenues and an increase to Segment Adjusted EBITDA. In the 2017 periods, (i) shippers utilized credits associated with previous deficiencies or (ii) credits expired resulting in the recognition of previously deferred revenue, which were partially offset by collections for deficiencies under minimum volume commitments resulting in a net decrease to segment adjusted EBITDA.</w:t>
      </w:r>
    </w:p>
    <w:p>
      <w:pPr>
        <w:spacing w:after="0" w:line="189" w:lineRule="exact"/>
        <w:rPr>
          <w:sz w:val="20"/>
          <w:szCs w:val="20"/>
          <w:color w:val="auto"/>
        </w:rPr>
      </w:pPr>
    </w:p>
    <w:p>
      <w:pPr>
        <w:ind w:right="60" w:firstLine="648"/>
        <w:spacing w:after="0" w:line="272" w:lineRule="auto"/>
        <w:rPr>
          <w:sz w:val="20"/>
          <w:szCs w:val="20"/>
          <w:color w:val="auto"/>
        </w:rPr>
      </w:pPr>
      <w:r>
        <w:rPr>
          <w:rFonts w:ascii="Arial" w:cs="Arial" w:eastAsia="Arial" w:hAnsi="Arial"/>
          <w:sz w:val="17"/>
          <w:szCs w:val="17"/>
          <w:i w:val="1"/>
          <w:iCs w:val="1"/>
          <w:color w:val="auto"/>
        </w:rPr>
        <w:t xml:space="preserve">Field Operating Costs. </w:t>
      </w:r>
      <w:r>
        <w:rPr>
          <w:rFonts w:ascii="Arial" w:cs="Arial" w:eastAsia="Arial" w:hAnsi="Arial"/>
          <w:sz w:val="17"/>
          <w:szCs w:val="17"/>
          <w:color w:val="auto"/>
        </w:rPr>
        <w:t>Field operating costs for the three and six months ended June 30, 2018 compared to the three and six months ended June 30,</w:t>
      </w:r>
      <w:r>
        <w:rPr>
          <w:rFonts w:ascii="Arial" w:cs="Arial" w:eastAsia="Arial" w:hAnsi="Arial"/>
          <w:sz w:val="17"/>
          <w:szCs w:val="17"/>
          <w:i w:val="1"/>
          <w:iCs w:val="1"/>
          <w:color w:val="auto"/>
        </w:rPr>
        <w:t xml:space="preserve"> </w:t>
      </w:r>
      <w:r>
        <w:rPr>
          <w:rFonts w:ascii="Arial" w:cs="Arial" w:eastAsia="Arial" w:hAnsi="Arial"/>
          <w:sz w:val="17"/>
          <w:szCs w:val="17"/>
          <w:color w:val="auto"/>
        </w:rPr>
        <w:t>2017 were impacted by an increase in power costs resulting from higher volumes, and increases in compensation costs, which were fully offset in the three-month comparative period and partially offset in the six-month comparative period by the impact of an increase of estimated costs recognized in the second quarter of 2017 associated with the Line 901 incident (which impact our field operating costs but are excluded from segment adjusted EBITDA and thus are reflected as an “Adjustment” in the table above) as well as the sale of assets in the Rocky Mountain region in the fourth quarter of 2017 and the second quarter of 2018. To a much lesser extent, the increase for the six-month period ended June 30, 2018 was also due to a full period of operations from the ACC gathering system acquired in February 2017.</w:t>
      </w:r>
    </w:p>
    <w:p>
      <w:pPr>
        <w:spacing w:after="0" w:line="178"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i w:val="1"/>
          <w:iCs w:val="1"/>
          <w:color w:val="auto"/>
        </w:rPr>
        <w:t xml:space="preserve">Segment General and Administrative Expenses. </w:t>
      </w:r>
      <w:r>
        <w:rPr>
          <w:rFonts w:ascii="Arial" w:cs="Arial" w:eastAsia="Arial" w:hAnsi="Arial"/>
          <w:sz w:val="18"/>
          <w:szCs w:val="18"/>
          <w:color w:val="auto"/>
        </w:rPr>
        <w:t>The increase in segment general and administrative expenses for the three and six months ended</w:t>
      </w:r>
      <w:r>
        <w:rPr>
          <w:rFonts w:ascii="Arial" w:cs="Arial" w:eastAsia="Arial" w:hAnsi="Arial"/>
          <w:sz w:val="18"/>
          <w:szCs w:val="18"/>
          <w:i w:val="1"/>
          <w:iCs w:val="1"/>
          <w:color w:val="auto"/>
        </w:rPr>
        <w:t xml:space="preserve"> </w:t>
      </w:r>
      <w:r>
        <w:rPr>
          <w:rFonts w:ascii="Arial" w:cs="Arial" w:eastAsia="Arial" w:hAnsi="Arial"/>
          <w:sz w:val="18"/>
          <w:szCs w:val="18"/>
          <w:color w:val="auto"/>
        </w:rPr>
        <w:t>June 30, 2018 compared to the three and six months ended June 30, 2017 was primarily driven by an increase in equity-indexed compensation expense due to the impact of an increase in PAA unit price for the 2018 periods compared to a decrease in PAA unit price for the 2017 periods. The increase for the six-month comparative period was partially offset by acquisition costs incurred in the 2017 period related to the ACC gathering system acquisition (which impact our segment general and administrative expenses but are excluded from segment adjusted EBITDA and thus are reflected as an “Adjustment” in the table above).</w:t>
      </w:r>
    </w:p>
    <w:p>
      <w:pPr>
        <w:spacing w:after="0" w:line="193" w:lineRule="exact"/>
        <w:rPr>
          <w:sz w:val="20"/>
          <w:szCs w:val="20"/>
          <w:color w:val="auto"/>
        </w:rPr>
      </w:pPr>
    </w:p>
    <w:p>
      <w:pPr>
        <w:ind w:right="60" w:firstLine="648"/>
        <w:spacing w:after="0" w:line="286" w:lineRule="auto"/>
        <w:rPr>
          <w:sz w:val="20"/>
          <w:szCs w:val="20"/>
          <w:color w:val="auto"/>
        </w:rPr>
      </w:pPr>
      <w:r>
        <w:rPr>
          <w:rFonts w:ascii="Arial" w:cs="Arial" w:eastAsia="Arial" w:hAnsi="Arial"/>
          <w:sz w:val="17"/>
          <w:szCs w:val="17"/>
          <w:i w:val="1"/>
          <w:iCs w:val="1"/>
          <w:color w:val="auto"/>
        </w:rPr>
        <w:t xml:space="preserve">Maintenance Capital. </w:t>
      </w:r>
      <w:r>
        <w:rPr>
          <w:rFonts w:ascii="Arial" w:cs="Arial" w:eastAsia="Arial" w:hAnsi="Arial"/>
          <w:sz w:val="17"/>
          <w:szCs w:val="17"/>
          <w:color w:val="auto"/>
        </w:rPr>
        <w:t>Maintenance capital consists of capital expenditures for the replacement and/or refurbishment of partially or fully depreciated</w:t>
      </w:r>
      <w:r>
        <w:rPr>
          <w:rFonts w:ascii="Arial" w:cs="Arial" w:eastAsia="Arial" w:hAnsi="Arial"/>
          <w:sz w:val="17"/>
          <w:szCs w:val="17"/>
          <w:i w:val="1"/>
          <w:iCs w:val="1"/>
          <w:color w:val="auto"/>
        </w:rPr>
        <w:t xml:space="preserve"> </w:t>
      </w:r>
      <w:r>
        <w:rPr>
          <w:rFonts w:ascii="Arial" w:cs="Arial" w:eastAsia="Arial" w:hAnsi="Arial"/>
          <w:sz w:val="17"/>
          <w:szCs w:val="17"/>
          <w:color w:val="auto"/>
        </w:rPr>
        <w:t>assets in order to maintain the operating and/or earnings capacity of our existing assets. The increase in maintenance capital for the three and six months ended June 30, 2018 compared to the same periods in 2017 was primarily due to an operational tank replacement project.</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Facilities Segment</w:t>
      </w:r>
    </w:p>
    <w:p>
      <w:pPr>
        <w:spacing w:after="0" w:line="229" w:lineRule="exact"/>
        <w:rPr>
          <w:sz w:val="20"/>
          <w:szCs w:val="20"/>
          <w:color w:val="auto"/>
        </w:rPr>
      </w:pPr>
    </w:p>
    <w:p>
      <w:pPr>
        <w:jc w:val="both"/>
        <w:ind w:right="220" w:firstLine="648"/>
        <w:spacing w:after="0" w:line="312" w:lineRule="auto"/>
        <w:rPr>
          <w:sz w:val="20"/>
          <w:szCs w:val="20"/>
          <w:color w:val="auto"/>
        </w:rPr>
      </w:pPr>
      <w:r>
        <w:rPr>
          <w:rFonts w:ascii="Arial" w:cs="Arial" w:eastAsia="Arial" w:hAnsi="Arial"/>
          <w:sz w:val="16"/>
          <w:szCs w:val="16"/>
          <w:color w:val="auto"/>
        </w:rPr>
        <w:t>Our Facilities segment operations generally consist of fee-based activities associated with providing storage, terminalling and throughput services primarily for crude oil, NGL and natural gas, as well as NGL fractionation and isomerization services and natural gas and condensate processing services. The Facilities segment generates revenue through a combination of month-to-month and multi-year agreements and processing arrangements.</w:t>
      </w:r>
    </w:p>
    <w:p>
      <w:pPr>
        <w:spacing w:after="0" w:line="39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380"/>
          </w:cols>
          <w:pgMar w:left="240" w:top="125" w:right="279" w:bottom="1440" w:gutter="0" w:footer="0" w:header="0"/>
        </w:sectPr>
      </w:pPr>
    </w:p>
    <w:bookmarkStart w:id="49" w:name="page50"/>
    <w:bookmarkEnd w:id="4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tables set forth our operating results from our Facilities segment:</w:t>
      </w: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140" w:type="dxa"/>
            <w:vAlign w:val="bottom"/>
            <w:gridSpan w:val="4"/>
            <w:vMerge w:val="restart"/>
          </w:tcPr>
          <w:p>
            <w:pPr>
              <w:ind w:left="40"/>
              <w:spacing w:after="0"/>
              <w:rPr>
                <w:sz w:val="20"/>
                <w:szCs w:val="20"/>
                <w:color w:val="auto"/>
              </w:rPr>
            </w:pPr>
            <w:r>
              <w:rPr>
                <w:rFonts w:ascii="Arial" w:cs="Arial" w:eastAsia="Arial" w:hAnsi="Arial"/>
                <w:sz w:val="14"/>
                <w:szCs w:val="14"/>
                <w:b w:val="1"/>
                <w:bCs w:val="1"/>
                <w:color w:val="auto"/>
              </w:rPr>
              <w:t xml:space="preserve">Operating Results </w:t>
            </w:r>
            <w:r>
              <w:rPr>
                <w:rFonts w:ascii="Arial" w:cs="Arial" w:eastAsia="Arial" w:hAnsi="Arial"/>
                <w:sz w:val="12"/>
                <w:szCs w:val="12"/>
                <w:b w:val="1"/>
                <w:bCs w:val="1"/>
                <w:color w:val="auto"/>
              </w:rPr>
              <w:t>(1)</w:t>
            </w:r>
          </w:p>
        </w:tc>
        <w:tc>
          <w:tcPr>
            <w:tcW w:w="200" w:type="dxa"/>
            <w:vAlign w:val="bottom"/>
          </w:tcPr>
          <w:p>
            <w:pPr>
              <w:spacing w:after="0"/>
              <w:rPr>
                <w:sz w:val="14"/>
                <w:szCs w:val="14"/>
                <w:color w:val="auto"/>
              </w:rPr>
            </w:pPr>
          </w:p>
        </w:tc>
        <w:tc>
          <w:tcPr>
            <w:tcW w:w="1800" w:type="dxa"/>
            <w:vAlign w:val="bottom"/>
            <w:gridSpan w:val="9"/>
          </w:tcPr>
          <w:p>
            <w:pPr>
              <w:ind w:left="100"/>
              <w:spacing w:after="0"/>
              <w:rPr>
                <w:sz w:val="20"/>
                <w:szCs w:val="20"/>
                <w:color w:val="auto"/>
              </w:rPr>
            </w:pPr>
            <w:r>
              <w:rPr>
                <w:rFonts w:ascii="Arial" w:cs="Arial" w:eastAsia="Arial" w:hAnsi="Arial"/>
                <w:sz w:val="14"/>
                <w:szCs w:val="14"/>
                <w:b w:val="1"/>
                <w:bCs w:val="1"/>
                <w:color w:val="auto"/>
              </w:rPr>
              <w:t>Three Months Ended</w:t>
            </w:r>
          </w:p>
        </w:tc>
        <w:tc>
          <w:tcPr>
            <w:tcW w:w="140" w:type="dxa"/>
            <w:vAlign w:val="bottom"/>
          </w:tcPr>
          <w:p>
            <w:pPr>
              <w:spacing w:after="0"/>
              <w:rPr>
                <w:sz w:val="14"/>
                <w:szCs w:val="14"/>
                <w:color w:val="auto"/>
              </w:rPr>
            </w:pPr>
          </w:p>
        </w:tc>
        <w:tc>
          <w:tcPr>
            <w:tcW w:w="1220" w:type="dxa"/>
            <w:vAlign w:val="bottom"/>
            <w:gridSpan w:val="5"/>
            <w:vMerge w:val="restart"/>
          </w:tcPr>
          <w:p>
            <w:pPr>
              <w:ind w:left="620"/>
              <w:spacing w:after="0"/>
              <w:rPr>
                <w:sz w:val="20"/>
                <w:szCs w:val="20"/>
                <w:color w:val="auto"/>
              </w:rPr>
            </w:pPr>
            <w:r>
              <w:rPr>
                <w:rFonts w:ascii="Arial" w:cs="Arial" w:eastAsia="Arial" w:hAnsi="Arial"/>
                <w:sz w:val="14"/>
                <w:szCs w:val="14"/>
                <w:b w:val="1"/>
                <w:bCs w:val="1"/>
                <w:color w:val="auto"/>
                <w:w w:val="99"/>
              </w:rPr>
              <w:t>Variance</w:t>
            </w: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0" w:type="dxa"/>
            <w:vAlign w:val="bottom"/>
            <w:gridSpan w:val="7"/>
          </w:tcPr>
          <w:p>
            <w:pPr>
              <w:jc w:val="center"/>
              <w:ind w:right="300"/>
              <w:spacing w:after="0"/>
              <w:rPr>
                <w:sz w:val="20"/>
                <w:szCs w:val="20"/>
                <w:color w:val="auto"/>
              </w:rPr>
            </w:pPr>
            <w:r>
              <w:rPr>
                <w:rFonts w:ascii="Arial" w:cs="Arial" w:eastAsia="Arial" w:hAnsi="Arial"/>
                <w:sz w:val="14"/>
                <w:szCs w:val="14"/>
                <w:b w:val="1"/>
                <w:bCs w:val="1"/>
                <w:color w:val="auto"/>
                <w:w w:val="93"/>
              </w:rPr>
              <w:t>Six Months Ended</w:t>
            </w:r>
          </w:p>
        </w:tc>
        <w:tc>
          <w:tcPr>
            <w:tcW w:w="140" w:type="dxa"/>
            <w:vAlign w:val="bottom"/>
          </w:tcPr>
          <w:p>
            <w:pPr>
              <w:spacing w:after="0"/>
              <w:rPr>
                <w:sz w:val="14"/>
                <w:szCs w:val="14"/>
                <w:color w:val="auto"/>
              </w:rPr>
            </w:pPr>
          </w:p>
        </w:tc>
        <w:tc>
          <w:tcPr>
            <w:tcW w:w="1220" w:type="dxa"/>
            <w:vAlign w:val="bottom"/>
            <w:gridSpan w:val="3"/>
            <w:vMerge w:val="restart"/>
          </w:tcPr>
          <w:p>
            <w:pPr>
              <w:ind w:left="600"/>
              <w:spacing w:after="0"/>
              <w:rPr>
                <w:sz w:val="20"/>
                <w:szCs w:val="20"/>
                <w:color w:val="auto"/>
              </w:rPr>
            </w:pPr>
            <w:r>
              <w:rPr>
                <w:rFonts w:ascii="Arial" w:cs="Arial" w:eastAsia="Arial" w:hAnsi="Arial"/>
                <w:sz w:val="14"/>
                <w:szCs w:val="14"/>
                <w:b w:val="1"/>
                <w:bCs w:val="1"/>
                <w:color w:val="auto"/>
              </w:rPr>
              <w:t>Variance</w:t>
            </w: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3140" w:type="dxa"/>
            <w:vAlign w:val="bottom"/>
            <w:gridSpan w:val="4"/>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gridSpan w:val="5"/>
          </w:tcPr>
          <w:p>
            <w:pPr>
              <w:ind w:left="500"/>
              <w:spacing w:after="0"/>
              <w:rPr>
                <w:sz w:val="20"/>
                <w:szCs w:val="20"/>
                <w:color w:val="auto"/>
              </w:rPr>
            </w:pPr>
            <w:r>
              <w:rPr>
                <w:rFonts w:ascii="Arial" w:cs="Arial" w:eastAsia="Arial" w:hAnsi="Arial"/>
                <w:sz w:val="14"/>
                <w:szCs w:val="14"/>
                <w:b w:val="1"/>
                <w:bCs w:val="1"/>
                <w:color w:val="auto"/>
                <w:w w:val="92"/>
              </w:rPr>
              <w:t>June 30,</w:t>
            </w:r>
          </w:p>
        </w:tc>
        <w:tc>
          <w:tcPr>
            <w:tcW w:w="62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5"/>
            <w:vMerge w:val="continue"/>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gridSpan w:val="4"/>
          </w:tcPr>
          <w:p>
            <w:pPr>
              <w:jc w:val="center"/>
              <w:ind w:left="395"/>
              <w:spacing w:after="0"/>
              <w:rPr>
                <w:sz w:val="20"/>
                <w:szCs w:val="20"/>
                <w:color w:val="auto"/>
              </w:rPr>
            </w:pPr>
            <w:r>
              <w:rPr>
                <w:rFonts w:ascii="Arial" w:cs="Arial" w:eastAsia="Arial" w:hAnsi="Arial"/>
                <w:sz w:val="14"/>
                <w:szCs w:val="14"/>
                <w:b w:val="1"/>
                <w:bCs w:val="1"/>
                <w:color w:val="auto"/>
                <w:w w:val="92"/>
              </w:rPr>
              <w:t>June 30,</w:t>
            </w:r>
          </w:p>
        </w:tc>
        <w:tc>
          <w:tcPr>
            <w:tcW w:w="6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3"/>
            <w:vMerge w:val="continue"/>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304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(in millions, except per barrel data)</w:t>
            </w:r>
          </w:p>
        </w:tc>
        <w:tc>
          <w:tcPr>
            <w:tcW w:w="100" w:type="dxa"/>
            <w:vAlign w:val="bottom"/>
            <w:tcBorders>
              <w:bottom w:val="single" w:sz="8" w:color="CCEEFF"/>
            </w:tcBorders>
            <w:gridSpan w:val="2"/>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2018</w:t>
            </w:r>
          </w:p>
        </w:tc>
        <w:tc>
          <w:tcPr>
            <w:tcW w:w="40" w:type="dxa"/>
            <w:vAlign w:val="bottom"/>
            <w:tcBorders>
              <w:bottom w:val="single" w:sz="8" w:color="auto"/>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b w:val="1"/>
                <w:bCs w:val="1"/>
                <w:color w:val="auto"/>
              </w:rPr>
              <w:t>2017</w:t>
            </w:r>
          </w:p>
        </w:tc>
        <w:tc>
          <w:tcPr>
            <w:tcW w:w="40" w:type="dxa"/>
            <w:vAlign w:val="bottom"/>
            <w:tcBorders>
              <w:bottom w:val="single" w:sz="8" w:color="auto"/>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w:t>
            </w:r>
          </w:p>
        </w:tc>
        <w:tc>
          <w:tcPr>
            <w:tcW w:w="20" w:type="dxa"/>
            <w:vAlign w:val="bottom"/>
            <w:tcBorders>
              <w:bottom w:val="single" w:sz="8" w:color="auto"/>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w:t>
            </w: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ind w:right="215"/>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w:t>
            </w:r>
          </w:p>
        </w:tc>
        <w:tc>
          <w:tcPr>
            <w:tcW w:w="1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50"/>
        </w:trPr>
        <w:tc>
          <w:tcPr>
            <w:tcW w:w="314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284</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289</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576</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582</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43"/>
        </w:trPr>
        <w:tc>
          <w:tcPr>
            <w:tcW w:w="3140" w:type="dxa"/>
            <w:vAlign w:val="bottom"/>
            <w:gridSpan w:val="4"/>
          </w:tcPr>
          <w:p>
            <w:pPr>
              <w:ind w:left="40"/>
              <w:spacing w:after="0"/>
              <w:rPr>
                <w:sz w:val="20"/>
                <w:szCs w:val="20"/>
                <w:color w:val="auto"/>
              </w:rPr>
            </w:pPr>
            <w:r>
              <w:rPr>
                <w:rFonts w:ascii="Arial" w:cs="Arial" w:eastAsia="Arial" w:hAnsi="Arial"/>
                <w:sz w:val="18"/>
                <w:szCs w:val="18"/>
                <w:color w:val="auto"/>
              </w:rPr>
              <w:t>Purchases and related costs</w:t>
            </w:r>
          </w:p>
        </w:tc>
        <w:tc>
          <w:tcPr>
            <w:tcW w:w="20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40" w:type="dxa"/>
            <w:vAlign w:val="bottom"/>
          </w:tcPr>
          <w:p>
            <w:pPr>
              <w:jc w:val="right"/>
              <w:ind w:right="14"/>
              <w:spacing w:after="0"/>
              <w:rPr>
                <w:sz w:val="20"/>
                <w:szCs w:val="20"/>
                <w:color w:val="auto"/>
              </w:rPr>
            </w:pPr>
            <w:r>
              <w:rPr>
                <w:rFonts w:ascii="Arial" w:cs="Arial" w:eastAsia="Arial" w:hAnsi="Arial"/>
                <w:sz w:val="18"/>
                <w:szCs w:val="18"/>
                <w:color w:val="auto"/>
              </w:rPr>
              <w:t>3</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50 %</w:t>
            </w:r>
          </w:p>
        </w:tc>
        <w:tc>
          <w:tcPr>
            <w:tcW w:w="12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40" w:type="dxa"/>
            <w:vAlign w:val="bottom"/>
          </w:tcPr>
          <w:p>
            <w:pPr>
              <w:jc w:val="right"/>
              <w:ind w:right="14"/>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53 %</w:t>
            </w:r>
          </w:p>
        </w:tc>
        <w:tc>
          <w:tcPr>
            <w:tcW w:w="0" w:type="dxa"/>
            <w:vAlign w:val="bottom"/>
          </w:tcPr>
          <w:p>
            <w:pPr>
              <w:spacing w:after="0"/>
              <w:rPr>
                <w:sz w:val="1"/>
                <w:szCs w:val="1"/>
                <w:color w:val="auto"/>
              </w:rPr>
            </w:pPr>
          </w:p>
        </w:tc>
      </w:tr>
      <w:tr>
        <w:trPr>
          <w:trHeight w:val="27"/>
        </w:trPr>
        <w:tc>
          <w:tcPr>
            <w:tcW w:w="300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6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14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Field operating costs</w:t>
            </w:r>
          </w:p>
        </w:tc>
        <w:tc>
          <w:tcPr>
            <w:tcW w:w="2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(176)</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(169)</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29"/>
        </w:trPr>
        <w:tc>
          <w:tcPr>
            <w:tcW w:w="3140" w:type="dxa"/>
            <w:vAlign w:val="bottom"/>
            <w:gridSpan w:val="4"/>
          </w:tcPr>
          <w:p>
            <w:pPr>
              <w:ind w:left="40"/>
              <w:spacing w:after="0"/>
              <w:rPr>
                <w:sz w:val="20"/>
                <w:szCs w:val="20"/>
                <w:color w:val="auto"/>
              </w:rPr>
            </w:pPr>
            <w:r>
              <w:rPr>
                <w:rFonts w:ascii="Arial" w:cs="Arial" w:eastAsia="Arial" w:hAnsi="Arial"/>
                <w:sz w:val="18"/>
                <w:szCs w:val="18"/>
                <w:color w:val="auto"/>
              </w:rPr>
              <w:t>Segment general and administrative</w:t>
            </w:r>
          </w:p>
        </w:tc>
        <w:tc>
          <w:tcPr>
            <w:tcW w:w="2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3140" w:type="dxa"/>
            <w:vAlign w:val="bottom"/>
            <w:gridSpan w:val="4"/>
          </w:tcPr>
          <w:p>
            <w:pPr>
              <w:ind w:left="200"/>
              <w:spacing w:after="0" w:line="257" w:lineRule="exact"/>
              <w:rPr>
                <w:sz w:val="20"/>
                <w:szCs w:val="20"/>
                <w:color w:val="auto"/>
              </w:rPr>
            </w:pPr>
            <w:r>
              <w:rPr>
                <w:rFonts w:ascii="Arial" w:cs="Arial" w:eastAsia="Arial" w:hAnsi="Arial"/>
                <w:sz w:val="18"/>
                <w:szCs w:val="18"/>
                <w:color w:val="auto"/>
              </w:rPr>
              <w:t xml:space="preserve">expenses </w:t>
            </w:r>
            <w:r>
              <w:rPr>
                <w:rFonts w:ascii="Arial" w:cs="Arial" w:eastAsia="Arial" w:hAnsi="Arial"/>
                <w:sz w:val="25"/>
                <w:szCs w:val="25"/>
                <w:color w:val="auto"/>
                <w:vertAlign w:val="superscript"/>
              </w:rPr>
              <w:t>(2)</w:t>
            </w:r>
          </w:p>
        </w:tc>
        <w:tc>
          <w:tcPr>
            <w:tcW w:w="20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(21)</w:t>
            </w: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(18)</w:t>
            </w: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(17)%</w:t>
            </w:r>
          </w:p>
        </w:tc>
        <w:tc>
          <w:tcPr>
            <w:tcW w:w="120" w:type="dxa"/>
            <w:vAlign w:val="bottom"/>
            <w:tcBorders>
              <w:right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324"/>
        </w:trPr>
        <w:tc>
          <w:tcPr>
            <w:tcW w:w="300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120" w:type="dxa"/>
            <w:vAlign w:val="bottom"/>
            <w:tcBorders>
              <w:right w:val="single" w:sz="8" w:color="auto"/>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140" w:type="dxa"/>
            <w:vAlign w:val="bottom"/>
            <w:gridSpan w:val="4"/>
          </w:tcPr>
          <w:p>
            <w:pPr>
              <w:ind w:left="40"/>
              <w:spacing w:after="0" w:line="270" w:lineRule="exact"/>
              <w:rPr>
                <w:sz w:val="20"/>
                <w:szCs w:val="20"/>
                <w:color w:val="auto"/>
              </w:rPr>
            </w:pPr>
            <w:r>
              <w:rPr>
                <w:rFonts w:ascii="Arial" w:cs="Arial" w:eastAsia="Arial" w:hAnsi="Arial"/>
                <w:sz w:val="18"/>
                <w:szCs w:val="18"/>
                <w:color w:val="auto"/>
              </w:rPr>
              <w:t xml:space="preserve">Adjustments </w:t>
            </w:r>
            <w:r>
              <w:rPr>
                <w:rFonts w:ascii="Arial" w:cs="Arial" w:eastAsia="Arial" w:hAnsi="Arial"/>
                <w:sz w:val="25"/>
                <w:szCs w:val="25"/>
                <w:color w:val="auto"/>
                <w:vertAlign w:val="superscript"/>
              </w:rPr>
              <w:t>(3)</w:t>
            </w: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20" w:type="dxa"/>
            <w:vAlign w:val="bottom"/>
            <w:tcBorders>
              <w:right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3140" w:type="dxa"/>
            <w:vAlign w:val="bottom"/>
            <w:gridSpan w:val="4"/>
            <w:shd w:val="clear" w:color="auto" w:fill="CCEEFF"/>
          </w:tcPr>
          <w:p>
            <w:pPr>
              <w:ind w:left="200"/>
              <w:spacing w:after="0"/>
              <w:rPr>
                <w:sz w:val="20"/>
                <w:szCs w:val="20"/>
                <w:color w:val="auto"/>
              </w:rPr>
            </w:pPr>
            <w:r>
              <w:rPr>
                <w:rFonts w:ascii="Arial" w:cs="Arial" w:eastAsia="Arial" w:hAnsi="Arial"/>
                <w:sz w:val="18"/>
                <w:szCs w:val="18"/>
                <w:color w:val="auto"/>
              </w:rPr>
              <w:t>(Gains)/losses from derivative</w:t>
            </w:r>
          </w:p>
        </w:tc>
        <w:tc>
          <w:tcPr>
            <w:tcW w:w="2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140" w:type="dxa"/>
            <w:vAlign w:val="bottom"/>
            <w:tcBorders>
              <w:bottom w:val="single" w:sz="8" w:color="CCEEFF"/>
            </w:tcBorders>
            <w:gridSpan w:val="4"/>
            <w:shd w:val="clear" w:color="auto" w:fill="CCEEFF"/>
          </w:tcPr>
          <w:p>
            <w:pPr>
              <w:ind w:left="360"/>
              <w:spacing w:after="0"/>
              <w:rPr>
                <w:sz w:val="20"/>
                <w:szCs w:val="20"/>
                <w:color w:val="auto"/>
              </w:rPr>
            </w:pPr>
            <w:r>
              <w:rPr>
                <w:rFonts w:ascii="Arial" w:cs="Arial" w:eastAsia="Arial" w:hAnsi="Arial"/>
                <w:sz w:val="18"/>
                <w:szCs w:val="18"/>
                <w:color w:val="auto"/>
              </w:rPr>
              <w:t>activities</w:t>
            </w:r>
          </w:p>
        </w:tc>
        <w:tc>
          <w:tcPr>
            <w:tcW w:w="20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gridSpan w:val="5"/>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right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3140" w:type="dxa"/>
            <w:vAlign w:val="bottom"/>
            <w:gridSpan w:val="4"/>
          </w:tcPr>
          <w:p>
            <w:pPr>
              <w:ind w:left="200"/>
              <w:spacing w:after="0"/>
              <w:rPr>
                <w:sz w:val="20"/>
                <w:szCs w:val="20"/>
                <w:color w:val="auto"/>
              </w:rPr>
            </w:pPr>
            <w:r>
              <w:rPr>
                <w:rFonts w:ascii="Arial" w:cs="Arial" w:eastAsia="Arial" w:hAnsi="Arial"/>
                <w:sz w:val="18"/>
                <w:szCs w:val="18"/>
                <w:color w:val="auto"/>
              </w:rPr>
              <w:t>Deficiencies under minimum volume</w:t>
            </w:r>
          </w:p>
        </w:tc>
        <w:tc>
          <w:tcPr>
            <w:tcW w:w="2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140" w:type="dxa"/>
            <w:vAlign w:val="bottom"/>
            <w:gridSpan w:val="4"/>
          </w:tcPr>
          <w:p>
            <w:pPr>
              <w:ind w:left="360"/>
              <w:spacing w:after="0"/>
              <w:rPr>
                <w:sz w:val="20"/>
                <w:szCs w:val="20"/>
                <w:color w:val="auto"/>
              </w:rPr>
            </w:pPr>
            <w:r>
              <w:rPr>
                <w:rFonts w:ascii="Arial" w:cs="Arial" w:eastAsia="Arial" w:hAnsi="Arial"/>
                <w:sz w:val="18"/>
                <w:szCs w:val="18"/>
                <w:color w:val="auto"/>
              </w:rPr>
              <w:t>commitments, net</w:t>
            </w:r>
          </w:p>
        </w:tc>
        <w:tc>
          <w:tcPr>
            <w:tcW w:w="20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60" w:type="dxa"/>
            <w:vAlign w:val="bottom"/>
            <w:gridSpan w:val="4"/>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740" w:type="dxa"/>
            <w:vAlign w:val="bottom"/>
          </w:tcPr>
          <w:p>
            <w:pPr>
              <w:jc w:val="right"/>
              <w:ind w:right="14"/>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6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80" w:type="dxa"/>
            <w:vAlign w:val="bottom"/>
          </w:tcPr>
          <w:p>
            <w:pPr>
              <w:jc w:val="right"/>
              <w:ind w:right="15"/>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40" w:type="dxa"/>
            <w:vAlign w:val="bottom"/>
          </w:tcPr>
          <w:p>
            <w:pPr>
              <w:jc w:val="right"/>
              <w:ind w:right="12"/>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6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00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6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140" w:type="dxa"/>
            <w:vAlign w:val="bottom"/>
            <w:tcBorders>
              <w:bottom w:val="single" w:sz="8" w:color="CCEEFF"/>
            </w:tcBorders>
            <w:gridSpan w:val="4"/>
            <w:shd w:val="clear" w:color="auto" w:fill="CCEEFF"/>
          </w:tcPr>
          <w:p>
            <w:pPr>
              <w:ind w:left="200"/>
              <w:spacing w:after="0"/>
              <w:rPr>
                <w:sz w:val="20"/>
                <w:szCs w:val="20"/>
                <w:color w:val="auto"/>
              </w:rPr>
            </w:pPr>
            <w:r>
              <w:rPr>
                <w:rFonts w:ascii="Arial" w:cs="Arial" w:eastAsia="Arial" w:hAnsi="Arial"/>
                <w:sz w:val="18"/>
                <w:szCs w:val="18"/>
                <w:color w:val="auto"/>
                <w:w w:val="94"/>
              </w:rPr>
              <w:t>Equity-indexed compensation expense</w:t>
            </w:r>
          </w:p>
        </w:tc>
        <w:tc>
          <w:tcPr>
            <w:tcW w:w="20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4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4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w:t>
            </w:r>
          </w:p>
        </w:tc>
        <w:tc>
          <w:tcPr>
            <w:tcW w:w="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right w:val="single" w:sz="8" w:color="auto"/>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97"/>
        </w:trPr>
        <w:tc>
          <w:tcPr>
            <w:tcW w:w="3140" w:type="dxa"/>
            <w:vAlign w:val="bottom"/>
            <w:tcBorders>
              <w:bottom w:val="single" w:sz="8" w:color="CCEEFF"/>
            </w:tcBorders>
            <w:gridSpan w:val="4"/>
          </w:tcPr>
          <w:p>
            <w:pPr>
              <w:ind w:left="40"/>
              <w:spacing w:after="0"/>
              <w:rPr>
                <w:sz w:val="20"/>
                <w:szCs w:val="20"/>
                <w:color w:val="auto"/>
              </w:rPr>
            </w:pPr>
            <w:r>
              <w:rPr>
                <w:rFonts w:ascii="Arial" w:cs="Arial" w:eastAsia="Arial" w:hAnsi="Arial"/>
                <w:sz w:val="18"/>
                <w:szCs w:val="18"/>
                <w:color w:val="auto"/>
              </w:rPr>
              <w:t>Segment adjusted EBITDA</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171</w:t>
            </w:r>
          </w:p>
        </w:tc>
        <w:tc>
          <w:tcPr>
            <w:tcW w:w="40" w:type="dxa"/>
            <w:vAlign w:val="bottom"/>
            <w:tcBorders>
              <w:top w:val="single" w:sz="8" w:color="auto"/>
              <w:bottom w:val="single" w:sz="8" w:color="auto"/>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180</w:t>
            </w:r>
          </w:p>
        </w:tc>
        <w:tc>
          <w:tcPr>
            <w:tcW w:w="40" w:type="dxa"/>
            <w:vAlign w:val="bottom"/>
            <w:tcBorders>
              <w:top w:val="single" w:sz="8" w:color="auto"/>
              <w:bottom w:val="single" w:sz="8" w:color="auto"/>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20" w:type="dxa"/>
            <w:vAlign w:val="bottom"/>
            <w:tcBorders>
              <w:top w:val="single" w:sz="8" w:color="auto"/>
              <w:bottom w:val="single" w:sz="8" w:color="auto"/>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360" w:type="dxa"/>
            <w:vAlign w:val="bottom"/>
            <w:tcBorders>
              <w:top w:val="single" w:sz="8" w:color="auto"/>
              <w:bottom w:val="single" w:sz="8" w:color="auto"/>
            </w:tcBorders>
          </w:tcPr>
          <w:p>
            <w:pPr>
              <w:spacing w:after="0"/>
              <w:rPr>
                <w:sz w:val="24"/>
                <w:szCs w:val="24"/>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120" w:type="dxa"/>
            <w:vAlign w:val="bottom"/>
            <w:tcBorders>
              <w:bottom w:val="single" w:sz="8" w:color="CCEEFF"/>
              <w:right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8"/>
                <w:szCs w:val="18"/>
                <w:color w:val="auto"/>
              </w:rPr>
              <w:t>357</w:t>
            </w:r>
          </w:p>
        </w:tc>
        <w:tc>
          <w:tcPr>
            <w:tcW w:w="10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64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368</w:t>
            </w:r>
          </w:p>
        </w:tc>
        <w:tc>
          <w:tcPr>
            <w:tcW w:w="10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120" w:type="dxa"/>
            <w:vAlign w:val="bottom"/>
            <w:tcBorders>
              <w:bottom w:val="single" w:sz="8" w:color="CCEEFF"/>
            </w:tcBorders>
          </w:tcPr>
          <w:p>
            <w:pPr>
              <w:spacing w:after="0"/>
              <w:rPr>
                <w:sz w:val="24"/>
                <w:szCs w:val="24"/>
                <w:color w:val="auto"/>
              </w:rPr>
            </w:pPr>
          </w:p>
        </w:tc>
        <w:tc>
          <w:tcPr>
            <w:tcW w:w="360" w:type="dxa"/>
            <w:vAlign w:val="bottom"/>
            <w:tcBorders>
              <w:top w:val="single" w:sz="8" w:color="auto"/>
              <w:bottom w:val="single" w:sz="8" w:color="auto"/>
            </w:tcBorders>
          </w:tcPr>
          <w:p>
            <w:pPr>
              <w:spacing w:after="0"/>
              <w:rPr>
                <w:sz w:val="24"/>
                <w:szCs w:val="24"/>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51"/>
        </w:trPr>
        <w:tc>
          <w:tcPr>
            <w:tcW w:w="314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Maintenance capital</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40" w:type="dxa"/>
            <w:vAlign w:val="bottom"/>
            <w:tcBorders>
              <w:bottom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40" w:type="dxa"/>
            <w:vAlign w:val="bottom"/>
            <w:tcBorders>
              <w:bottom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20" w:type="dxa"/>
            <w:vAlign w:val="bottom"/>
            <w:tcBorders>
              <w:bottom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41</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66</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0"/>
        </w:trPr>
        <w:tc>
          <w:tcPr>
            <w:tcW w:w="3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3140" w:type="dxa"/>
            <w:vAlign w:val="bottom"/>
            <w:gridSpan w:val="4"/>
          </w:tcPr>
          <w:p>
            <w:pPr>
              <w:ind w:left="40"/>
              <w:spacing w:after="0"/>
              <w:rPr>
                <w:sz w:val="20"/>
                <w:szCs w:val="20"/>
                <w:color w:val="auto"/>
              </w:rPr>
            </w:pPr>
            <w:r>
              <w:rPr>
                <w:rFonts w:ascii="Arial" w:cs="Arial" w:eastAsia="Arial" w:hAnsi="Arial"/>
                <w:sz w:val="18"/>
                <w:szCs w:val="18"/>
                <w:color w:val="auto"/>
              </w:rPr>
              <w:t>Segment adjusted EBITDA per barrel</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0.46</w:t>
            </w:r>
          </w:p>
        </w:tc>
        <w:tc>
          <w:tcPr>
            <w:tcW w:w="40" w:type="dxa"/>
            <w:vAlign w:val="bottom"/>
            <w:tcBorders>
              <w:bottom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0.45</w:t>
            </w:r>
          </w:p>
        </w:tc>
        <w:tc>
          <w:tcPr>
            <w:tcW w:w="40" w:type="dxa"/>
            <w:vAlign w:val="bottom"/>
            <w:tcBorders>
              <w:bottom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0.01</w:t>
            </w:r>
          </w:p>
        </w:tc>
        <w:tc>
          <w:tcPr>
            <w:tcW w:w="20" w:type="dxa"/>
            <w:vAlign w:val="bottom"/>
            <w:tcBorders>
              <w:bottom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2 %</w:t>
            </w:r>
          </w:p>
        </w:tc>
        <w:tc>
          <w:tcPr>
            <w:tcW w:w="12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0.48</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0.47</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0.01</w:t>
            </w:r>
          </w:p>
        </w:tc>
        <w:tc>
          <w:tcPr>
            <w:tcW w:w="12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2 %</w:t>
            </w:r>
          </w:p>
        </w:tc>
        <w:tc>
          <w:tcPr>
            <w:tcW w:w="0" w:type="dxa"/>
            <w:vAlign w:val="bottom"/>
          </w:tcPr>
          <w:p>
            <w:pPr>
              <w:spacing w:after="0"/>
              <w:rPr>
                <w:sz w:val="1"/>
                <w:szCs w:val="1"/>
                <w:color w:val="auto"/>
              </w:rPr>
            </w:pPr>
          </w:p>
        </w:tc>
      </w:tr>
      <w:tr>
        <w:trPr>
          <w:trHeight w:val="20"/>
        </w:trPr>
        <w:tc>
          <w:tcPr>
            <w:tcW w:w="3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Borders>
              <w:bottom w:val="single" w:sz="8" w:color="auto"/>
            </w:tcBorders>
            <w:gridSpan w:val="2"/>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5"/>
        </w:trPr>
        <w:tc>
          <w:tcPr>
            <w:tcW w:w="30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800" w:type="dxa"/>
            <w:vAlign w:val="bottom"/>
            <w:gridSpan w:val="9"/>
          </w:tcPr>
          <w:p>
            <w:pPr>
              <w:ind w:left="80"/>
              <w:spacing w:after="0"/>
              <w:rPr>
                <w:sz w:val="20"/>
                <w:szCs w:val="20"/>
                <w:color w:val="auto"/>
              </w:rPr>
            </w:pPr>
            <w:r>
              <w:rPr>
                <w:rFonts w:ascii="Arial" w:cs="Arial" w:eastAsia="Arial" w:hAnsi="Arial"/>
                <w:sz w:val="14"/>
                <w:szCs w:val="14"/>
                <w:b w:val="1"/>
                <w:bCs w:val="1"/>
                <w:color w:val="auto"/>
              </w:rPr>
              <w:t>Three Months Ended</w:t>
            </w:r>
          </w:p>
        </w:tc>
        <w:tc>
          <w:tcPr>
            <w:tcW w:w="140" w:type="dxa"/>
            <w:vAlign w:val="bottom"/>
          </w:tcPr>
          <w:p>
            <w:pPr>
              <w:spacing w:after="0"/>
              <w:rPr>
                <w:sz w:val="23"/>
                <w:szCs w:val="23"/>
                <w:color w:val="auto"/>
              </w:rPr>
            </w:pPr>
          </w:p>
        </w:tc>
        <w:tc>
          <w:tcPr>
            <w:tcW w:w="1220" w:type="dxa"/>
            <w:vAlign w:val="bottom"/>
            <w:gridSpan w:val="5"/>
            <w:vMerge w:val="restart"/>
          </w:tcPr>
          <w:p>
            <w:pPr>
              <w:ind w:left="600"/>
              <w:spacing w:after="0"/>
              <w:rPr>
                <w:sz w:val="20"/>
                <w:szCs w:val="20"/>
                <w:color w:val="auto"/>
              </w:rPr>
            </w:pPr>
            <w:r>
              <w:rPr>
                <w:rFonts w:ascii="Arial" w:cs="Arial" w:eastAsia="Arial" w:hAnsi="Arial"/>
                <w:sz w:val="14"/>
                <w:szCs w:val="14"/>
                <w:b w:val="1"/>
                <w:bCs w:val="1"/>
                <w:color w:val="auto"/>
              </w:rPr>
              <w:t>Variance</w:t>
            </w:r>
          </w:p>
        </w:tc>
        <w:tc>
          <w:tcPr>
            <w:tcW w:w="6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800" w:type="dxa"/>
            <w:vAlign w:val="bottom"/>
            <w:gridSpan w:val="7"/>
          </w:tcPr>
          <w:p>
            <w:pPr>
              <w:jc w:val="center"/>
              <w:ind w:right="320"/>
              <w:spacing w:after="0"/>
              <w:rPr>
                <w:sz w:val="20"/>
                <w:szCs w:val="20"/>
                <w:color w:val="auto"/>
              </w:rPr>
            </w:pPr>
            <w:r>
              <w:rPr>
                <w:rFonts w:ascii="Arial" w:cs="Arial" w:eastAsia="Arial" w:hAnsi="Arial"/>
                <w:sz w:val="14"/>
                <w:szCs w:val="14"/>
                <w:b w:val="1"/>
                <w:bCs w:val="1"/>
                <w:color w:val="auto"/>
                <w:w w:val="92"/>
              </w:rPr>
              <w:t>Six Months Ended</w:t>
            </w:r>
          </w:p>
        </w:tc>
        <w:tc>
          <w:tcPr>
            <w:tcW w:w="140" w:type="dxa"/>
            <w:vAlign w:val="bottom"/>
          </w:tcPr>
          <w:p>
            <w:pPr>
              <w:spacing w:after="0"/>
              <w:rPr>
                <w:sz w:val="23"/>
                <w:szCs w:val="23"/>
                <w:color w:val="auto"/>
              </w:rPr>
            </w:pPr>
          </w:p>
        </w:tc>
        <w:tc>
          <w:tcPr>
            <w:tcW w:w="1220" w:type="dxa"/>
            <w:vAlign w:val="bottom"/>
            <w:gridSpan w:val="3"/>
            <w:vMerge w:val="restart"/>
          </w:tcPr>
          <w:p>
            <w:pPr>
              <w:ind w:left="600"/>
              <w:spacing w:after="0"/>
              <w:rPr>
                <w:sz w:val="20"/>
                <w:szCs w:val="20"/>
                <w:color w:val="auto"/>
              </w:rPr>
            </w:pPr>
            <w:r>
              <w:rPr>
                <w:rFonts w:ascii="Arial" w:cs="Arial" w:eastAsia="Arial" w:hAnsi="Arial"/>
                <w:sz w:val="14"/>
                <w:szCs w:val="14"/>
                <w:b w:val="1"/>
                <w:bCs w:val="1"/>
                <w:color w:val="auto"/>
              </w:rPr>
              <w:t>Variance</w:t>
            </w:r>
          </w:p>
        </w:tc>
        <w:tc>
          <w:tcPr>
            <w:tcW w:w="6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92"/>
        </w:trPr>
        <w:tc>
          <w:tcPr>
            <w:tcW w:w="30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gridSpan w:val="5"/>
          </w:tcPr>
          <w:p>
            <w:pPr>
              <w:ind w:left="480"/>
              <w:spacing w:after="0"/>
              <w:rPr>
                <w:sz w:val="20"/>
                <w:szCs w:val="20"/>
                <w:color w:val="auto"/>
              </w:rPr>
            </w:pPr>
            <w:r>
              <w:rPr>
                <w:rFonts w:ascii="Arial" w:cs="Arial" w:eastAsia="Arial" w:hAnsi="Arial"/>
                <w:sz w:val="14"/>
                <w:szCs w:val="14"/>
                <w:b w:val="1"/>
                <w:bCs w:val="1"/>
                <w:color w:val="auto"/>
                <w:w w:val="96"/>
              </w:rPr>
              <w:t>June 30,</w:t>
            </w:r>
          </w:p>
        </w:tc>
        <w:tc>
          <w:tcPr>
            <w:tcW w:w="620" w:type="dxa"/>
            <w:vAlign w:val="bottom"/>
            <w:tcBorders>
              <w:bottom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5"/>
            <w:vMerge w:val="continue"/>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gridSpan w:val="4"/>
          </w:tcPr>
          <w:p>
            <w:pPr>
              <w:jc w:val="center"/>
              <w:ind w:left="355"/>
              <w:spacing w:after="0"/>
              <w:rPr>
                <w:sz w:val="20"/>
                <w:szCs w:val="20"/>
                <w:color w:val="auto"/>
              </w:rPr>
            </w:pPr>
            <w:r>
              <w:rPr>
                <w:rFonts w:ascii="Arial" w:cs="Arial" w:eastAsia="Arial" w:hAnsi="Arial"/>
                <w:sz w:val="14"/>
                <w:szCs w:val="14"/>
                <w:b w:val="1"/>
                <w:bCs w:val="1"/>
                <w:color w:val="auto"/>
                <w:w w:val="92"/>
              </w:rPr>
              <w:t>June 30,</w:t>
            </w:r>
          </w:p>
        </w:tc>
        <w:tc>
          <w:tcPr>
            <w:tcW w:w="6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3"/>
            <w:vMerge w:val="continue"/>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30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 xml:space="preserve">Volumes </w:t>
            </w:r>
            <w:r>
              <w:rPr>
                <w:rFonts w:ascii="Arial" w:cs="Arial" w:eastAsia="Arial" w:hAnsi="Arial"/>
                <w:sz w:val="12"/>
                <w:szCs w:val="12"/>
                <w:b w:val="1"/>
                <w:bCs w:val="1"/>
                <w:color w:val="auto"/>
              </w:rPr>
              <w:t>(4)</w:t>
            </w:r>
          </w:p>
        </w:tc>
        <w:tc>
          <w:tcPr>
            <w:tcW w:w="120" w:type="dxa"/>
            <w:vAlign w:val="bottom"/>
            <w:tcBorders>
              <w:bottom w:val="single" w:sz="8" w:color="CCEEFF"/>
            </w:tcBorders>
            <w:gridSpan w:val="2"/>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2018</w:t>
            </w:r>
          </w:p>
        </w:tc>
        <w:tc>
          <w:tcPr>
            <w:tcW w:w="4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w w:val="96"/>
              </w:rPr>
              <w:t>2017</w:t>
            </w:r>
          </w:p>
        </w:tc>
        <w:tc>
          <w:tcPr>
            <w:tcW w:w="4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w w:val="89"/>
              </w:rPr>
              <w:t>Volumes</w:t>
            </w:r>
          </w:p>
        </w:tc>
        <w:tc>
          <w:tcPr>
            <w:tcW w:w="100" w:type="dxa"/>
            <w:vAlign w:val="bottom"/>
            <w:tcBorders>
              <w:bottom w:val="single" w:sz="8" w:color="CCEEFF"/>
            </w:tcBorders>
            <w:gridSpan w:val="2"/>
          </w:tcPr>
          <w:p>
            <w:pPr>
              <w:spacing w:after="0"/>
              <w:rPr>
                <w:sz w:val="22"/>
                <w:szCs w:val="22"/>
                <w:color w:val="auto"/>
              </w:rPr>
            </w:pPr>
          </w:p>
        </w:tc>
        <w:tc>
          <w:tcPr>
            <w:tcW w:w="380" w:type="dxa"/>
            <w:vAlign w:val="bottom"/>
            <w:tcBorders>
              <w:bottom w:val="single" w:sz="8" w:color="auto"/>
            </w:tcBorders>
            <w:gridSpan w:val="2"/>
          </w:tcPr>
          <w:p>
            <w:pPr>
              <w:spacing w:after="0"/>
              <w:rPr>
                <w:sz w:val="22"/>
                <w:szCs w:val="22"/>
                <w:color w:val="auto"/>
              </w:rPr>
            </w:pPr>
          </w:p>
        </w:tc>
        <w:tc>
          <w:tcPr>
            <w:tcW w:w="66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w:t>
            </w: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ind w:right="215"/>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94"/>
              <w:spacing w:after="0"/>
              <w:rPr>
                <w:sz w:val="20"/>
                <w:szCs w:val="20"/>
                <w:color w:val="auto"/>
              </w:rPr>
            </w:pPr>
            <w:r>
              <w:rPr>
                <w:rFonts w:ascii="Arial" w:cs="Arial" w:eastAsia="Arial" w:hAnsi="Arial"/>
                <w:sz w:val="14"/>
                <w:szCs w:val="14"/>
                <w:b w:val="1"/>
                <w:bCs w:val="1"/>
                <w:color w:val="auto"/>
                <w:w w:val="92"/>
              </w:rPr>
              <w:t>Volumes</w:t>
            </w:r>
          </w:p>
        </w:tc>
        <w:tc>
          <w:tcPr>
            <w:tcW w:w="1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28"/>
        </w:trPr>
        <w:tc>
          <w:tcPr>
            <w:tcW w:w="3140" w:type="dxa"/>
            <w:vAlign w:val="bottom"/>
            <w:gridSpan w:val="4"/>
            <w:shd w:val="clear" w:color="auto" w:fill="CCEEFF"/>
          </w:tcPr>
          <w:p>
            <w:pPr>
              <w:ind w:left="40"/>
              <w:spacing w:after="0"/>
              <w:rPr>
                <w:sz w:val="20"/>
                <w:szCs w:val="20"/>
                <w:color w:val="auto"/>
              </w:rPr>
            </w:pPr>
            <w:r>
              <w:rPr>
                <w:rFonts w:ascii="Arial" w:cs="Arial" w:eastAsia="Arial" w:hAnsi="Arial"/>
                <w:sz w:val="18"/>
                <w:szCs w:val="18"/>
                <w:color w:val="auto"/>
              </w:rPr>
              <w:t>Liquids storage (average monthly</w:t>
            </w:r>
          </w:p>
        </w:tc>
        <w:tc>
          <w:tcPr>
            <w:tcW w:w="200" w:type="dxa"/>
            <w:vAlign w:val="bottom"/>
            <w:shd w:val="clear" w:color="auto" w:fill="CCEEFF"/>
          </w:tcPr>
          <w:p>
            <w:pPr>
              <w:spacing w:after="0"/>
              <w:rPr>
                <w:sz w:val="19"/>
                <w:szCs w:val="19"/>
                <w:color w:val="auto"/>
              </w:rPr>
            </w:pPr>
          </w:p>
        </w:tc>
        <w:tc>
          <w:tcPr>
            <w:tcW w:w="660" w:type="dxa"/>
            <w:vAlign w:val="bottom"/>
            <w:vMerge w:val="restart"/>
            <w:shd w:val="clear" w:color="auto" w:fill="CCEEFF"/>
          </w:tcPr>
          <w:p>
            <w:pPr>
              <w:jc w:val="right"/>
              <w:ind w:right="15"/>
              <w:spacing w:after="0"/>
              <w:rPr>
                <w:sz w:val="20"/>
                <w:szCs w:val="20"/>
                <w:color w:val="auto"/>
              </w:rPr>
            </w:pPr>
            <w:r>
              <w:rPr>
                <w:rFonts w:ascii="Arial" w:cs="Arial" w:eastAsia="Arial" w:hAnsi="Arial"/>
                <w:sz w:val="18"/>
                <w:szCs w:val="18"/>
                <w:color w:val="auto"/>
              </w:rPr>
              <w:t>109</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20" w:type="dxa"/>
            <w:vAlign w:val="bottom"/>
            <w:vMerge w:val="restart"/>
            <w:shd w:val="clear" w:color="auto" w:fill="CCEEFF"/>
          </w:tcPr>
          <w:p>
            <w:pPr>
              <w:jc w:val="right"/>
              <w:ind w:right="12"/>
              <w:spacing w:after="0"/>
              <w:rPr>
                <w:sz w:val="20"/>
                <w:szCs w:val="20"/>
                <w:color w:val="auto"/>
              </w:rPr>
            </w:pPr>
            <w:r>
              <w:rPr>
                <w:rFonts w:ascii="Arial" w:cs="Arial" w:eastAsia="Arial" w:hAnsi="Arial"/>
                <w:sz w:val="18"/>
                <w:szCs w:val="18"/>
                <w:color w:val="auto"/>
              </w:rPr>
              <w:t>112</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vMerge w:val="restart"/>
            <w:shd w:val="clear" w:color="auto" w:fill="CCEEFF"/>
          </w:tcPr>
          <w:p>
            <w:pPr>
              <w:jc w:val="right"/>
              <w:ind w:right="35"/>
              <w:spacing w:after="0"/>
              <w:rPr>
                <w:sz w:val="20"/>
                <w:szCs w:val="20"/>
                <w:color w:val="auto"/>
              </w:rPr>
            </w:pPr>
            <w:r>
              <w:rPr>
                <w:rFonts w:ascii="Arial" w:cs="Arial" w:eastAsia="Arial" w:hAnsi="Arial"/>
                <w:sz w:val="18"/>
                <w:szCs w:val="18"/>
                <w:color w:val="auto"/>
              </w:rPr>
              <w:t>109</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40" w:type="dxa"/>
            <w:vAlign w:val="bottom"/>
            <w:vMerge w:val="restart"/>
            <w:shd w:val="clear" w:color="auto" w:fill="CCEEFF"/>
          </w:tcPr>
          <w:p>
            <w:pPr>
              <w:jc w:val="right"/>
              <w:ind w:right="32"/>
              <w:spacing w:after="0"/>
              <w:rPr>
                <w:sz w:val="20"/>
                <w:szCs w:val="20"/>
                <w:color w:val="auto"/>
              </w:rPr>
            </w:pPr>
            <w:r>
              <w:rPr>
                <w:rFonts w:ascii="Arial" w:cs="Arial" w:eastAsia="Arial" w:hAnsi="Arial"/>
                <w:sz w:val="18"/>
                <w:szCs w:val="18"/>
                <w:color w:val="auto"/>
              </w:rPr>
              <w:t>112</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37"/>
        </w:trPr>
        <w:tc>
          <w:tcPr>
            <w:tcW w:w="3140" w:type="dxa"/>
            <w:vAlign w:val="bottom"/>
            <w:gridSpan w:val="4"/>
            <w:shd w:val="clear" w:color="auto" w:fill="CCEEFF"/>
          </w:tcPr>
          <w:p>
            <w:pPr>
              <w:ind w:left="200"/>
              <w:spacing w:after="0"/>
              <w:rPr>
                <w:sz w:val="20"/>
                <w:szCs w:val="20"/>
                <w:color w:val="auto"/>
              </w:rPr>
            </w:pPr>
            <w:r>
              <w:rPr>
                <w:rFonts w:ascii="Arial" w:cs="Arial" w:eastAsia="Arial" w:hAnsi="Arial"/>
                <w:sz w:val="18"/>
                <w:szCs w:val="18"/>
                <w:color w:val="auto"/>
              </w:rPr>
              <w:t>capacity in millions of barrels)</w:t>
            </w:r>
          </w:p>
        </w:tc>
        <w:tc>
          <w:tcPr>
            <w:tcW w:w="200" w:type="dxa"/>
            <w:vAlign w:val="bottom"/>
            <w:shd w:val="clear" w:color="auto" w:fill="CCEEFF"/>
          </w:tcPr>
          <w:p>
            <w:pPr>
              <w:spacing w:after="0"/>
              <w:rPr>
                <w:sz w:val="20"/>
                <w:szCs w:val="20"/>
                <w:color w:val="auto"/>
              </w:rPr>
            </w:pPr>
          </w:p>
        </w:tc>
        <w:tc>
          <w:tcPr>
            <w:tcW w:w="660" w:type="dxa"/>
            <w:vAlign w:val="bottom"/>
            <w:vMerge w:val="continue"/>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620" w:type="dxa"/>
            <w:vAlign w:val="bottom"/>
            <w:vMerge w:val="continue"/>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40" w:type="dxa"/>
            <w:vAlign w:val="bottom"/>
            <w:vMerge w:val="continue"/>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660" w:type="dxa"/>
            <w:vAlign w:val="bottom"/>
            <w:vMerge w:val="continue"/>
            <w:shd w:val="clear" w:color="auto" w:fill="CCEEFF"/>
          </w:tcPr>
          <w:p>
            <w:pPr>
              <w:spacing w:after="0"/>
              <w:rPr>
                <w:sz w:val="20"/>
                <w:szCs w:val="20"/>
                <w:color w:val="auto"/>
              </w:rPr>
            </w:pPr>
          </w:p>
        </w:tc>
        <w:tc>
          <w:tcPr>
            <w:tcW w:w="120" w:type="dxa"/>
            <w:vAlign w:val="bottom"/>
            <w:tcBorders>
              <w:right w:val="single" w:sz="8" w:color="auto"/>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680" w:type="dxa"/>
            <w:vAlign w:val="bottom"/>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640" w:type="dxa"/>
            <w:vAlign w:val="bottom"/>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40" w:type="dxa"/>
            <w:vAlign w:val="bottom"/>
            <w:vMerge w:val="continue"/>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660" w:type="dxa"/>
            <w:vAlign w:val="bottom"/>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120" w:type="dxa"/>
            <w:vAlign w:val="bottom"/>
            <w:tcBorders>
              <w:top w:val="single" w:sz="8" w:color="CCEEFF"/>
              <w:bottom w:val="single" w:sz="8" w:color="CCEEFF"/>
            </w:tcBorders>
            <w:gridSpan w:val="3"/>
            <w:vMerge w:val="restart"/>
          </w:tcPr>
          <w:p>
            <w:pPr>
              <w:ind w:left="40"/>
              <w:spacing w:after="0"/>
              <w:rPr>
                <w:sz w:val="20"/>
                <w:szCs w:val="20"/>
                <w:color w:val="auto"/>
              </w:rPr>
            </w:pPr>
            <w:r>
              <w:rPr>
                <w:rFonts w:ascii="Arial" w:cs="Arial" w:eastAsia="Arial" w:hAnsi="Arial"/>
                <w:sz w:val="18"/>
                <w:szCs w:val="18"/>
                <w:color w:val="auto"/>
              </w:rPr>
              <w:t>Natural gas storage (average monthly</w:t>
            </w: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right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3120" w:type="dxa"/>
            <w:vAlign w:val="bottom"/>
            <w:gridSpan w:val="3"/>
            <w:vMerge w:val="continue"/>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140" w:type="dxa"/>
            <w:vAlign w:val="bottom"/>
            <w:gridSpan w:val="4"/>
          </w:tcPr>
          <w:p>
            <w:pPr>
              <w:ind w:left="200"/>
              <w:spacing w:after="0"/>
              <w:rPr>
                <w:sz w:val="20"/>
                <w:szCs w:val="20"/>
                <w:color w:val="auto"/>
              </w:rPr>
            </w:pPr>
            <w:r>
              <w:rPr>
                <w:rFonts w:ascii="Arial" w:cs="Arial" w:eastAsia="Arial" w:hAnsi="Arial"/>
                <w:sz w:val="18"/>
                <w:szCs w:val="18"/>
                <w:color w:val="auto"/>
              </w:rPr>
              <w:t>working capacity in billions of cubic</w:t>
            </w:r>
          </w:p>
        </w:tc>
        <w:tc>
          <w:tcPr>
            <w:tcW w:w="200" w:type="dxa"/>
            <w:vAlign w:val="bottom"/>
          </w:tcPr>
          <w:p>
            <w:pPr>
              <w:spacing w:after="0"/>
              <w:rPr>
                <w:sz w:val="18"/>
                <w:szCs w:val="18"/>
                <w:color w:val="auto"/>
              </w:rPr>
            </w:pPr>
          </w:p>
        </w:tc>
        <w:tc>
          <w:tcPr>
            <w:tcW w:w="660" w:type="dxa"/>
            <w:vAlign w:val="bottom"/>
            <w:vMerge w:val="restart"/>
          </w:tcPr>
          <w:p>
            <w:pPr>
              <w:jc w:val="right"/>
              <w:ind w:right="15"/>
              <w:spacing w:after="0"/>
              <w:rPr>
                <w:sz w:val="20"/>
                <w:szCs w:val="20"/>
                <w:color w:val="auto"/>
              </w:rPr>
            </w:pPr>
            <w:r>
              <w:rPr>
                <w:rFonts w:ascii="Arial" w:cs="Arial" w:eastAsia="Arial" w:hAnsi="Arial"/>
                <w:sz w:val="18"/>
                <w:szCs w:val="18"/>
                <w:color w:val="auto"/>
              </w:rPr>
              <w:t>65</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vMerge w:val="restart"/>
          </w:tcPr>
          <w:p>
            <w:pPr>
              <w:jc w:val="right"/>
              <w:ind w:right="12"/>
              <w:spacing w:after="0"/>
              <w:rPr>
                <w:sz w:val="20"/>
                <w:szCs w:val="20"/>
                <w:color w:val="auto"/>
              </w:rPr>
            </w:pPr>
            <w:r>
              <w:rPr>
                <w:rFonts w:ascii="Arial" w:cs="Arial" w:eastAsia="Arial" w:hAnsi="Arial"/>
                <w:sz w:val="18"/>
                <w:szCs w:val="18"/>
                <w:color w:val="auto"/>
              </w:rPr>
              <w:t>97</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vMerge w:val="restart"/>
          </w:tcPr>
          <w:p>
            <w:pPr>
              <w:jc w:val="right"/>
              <w:spacing w:after="0"/>
              <w:rPr>
                <w:sz w:val="20"/>
                <w:szCs w:val="20"/>
                <w:color w:val="auto"/>
              </w:rPr>
            </w:pPr>
            <w:r>
              <w:rPr>
                <w:rFonts w:ascii="Arial" w:cs="Arial" w:eastAsia="Arial" w:hAnsi="Arial"/>
                <w:sz w:val="18"/>
                <w:szCs w:val="18"/>
                <w:color w:val="auto"/>
              </w:rPr>
              <w:t>(32)</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60" w:type="dxa"/>
            <w:vAlign w:val="bottom"/>
            <w:vMerge w:val="restart"/>
          </w:tcPr>
          <w:p>
            <w:pPr>
              <w:jc w:val="right"/>
              <w:spacing w:after="0"/>
              <w:rPr>
                <w:sz w:val="20"/>
                <w:szCs w:val="20"/>
                <w:color w:val="auto"/>
              </w:rPr>
            </w:pPr>
            <w:r>
              <w:rPr>
                <w:rFonts w:ascii="Arial" w:cs="Arial" w:eastAsia="Arial" w:hAnsi="Arial"/>
                <w:sz w:val="18"/>
                <w:szCs w:val="18"/>
                <w:color w:val="auto"/>
              </w:rPr>
              <w:t>(33)%</w:t>
            </w:r>
          </w:p>
        </w:tc>
        <w:tc>
          <w:tcPr>
            <w:tcW w:w="1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vMerge w:val="restart"/>
          </w:tcPr>
          <w:p>
            <w:pPr>
              <w:jc w:val="right"/>
              <w:ind w:right="35"/>
              <w:spacing w:after="0"/>
              <w:rPr>
                <w:sz w:val="20"/>
                <w:szCs w:val="20"/>
                <w:color w:val="auto"/>
              </w:rPr>
            </w:pPr>
            <w:r>
              <w:rPr>
                <w:rFonts w:ascii="Arial" w:cs="Arial" w:eastAsia="Arial" w:hAnsi="Arial"/>
                <w:sz w:val="18"/>
                <w:szCs w:val="18"/>
                <w:color w:val="auto"/>
              </w:rPr>
              <w:t>66</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vMerge w:val="restart"/>
          </w:tcPr>
          <w:p>
            <w:pPr>
              <w:jc w:val="right"/>
              <w:ind w:right="32"/>
              <w:spacing w:after="0"/>
              <w:rPr>
                <w:sz w:val="20"/>
                <w:szCs w:val="20"/>
                <w:color w:val="auto"/>
              </w:rPr>
            </w:pPr>
            <w:r>
              <w:rPr>
                <w:rFonts w:ascii="Arial" w:cs="Arial" w:eastAsia="Arial" w:hAnsi="Arial"/>
                <w:sz w:val="18"/>
                <w:szCs w:val="18"/>
                <w:color w:val="auto"/>
              </w:rPr>
              <w:t>97</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vMerge w:val="restart"/>
          </w:tcPr>
          <w:p>
            <w:pPr>
              <w:jc w:val="right"/>
              <w:spacing w:after="0"/>
              <w:rPr>
                <w:sz w:val="20"/>
                <w:szCs w:val="20"/>
                <w:color w:val="auto"/>
              </w:rPr>
            </w:pPr>
            <w:r>
              <w:rPr>
                <w:rFonts w:ascii="Arial" w:cs="Arial" w:eastAsia="Arial" w:hAnsi="Arial"/>
                <w:sz w:val="18"/>
                <w:szCs w:val="18"/>
                <w:color w:val="auto"/>
              </w:rPr>
              <w:t>(31)</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60" w:type="dxa"/>
            <w:vAlign w:val="bottom"/>
            <w:vMerge w:val="restart"/>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84"/>
        </w:trPr>
        <w:tc>
          <w:tcPr>
            <w:tcW w:w="3140" w:type="dxa"/>
            <w:vAlign w:val="bottom"/>
            <w:gridSpan w:val="4"/>
          </w:tcPr>
          <w:p>
            <w:pPr>
              <w:ind w:left="200"/>
              <w:spacing w:after="0" w:line="244" w:lineRule="exact"/>
              <w:rPr>
                <w:sz w:val="20"/>
                <w:szCs w:val="20"/>
                <w:color w:val="auto"/>
              </w:rPr>
            </w:pPr>
            <w:r>
              <w:rPr>
                <w:rFonts w:ascii="Arial" w:cs="Arial" w:eastAsia="Arial" w:hAnsi="Arial"/>
                <w:sz w:val="18"/>
                <w:szCs w:val="18"/>
                <w:color w:val="auto"/>
              </w:rPr>
              <w:t xml:space="preserve">feet) </w:t>
            </w:r>
            <w:r>
              <w:rPr>
                <w:rFonts w:ascii="Arial" w:cs="Arial" w:eastAsia="Arial" w:hAnsi="Arial"/>
                <w:sz w:val="25"/>
                <w:szCs w:val="25"/>
                <w:color w:val="auto"/>
                <w:vertAlign w:val="superscript"/>
              </w:rPr>
              <w:t>(5)</w:t>
            </w:r>
          </w:p>
        </w:tc>
        <w:tc>
          <w:tcPr>
            <w:tcW w:w="200" w:type="dxa"/>
            <w:vAlign w:val="bottom"/>
          </w:tcPr>
          <w:p>
            <w:pPr>
              <w:spacing w:after="0"/>
              <w:rPr>
                <w:sz w:val="24"/>
                <w:szCs w:val="24"/>
                <w:color w:val="auto"/>
              </w:rPr>
            </w:pPr>
          </w:p>
        </w:tc>
        <w:tc>
          <w:tcPr>
            <w:tcW w:w="660" w:type="dxa"/>
            <w:vAlign w:val="bottom"/>
            <w:vMerge w:val="continue"/>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20" w:type="dxa"/>
            <w:vAlign w:val="bottom"/>
            <w:vMerge w:val="continue"/>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60" w:type="dxa"/>
            <w:vAlign w:val="bottom"/>
            <w:vMerge w:val="continue"/>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4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6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3120" w:type="dxa"/>
            <w:vAlign w:val="bottom"/>
            <w:tcBorders>
              <w:top w:val="single" w:sz="8" w:color="CCEEFF"/>
            </w:tcBorders>
            <w:gridSpan w:val="3"/>
            <w:shd w:val="clear" w:color="auto" w:fill="CCEEFF"/>
          </w:tcPr>
          <w:p>
            <w:pPr>
              <w:ind w:left="40"/>
              <w:spacing w:after="0" w:line="182" w:lineRule="exact"/>
              <w:rPr>
                <w:sz w:val="20"/>
                <w:szCs w:val="20"/>
                <w:color w:val="auto"/>
              </w:rPr>
            </w:pPr>
            <w:r>
              <w:rPr>
                <w:rFonts w:ascii="Arial" w:cs="Arial" w:eastAsia="Arial" w:hAnsi="Arial"/>
                <w:sz w:val="18"/>
                <w:szCs w:val="18"/>
                <w:color w:val="auto"/>
                <w:w w:val="99"/>
              </w:rPr>
              <w:t>NGL fractionation (average volumes in</w:t>
            </w:r>
          </w:p>
        </w:tc>
        <w:tc>
          <w:tcPr>
            <w:tcW w:w="2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660" w:type="dxa"/>
            <w:vAlign w:val="bottom"/>
            <w:tcBorders>
              <w:top w:val="single" w:sz="8" w:color="auto"/>
            </w:tcBorders>
            <w:vMerge w:val="restart"/>
            <w:shd w:val="clear" w:color="auto" w:fill="CCEEFF"/>
          </w:tcPr>
          <w:p>
            <w:pPr>
              <w:jc w:val="right"/>
              <w:ind w:right="15"/>
              <w:spacing w:after="0"/>
              <w:rPr>
                <w:sz w:val="20"/>
                <w:szCs w:val="20"/>
                <w:color w:val="auto"/>
              </w:rPr>
            </w:pPr>
            <w:r>
              <w:rPr>
                <w:rFonts w:ascii="Arial" w:cs="Arial" w:eastAsia="Arial" w:hAnsi="Arial"/>
                <w:sz w:val="18"/>
                <w:szCs w:val="18"/>
                <w:color w:val="auto"/>
              </w:rPr>
              <w:t>132</w:t>
            </w:r>
          </w:p>
        </w:tc>
        <w:tc>
          <w:tcPr>
            <w:tcW w:w="4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spacing w:after="0"/>
              <w:rPr>
                <w:sz w:val="15"/>
                <w:szCs w:val="15"/>
                <w:color w:val="auto"/>
              </w:rPr>
            </w:pPr>
          </w:p>
        </w:tc>
        <w:tc>
          <w:tcPr>
            <w:tcW w:w="620" w:type="dxa"/>
            <w:vAlign w:val="bottom"/>
            <w:tcBorders>
              <w:top w:val="single" w:sz="8" w:color="auto"/>
            </w:tcBorders>
            <w:vMerge w:val="restart"/>
            <w:shd w:val="clear" w:color="auto" w:fill="CCEEFF"/>
          </w:tcPr>
          <w:p>
            <w:pPr>
              <w:jc w:val="right"/>
              <w:ind w:right="12"/>
              <w:spacing w:after="0"/>
              <w:rPr>
                <w:sz w:val="20"/>
                <w:szCs w:val="20"/>
                <w:color w:val="auto"/>
              </w:rPr>
            </w:pPr>
            <w:r>
              <w:rPr>
                <w:rFonts w:ascii="Arial" w:cs="Arial" w:eastAsia="Arial" w:hAnsi="Arial"/>
                <w:sz w:val="18"/>
                <w:szCs w:val="18"/>
                <w:color w:val="auto"/>
              </w:rPr>
              <w:t>119</w:t>
            </w:r>
          </w:p>
        </w:tc>
        <w:tc>
          <w:tcPr>
            <w:tcW w:w="4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740" w:type="dxa"/>
            <w:vAlign w:val="bottom"/>
            <w:tcBorders>
              <w:top w:val="single" w:sz="8" w:color="auto"/>
            </w:tcBorders>
            <w:vMerge w:val="restart"/>
            <w:shd w:val="clear" w:color="auto" w:fill="CCEEFF"/>
          </w:tcPr>
          <w:p>
            <w:pPr>
              <w:jc w:val="right"/>
              <w:ind w:right="34"/>
              <w:spacing w:after="0"/>
              <w:rPr>
                <w:sz w:val="20"/>
                <w:szCs w:val="20"/>
                <w:color w:val="auto"/>
              </w:rPr>
            </w:pPr>
            <w:r>
              <w:rPr>
                <w:rFonts w:ascii="Arial" w:cs="Arial" w:eastAsia="Arial" w:hAnsi="Arial"/>
                <w:sz w:val="18"/>
                <w:szCs w:val="18"/>
                <w:color w:val="auto"/>
              </w:rPr>
              <w:t>13</w:t>
            </w:r>
          </w:p>
        </w:tc>
        <w:tc>
          <w:tcPr>
            <w:tcW w:w="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360" w:type="dxa"/>
            <w:vAlign w:val="bottom"/>
            <w:tcBorders>
              <w:top w:val="single" w:sz="8" w:color="auto"/>
            </w:tcBorders>
            <w:shd w:val="clear" w:color="auto" w:fill="CCEEFF"/>
          </w:tcPr>
          <w:p>
            <w:pPr>
              <w:spacing w:after="0"/>
              <w:rPr>
                <w:sz w:val="15"/>
                <w:szCs w:val="15"/>
                <w:color w:val="auto"/>
              </w:rPr>
            </w:pPr>
          </w:p>
        </w:tc>
        <w:tc>
          <w:tcPr>
            <w:tcW w:w="6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11 %</w:t>
            </w:r>
          </w:p>
        </w:tc>
        <w:tc>
          <w:tcPr>
            <w:tcW w:w="120" w:type="dxa"/>
            <w:vAlign w:val="bottom"/>
            <w:tcBorders>
              <w:top w:val="single" w:sz="8" w:color="CCEEFF"/>
              <w:right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680" w:type="dxa"/>
            <w:vAlign w:val="bottom"/>
            <w:tcBorders>
              <w:top w:val="single" w:sz="8" w:color="auto"/>
            </w:tcBorders>
            <w:vMerge w:val="restart"/>
            <w:shd w:val="clear" w:color="auto" w:fill="CCEEFF"/>
          </w:tcPr>
          <w:p>
            <w:pPr>
              <w:jc w:val="right"/>
              <w:ind w:right="35"/>
              <w:spacing w:after="0"/>
              <w:rPr>
                <w:sz w:val="20"/>
                <w:szCs w:val="20"/>
                <w:color w:val="auto"/>
              </w:rPr>
            </w:pPr>
            <w:r>
              <w:rPr>
                <w:rFonts w:ascii="Arial" w:cs="Arial" w:eastAsia="Arial" w:hAnsi="Arial"/>
                <w:sz w:val="18"/>
                <w:szCs w:val="18"/>
                <w:color w:val="auto"/>
              </w:rPr>
              <w:t>135</w:t>
            </w:r>
          </w:p>
        </w:tc>
        <w:tc>
          <w:tcPr>
            <w:tcW w:w="10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spacing w:after="0"/>
              <w:rPr>
                <w:sz w:val="15"/>
                <w:szCs w:val="15"/>
                <w:color w:val="auto"/>
              </w:rPr>
            </w:pPr>
          </w:p>
        </w:tc>
        <w:tc>
          <w:tcPr>
            <w:tcW w:w="640" w:type="dxa"/>
            <w:vAlign w:val="bottom"/>
            <w:tcBorders>
              <w:top w:val="single" w:sz="8" w:color="auto"/>
            </w:tcBorders>
            <w:vMerge w:val="restart"/>
            <w:shd w:val="clear" w:color="auto" w:fill="CCEEFF"/>
          </w:tcPr>
          <w:p>
            <w:pPr>
              <w:jc w:val="right"/>
              <w:ind w:right="32"/>
              <w:spacing w:after="0"/>
              <w:rPr>
                <w:sz w:val="20"/>
                <w:szCs w:val="20"/>
                <w:color w:val="auto"/>
              </w:rPr>
            </w:pPr>
            <w:r>
              <w:rPr>
                <w:rFonts w:ascii="Arial" w:cs="Arial" w:eastAsia="Arial" w:hAnsi="Arial"/>
                <w:sz w:val="18"/>
                <w:szCs w:val="18"/>
                <w:color w:val="auto"/>
              </w:rPr>
              <w:t>122</w:t>
            </w:r>
          </w:p>
        </w:tc>
        <w:tc>
          <w:tcPr>
            <w:tcW w:w="10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740" w:type="dxa"/>
            <w:vAlign w:val="bottom"/>
            <w:tcBorders>
              <w:top w:val="single" w:sz="8" w:color="auto"/>
            </w:tcBorders>
            <w:vMerge w:val="restart"/>
            <w:shd w:val="clear" w:color="auto" w:fill="CCEEFF"/>
          </w:tcPr>
          <w:p>
            <w:pPr>
              <w:jc w:val="right"/>
              <w:ind w:right="14"/>
              <w:spacing w:after="0"/>
              <w:rPr>
                <w:sz w:val="20"/>
                <w:szCs w:val="20"/>
                <w:color w:val="auto"/>
              </w:rPr>
            </w:pPr>
            <w:r>
              <w:rPr>
                <w:rFonts w:ascii="Arial" w:cs="Arial" w:eastAsia="Arial" w:hAnsi="Arial"/>
                <w:sz w:val="18"/>
                <w:szCs w:val="18"/>
                <w:color w:val="auto"/>
              </w:rPr>
              <w:t>13</w:t>
            </w:r>
          </w:p>
        </w:tc>
        <w:tc>
          <w:tcPr>
            <w:tcW w:w="120" w:type="dxa"/>
            <w:vAlign w:val="bottom"/>
            <w:tcBorders>
              <w:top w:val="single" w:sz="8" w:color="CCEEFF"/>
            </w:tcBorders>
            <w:shd w:val="clear" w:color="auto" w:fill="CCEEFF"/>
          </w:tcPr>
          <w:p>
            <w:pPr>
              <w:spacing w:after="0"/>
              <w:rPr>
                <w:sz w:val="15"/>
                <w:szCs w:val="15"/>
                <w:color w:val="auto"/>
              </w:rPr>
            </w:pPr>
          </w:p>
        </w:tc>
        <w:tc>
          <w:tcPr>
            <w:tcW w:w="360" w:type="dxa"/>
            <w:vAlign w:val="bottom"/>
            <w:tcBorders>
              <w:top w:val="single" w:sz="8" w:color="auto"/>
            </w:tcBorders>
            <w:shd w:val="clear" w:color="auto" w:fill="CCEEFF"/>
          </w:tcPr>
          <w:p>
            <w:pPr>
              <w:spacing w:after="0"/>
              <w:rPr>
                <w:sz w:val="15"/>
                <w:szCs w:val="15"/>
                <w:color w:val="auto"/>
              </w:rPr>
            </w:pPr>
          </w:p>
        </w:tc>
        <w:tc>
          <w:tcPr>
            <w:tcW w:w="6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11 %</w:t>
            </w:r>
          </w:p>
        </w:tc>
        <w:tc>
          <w:tcPr>
            <w:tcW w:w="0" w:type="dxa"/>
            <w:vAlign w:val="bottom"/>
          </w:tcPr>
          <w:p>
            <w:pPr>
              <w:spacing w:after="0"/>
              <w:rPr>
                <w:sz w:val="1"/>
                <w:szCs w:val="1"/>
                <w:color w:val="auto"/>
              </w:rPr>
            </w:pPr>
          </w:p>
        </w:tc>
      </w:tr>
      <w:tr>
        <w:trPr>
          <w:trHeight w:val="237"/>
        </w:trPr>
        <w:tc>
          <w:tcPr>
            <w:tcW w:w="3140" w:type="dxa"/>
            <w:vAlign w:val="bottom"/>
            <w:gridSpan w:val="4"/>
            <w:shd w:val="clear" w:color="auto" w:fill="CCEEFF"/>
          </w:tcPr>
          <w:p>
            <w:pPr>
              <w:ind w:left="200"/>
              <w:spacing w:after="0"/>
              <w:rPr>
                <w:sz w:val="20"/>
                <w:szCs w:val="20"/>
                <w:color w:val="auto"/>
              </w:rPr>
            </w:pPr>
            <w:r>
              <w:rPr>
                <w:rFonts w:ascii="Arial" w:cs="Arial" w:eastAsia="Arial" w:hAnsi="Arial"/>
                <w:sz w:val="18"/>
                <w:szCs w:val="18"/>
                <w:color w:val="auto"/>
              </w:rPr>
              <w:t>thousands of barrels per day)</w:t>
            </w:r>
          </w:p>
        </w:tc>
        <w:tc>
          <w:tcPr>
            <w:tcW w:w="200" w:type="dxa"/>
            <w:vAlign w:val="bottom"/>
            <w:shd w:val="clear" w:color="auto" w:fill="CCEEFF"/>
          </w:tcPr>
          <w:p>
            <w:pPr>
              <w:spacing w:after="0"/>
              <w:rPr>
                <w:sz w:val="20"/>
                <w:szCs w:val="20"/>
                <w:color w:val="auto"/>
              </w:rPr>
            </w:pPr>
          </w:p>
        </w:tc>
        <w:tc>
          <w:tcPr>
            <w:tcW w:w="660" w:type="dxa"/>
            <w:vAlign w:val="bottom"/>
            <w:vMerge w:val="continue"/>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620" w:type="dxa"/>
            <w:vAlign w:val="bottom"/>
            <w:vMerge w:val="continue"/>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40" w:type="dxa"/>
            <w:vAlign w:val="bottom"/>
            <w:vMerge w:val="continue"/>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660" w:type="dxa"/>
            <w:vAlign w:val="bottom"/>
            <w:vMerge w:val="continue"/>
            <w:shd w:val="clear" w:color="auto" w:fill="CCEEFF"/>
          </w:tcPr>
          <w:p>
            <w:pPr>
              <w:spacing w:after="0"/>
              <w:rPr>
                <w:sz w:val="20"/>
                <w:szCs w:val="20"/>
                <w:color w:val="auto"/>
              </w:rPr>
            </w:pPr>
          </w:p>
        </w:tc>
        <w:tc>
          <w:tcPr>
            <w:tcW w:w="120" w:type="dxa"/>
            <w:vAlign w:val="bottom"/>
            <w:tcBorders>
              <w:right w:val="single" w:sz="8" w:color="auto"/>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680" w:type="dxa"/>
            <w:vAlign w:val="bottom"/>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640" w:type="dxa"/>
            <w:vAlign w:val="bottom"/>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40" w:type="dxa"/>
            <w:vAlign w:val="bottom"/>
            <w:vMerge w:val="continue"/>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660" w:type="dxa"/>
            <w:vAlign w:val="bottom"/>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120" w:type="dxa"/>
            <w:vAlign w:val="bottom"/>
            <w:tcBorders>
              <w:top w:val="single" w:sz="8" w:color="CCEEFF"/>
              <w:bottom w:val="single" w:sz="8" w:color="CCEEFF"/>
            </w:tcBorders>
            <w:gridSpan w:val="3"/>
            <w:vMerge w:val="restart"/>
          </w:tcPr>
          <w:p>
            <w:pPr>
              <w:ind w:left="40"/>
              <w:spacing w:after="0"/>
              <w:rPr>
                <w:sz w:val="20"/>
                <w:szCs w:val="20"/>
                <w:color w:val="auto"/>
              </w:rPr>
            </w:pPr>
            <w:r>
              <w:rPr>
                <w:rFonts w:ascii="Arial" w:cs="Arial" w:eastAsia="Arial" w:hAnsi="Arial"/>
                <w:sz w:val="18"/>
                <w:szCs w:val="18"/>
                <w:color w:val="auto"/>
              </w:rPr>
              <w:t>Facilities segment total volumes</w:t>
            </w: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right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3120" w:type="dxa"/>
            <w:vAlign w:val="bottom"/>
            <w:gridSpan w:val="3"/>
            <w:vMerge w:val="continue"/>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140" w:type="dxa"/>
            <w:vAlign w:val="bottom"/>
            <w:gridSpan w:val="4"/>
          </w:tcPr>
          <w:p>
            <w:pPr>
              <w:ind w:left="200"/>
              <w:spacing w:after="0"/>
              <w:rPr>
                <w:sz w:val="20"/>
                <w:szCs w:val="20"/>
                <w:color w:val="auto"/>
              </w:rPr>
            </w:pPr>
            <w:r>
              <w:rPr>
                <w:rFonts w:ascii="Arial" w:cs="Arial" w:eastAsia="Arial" w:hAnsi="Arial"/>
                <w:sz w:val="18"/>
                <w:szCs w:val="18"/>
                <w:color w:val="auto"/>
                <w:w w:val="98"/>
              </w:rPr>
              <w:t>(average monthly volumes in millions</w:t>
            </w:r>
          </w:p>
        </w:tc>
        <w:tc>
          <w:tcPr>
            <w:tcW w:w="200" w:type="dxa"/>
            <w:vAlign w:val="bottom"/>
          </w:tcPr>
          <w:p>
            <w:pPr>
              <w:spacing w:after="0"/>
              <w:rPr>
                <w:sz w:val="18"/>
                <w:szCs w:val="18"/>
                <w:color w:val="auto"/>
              </w:rPr>
            </w:pPr>
          </w:p>
        </w:tc>
        <w:tc>
          <w:tcPr>
            <w:tcW w:w="660" w:type="dxa"/>
            <w:vAlign w:val="bottom"/>
            <w:vMerge w:val="restart"/>
          </w:tcPr>
          <w:p>
            <w:pPr>
              <w:jc w:val="right"/>
              <w:ind w:right="15"/>
              <w:spacing w:after="0"/>
              <w:rPr>
                <w:sz w:val="20"/>
                <w:szCs w:val="20"/>
                <w:color w:val="auto"/>
              </w:rPr>
            </w:pPr>
            <w:r>
              <w:rPr>
                <w:rFonts w:ascii="Arial" w:cs="Arial" w:eastAsia="Arial" w:hAnsi="Arial"/>
                <w:sz w:val="18"/>
                <w:szCs w:val="18"/>
                <w:color w:val="auto"/>
              </w:rPr>
              <w:t>124</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vMerge w:val="restart"/>
          </w:tcPr>
          <w:p>
            <w:pPr>
              <w:jc w:val="right"/>
              <w:ind w:right="12"/>
              <w:spacing w:after="0"/>
              <w:rPr>
                <w:sz w:val="20"/>
                <w:szCs w:val="20"/>
                <w:color w:val="auto"/>
              </w:rPr>
            </w:pPr>
            <w:r>
              <w:rPr>
                <w:rFonts w:ascii="Arial" w:cs="Arial" w:eastAsia="Arial" w:hAnsi="Arial"/>
                <w:sz w:val="18"/>
                <w:szCs w:val="18"/>
                <w:color w:val="auto"/>
              </w:rPr>
              <w:t>132</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vMerge w:val="restart"/>
          </w:tcPr>
          <w:p>
            <w:pPr>
              <w:jc w:val="right"/>
              <w:spacing w:after="0"/>
              <w:rPr>
                <w:sz w:val="20"/>
                <w:szCs w:val="20"/>
                <w:color w:val="auto"/>
              </w:rPr>
            </w:pPr>
            <w:r>
              <w:rPr>
                <w:rFonts w:ascii="Arial" w:cs="Arial" w:eastAsia="Arial" w:hAnsi="Arial"/>
                <w:sz w:val="18"/>
                <w:szCs w:val="18"/>
                <w:color w:val="auto"/>
              </w:rPr>
              <w:t>(8)</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60" w:type="dxa"/>
            <w:vAlign w:val="bottom"/>
            <w:vMerge w:val="restart"/>
          </w:tcPr>
          <w:p>
            <w:pPr>
              <w:jc w:val="right"/>
              <w:spacing w:after="0"/>
              <w:rPr>
                <w:sz w:val="20"/>
                <w:szCs w:val="20"/>
                <w:color w:val="auto"/>
              </w:rPr>
            </w:pPr>
            <w:r>
              <w:rPr>
                <w:rFonts w:ascii="Arial" w:cs="Arial" w:eastAsia="Arial" w:hAnsi="Arial"/>
                <w:sz w:val="18"/>
                <w:szCs w:val="18"/>
                <w:color w:val="auto"/>
              </w:rPr>
              <w:t>(6)%</w:t>
            </w:r>
          </w:p>
        </w:tc>
        <w:tc>
          <w:tcPr>
            <w:tcW w:w="1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vMerge w:val="restart"/>
          </w:tcPr>
          <w:p>
            <w:pPr>
              <w:jc w:val="right"/>
              <w:ind w:right="35"/>
              <w:spacing w:after="0"/>
              <w:rPr>
                <w:sz w:val="20"/>
                <w:szCs w:val="20"/>
                <w:color w:val="auto"/>
              </w:rPr>
            </w:pPr>
            <w:r>
              <w:rPr>
                <w:rFonts w:ascii="Arial" w:cs="Arial" w:eastAsia="Arial" w:hAnsi="Arial"/>
                <w:sz w:val="18"/>
                <w:szCs w:val="18"/>
                <w:color w:val="auto"/>
              </w:rPr>
              <w:t>124</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vMerge w:val="restart"/>
          </w:tcPr>
          <w:p>
            <w:pPr>
              <w:jc w:val="right"/>
              <w:ind w:right="32"/>
              <w:spacing w:after="0"/>
              <w:rPr>
                <w:sz w:val="20"/>
                <w:szCs w:val="20"/>
                <w:color w:val="auto"/>
              </w:rPr>
            </w:pPr>
            <w:r>
              <w:rPr>
                <w:rFonts w:ascii="Arial" w:cs="Arial" w:eastAsia="Arial" w:hAnsi="Arial"/>
                <w:sz w:val="18"/>
                <w:szCs w:val="18"/>
                <w:color w:val="auto"/>
              </w:rPr>
              <w:t>132</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vMerge w:val="restart"/>
          </w:tcPr>
          <w:p>
            <w:pPr>
              <w:jc w:val="right"/>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60" w:type="dxa"/>
            <w:vAlign w:val="bottom"/>
            <w:vMerge w:val="restart"/>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44"/>
        </w:trPr>
        <w:tc>
          <w:tcPr>
            <w:tcW w:w="3140" w:type="dxa"/>
            <w:vAlign w:val="bottom"/>
            <w:gridSpan w:val="4"/>
          </w:tcPr>
          <w:p>
            <w:pPr>
              <w:ind w:left="200"/>
              <w:spacing w:after="0" w:line="244" w:lineRule="exact"/>
              <w:rPr>
                <w:sz w:val="20"/>
                <w:szCs w:val="20"/>
                <w:color w:val="auto"/>
              </w:rPr>
            </w:pPr>
            <w:r>
              <w:rPr>
                <w:rFonts w:ascii="Arial" w:cs="Arial" w:eastAsia="Arial" w:hAnsi="Arial"/>
                <w:sz w:val="18"/>
                <w:szCs w:val="18"/>
                <w:color w:val="auto"/>
              </w:rPr>
              <w:t xml:space="preserve">of barrels) </w:t>
            </w:r>
            <w:r>
              <w:rPr>
                <w:rFonts w:ascii="Arial" w:cs="Arial" w:eastAsia="Arial" w:hAnsi="Arial"/>
                <w:sz w:val="25"/>
                <w:szCs w:val="25"/>
                <w:color w:val="auto"/>
                <w:vertAlign w:val="superscript"/>
              </w:rPr>
              <w:t>(6)</w:t>
            </w:r>
          </w:p>
        </w:tc>
        <w:tc>
          <w:tcPr>
            <w:tcW w:w="200" w:type="dxa"/>
            <w:vAlign w:val="bottom"/>
          </w:tcPr>
          <w:p>
            <w:pPr>
              <w:spacing w:after="0"/>
              <w:rPr>
                <w:sz w:val="21"/>
                <w:szCs w:val="21"/>
                <w:color w:val="auto"/>
              </w:rPr>
            </w:pPr>
          </w:p>
        </w:tc>
        <w:tc>
          <w:tcPr>
            <w:tcW w:w="660" w:type="dxa"/>
            <w:vAlign w:val="bottom"/>
            <w:vMerge w:val="continue"/>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20" w:type="dxa"/>
            <w:vAlign w:val="bottom"/>
            <w:vMerge w:val="continue"/>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40" w:type="dxa"/>
            <w:vAlign w:val="bottom"/>
            <w:vMerge w:val="continue"/>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60" w:type="dxa"/>
            <w:vAlign w:val="bottom"/>
            <w:vMerge w:val="continue"/>
          </w:tcPr>
          <w:p>
            <w:pPr>
              <w:spacing w:after="0"/>
              <w:rPr>
                <w:sz w:val="21"/>
                <w:szCs w:val="21"/>
                <w:color w:val="auto"/>
              </w:rPr>
            </w:pPr>
          </w:p>
        </w:tc>
        <w:tc>
          <w:tcPr>
            <w:tcW w:w="12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8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4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40" w:type="dxa"/>
            <w:vAlign w:val="bottom"/>
            <w:vMerge w:val="continue"/>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6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250444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2504440" cy="8890"/>
                    </a:xfrm>
                    <a:prstGeom prst="rect">
                      <a:avLst/>
                    </a:prstGeom>
                    <a:noFill/>
                  </pic:spPr>
                </pic:pic>
              </a:graphicData>
            </a:graphic>
          </wp:anchor>
        </w:drawing>
      </w:r>
    </w:p>
    <w:p>
      <w:pPr>
        <w:spacing w:after="0" w:line="233" w:lineRule="exact"/>
        <w:rPr>
          <w:sz w:val="20"/>
          <w:szCs w:val="20"/>
          <w:color w:val="auto"/>
        </w:rPr>
      </w:pPr>
    </w:p>
    <w:p>
      <w:pPr>
        <w:ind w:left="660" w:hanging="652"/>
        <w:spacing w:after="0"/>
        <w:tabs>
          <w:tab w:leader="none" w:pos="660" w:val="left"/>
        </w:tabs>
        <w:numPr>
          <w:ilvl w:val="0"/>
          <w:numId w:val="37"/>
        </w:numPr>
        <w:rPr>
          <w:rFonts w:ascii="Arial" w:cs="Arial" w:eastAsia="Arial" w:hAnsi="Arial"/>
          <w:sz w:val="25"/>
          <w:szCs w:val="25"/>
          <w:color w:val="auto"/>
          <w:vertAlign w:val="superscript"/>
        </w:rPr>
      </w:pPr>
      <w:r>
        <w:rPr>
          <w:rFonts w:ascii="Arial" w:cs="Arial" w:eastAsia="Arial" w:hAnsi="Arial"/>
          <w:sz w:val="18"/>
          <w:szCs w:val="18"/>
          <w:color w:val="auto"/>
        </w:rPr>
        <w:t>Indicates that variance as a percentage is not meaningful.</w:t>
      </w:r>
    </w:p>
    <w:p>
      <w:pPr>
        <w:spacing w:after="0" w:line="91" w:lineRule="exact"/>
        <w:rPr>
          <w:sz w:val="20"/>
          <w:szCs w:val="20"/>
          <w:color w:val="auto"/>
        </w:rPr>
      </w:pPr>
    </w:p>
    <w:p>
      <w:pPr>
        <w:ind w:left="660" w:hanging="652"/>
        <w:spacing w:after="0"/>
        <w:tabs>
          <w:tab w:leader="none" w:pos="660" w:val="left"/>
        </w:tabs>
        <w:numPr>
          <w:ilvl w:val="0"/>
          <w:numId w:val="38"/>
        </w:numPr>
        <w:rPr>
          <w:rFonts w:ascii="Arial" w:cs="Arial" w:eastAsia="Arial" w:hAnsi="Arial"/>
          <w:sz w:val="25"/>
          <w:szCs w:val="25"/>
          <w:color w:val="auto"/>
          <w:vertAlign w:val="superscript"/>
        </w:rPr>
      </w:pPr>
      <w:r>
        <w:rPr>
          <w:rFonts w:ascii="Arial" w:cs="Arial" w:eastAsia="Arial" w:hAnsi="Arial"/>
          <w:sz w:val="18"/>
          <w:szCs w:val="18"/>
          <w:color w:val="auto"/>
        </w:rPr>
        <w:t>Revenues and costs and expenses include intersegment amounts.</w:t>
      </w:r>
    </w:p>
    <w:p>
      <w:pPr>
        <w:spacing w:after="0" w:line="98" w:lineRule="exact"/>
        <w:rPr>
          <w:rFonts w:ascii="Arial" w:cs="Arial" w:eastAsia="Arial" w:hAnsi="Arial"/>
          <w:sz w:val="25"/>
          <w:szCs w:val="25"/>
          <w:color w:val="auto"/>
          <w:vertAlign w:val="superscript"/>
        </w:rPr>
      </w:pPr>
    </w:p>
    <w:p>
      <w:pPr>
        <w:ind w:left="660" w:right="260" w:hanging="652"/>
        <w:spacing w:after="0" w:line="246" w:lineRule="auto"/>
        <w:tabs>
          <w:tab w:leader="none" w:pos="660" w:val="left"/>
        </w:tabs>
        <w:numPr>
          <w:ilvl w:val="0"/>
          <w:numId w:val="38"/>
        </w:numPr>
        <w:rPr>
          <w:rFonts w:ascii="Arial" w:cs="Arial" w:eastAsia="Arial" w:hAnsi="Arial"/>
          <w:sz w:val="22"/>
          <w:szCs w:val="22"/>
          <w:color w:val="auto"/>
          <w:vertAlign w:val="superscript"/>
        </w:rPr>
      </w:pPr>
      <w:r>
        <w:rPr>
          <w:rFonts w:ascii="Arial" w:cs="Arial" w:eastAsia="Arial" w:hAnsi="Arial"/>
          <w:sz w:val="16"/>
          <w:szCs w:val="16"/>
          <w:color w:val="auto"/>
        </w:rPr>
        <w:t>Segment general and administrative expenses reflect direct costs attributable to each segment and an allocation of other expenses to the segments. The proportional allocations by segment require judgment by management and are based on the business activities that exist during each period.</w:t>
      </w:r>
    </w:p>
    <w:p>
      <w:pPr>
        <w:spacing w:after="0" w:line="87" w:lineRule="exact"/>
        <w:rPr>
          <w:rFonts w:ascii="Arial" w:cs="Arial" w:eastAsia="Arial" w:hAnsi="Arial"/>
          <w:sz w:val="22"/>
          <w:szCs w:val="22"/>
          <w:color w:val="auto"/>
          <w:vertAlign w:val="superscript"/>
        </w:rPr>
      </w:pPr>
    </w:p>
    <w:p>
      <w:pPr>
        <w:ind w:left="660" w:right="640" w:hanging="652"/>
        <w:spacing w:after="0" w:line="216" w:lineRule="auto"/>
        <w:tabs>
          <w:tab w:leader="none" w:pos="660" w:val="left"/>
        </w:tabs>
        <w:numPr>
          <w:ilvl w:val="0"/>
          <w:numId w:val="38"/>
        </w:numPr>
        <w:rPr>
          <w:rFonts w:ascii="Arial" w:cs="Arial" w:eastAsia="Arial" w:hAnsi="Arial"/>
          <w:sz w:val="25"/>
          <w:szCs w:val="25"/>
          <w:color w:val="auto"/>
          <w:vertAlign w:val="superscript"/>
        </w:rPr>
      </w:pPr>
      <w:r>
        <w:rPr>
          <w:rFonts w:ascii="Arial" w:cs="Arial" w:eastAsia="Arial" w:hAnsi="Arial"/>
          <w:sz w:val="18"/>
          <w:szCs w:val="18"/>
          <w:color w:val="auto"/>
        </w:rPr>
        <w:t>Represents adjustments included in the performance measure utilized by our CODM in the evaluation of segment results. See Note 14 to our Condensed Consolidated Financial Statements for additional discussion of such adjustments.</w:t>
      </w:r>
    </w:p>
    <w:p>
      <w:pPr>
        <w:spacing w:after="0" w:line="38" w:lineRule="exact"/>
        <w:rPr>
          <w:rFonts w:ascii="Arial" w:cs="Arial" w:eastAsia="Arial" w:hAnsi="Arial"/>
          <w:sz w:val="25"/>
          <w:szCs w:val="25"/>
          <w:color w:val="auto"/>
          <w:vertAlign w:val="superscript"/>
        </w:rPr>
      </w:pPr>
    </w:p>
    <w:p>
      <w:pPr>
        <w:ind w:left="660" w:hanging="652"/>
        <w:spacing w:after="0"/>
        <w:tabs>
          <w:tab w:leader="none" w:pos="660" w:val="left"/>
        </w:tabs>
        <w:numPr>
          <w:ilvl w:val="0"/>
          <w:numId w:val="38"/>
        </w:numPr>
        <w:rPr>
          <w:rFonts w:ascii="Arial" w:cs="Arial" w:eastAsia="Arial" w:hAnsi="Arial"/>
          <w:sz w:val="25"/>
          <w:szCs w:val="25"/>
          <w:color w:val="auto"/>
          <w:vertAlign w:val="superscript"/>
        </w:rPr>
      </w:pPr>
      <w:r>
        <w:rPr>
          <w:rFonts w:ascii="Arial" w:cs="Arial" w:eastAsia="Arial" w:hAnsi="Arial"/>
          <w:sz w:val="18"/>
          <w:szCs w:val="18"/>
          <w:color w:val="auto"/>
        </w:rPr>
        <w:t>Average monthly volumes are calculated as total volumes for the period divided by the number of months in the period.</w:t>
      </w:r>
    </w:p>
    <w:p>
      <w:pPr>
        <w:spacing w:after="0" w:line="98" w:lineRule="exact"/>
        <w:rPr>
          <w:rFonts w:ascii="Arial" w:cs="Arial" w:eastAsia="Arial" w:hAnsi="Arial"/>
          <w:sz w:val="25"/>
          <w:szCs w:val="25"/>
          <w:color w:val="auto"/>
          <w:vertAlign w:val="superscript"/>
        </w:rPr>
      </w:pPr>
    </w:p>
    <w:p>
      <w:pPr>
        <w:ind w:left="660" w:right="20" w:hanging="652"/>
        <w:spacing w:after="0" w:line="225" w:lineRule="auto"/>
        <w:tabs>
          <w:tab w:leader="none" w:pos="660" w:val="left"/>
        </w:tabs>
        <w:numPr>
          <w:ilvl w:val="0"/>
          <w:numId w:val="38"/>
        </w:numPr>
        <w:rPr>
          <w:rFonts w:ascii="Arial" w:cs="Arial" w:eastAsia="Arial" w:hAnsi="Arial"/>
          <w:sz w:val="25"/>
          <w:szCs w:val="25"/>
          <w:color w:val="auto"/>
          <w:vertAlign w:val="superscript"/>
        </w:rPr>
      </w:pPr>
      <w:r>
        <w:rPr>
          <w:rFonts w:ascii="Arial" w:cs="Arial" w:eastAsia="Arial" w:hAnsi="Arial"/>
          <w:sz w:val="18"/>
          <w:szCs w:val="18"/>
          <w:color w:val="auto"/>
        </w:rPr>
        <w:t>The decrease in average monthly working capacity of natural gas storage facilities was driven by adjustments for (i) the sale of our Bluewater natural gas storage facility in June 2017, (ii) changes in base gas and (iii) the net capacity change between capacity additions from fill and dewater operations and capacity losses from salt creep.</w:t>
      </w:r>
    </w:p>
    <w:p>
      <w:pPr>
        <w:spacing w:after="0" w:line="94" w:lineRule="exact"/>
        <w:rPr>
          <w:rFonts w:ascii="Arial" w:cs="Arial" w:eastAsia="Arial" w:hAnsi="Arial"/>
          <w:sz w:val="25"/>
          <w:szCs w:val="25"/>
          <w:color w:val="auto"/>
          <w:vertAlign w:val="superscript"/>
        </w:rPr>
      </w:pPr>
    </w:p>
    <w:p>
      <w:pPr>
        <w:ind w:left="660" w:right="360" w:hanging="652"/>
        <w:spacing w:after="0" w:line="216" w:lineRule="auto"/>
        <w:tabs>
          <w:tab w:leader="none" w:pos="660" w:val="left"/>
        </w:tabs>
        <w:numPr>
          <w:ilvl w:val="0"/>
          <w:numId w:val="38"/>
        </w:numPr>
        <w:rPr>
          <w:rFonts w:ascii="Arial" w:cs="Arial" w:eastAsia="Arial" w:hAnsi="Arial"/>
          <w:sz w:val="25"/>
          <w:szCs w:val="25"/>
          <w:color w:val="auto"/>
          <w:vertAlign w:val="superscript"/>
        </w:rPr>
      </w:pPr>
      <w:r>
        <w:rPr>
          <w:rFonts w:ascii="Arial" w:cs="Arial" w:eastAsia="Arial" w:hAnsi="Arial"/>
          <w:sz w:val="18"/>
          <w:szCs w:val="18"/>
          <w:color w:val="auto"/>
        </w:rPr>
        <w:t>Facilities segment total volumes is calculated as the sum of: (i) liquids storage capacity; (ii) natural gas storage working capacity divided by 6 to account for the 6:1 mcf of natural gas to crude Btu equivalent ratio and further</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125" w:right="239" w:bottom="1440" w:gutter="0" w:footer="0" w:header="0"/>
        </w:sectPr>
      </w:pPr>
    </w:p>
    <w:bookmarkStart w:id="50" w:name="page51"/>
    <w:bookmarkEnd w:id="5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79" w:lineRule="exact"/>
        <w:rPr>
          <w:sz w:val="20"/>
          <w:szCs w:val="20"/>
          <w:color w:val="auto"/>
        </w:rPr>
      </w:pPr>
    </w:p>
    <w:p>
      <w:pPr>
        <w:ind w:left="660" w:right="40"/>
        <w:spacing w:after="0" w:line="324" w:lineRule="auto"/>
        <w:rPr>
          <w:sz w:val="20"/>
          <w:szCs w:val="20"/>
          <w:color w:val="auto"/>
        </w:rPr>
      </w:pPr>
      <w:r>
        <w:rPr>
          <w:rFonts w:ascii="Arial" w:cs="Arial" w:eastAsia="Arial" w:hAnsi="Arial"/>
          <w:sz w:val="18"/>
          <w:szCs w:val="18"/>
          <w:color w:val="auto"/>
        </w:rPr>
        <w:t>divided by 1,000 to convert to monthly volumes in millions; and (iii) NGL fractionation volumes multiplied by the number of days in the period and divided by the number of months in the period.</w:t>
      </w:r>
    </w:p>
    <w:p>
      <w:pPr>
        <w:spacing w:after="0" w:line="14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is a discussion of items impacting Facilities segment operating results for the periods indicated.</w:t>
      </w:r>
    </w:p>
    <w:p>
      <w:pPr>
        <w:spacing w:after="0" w:line="225" w:lineRule="exact"/>
        <w:rPr>
          <w:sz w:val="20"/>
          <w:szCs w:val="20"/>
          <w:color w:val="auto"/>
        </w:rPr>
      </w:pPr>
    </w:p>
    <w:p>
      <w:pPr>
        <w:ind w:right="460" w:firstLine="648"/>
        <w:spacing w:after="0" w:line="277" w:lineRule="auto"/>
        <w:rPr>
          <w:sz w:val="20"/>
          <w:szCs w:val="20"/>
          <w:color w:val="auto"/>
        </w:rPr>
      </w:pPr>
      <w:r>
        <w:rPr>
          <w:rFonts w:ascii="Arial" w:cs="Arial" w:eastAsia="Arial" w:hAnsi="Arial"/>
          <w:sz w:val="18"/>
          <w:szCs w:val="18"/>
          <w:i w:val="1"/>
          <w:iCs w:val="1"/>
          <w:color w:val="auto"/>
        </w:rPr>
        <w:t xml:space="preserve">Revenues, Purchases and Related Costs and Volumes. </w:t>
      </w:r>
      <w:r>
        <w:rPr>
          <w:rFonts w:ascii="Arial" w:cs="Arial" w:eastAsia="Arial" w:hAnsi="Arial"/>
          <w:sz w:val="18"/>
          <w:szCs w:val="18"/>
          <w:color w:val="auto"/>
        </w:rPr>
        <w:t>Variances in revenues, purchases and related costs and average monthly volumes for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comparative periods were driven by:</w:t>
      </w:r>
    </w:p>
    <w:p>
      <w:pPr>
        <w:spacing w:after="0" w:line="170" w:lineRule="exact"/>
        <w:rPr>
          <w:sz w:val="20"/>
          <w:szCs w:val="20"/>
          <w:color w:val="auto"/>
        </w:rPr>
      </w:pPr>
    </w:p>
    <w:p>
      <w:pPr>
        <w:ind w:left="980" w:right="40" w:hanging="324"/>
        <w:spacing w:after="0" w:line="273" w:lineRule="auto"/>
        <w:tabs>
          <w:tab w:leader="none" w:pos="980" w:val="left"/>
        </w:tabs>
        <w:numPr>
          <w:ilvl w:val="0"/>
          <w:numId w:val="39"/>
        </w:numPr>
        <w:rPr>
          <w:rFonts w:ascii="Arial" w:cs="Arial" w:eastAsia="Arial" w:hAnsi="Arial"/>
          <w:sz w:val="17"/>
          <w:szCs w:val="17"/>
          <w:color w:val="auto"/>
        </w:rPr>
      </w:pPr>
      <w:r>
        <w:rPr>
          <w:rFonts w:ascii="Arial" w:cs="Arial" w:eastAsia="Arial" w:hAnsi="Arial"/>
          <w:sz w:val="17"/>
          <w:szCs w:val="17"/>
          <w:i w:val="1"/>
          <w:iCs w:val="1"/>
          <w:color w:val="auto"/>
        </w:rPr>
        <w:t xml:space="preserve">NGL Operations. </w:t>
      </w:r>
      <w:r>
        <w:rPr>
          <w:rFonts w:ascii="Arial" w:cs="Arial" w:eastAsia="Arial" w:hAnsi="Arial"/>
          <w:sz w:val="17"/>
          <w:szCs w:val="17"/>
          <w:color w:val="auto"/>
        </w:rPr>
        <w:t>Revenues increased by $1 million and $13 million for the three and six months ended June 30, 2018, respectively, over the</w:t>
      </w:r>
      <w:r>
        <w:rPr>
          <w:rFonts w:ascii="Arial" w:cs="Arial" w:eastAsia="Arial" w:hAnsi="Arial"/>
          <w:sz w:val="17"/>
          <w:szCs w:val="17"/>
          <w:i w:val="1"/>
          <w:iCs w:val="1"/>
          <w:color w:val="auto"/>
        </w:rPr>
        <w:t xml:space="preserve"> </w:t>
      </w:r>
      <w:r>
        <w:rPr>
          <w:rFonts w:ascii="Arial" w:cs="Arial" w:eastAsia="Arial" w:hAnsi="Arial"/>
          <w:sz w:val="17"/>
          <w:szCs w:val="17"/>
          <w:color w:val="auto"/>
        </w:rPr>
        <w:t>same periods in 2017 primarily due to (i) increased volumes and fees associated with placing an additional 1.6 million barrels of NGL storage capacity into service in the second half of 2017 at our Fort Saskatchewan facility, (ii) higher volumetric gains at certain facilities in the 2018 periods, (iii) a favorable foreign exchange impact of approximately $4 million and $9 million for the three and six month comparative periods, respectively. Such increases were partially offset by (i) decreases in fees at certain of our storage and fractionation facilities and (ii) the sale of a natural gas processing facility in the second quarter of 2018.</w:t>
      </w:r>
    </w:p>
    <w:p>
      <w:pPr>
        <w:spacing w:after="0" w:line="178" w:lineRule="exact"/>
        <w:rPr>
          <w:rFonts w:ascii="Arial" w:cs="Arial" w:eastAsia="Arial" w:hAnsi="Arial"/>
          <w:sz w:val="17"/>
          <w:szCs w:val="17"/>
          <w:color w:val="auto"/>
        </w:rPr>
      </w:pPr>
    </w:p>
    <w:p>
      <w:pPr>
        <w:ind w:left="980" w:hanging="324"/>
        <w:spacing w:after="0" w:line="308" w:lineRule="auto"/>
        <w:tabs>
          <w:tab w:leader="none" w:pos="980" w:val="left"/>
        </w:tabs>
        <w:numPr>
          <w:ilvl w:val="0"/>
          <w:numId w:val="39"/>
        </w:numPr>
        <w:rPr>
          <w:rFonts w:ascii="Arial" w:cs="Arial" w:eastAsia="Arial" w:hAnsi="Arial"/>
          <w:sz w:val="17"/>
          <w:szCs w:val="17"/>
          <w:color w:val="auto"/>
        </w:rPr>
      </w:pPr>
      <w:r>
        <w:rPr>
          <w:rFonts w:ascii="Arial" w:cs="Arial" w:eastAsia="Arial" w:hAnsi="Arial"/>
          <w:sz w:val="17"/>
          <w:szCs w:val="17"/>
          <w:i w:val="1"/>
          <w:iCs w:val="1"/>
          <w:color w:val="auto"/>
        </w:rPr>
        <w:t xml:space="preserve">Rail Terminals. </w:t>
      </w:r>
      <w:r>
        <w:rPr>
          <w:rFonts w:ascii="Arial" w:cs="Arial" w:eastAsia="Arial" w:hAnsi="Arial"/>
          <w:sz w:val="17"/>
          <w:szCs w:val="17"/>
          <w:color w:val="auto"/>
        </w:rPr>
        <w:t>Revenues increased by $2 million and $10 million for the three and six months ended June 30, 2018, respectively, over the same</w:t>
      </w:r>
      <w:r>
        <w:rPr>
          <w:rFonts w:ascii="Arial" w:cs="Arial" w:eastAsia="Arial" w:hAnsi="Arial"/>
          <w:sz w:val="17"/>
          <w:szCs w:val="17"/>
          <w:i w:val="1"/>
          <w:iCs w:val="1"/>
          <w:color w:val="auto"/>
        </w:rPr>
        <w:t xml:space="preserve"> </w:t>
      </w:r>
      <w:r>
        <w:rPr>
          <w:rFonts w:ascii="Arial" w:cs="Arial" w:eastAsia="Arial" w:hAnsi="Arial"/>
          <w:sz w:val="17"/>
          <w:szCs w:val="17"/>
          <w:color w:val="auto"/>
        </w:rPr>
        <w:t>periods in 2017 primarily due to higher activity at certain of our rail terminals resulting from more favorable market conditions.</w:t>
      </w:r>
    </w:p>
    <w:p>
      <w:pPr>
        <w:spacing w:after="0" w:line="146" w:lineRule="exact"/>
        <w:rPr>
          <w:rFonts w:ascii="Arial" w:cs="Arial" w:eastAsia="Arial" w:hAnsi="Arial"/>
          <w:sz w:val="17"/>
          <w:szCs w:val="17"/>
          <w:color w:val="auto"/>
        </w:rPr>
      </w:pPr>
    </w:p>
    <w:p>
      <w:pPr>
        <w:ind w:left="980" w:hanging="324"/>
        <w:spacing w:after="0" w:line="259" w:lineRule="auto"/>
        <w:tabs>
          <w:tab w:leader="none" w:pos="980" w:val="left"/>
        </w:tabs>
        <w:numPr>
          <w:ilvl w:val="0"/>
          <w:numId w:val="39"/>
        </w:numPr>
        <w:rPr>
          <w:rFonts w:ascii="Arial" w:cs="Arial" w:eastAsia="Arial" w:hAnsi="Arial"/>
          <w:sz w:val="18"/>
          <w:szCs w:val="18"/>
          <w:color w:val="auto"/>
        </w:rPr>
      </w:pPr>
      <w:r>
        <w:rPr>
          <w:rFonts w:ascii="Arial" w:cs="Arial" w:eastAsia="Arial" w:hAnsi="Arial"/>
          <w:sz w:val="18"/>
          <w:szCs w:val="18"/>
          <w:i w:val="1"/>
          <w:iCs w:val="1"/>
          <w:color w:val="auto"/>
        </w:rPr>
        <w:t xml:space="preserve">Crude Oil Storage. </w:t>
      </w:r>
      <w:r>
        <w:rPr>
          <w:rFonts w:ascii="Arial" w:cs="Arial" w:eastAsia="Arial" w:hAnsi="Arial"/>
          <w:sz w:val="18"/>
          <w:szCs w:val="18"/>
          <w:color w:val="auto"/>
        </w:rPr>
        <w:t>Revenues decreased by $5 million and $13 million for the three and six months ended June 30, 2018, respectively, compared</w:t>
      </w:r>
      <w:r>
        <w:rPr>
          <w:rFonts w:ascii="Arial" w:cs="Arial" w:eastAsia="Arial" w:hAnsi="Arial"/>
          <w:sz w:val="18"/>
          <w:szCs w:val="18"/>
          <w:i w:val="1"/>
          <w:iCs w:val="1"/>
          <w:color w:val="auto"/>
        </w:rPr>
        <w:t xml:space="preserve"> </w:t>
      </w:r>
      <w:r>
        <w:rPr>
          <w:rFonts w:ascii="Arial" w:cs="Arial" w:eastAsia="Arial" w:hAnsi="Arial"/>
          <w:sz w:val="18"/>
          <w:szCs w:val="18"/>
          <w:color w:val="auto"/>
        </w:rPr>
        <w:t>to the same periods in 2017 primarily due to the sale of certain of our Bay Area, California terminal assets in December 2017. These negative results were partially offset in both comparative periods by higher revenues from our Cushing terminal largely driven by increased throughout and capacity expansions of approximately 1 million barrels.</w:t>
      </w:r>
    </w:p>
    <w:p>
      <w:pPr>
        <w:spacing w:after="0" w:line="186" w:lineRule="exact"/>
        <w:rPr>
          <w:rFonts w:ascii="Arial" w:cs="Arial" w:eastAsia="Arial" w:hAnsi="Arial"/>
          <w:sz w:val="18"/>
          <w:szCs w:val="18"/>
          <w:color w:val="auto"/>
        </w:rPr>
      </w:pPr>
    </w:p>
    <w:p>
      <w:pPr>
        <w:jc w:val="both"/>
        <w:ind w:left="980" w:right="40" w:hanging="324"/>
        <w:spacing w:after="0" w:line="264" w:lineRule="auto"/>
        <w:tabs>
          <w:tab w:leader="none" w:pos="980" w:val="left"/>
        </w:tabs>
        <w:numPr>
          <w:ilvl w:val="0"/>
          <w:numId w:val="39"/>
        </w:numPr>
        <w:rPr>
          <w:rFonts w:ascii="Arial" w:cs="Arial" w:eastAsia="Arial" w:hAnsi="Arial"/>
          <w:sz w:val="18"/>
          <w:szCs w:val="18"/>
          <w:color w:val="auto"/>
        </w:rPr>
      </w:pPr>
      <w:r>
        <w:rPr>
          <w:rFonts w:ascii="Arial" w:cs="Arial" w:eastAsia="Arial" w:hAnsi="Arial"/>
          <w:sz w:val="18"/>
          <w:szCs w:val="18"/>
          <w:i w:val="1"/>
          <w:iCs w:val="1"/>
          <w:color w:val="auto"/>
        </w:rPr>
        <w:t>Natural Gas Storage</w:t>
      </w:r>
      <w:r>
        <w:rPr>
          <w:rFonts w:ascii="Arial" w:cs="Arial" w:eastAsia="Arial" w:hAnsi="Arial"/>
          <w:sz w:val="18"/>
          <w:szCs w:val="18"/>
          <w:color w:val="auto"/>
        </w:rPr>
        <w:t>. Revenues, net of purchases and related costs, decreased by $8 million for the six-month comparative period primarily due</w:t>
      </w:r>
      <w:r>
        <w:rPr>
          <w:rFonts w:ascii="Arial" w:cs="Arial" w:eastAsia="Arial" w:hAnsi="Arial"/>
          <w:sz w:val="18"/>
          <w:szCs w:val="18"/>
          <w:i w:val="1"/>
          <w:iCs w:val="1"/>
          <w:color w:val="auto"/>
        </w:rPr>
        <w:t xml:space="preserve"> </w:t>
      </w:r>
      <w:r>
        <w:rPr>
          <w:rFonts w:ascii="Arial" w:cs="Arial" w:eastAsia="Arial" w:hAnsi="Arial"/>
          <w:sz w:val="18"/>
          <w:szCs w:val="18"/>
          <w:color w:val="auto"/>
        </w:rPr>
        <w:t>to (i) the June 2017 sale of our Bluewater natural gas storage facility and (ii) the absence of a one-time fee recognized during the first quarter of 2017 related to the early termination of a storage contract at our Pine Prairie facility.</w:t>
      </w:r>
    </w:p>
    <w:p>
      <w:pPr>
        <w:spacing w:after="0" w:line="181" w:lineRule="exact"/>
        <w:rPr>
          <w:sz w:val="20"/>
          <w:szCs w:val="20"/>
          <w:color w:val="auto"/>
        </w:rPr>
      </w:pPr>
    </w:p>
    <w:p>
      <w:pPr>
        <w:ind w:right="100" w:firstLine="648"/>
        <w:spacing w:after="0" w:line="308" w:lineRule="auto"/>
        <w:rPr>
          <w:sz w:val="20"/>
          <w:szCs w:val="20"/>
          <w:color w:val="auto"/>
        </w:rPr>
      </w:pPr>
      <w:r>
        <w:rPr>
          <w:rFonts w:ascii="Arial" w:cs="Arial" w:eastAsia="Arial" w:hAnsi="Arial"/>
          <w:sz w:val="17"/>
          <w:szCs w:val="17"/>
          <w:i w:val="1"/>
          <w:iCs w:val="1"/>
          <w:color w:val="auto"/>
        </w:rPr>
        <w:t xml:space="preserve">Field Operating Costs. </w:t>
      </w:r>
      <w:r>
        <w:rPr>
          <w:rFonts w:ascii="Arial" w:cs="Arial" w:eastAsia="Arial" w:hAnsi="Arial"/>
          <w:sz w:val="17"/>
          <w:szCs w:val="17"/>
          <w:color w:val="auto"/>
        </w:rPr>
        <w:t>The increase in field operating costs for the three and six months ended June 30, 2018 compared to the three and six months</w:t>
      </w:r>
      <w:r>
        <w:rPr>
          <w:rFonts w:ascii="Arial" w:cs="Arial" w:eastAsia="Arial" w:hAnsi="Arial"/>
          <w:sz w:val="17"/>
          <w:szCs w:val="17"/>
          <w:i w:val="1"/>
          <w:iCs w:val="1"/>
          <w:color w:val="auto"/>
        </w:rPr>
        <w:t xml:space="preserve"> </w:t>
      </w:r>
      <w:r>
        <w:rPr>
          <w:rFonts w:ascii="Arial" w:cs="Arial" w:eastAsia="Arial" w:hAnsi="Arial"/>
          <w:sz w:val="17"/>
          <w:szCs w:val="17"/>
          <w:color w:val="auto"/>
        </w:rPr>
        <w:t>ended June 30, 2017 was primarily due to an increase in personnel costs, partially offset by lower costs due to the sale of assets.</w:t>
      </w:r>
    </w:p>
    <w:p>
      <w:pPr>
        <w:spacing w:after="0" w:line="147" w:lineRule="exact"/>
        <w:rPr>
          <w:sz w:val="20"/>
          <w:szCs w:val="20"/>
          <w:color w:val="auto"/>
        </w:rPr>
      </w:pPr>
    </w:p>
    <w:p>
      <w:pPr>
        <w:ind w:firstLine="648"/>
        <w:spacing w:after="0" w:line="286" w:lineRule="auto"/>
        <w:rPr>
          <w:sz w:val="20"/>
          <w:szCs w:val="20"/>
          <w:color w:val="auto"/>
        </w:rPr>
      </w:pPr>
      <w:r>
        <w:rPr>
          <w:rFonts w:ascii="Arial" w:cs="Arial" w:eastAsia="Arial" w:hAnsi="Arial"/>
          <w:sz w:val="17"/>
          <w:szCs w:val="17"/>
          <w:i w:val="1"/>
          <w:iCs w:val="1"/>
          <w:color w:val="auto"/>
        </w:rPr>
        <w:t xml:space="preserve">Segment General and Administrative Expenses. </w:t>
      </w:r>
      <w:r>
        <w:rPr>
          <w:rFonts w:ascii="Arial" w:cs="Arial" w:eastAsia="Arial" w:hAnsi="Arial"/>
          <w:sz w:val="17"/>
          <w:szCs w:val="17"/>
          <w:color w:val="auto"/>
        </w:rPr>
        <w:t>The increase in segment general and administrative expenses for the three and six months ended</w:t>
      </w:r>
      <w:r>
        <w:rPr>
          <w:rFonts w:ascii="Arial" w:cs="Arial" w:eastAsia="Arial" w:hAnsi="Arial"/>
          <w:sz w:val="17"/>
          <w:szCs w:val="17"/>
          <w:i w:val="1"/>
          <w:iCs w:val="1"/>
          <w:color w:val="auto"/>
        </w:rPr>
        <w:t xml:space="preserve"> </w:t>
      </w:r>
      <w:r>
        <w:rPr>
          <w:rFonts w:ascii="Arial" w:cs="Arial" w:eastAsia="Arial" w:hAnsi="Arial"/>
          <w:sz w:val="17"/>
          <w:szCs w:val="17"/>
          <w:color w:val="auto"/>
        </w:rPr>
        <w:t>June 30, 2018 compared to the three and six months ended June 30, 2017 was primarily driven by an increase in equity-indexed compensation expense due to the impact of an increase in PAA unit price for the 2018 periods compared to a decrease in PAA unit price for the 2017 periods.</w:t>
      </w:r>
    </w:p>
    <w:p>
      <w:pPr>
        <w:spacing w:after="0" w:line="166" w:lineRule="exact"/>
        <w:rPr>
          <w:sz w:val="20"/>
          <w:szCs w:val="20"/>
          <w:color w:val="auto"/>
        </w:rPr>
      </w:pPr>
    </w:p>
    <w:p>
      <w:pPr>
        <w:ind w:firstLine="648"/>
        <w:spacing w:after="0" w:line="297" w:lineRule="auto"/>
        <w:rPr>
          <w:sz w:val="20"/>
          <w:szCs w:val="20"/>
          <w:color w:val="auto"/>
        </w:rPr>
      </w:pPr>
      <w:r>
        <w:rPr>
          <w:rFonts w:ascii="Arial" w:cs="Arial" w:eastAsia="Arial" w:hAnsi="Arial"/>
          <w:sz w:val="16"/>
          <w:szCs w:val="16"/>
          <w:i w:val="1"/>
          <w:iCs w:val="1"/>
          <w:color w:val="auto"/>
        </w:rPr>
        <w:t xml:space="preserve">Maintenance Capital. </w:t>
      </w:r>
      <w:r>
        <w:rPr>
          <w:rFonts w:ascii="Arial" w:cs="Arial" w:eastAsia="Arial" w:hAnsi="Arial"/>
          <w:sz w:val="16"/>
          <w:szCs w:val="16"/>
          <w:color w:val="auto"/>
        </w:rPr>
        <w:t>The decrease in maintenance capital for the three and six months ended June 30, 2018 compared to the same periods in 2017</w:t>
      </w:r>
      <w:r>
        <w:rPr>
          <w:rFonts w:ascii="Arial" w:cs="Arial" w:eastAsia="Arial" w:hAnsi="Arial"/>
          <w:sz w:val="16"/>
          <w:szCs w:val="16"/>
          <w:i w:val="1"/>
          <w:iCs w:val="1"/>
          <w:color w:val="auto"/>
        </w:rPr>
        <w:t xml:space="preserve"> </w:t>
      </w:r>
      <w:r>
        <w:rPr>
          <w:rFonts w:ascii="Arial" w:cs="Arial" w:eastAsia="Arial" w:hAnsi="Arial"/>
          <w:sz w:val="16"/>
          <w:szCs w:val="16"/>
          <w:color w:val="auto"/>
        </w:rPr>
        <w:t>was primarily due to higher expenditures related to our integrity management program in 2017, primarily on assets at our Southern California terminals. Total maintenance costs related to our integrity management program at these terminals decreased by approximately $18 million and $31 million for the three and six months ended June 30, 2018, respectively, compared to the same periods in 2017. We expect to continue to see significant reductions to our maintenance capital costs compared to 2017 at these terminals going forward as we complete a number of maintenance projects in this area.</w:t>
      </w:r>
    </w:p>
    <w:p>
      <w:pPr>
        <w:spacing w:after="0" w:line="154"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Supply and Logistics Segment</w:t>
      </w:r>
    </w:p>
    <w:p>
      <w:pPr>
        <w:spacing w:after="0" w:line="229"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Our revenues from supply and logistics activities reflect the sale of gathered and bulk-purchased crude oil, as well as sales of NGL volumes and natural gas sales attributable to activities that were previously performed by the natural gas storage commercial optimization group. Generally, our segment results are impacted by (i) increases or decreases in our Supply and Logistics segment volumes (which consist of lease gathering crude oil purchases volumes and NGL sales volumes), (ii) the effects of competition on our lease gathering and NGL margins and (iii) the overall volatility and strength or weakness of market conditions and the allocation of our assets among our various risk management strategies. In addition, the execution of our risk management strategies in conjunction with our assets can provide upside in certain markets. Although our segment results may be adversely affected during certain transitional periods as discussed further below, our crude oil and NGL supply, logistics and distribution operations are not directly affected by the absolute level of prices, but are affected by overall levels of</w:t>
      </w:r>
    </w:p>
    <w:p>
      <w:pPr>
        <w:spacing w:after="0" w:line="20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380"/>
          </w:cols>
          <w:pgMar w:left="240" w:top="125" w:right="279" w:bottom="1440" w:gutter="0" w:footer="0" w:header="0"/>
        </w:sectPr>
      </w:pPr>
    </w:p>
    <w:bookmarkStart w:id="51" w:name="page52"/>
    <w:bookmarkEnd w:id="5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supply and demand for crude oil and NGL, market structure and relative fluctuations in market-related indices and regional differentials.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tables set forth our operating results from our Supply and Logistics segment:</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12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 xml:space="preserve">Operating Results </w:t>
            </w:r>
            <w:r>
              <w:rPr>
                <w:rFonts w:ascii="Arial" w:cs="Arial" w:eastAsia="Arial" w:hAnsi="Arial"/>
                <w:sz w:val="12"/>
                <w:szCs w:val="12"/>
                <w:b w:val="1"/>
                <w:bCs w:val="1"/>
                <w:color w:val="auto"/>
              </w:rPr>
              <w:t>(1)</w:t>
            </w:r>
          </w:p>
        </w:tc>
        <w:tc>
          <w:tcPr>
            <w:tcW w:w="220" w:type="dxa"/>
            <w:vAlign w:val="bottom"/>
          </w:tcPr>
          <w:p>
            <w:pPr>
              <w:spacing w:after="0"/>
              <w:rPr>
                <w:sz w:val="14"/>
                <w:szCs w:val="14"/>
                <w:color w:val="auto"/>
              </w:rPr>
            </w:pPr>
          </w:p>
        </w:tc>
        <w:tc>
          <w:tcPr>
            <w:tcW w:w="1780" w:type="dxa"/>
            <w:vAlign w:val="bottom"/>
            <w:gridSpan w:val="5"/>
          </w:tcPr>
          <w:p>
            <w:pPr>
              <w:ind w:left="100"/>
              <w:spacing w:after="0"/>
              <w:rPr>
                <w:sz w:val="20"/>
                <w:szCs w:val="20"/>
                <w:color w:val="auto"/>
              </w:rPr>
            </w:pPr>
            <w:r>
              <w:rPr>
                <w:rFonts w:ascii="Arial" w:cs="Arial" w:eastAsia="Arial" w:hAnsi="Arial"/>
                <w:sz w:val="14"/>
                <w:szCs w:val="14"/>
                <w:b w:val="1"/>
                <w:bCs w:val="1"/>
                <w:color w:val="auto"/>
              </w:rPr>
              <w:t>Three Months Ended</w:t>
            </w:r>
          </w:p>
        </w:tc>
        <w:tc>
          <w:tcPr>
            <w:tcW w:w="160" w:type="dxa"/>
            <w:vAlign w:val="bottom"/>
          </w:tcPr>
          <w:p>
            <w:pPr>
              <w:spacing w:after="0"/>
              <w:rPr>
                <w:sz w:val="14"/>
                <w:szCs w:val="14"/>
                <w:color w:val="auto"/>
              </w:rPr>
            </w:pPr>
          </w:p>
        </w:tc>
        <w:tc>
          <w:tcPr>
            <w:tcW w:w="1220" w:type="dxa"/>
            <w:vAlign w:val="bottom"/>
            <w:gridSpan w:val="3"/>
            <w:vMerge w:val="restart"/>
          </w:tcPr>
          <w:p>
            <w:pPr>
              <w:ind w:left="600"/>
              <w:spacing w:after="0"/>
              <w:rPr>
                <w:sz w:val="20"/>
                <w:szCs w:val="20"/>
                <w:color w:val="auto"/>
              </w:rPr>
            </w:pPr>
            <w:r>
              <w:rPr>
                <w:rFonts w:ascii="Arial" w:cs="Arial" w:eastAsia="Arial" w:hAnsi="Arial"/>
                <w:sz w:val="14"/>
                <w:szCs w:val="14"/>
                <w:b w:val="1"/>
                <w:bCs w:val="1"/>
                <w:color w:val="auto"/>
              </w:rPr>
              <w:t>Variance</w:t>
            </w: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60" w:type="dxa"/>
            <w:vAlign w:val="bottom"/>
            <w:gridSpan w:val="6"/>
          </w:tcPr>
          <w:p>
            <w:pPr>
              <w:jc w:val="center"/>
              <w:ind w:right="260"/>
              <w:spacing w:after="0"/>
              <w:rPr>
                <w:sz w:val="20"/>
                <w:szCs w:val="20"/>
                <w:color w:val="auto"/>
              </w:rPr>
            </w:pPr>
            <w:r>
              <w:rPr>
                <w:rFonts w:ascii="Arial" w:cs="Arial" w:eastAsia="Arial" w:hAnsi="Arial"/>
                <w:sz w:val="14"/>
                <w:szCs w:val="14"/>
                <w:b w:val="1"/>
                <w:bCs w:val="1"/>
                <w:color w:val="auto"/>
                <w:w w:val="92"/>
              </w:rPr>
              <w:t>Six Months Ended</w:t>
            </w:r>
          </w:p>
        </w:tc>
        <w:tc>
          <w:tcPr>
            <w:tcW w:w="140" w:type="dxa"/>
            <w:vAlign w:val="bottom"/>
          </w:tcPr>
          <w:p>
            <w:pPr>
              <w:spacing w:after="0"/>
              <w:rPr>
                <w:sz w:val="14"/>
                <w:szCs w:val="14"/>
                <w:color w:val="auto"/>
              </w:rPr>
            </w:pPr>
          </w:p>
        </w:tc>
        <w:tc>
          <w:tcPr>
            <w:tcW w:w="1220" w:type="dxa"/>
            <w:vAlign w:val="bottom"/>
            <w:gridSpan w:val="3"/>
            <w:vMerge w:val="restart"/>
          </w:tcPr>
          <w:p>
            <w:pPr>
              <w:ind w:left="600"/>
              <w:spacing w:after="0"/>
              <w:rPr>
                <w:sz w:val="20"/>
                <w:szCs w:val="20"/>
                <w:color w:val="auto"/>
              </w:rPr>
            </w:pPr>
            <w:r>
              <w:rPr>
                <w:rFonts w:ascii="Arial" w:cs="Arial" w:eastAsia="Arial" w:hAnsi="Arial"/>
                <w:sz w:val="14"/>
                <w:szCs w:val="14"/>
                <w:b w:val="1"/>
                <w:bCs w:val="1"/>
                <w:color w:val="auto"/>
              </w:rPr>
              <w:t>Variance</w:t>
            </w: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3120" w:type="dxa"/>
            <w:vAlign w:val="bottom"/>
            <w:gridSpan w:val="2"/>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gridSpan w:val="3"/>
          </w:tcPr>
          <w:p>
            <w:pPr>
              <w:ind w:left="500"/>
              <w:spacing w:after="0"/>
              <w:rPr>
                <w:sz w:val="20"/>
                <w:szCs w:val="20"/>
                <w:color w:val="auto"/>
              </w:rPr>
            </w:pPr>
            <w:r>
              <w:rPr>
                <w:rFonts w:ascii="Arial" w:cs="Arial" w:eastAsia="Arial" w:hAnsi="Arial"/>
                <w:sz w:val="14"/>
                <w:szCs w:val="14"/>
                <w:b w:val="1"/>
                <w:bCs w:val="1"/>
                <w:color w:val="auto"/>
                <w:w w:val="92"/>
              </w:rPr>
              <w:t>June 30,</w:t>
            </w:r>
          </w:p>
        </w:tc>
        <w:tc>
          <w:tcPr>
            <w:tcW w:w="6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3"/>
            <w:vMerge w:val="continue"/>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gridSpan w:val="3"/>
          </w:tcPr>
          <w:p>
            <w:pPr>
              <w:jc w:val="center"/>
              <w:ind w:left="435"/>
              <w:spacing w:after="0"/>
              <w:rPr>
                <w:sz w:val="20"/>
                <w:szCs w:val="20"/>
                <w:color w:val="auto"/>
              </w:rPr>
            </w:pPr>
            <w:r>
              <w:rPr>
                <w:rFonts w:ascii="Arial" w:cs="Arial" w:eastAsia="Arial" w:hAnsi="Arial"/>
                <w:sz w:val="14"/>
                <w:szCs w:val="14"/>
                <w:b w:val="1"/>
                <w:bCs w:val="1"/>
                <w:color w:val="auto"/>
                <w:w w:val="92"/>
              </w:rPr>
              <w:t>June 30,</w:t>
            </w:r>
          </w:p>
        </w:tc>
        <w:tc>
          <w:tcPr>
            <w:tcW w:w="6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3"/>
            <w:vMerge w:val="continue"/>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30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millions, except per barrel data)</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w:t>
            </w:r>
          </w:p>
        </w:tc>
        <w:tc>
          <w:tcPr>
            <w:tcW w:w="2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235"/>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w:t>
            </w:r>
          </w:p>
        </w:tc>
        <w:tc>
          <w:tcPr>
            <w:tcW w:w="1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50"/>
        </w:trPr>
        <w:tc>
          <w:tcPr>
            <w:tcW w:w="3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7,781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5,783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1,998</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35 %</w:t>
            </w: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15,893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w w:val="98"/>
              </w:rPr>
              <w:t>12,184</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3,709</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30 %</w:t>
            </w:r>
          </w:p>
        </w:tc>
        <w:tc>
          <w:tcPr>
            <w:tcW w:w="0" w:type="dxa"/>
            <w:vAlign w:val="bottom"/>
          </w:tcPr>
          <w:p>
            <w:pPr>
              <w:spacing w:after="0"/>
              <w:rPr>
                <w:sz w:val="1"/>
                <w:szCs w:val="1"/>
                <w:color w:val="auto"/>
              </w:rPr>
            </w:pPr>
          </w:p>
        </w:tc>
      </w:tr>
      <w:tr>
        <w:trPr>
          <w:trHeight w:val="243"/>
        </w:trPr>
        <w:tc>
          <w:tcPr>
            <w:tcW w:w="3120" w:type="dxa"/>
            <w:vAlign w:val="bottom"/>
            <w:gridSpan w:val="2"/>
          </w:tcPr>
          <w:p>
            <w:pPr>
              <w:ind w:left="40"/>
              <w:spacing w:after="0"/>
              <w:rPr>
                <w:sz w:val="20"/>
                <w:szCs w:val="20"/>
                <w:color w:val="auto"/>
              </w:rPr>
            </w:pPr>
            <w:r>
              <w:rPr>
                <w:rFonts w:ascii="Arial" w:cs="Arial" w:eastAsia="Arial" w:hAnsi="Arial"/>
                <w:sz w:val="18"/>
                <w:szCs w:val="18"/>
                <w:color w:val="auto"/>
              </w:rPr>
              <w:t>Purchases and related costs</w:t>
            </w:r>
          </w:p>
        </w:tc>
        <w:tc>
          <w:tcPr>
            <w:tcW w:w="22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(7,959)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(5,708)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(2,251)</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(39)%</w:t>
            </w:r>
          </w:p>
        </w:tc>
        <w:tc>
          <w:tcPr>
            <w:tcW w:w="20" w:type="dxa"/>
            <w:vAlign w:val="bottom"/>
          </w:tcPr>
          <w:p>
            <w:pPr>
              <w:spacing w:after="0"/>
              <w:rPr>
                <w:sz w:val="21"/>
                <w:szCs w:val="21"/>
                <w:color w:val="auto"/>
              </w:rPr>
            </w:pPr>
          </w:p>
        </w:tc>
        <w:tc>
          <w:tcPr>
            <w:tcW w:w="120" w:type="dxa"/>
            <w:vAlign w:val="bottom"/>
            <w:tcBorders>
              <w:right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w w:val="98"/>
              </w:rPr>
              <w:t>(15,884)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89"/>
              </w:rPr>
              <w:t>(11,678)</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(4,206)</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7"/>
        </w:trPr>
        <w:tc>
          <w:tcPr>
            <w:tcW w:w="3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6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Field operating costs</w:t>
            </w: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(132)</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1 %</w:t>
            </w:r>
          </w:p>
        </w:tc>
        <w:tc>
          <w:tcPr>
            <w:tcW w:w="0" w:type="dxa"/>
            <w:vAlign w:val="bottom"/>
          </w:tcPr>
          <w:p>
            <w:pPr>
              <w:spacing w:after="0"/>
              <w:rPr>
                <w:sz w:val="1"/>
                <w:szCs w:val="1"/>
                <w:color w:val="auto"/>
              </w:rPr>
            </w:pPr>
          </w:p>
        </w:tc>
      </w:tr>
      <w:tr>
        <w:trPr>
          <w:trHeight w:val="229"/>
        </w:trPr>
        <w:tc>
          <w:tcPr>
            <w:tcW w:w="3120" w:type="dxa"/>
            <w:vAlign w:val="bottom"/>
            <w:gridSpan w:val="2"/>
          </w:tcPr>
          <w:p>
            <w:pPr>
              <w:ind w:left="40"/>
              <w:spacing w:after="0"/>
              <w:rPr>
                <w:sz w:val="20"/>
                <w:szCs w:val="20"/>
                <w:color w:val="auto"/>
              </w:rPr>
            </w:pPr>
            <w:r>
              <w:rPr>
                <w:rFonts w:ascii="Arial" w:cs="Arial" w:eastAsia="Arial" w:hAnsi="Arial"/>
                <w:sz w:val="18"/>
                <w:szCs w:val="18"/>
                <w:color w:val="auto"/>
              </w:rPr>
              <w:t>Segment general and administrative</w:t>
            </w:r>
          </w:p>
        </w:tc>
        <w:tc>
          <w:tcPr>
            <w:tcW w:w="2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3120" w:type="dxa"/>
            <w:vAlign w:val="bottom"/>
            <w:gridSpan w:val="2"/>
          </w:tcPr>
          <w:p>
            <w:pPr>
              <w:ind w:left="200"/>
              <w:spacing w:after="0" w:line="257" w:lineRule="exact"/>
              <w:rPr>
                <w:sz w:val="20"/>
                <w:szCs w:val="20"/>
                <w:color w:val="auto"/>
              </w:rPr>
            </w:pPr>
            <w:r>
              <w:rPr>
                <w:rFonts w:ascii="Arial" w:cs="Arial" w:eastAsia="Arial" w:hAnsi="Arial"/>
                <w:sz w:val="18"/>
                <w:szCs w:val="18"/>
                <w:color w:val="auto"/>
              </w:rPr>
              <w:t xml:space="preserve">expenses </w:t>
            </w:r>
            <w:r>
              <w:rPr>
                <w:rFonts w:ascii="Arial" w:cs="Arial" w:eastAsia="Arial" w:hAnsi="Arial"/>
                <w:sz w:val="25"/>
                <w:szCs w:val="25"/>
                <w:color w:val="auto"/>
                <w:vertAlign w:val="superscript"/>
              </w:rPr>
              <w:t>(2)</w:t>
            </w:r>
          </w:p>
        </w:tc>
        <w:tc>
          <w:tcPr>
            <w:tcW w:w="22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(12)%</w:t>
            </w:r>
          </w:p>
        </w:tc>
        <w:tc>
          <w:tcPr>
            <w:tcW w:w="20" w:type="dxa"/>
            <w:vAlign w:val="bottom"/>
          </w:tcPr>
          <w:p>
            <w:pPr>
              <w:spacing w:after="0"/>
              <w:rPr>
                <w:sz w:val="22"/>
                <w:szCs w:val="22"/>
                <w:color w:val="auto"/>
              </w:rPr>
            </w:pPr>
          </w:p>
        </w:tc>
        <w:tc>
          <w:tcPr>
            <w:tcW w:w="120" w:type="dxa"/>
            <w:vAlign w:val="bottom"/>
            <w:tcBorders>
              <w:right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(59)</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(52)</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324"/>
        </w:trPr>
        <w:tc>
          <w:tcPr>
            <w:tcW w:w="30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20" w:type="dxa"/>
            <w:vAlign w:val="bottom"/>
            <w:tcBorders>
              <w:right w:val="single" w:sz="8" w:color="auto"/>
            </w:tcBorders>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120" w:type="dxa"/>
            <w:vAlign w:val="bottom"/>
            <w:gridSpan w:val="2"/>
          </w:tcPr>
          <w:p>
            <w:pPr>
              <w:ind w:left="40"/>
              <w:spacing w:after="0" w:line="270" w:lineRule="exact"/>
              <w:rPr>
                <w:sz w:val="20"/>
                <w:szCs w:val="20"/>
                <w:color w:val="auto"/>
              </w:rPr>
            </w:pPr>
            <w:r>
              <w:rPr>
                <w:rFonts w:ascii="Arial" w:cs="Arial" w:eastAsia="Arial" w:hAnsi="Arial"/>
                <w:sz w:val="18"/>
                <w:szCs w:val="18"/>
                <w:color w:val="auto"/>
              </w:rPr>
              <w:t xml:space="preserve">Adjustments </w:t>
            </w:r>
            <w:r>
              <w:rPr>
                <w:rFonts w:ascii="Arial" w:cs="Arial" w:eastAsia="Arial" w:hAnsi="Arial"/>
                <w:sz w:val="25"/>
                <w:szCs w:val="25"/>
                <w:color w:val="auto"/>
                <w:vertAlign w:val="superscript"/>
              </w:rPr>
              <w:t>(3)</w:t>
            </w: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Borders>
              <w:right w:val="single" w:sz="8" w:color="auto"/>
            </w:tcBorders>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31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(Gains)/losses from derivative</w:t>
            </w:r>
          </w:p>
        </w:tc>
        <w:tc>
          <w:tcPr>
            <w:tcW w:w="2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1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w w:val="99"/>
              </w:rPr>
              <w:t>activities net of inventory valuation</w:t>
            </w: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312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8"/>
                <w:szCs w:val="18"/>
                <w:color w:val="auto"/>
              </w:rPr>
              <w:t>adjustments</w:t>
            </w:r>
          </w:p>
        </w:tc>
        <w:tc>
          <w:tcPr>
            <w:tcW w:w="22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241</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253</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right w:val="single" w:sz="8" w:color="auto"/>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219</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(303)</w:t>
            </w: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522</w:t>
            </w: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3120" w:type="dxa"/>
            <w:vAlign w:val="bottom"/>
            <w:gridSpan w:val="2"/>
          </w:tcPr>
          <w:p>
            <w:pPr>
              <w:ind w:left="200"/>
              <w:spacing w:after="0"/>
              <w:rPr>
                <w:sz w:val="20"/>
                <w:szCs w:val="20"/>
                <w:color w:val="auto"/>
              </w:rPr>
            </w:pPr>
            <w:r>
              <w:rPr>
                <w:rFonts w:ascii="Arial" w:cs="Arial" w:eastAsia="Arial" w:hAnsi="Arial"/>
                <w:sz w:val="18"/>
                <w:szCs w:val="18"/>
                <w:color w:val="auto"/>
              </w:rPr>
              <w:t>Long-term inventory costing</w:t>
            </w:r>
          </w:p>
        </w:tc>
        <w:tc>
          <w:tcPr>
            <w:tcW w:w="2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120" w:type="dxa"/>
            <w:vAlign w:val="bottom"/>
            <w:gridSpan w:val="2"/>
          </w:tcPr>
          <w:p>
            <w:pPr>
              <w:ind w:left="360"/>
              <w:spacing w:after="0"/>
              <w:rPr>
                <w:sz w:val="20"/>
                <w:szCs w:val="20"/>
                <w:color w:val="auto"/>
              </w:rPr>
            </w:pPr>
            <w:r>
              <w:rPr>
                <w:rFonts w:ascii="Arial" w:cs="Arial" w:eastAsia="Arial" w:hAnsi="Arial"/>
                <w:sz w:val="18"/>
                <w:szCs w:val="18"/>
                <w:color w:val="auto"/>
              </w:rPr>
              <w:t>adjustments</w:t>
            </w:r>
          </w:p>
        </w:tc>
        <w:tc>
          <w:tcPr>
            <w:tcW w:w="220" w:type="dxa"/>
            <w:vAlign w:val="bottom"/>
          </w:tcPr>
          <w:p>
            <w:pPr>
              <w:spacing w:after="0"/>
              <w:rPr>
                <w:sz w:val="20"/>
                <w:szCs w:val="20"/>
                <w:color w:val="auto"/>
              </w:rPr>
            </w:pPr>
          </w:p>
        </w:tc>
        <w:tc>
          <w:tcPr>
            <w:tcW w:w="680" w:type="dxa"/>
            <w:vAlign w:val="bottom"/>
          </w:tcPr>
          <w:p>
            <w:pPr>
              <w:jc w:val="right"/>
              <w:ind w:right="15"/>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40" w:type="dxa"/>
            <w:vAlign w:val="bottom"/>
          </w:tcPr>
          <w:p>
            <w:pPr>
              <w:jc w:val="right"/>
              <w:ind w:right="12"/>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4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12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60" w:type="dxa"/>
            <w:vAlign w:val="bottom"/>
          </w:tcPr>
          <w:p>
            <w:pPr>
              <w:jc w:val="right"/>
              <w:ind w:right="12"/>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(21)</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6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6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12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w w:val="93"/>
              </w:rPr>
              <w:t>Equity-indexed compensation expense</w:t>
            </w: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3"/>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3120" w:type="dxa"/>
            <w:vAlign w:val="bottom"/>
            <w:gridSpan w:val="2"/>
          </w:tcPr>
          <w:p>
            <w:pPr>
              <w:ind w:left="200"/>
              <w:spacing w:after="0"/>
              <w:rPr>
                <w:sz w:val="20"/>
                <w:szCs w:val="20"/>
                <w:color w:val="auto"/>
              </w:rPr>
            </w:pPr>
            <w:r>
              <w:rPr>
                <w:rFonts w:ascii="Arial" w:cs="Arial" w:eastAsia="Arial" w:hAnsi="Arial"/>
                <w:sz w:val="18"/>
                <w:szCs w:val="18"/>
                <w:color w:val="auto"/>
              </w:rPr>
              <w:t>Net (gain)/loss on foreign currency</w:t>
            </w:r>
          </w:p>
        </w:tc>
        <w:tc>
          <w:tcPr>
            <w:tcW w:w="2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120" w:type="dxa"/>
            <w:vAlign w:val="bottom"/>
            <w:gridSpan w:val="2"/>
          </w:tcPr>
          <w:p>
            <w:pPr>
              <w:ind w:left="360"/>
              <w:spacing w:after="0"/>
              <w:rPr>
                <w:sz w:val="20"/>
                <w:szCs w:val="20"/>
                <w:color w:val="auto"/>
              </w:rPr>
            </w:pPr>
            <w:r>
              <w:rPr>
                <w:rFonts w:ascii="Arial" w:cs="Arial" w:eastAsia="Arial" w:hAnsi="Arial"/>
                <w:sz w:val="18"/>
                <w:szCs w:val="18"/>
                <w:color w:val="auto"/>
              </w:rPr>
              <w:t>revaluation</w:t>
            </w:r>
          </w:p>
        </w:tc>
        <w:tc>
          <w:tcPr>
            <w:tcW w:w="2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jc w:val="right"/>
              <w:ind w:right="14"/>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4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12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jc w:val="right"/>
              <w:ind w:right="35"/>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jc w:val="right"/>
              <w:ind w:right="14"/>
              <w:spacing w:after="0"/>
              <w:rPr>
                <w:sz w:val="20"/>
                <w:szCs w:val="20"/>
                <w:color w:val="auto"/>
              </w:rPr>
            </w:pPr>
            <w:r>
              <w:rPr>
                <w:rFonts w:ascii="Arial" w:cs="Arial" w:eastAsia="Arial" w:hAnsi="Arial"/>
                <w:sz w:val="18"/>
                <w:szCs w:val="18"/>
                <w:color w:val="auto"/>
              </w:rPr>
              <w:t>22</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6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0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20" w:type="dxa"/>
            <w:vAlign w:val="bottom"/>
            <w:tcBorders>
              <w:bottom w:val="single" w:sz="8" w:color="CCEEFF"/>
              <w:right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Segment adjusted EBITDA</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spacing w:after="0"/>
              <w:rPr>
                <w:sz w:val="22"/>
                <w:szCs w:val="22"/>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7 %</w:t>
            </w:r>
          </w:p>
        </w:tc>
        <w:tc>
          <w:tcPr>
            <w:tcW w:w="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right w:val="single" w:sz="8" w:color="auto"/>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45</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23</w:t>
            </w: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22</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96 %</w:t>
            </w:r>
          </w:p>
        </w:tc>
        <w:tc>
          <w:tcPr>
            <w:tcW w:w="0" w:type="dxa"/>
            <w:vAlign w:val="bottom"/>
          </w:tcPr>
          <w:p>
            <w:pPr>
              <w:spacing w:after="0"/>
              <w:rPr>
                <w:sz w:val="1"/>
                <w:szCs w:val="1"/>
                <w:color w:val="auto"/>
              </w:rPr>
            </w:pPr>
          </w:p>
        </w:tc>
      </w:tr>
      <w:tr>
        <w:trPr>
          <w:trHeight w:val="20"/>
        </w:trPr>
        <w:tc>
          <w:tcPr>
            <w:tcW w:w="3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3120" w:type="dxa"/>
            <w:vAlign w:val="bottom"/>
            <w:gridSpan w:val="2"/>
          </w:tcPr>
          <w:p>
            <w:pPr>
              <w:ind w:left="40"/>
              <w:spacing w:after="0"/>
              <w:rPr>
                <w:sz w:val="20"/>
                <w:szCs w:val="20"/>
                <w:color w:val="auto"/>
              </w:rPr>
            </w:pPr>
            <w:r>
              <w:rPr>
                <w:rFonts w:ascii="Arial" w:cs="Arial" w:eastAsia="Arial" w:hAnsi="Arial"/>
                <w:sz w:val="18"/>
                <w:szCs w:val="18"/>
                <w:color w:val="auto"/>
              </w:rPr>
              <w:t>Maintenance capital</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ind w:right="15"/>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4"/>
                <w:szCs w:val="24"/>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640" w:type="dxa"/>
            <w:vAlign w:val="bottom"/>
          </w:tcPr>
          <w:p>
            <w:pPr>
              <w:jc w:val="right"/>
              <w:ind w:right="12"/>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gridSpan w:val="3"/>
          </w:tcPr>
          <w:p>
            <w:pPr>
              <w:jc w:val="right"/>
              <w:ind w:right="600"/>
              <w:spacing w:after="0"/>
              <w:rPr>
                <w:sz w:val="20"/>
                <w:szCs w:val="20"/>
                <w:color w:val="auto"/>
              </w:rPr>
            </w:pPr>
            <w:r>
              <w:rPr>
                <w:rFonts w:ascii="Arial" w:cs="Arial" w:eastAsia="Arial" w:hAnsi="Arial"/>
                <w:sz w:val="18"/>
                <w:szCs w:val="18"/>
                <w:color w:val="auto"/>
              </w:rPr>
              <w:t>—</w:t>
            </w:r>
          </w:p>
        </w:tc>
        <w:tc>
          <w:tcPr>
            <w:tcW w:w="780" w:type="dxa"/>
            <w:vAlign w:val="bottom"/>
            <w:tcBorders>
              <w:right w:val="single" w:sz="8" w:color="auto"/>
            </w:tcBorders>
            <w:gridSpan w:val="3"/>
          </w:tcPr>
          <w:p>
            <w:pPr>
              <w:ind w:left="220"/>
              <w:spacing w:after="0"/>
              <w:rPr>
                <w:sz w:val="20"/>
                <w:szCs w:val="20"/>
                <w:color w:val="auto"/>
              </w:rPr>
            </w:pPr>
            <w:r>
              <w:rPr>
                <w:rFonts w:ascii="Arial" w:cs="Arial" w:eastAsia="Arial" w:hAnsi="Arial"/>
                <w:sz w:val="18"/>
                <w:szCs w:val="18"/>
                <w:color w:val="auto"/>
              </w:rPr>
              <w:t>— %</w:t>
            </w:r>
          </w:p>
        </w:tc>
        <w:tc>
          <w:tcPr>
            <w:tcW w:w="80" w:type="dxa"/>
            <w:vAlign w:val="bottom"/>
          </w:tcPr>
          <w:p>
            <w:pPr>
              <w:spacing w:after="0"/>
              <w:rPr>
                <w:sz w:val="24"/>
                <w:szCs w:val="24"/>
                <w:color w:val="auto"/>
              </w:rPr>
            </w:pPr>
          </w:p>
        </w:tc>
        <w:tc>
          <w:tcPr>
            <w:tcW w:w="180" w:type="dxa"/>
            <w:vAlign w:val="bottom"/>
            <w:gridSpan w:val="2"/>
          </w:tcPr>
          <w:p>
            <w:pPr>
              <w:jc w:val="right"/>
              <w:ind w:right="60"/>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ind w:right="35"/>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4"/>
                <w:szCs w:val="24"/>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660" w:type="dxa"/>
            <w:vAlign w:val="bottom"/>
          </w:tcPr>
          <w:p>
            <w:pPr>
              <w:jc w:val="right"/>
              <w:ind w:right="12"/>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51"/>
        </w:trPr>
        <w:tc>
          <w:tcPr>
            <w:tcW w:w="3120" w:type="dxa"/>
            <w:vAlign w:val="bottom"/>
            <w:tcBorders>
              <w:top w:val="single" w:sz="8" w:color="CCEEFF"/>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Segment adjusted EBITDA per barrel</w:t>
            </w: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0.03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80" w:type="dxa"/>
            <w:vAlign w:val="bottom"/>
            <w:tcBorders>
              <w:top w:val="single" w:sz="8" w:color="auto"/>
              <w:bottom w:val="single" w:sz="8" w:color="auto"/>
            </w:tcBorders>
            <w:shd w:val="clear" w:color="auto" w:fill="CCEEFF"/>
          </w:tcPr>
          <w:p>
            <w:pPr>
              <w:spacing w:after="0"/>
              <w:rPr>
                <w:sz w:val="21"/>
                <w:szCs w:val="21"/>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11 %</w:t>
            </w: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right w:val="single" w:sz="8" w:color="auto"/>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0.19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660" w:type="dxa"/>
            <w:vAlign w:val="bottom"/>
            <w:tcBorders>
              <w:top w:val="single" w:sz="8" w:color="auto"/>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0.11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0.08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auto"/>
            </w:tcBorders>
            <w:shd w:val="clear" w:color="auto" w:fill="CCEEFF"/>
          </w:tcPr>
          <w:p>
            <w:pPr>
              <w:spacing w:after="0"/>
              <w:rPr>
                <w:sz w:val="21"/>
                <w:szCs w:val="21"/>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73 %</w:t>
            </w:r>
          </w:p>
        </w:tc>
        <w:tc>
          <w:tcPr>
            <w:tcW w:w="0" w:type="dxa"/>
            <w:vAlign w:val="bottom"/>
          </w:tcPr>
          <w:p>
            <w:pPr>
              <w:spacing w:after="0"/>
              <w:rPr>
                <w:sz w:val="1"/>
                <w:szCs w:val="1"/>
                <w:color w:val="auto"/>
              </w:rPr>
            </w:pPr>
          </w:p>
        </w:tc>
      </w:tr>
      <w:tr>
        <w:trPr>
          <w:trHeight w:val="20"/>
        </w:trPr>
        <w:tc>
          <w:tcPr>
            <w:tcW w:w="3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5"/>
        </w:trPr>
        <w:tc>
          <w:tcPr>
            <w:tcW w:w="312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 xml:space="preserve">Average Daily Volumes </w:t>
            </w:r>
            <w:r>
              <w:rPr>
                <w:rFonts w:ascii="Arial" w:cs="Arial" w:eastAsia="Arial" w:hAnsi="Arial"/>
                <w:sz w:val="8"/>
                <w:szCs w:val="8"/>
                <w:b w:val="1"/>
                <w:bCs w:val="1"/>
                <w:color w:val="auto"/>
              </w:rPr>
              <w:t>(4)</w:t>
            </w:r>
          </w:p>
        </w:tc>
        <w:tc>
          <w:tcPr>
            <w:tcW w:w="220" w:type="dxa"/>
            <w:vAlign w:val="bottom"/>
          </w:tcPr>
          <w:p>
            <w:pPr>
              <w:spacing w:after="0"/>
              <w:rPr>
                <w:sz w:val="23"/>
                <w:szCs w:val="23"/>
                <w:color w:val="auto"/>
              </w:rPr>
            </w:pPr>
          </w:p>
        </w:tc>
        <w:tc>
          <w:tcPr>
            <w:tcW w:w="1780" w:type="dxa"/>
            <w:vAlign w:val="bottom"/>
            <w:gridSpan w:val="5"/>
          </w:tcPr>
          <w:p>
            <w:pPr>
              <w:ind w:left="100"/>
              <w:spacing w:after="0"/>
              <w:rPr>
                <w:sz w:val="20"/>
                <w:szCs w:val="20"/>
                <w:color w:val="auto"/>
              </w:rPr>
            </w:pPr>
            <w:r>
              <w:rPr>
                <w:rFonts w:ascii="Arial" w:cs="Arial" w:eastAsia="Arial" w:hAnsi="Arial"/>
                <w:sz w:val="14"/>
                <w:szCs w:val="14"/>
                <w:b w:val="1"/>
                <w:bCs w:val="1"/>
                <w:color w:val="auto"/>
              </w:rPr>
              <w:t>Three Months Ended</w:t>
            </w:r>
          </w:p>
        </w:tc>
        <w:tc>
          <w:tcPr>
            <w:tcW w:w="160" w:type="dxa"/>
            <w:vAlign w:val="bottom"/>
          </w:tcPr>
          <w:p>
            <w:pPr>
              <w:spacing w:after="0"/>
              <w:rPr>
                <w:sz w:val="23"/>
                <w:szCs w:val="23"/>
                <w:color w:val="auto"/>
              </w:rPr>
            </w:pPr>
          </w:p>
        </w:tc>
        <w:tc>
          <w:tcPr>
            <w:tcW w:w="1220" w:type="dxa"/>
            <w:vAlign w:val="bottom"/>
            <w:gridSpan w:val="3"/>
            <w:vMerge w:val="restart"/>
          </w:tcPr>
          <w:p>
            <w:pPr>
              <w:ind w:left="600"/>
              <w:spacing w:after="0"/>
              <w:rPr>
                <w:sz w:val="20"/>
                <w:szCs w:val="20"/>
                <w:color w:val="auto"/>
              </w:rPr>
            </w:pPr>
            <w:r>
              <w:rPr>
                <w:rFonts w:ascii="Arial" w:cs="Arial" w:eastAsia="Arial" w:hAnsi="Arial"/>
                <w:sz w:val="14"/>
                <w:szCs w:val="14"/>
                <w:b w:val="1"/>
                <w:bCs w:val="1"/>
                <w:color w:val="auto"/>
              </w:rPr>
              <w:t>Variance</w:t>
            </w:r>
          </w:p>
        </w:tc>
        <w:tc>
          <w:tcPr>
            <w:tcW w:w="6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860" w:type="dxa"/>
            <w:vAlign w:val="bottom"/>
            <w:gridSpan w:val="6"/>
          </w:tcPr>
          <w:p>
            <w:pPr>
              <w:jc w:val="center"/>
              <w:ind w:right="260"/>
              <w:spacing w:after="0"/>
              <w:rPr>
                <w:sz w:val="20"/>
                <w:szCs w:val="20"/>
                <w:color w:val="auto"/>
              </w:rPr>
            </w:pPr>
            <w:r>
              <w:rPr>
                <w:rFonts w:ascii="Arial" w:cs="Arial" w:eastAsia="Arial" w:hAnsi="Arial"/>
                <w:sz w:val="14"/>
                <w:szCs w:val="14"/>
                <w:b w:val="1"/>
                <w:bCs w:val="1"/>
                <w:color w:val="auto"/>
                <w:w w:val="92"/>
              </w:rPr>
              <w:t>Six Months Ended</w:t>
            </w:r>
          </w:p>
        </w:tc>
        <w:tc>
          <w:tcPr>
            <w:tcW w:w="140" w:type="dxa"/>
            <w:vAlign w:val="bottom"/>
          </w:tcPr>
          <w:p>
            <w:pPr>
              <w:spacing w:after="0"/>
              <w:rPr>
                <w:sz w:val="23"/>
                <w:szCs w:val="23"/>
                <w:color w:val="auto"/>
              </w:rPr>
            </w:pPr>
          </w:p>
        </w:tc>
        <w:tc>
          <w:tcPr>
            <w:tcW w:w="1220" w:type="dxa"/>
            <w:vAlign w:val="bottom"/>
            <w:gridSpan w:val="3"/>
            <w:vMerge w:val="restart"/>
          </w:tcPr>
          <w:p>
            <w:pPr>
              <w:ind w:left="600"/>
              <w:spacing w:after="0"/>
              <w:rPr>
                <w:sz w:val="20"/>
                <w:szCs w:val="20"/>
                <w:color w:val="auto"/>
              </w:rPr>
            </w:pPr>
            <w:r>
              <w:rPr>
                <w:rFonts w:ascii="Arial" w:cs="Arial" w:eastAsia="Arial" w:hAnsi="Arial"/>
                <w:sz w:val="14"/>
                <w:szCs w:val="14"/>
                <w:b w:val="1"/>
                <w:bCs w:val="1"/>
                <w:color w:val="auto"/>
              </w:rPr>
              <w:t>Variance</w:t>
            </w:r>
          </w:p>
        </w:tc>
        <w:tc>
          <w:tcPr>
            <w:tcW w:w="6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92"/>
        </w:trPr>
        <w:tc>
          <w:tcPr>
            <w:tcW w:w="3120" w:type="dxa"/>
            <w:vAlign w:val="bottom"/>
            <w:gridSpan w:val="2"/>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gridSpan w:val="3"/>
          </w:tcPr>
          <w:p>
            <w:pPr>
              <w:ind w:left="500"/>
              <w:spacing w:after="0"/>
              <w:rPr>
                <w:sz w:val="20"/>
                <w:szCs w:val="20"/>
                <w:color w:val="auto"/>
              </w:rPr>
            </w:pPr>
            <w:r>
              <w:rPr>
                <w:rFonts w:ascii="Arial" w:cs="Arial" w:eastAsia="Arial" w:hAnsi="Arial"/>
                <w:sz w:val="14"/>
                <w:szCs w:val="14"/>
                <w:b w:val="1"/>
                <w:bCs w:val="1"/>
                <w:color w:val="auto"/>
                <w:w w:val="92"/>
              </w:rPr>
              <w:t>June 30,</w:t>
            </w:r>
          </w:p>
        </w:tc>
        <w:tc>
          <w:tcPr>
            <w:tcW w:w="6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3"/>
            <w:vMerge w:val="continue"/>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gridSpan w:val="3"/>
          </w:tcPr>
          <w:p>
            <w:pPr>
              <w:jc w:val="center"/>
              <w:ind w:left="435"/>
              <w:spacing w:after="0"/>
              <w:rPr>
                <w:sz w:val="20"/>
                <w:szCs w:val="20"/>
                <w:color w:val="auto"/>
              </w:rPr>
            </w:pPr>
            <w:r>
              <w:rPr>
                <w:rFonts w:ascii="Arial" w:cs="Arial" w:eastAsia="Arial" w:hAnsi="Arial"/>
                <w:sz w:val="14"/>
                <w:szCs w:val="14"/>
                <w:b w:val="1"/>
                <w:bCs w:val="1"/>
                <w:color w:val="auto"/>
                <w:w w:val="92"/>
              </w:rPr>
              <w:t>June 30,</w:t>
            </w:r>
          </w:p>
        </w:tc>
        <w:tc>
          <w:tcPr>
            <w:tcW w:w="6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3"/>
            <w:vMerge w:val="continue"/>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30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thousands of barrels per day)</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94"/>
              <w:spacing w:after="0"/>
              <w:rPr>
                <w:sz w:val="20"/>
                <w:szCs w:val="20"/>
                <w:color w:val="auto"/>
              </w:rPr>
            </w:pPr>
            <w:r>
              <w:rPr>
                <w:rFonts w:ascii="Arial" w:cs="Arial" w:eastAsia="Arial" w:hAnsi="Arial"/>
                <w:sz w:val="14"/>
                <w:szCs w:val="14"/>
                <w:b w:val="1"/>
                <w:bCs w:val="1"/>
                <w:color w:val="auto"/>
                <w:w w:val="92"/>
              </w:rPr>
              <w:t>Volumes</w:t>
            </w:r>
          </w:p>
        </w:tc>
        <w:tc>
          <w:tcPr>
            <w:tcW w:w="1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w:t>
            </w:r>
          </w:p>
        </w:tc>
        <w:tc>
          <w:tcPr>
            <w:tcW w:w="2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215"/>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94"/>
              <w:spacing w:after="0"/>
              <w:rPr>
                <w:sz w:val="20"/>
                <w:szCs w:val="20"/>
                <w:color w:val="auto"/>
              </w:rPr>
            </w:pPr>
            <w:r>
              <w:rPr>
                <w:rFonts w:ascii="Arial" w:cs="Arial" w:eastAsia="Arial" w:hAnsi="Arial"/>
                <w:sz w:val="14"/>
                <w:szCs w:val="14"/>
                <w:b w:val="1"/>
                <w:bCs w:val="1"/>
                <w:color w:val="auto"/>
                <w:w w:val="92"/>
              </w:rPr>
              <w:t>Volumes</w:t>
            </w:r>
          </w:p>
        </w:tc>
        <w:tc>
          <w:tcPr>
            <w:tcW w:w="1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50"/>
        </w:trPr>
        <w:tc>
          <w:tcPr>
            <w:tcW w:w="3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Crude oil lease gathering purchases</w:t>
            </w: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1,028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940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88</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9 %</w:t>
            </w: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1,030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929</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101</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11 %</w:t>
            </w:r>
          </w:p>
        </w:tc>
        <w:tc>
          <w:tcPr>
            <w:tcW w:w="0" w:type="dxa"/>
            <w:vAlign w:val="bottom"/>
          </w:tcPr>
          <w:p>
            <w:pPr>
              <w:spacing w:after="0"/>
              <w:rPr>
                <w:sz w:val="1"/>
                <w:szCs w:val="1"/>
                <w:color w:val="auto"/>
              </w:rPr>
            </w:pPr>
          </w:p>
        </w:tc>
      </w:tr>
      <w:tr>
        <w:trPr>
          <w:trHeight w:val="243"/>
        </w:trPr>
        <w:tc>
          <w:tcPr>
            <w:tcW w:w="3120" w:type="dxa"/>
            <w:vAlign w:val="bottom"/>
            <w:gridSpan w:val="2"/>
          </w:tcPr>
          <w:p>
            <w:pPr>
              <w:ind w:left="40"/>
              <w:spacing w:after="0"/>
              <w:rPr>
                <w:sz w:val="20"/>
                <w:szCs w:val="20"/>
                <w:color w:val="auto"/>
              </w:rPr>
            </w:pPr>
            <w:r>
              <w:rPr>
                <w:rFonts w:ascii="Arial" w:cs="Arial" w:eastAsia="Arial" w:hAnsi="Arial"/>
                <w:sz w:val="18"/>
                <w:szCs w:val="18"/>
                <w:color w:val="auto"/>
              </w:rPr>
              <w:t>NGL sales</w:t>
            </w:r>
          </w:p>
        </w:tc>
        <w:tc>
          <w:tcPr>
            <w:tcW w:w="220" w:type="dxa"/>
            <w:vAlign w:val="bottom"/>
          </w:tcPr>
          <w:p>
            <w:pPr>
              <w:spacing w:after="0"/>
              <w:rPr>
                <w:sz w:val="21"/>
                <w:szCs w:val="21"/>
                <w:color w:val="auto"/>
              </w:rPr>
            </w:pPr>
          </w:p>
        </w:tc>
        <w:tc>
          <w:tcPr>
            <w:tcW w:w="680" w:type="dxa"/>
            <w:vAlign w:val="bottom"/>
          </w:tcPr>
          <w:p>
            <w:pPr>
              <w:jc w:val="right"/>
              <w:ind w:right="15"/>
              <w:spacing w:after="0"/>
              <w:rPr>
                <w:sz w:val="20"/>
                <w:szCs w:val="20"/>
                <w:color w:val="auto"/>
              </w:rPr>
            </w:pPr>
            <w:r>
              <w:rPr>
                <w:rFonts w:ascii="Arial" w:cs="Arial" w:eastAsia="Arial" w:hAnsi="Arial"/>
                <w:sz w:val="18"/>
                <w:szCs w:val="18"/>
                <w:color w:val="auto"/>
              </w:rPr>
              <w:t>174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40" w:type="dxa"/>
            <w:vAlign w:val="bottom"/>
          </w:tcPr>
          <w:p>
            <w:pPr>
              <w:jc w:val="right"/>
              <w:ind w:right="12"/>
              <w:spacing w:after="0"/>
              <w:rPr>
                <w:sz w:val="20"/>
                <w:szCs w:val="20"/>
                <w:color w:val="auto"/>
              </w:rPr>
            </w:pPr>
            <w:r>
              <w:rPr>
                <w:rFonts w:ascii="Arial" w:cs="Arial" w:eastAsia="Arial" w:hAnsi="Arial"/>
                <w:sz w:val="18"/>
                <w:szCs w:val="18"/>
                <w:color w:val="auto"/>
              </w:rPr>
              <w:t>210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(17)%</w:t>
            </w:r>
          </w:p>
        </w:tc>
        <w:tc>
          <w:tcPr>
            <w:tcW w:w="20" w:type="dxa"/>
            <w:vAlign w:val="bottom"/>
          </w:tcPr>
          <w:p>
            <w:pPr>
              <w:spacing w:after="0"/>
              <w:rPr>
                <w:sz w:val="21"/>
                <w:szCs w:val="21"/>
                <w:color w:val="auto"/>
              </w:rPr>
            </w:pPr>
          </w:p>
        </w:tc>
        <w:tc>
          <w:tcPr>
            <w:tcW w:w="120" w:type="dxa"/>
            <w:vAlign w:val="bottom"/>
            <w:tcBorders>
              <w:right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jc w:val="right"/>
              <w:ind w:right="35"/>
              <w:spacing w:after="0"/>
              <w:rPr>
                <w:sz w:val="20"/>
                <w:szCs w:val="20"/>
                <w:color w:val="auto"/>
              </w:rPr>
            </w:pPr>
            <w:r>
              <w:rPr>
                <w:rFonts w:ascii="Arial" w:cs="Arial" w:eastAsia="Arial" w:hAnsi="Arial"/>
                <w:sz w:val="18"/>
                <w:szCs w:val="18"/>
                <w:color w:val="auto"/>
              </w:rPr>
              <w:t>266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60" w:type="dxa"/>
            <w:vAlign w:val="bottom"/>
          </w:tcPr>
          <w:p>
            <w:pPr>
              <w:jc w:val="right"/>
              <w:ind w:right="32"/>
              <w:spacing w:after="0"/>
              <w:rPr>
                <w:sz w:val="20"/>
                <w:szCs w:val="20"/>
                <w:color w:val="auto"/>
              </w:rPr>
            </w:pPr>
            <w:r>
              <w:rPr>
                <w:rFonts w:ascii="Arial" w:cs="Arial" w:eastAsia="Arial" w:hAnsi="Arial"/>
                <w:sz w:val="18"/>
                <w:szCs w:val="18"/>
                <w:color w:val="auto"/>
              </w:rPr>
              <w:t>280</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7"/>
        </w:trPr>
        <w:tc>
          <w:tcPr>
            <w:tcW w:w="3120" w:type="dxa"/>
            <w:vAlign w:val="bottom"/>
            <w:tcBorders>
              <w:bottom w:val="single" w:sz="8" w:color="CCEEFF"/>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CCEEFF"/>
              <w:right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31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Supply and Logistics segment total</w:t>
            </w:r>
          </w:p>
        </w:tc>
        <w:tc>
          <w:tcPr>
            <w:tcW w:w="220" w:type="dxa"/>
            <w:vAlign w:val="bottom"/>
            <w:shd w:val="clear" w:color="auto" w:fill="CCEEFF"/>
          </w:tcPr>
          <w:p>
            <w:pPr>
              <w:spacing w:after="0"/>
              <w:rPr>
                <w:sz w:val="18"/>
                <w:szCs w:val="18"/>
                <w:color w:val="auto"/>
              </w:rPr>
            </w:pPr>
          </w:p>
        </w:tc>
        <w:tc>
          <w:tcPr>
            <w:tcW w:w="680" w:type="dxa"/>
            <w:vAlign w:val="bottom"/>
            <w:vMerge w:val="restart"/>
            <w:shd w:val="clear" w:color="auto" w:fill="CCEEFF"/>
          </w:tcPr>
          <w:p>
            <w:pPr>
              <w:jc w:val="right"/>
              <w:ind w:right="15"/>
              <w:spacing w:after="0"/>
              <w:rPr>
                <w:sz w:val="20"/>
                <w:szCs w:val="20"/>
                <w:color w:val="auto"/>
              </w:rPr>
            </w:pPr>
            <w:r>
              <w:rPr>
                <w:rFonts w:ascii="Arial" w:cs="Arial" w:eastAsia="Arial" w:hAnsi="Arial"/>
                <w:sz w:val="18"/>
                <w:szCs w:val="18"/>
                <w:color w:val="auto"/>
              </w:rPr>
              <w:t>1,202</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40" w:type="dxa"/>
            <w:vAlign w:val="bottom"/>
            <w:vMerge w:val="restart"/>
            <w:shd w:val="clear" w:color="auto" w:fill="CCEEFF"/>
          </w:tcPr>
          <w:p>
            <w:pPr>
              <w:jc w:val="right"/>
              <w:ind w:right="12"/>
              <w:spacing w:after="0"/>
              <w:rPr>
                <w:sz w:val="20"/>
                <w:szCs w:val="20"/>
                <w:color w:val="auto"/>
              </w:rPr>
            </w:pPr>
            <w:r>
              <w:rPr>
                <w:rFonts w:ascii="Arial" w:cs="Arial" w:eastAsia="Arial" w:hAnsi="Arial"/>
                <w:sz w:val="18"/>
                <w:szCs w:val="18"/>
                <w:color w:val="auto"/>
              </w:rPr>
              <w:t>1,150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vMerge w:val="restart"/>
            <w:shd w:val="clear" w:color="auto" w:fill="CCEEFF"/>
          </w:tcPr>
          <w:p>
            <w:pPr>
              <w:jc w:val="right"/>
              <w:ind w:right="34"/>
              <w:spacing w:after="0"/>
              <w:rPr>
                <w:sz w:val="20"/>
                <w:szCs w:val="20"/>
                <w:color w:val="auto"/>
              </w:rPr>
            </w:pPr>
            <w:r>
              <w:rPr>
                <w:rFonts w:ascii="Arial" w:cs="Arial" w:eastAsia="Arial" w:hAnsi="Arial"/>
                <w:sz w:val="18"/>
                <w:szCs w:val="18"/>
                <w:color w:val="auto"/>
              </w:rPr>
              <w:t>52</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5 %</w:t>
            </w:r>
          </w:p>
        </w:tc>
        <w:tc>
          <w:tcPr>
            <w:tcW w:w="20" w:type="dxa"/>
            <w:vAlign w:val="bottom"/>
            <w:shd w:val="clear" w:color="auto" w:fill="CCEEFF"/>
          </w:tcPr>
          <w:p>
            <w:pPr>
              <w:spacing w:after="0"/>
              <w:rPr>
                <w:sz w:val="18"/>
                <w:szCs w:val="18"/>
                <w:color w:val="auto"/>
              </w:rPr>
            </w:pPr>
          </w:p>
        </w:tc>
        <w:tc>
          <w:tcPr>
            <w:tcW w:w="12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vMerge w:val="restart"/>
            <w:shd w:val="clear" w:color="auto" w:fill="CCEEFF"/>
          </w:tcPr>
          <w:p>
            <w:pPr>
              <w:jc w:val="right"/>
              <w:ind w:right="35"/>
              <w:spacing w:after="0"/>
              <w:rPr>
                <w:sz w:val="20"/>
                <w:szCs w:val="20"/>
                <w:color w:val="auto"/>
              </w:rPr>
            </w:pPr>
            <w:r>
              <w:rPr>
                <w:rFonts w:ascii="Arial" w:cs="Arial" w:eastAsia="Arial" w:hAnsi="Arial"/>
                <w:sz w:val="18"/>
                <w:szCs w:val="18"/>
                <w:color w:val="auto"/>
              </w:rPr>
              <w:t>1,296</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60" w:type="dxa"/>
            <w:vAlign w:val="bottom"/>
            <w:vMerge w:val="restart"/>
            <w:shd w:val="clear" w:color="auto" w:fill="CCEEFF"/>
          </w:tcPr>
          <w:p>
            <w:pPr>
              <w:jc w:val="right"/>
              <w:ind w:right="32"/>
              <w:spacing w:after="0"/>
              <w:rPr>
                <w:sz w:val="20"/>
                <w:szCs w:val="20"/>
                <w:color w:val="auto"/>
              </w:rPr>
            </w:pPr>
            <w:r>
              <w:rPr>
                <w:rFonts w:ascii="Arial" w:cs="Arial" w:eastAsia="Arial" w:hAnsi="Arial"/>
                <w:sz w:val="18"/>
                <w:szCs w:val="18"/>
                <w:color w:val="auto"/>
              </w:rPr>
              <w:t>1,209</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vMerge w:val="restart"/>
            <w:shd w:val="clear" w:color="auto" w:fill="CCEEFF"/>
          </w:tcPr>
          <w:p>
            <w:pPr>
              <w:jc w:val="right"/>
              <w:ind w:right="14"/>
              <w:spacing w:after="0"/>
              <w:rPr>
                <w:sz w:val="20"/>
                <w:szCs w:val="20"/>
                <w:color w:val="auto"/>
              </w:rPr>
            </w:pPr>
            <w:r>
              <w:rPr>
                <w:rFonts w:ascii="Arial" w:cs="Arial" w:eastAsia="Arial" w:hAnsi="Arial"/>
                <w:sz w:val="18"/>
                <w:szCs w:val="18"/>
                <w:color w:val="auto"/>
              </w:rPr>
              <w:t>87</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7 %</w:t>
            </w:r>
          </w:p>
        </w:tc>
        <w:tc>
          <w:tcPr>
            <w:tcW w:w="0" w:type="dxa"/>
            <w:vAlign w:val="bottom"/>
          </w:tcPr>
          <w:p>
            <w:pPr>
              <w:spacing w:after="0"/>
              <w:rPr>
                <w:sz w:val="1"/>
                <w:szCs w:val="1"/>
                <w:color w:val="auto"/>
              </w:rPr>
            </w:pPr>
          </w:p>
        </w:tc>
      </w:tr>
      <w:tr>
        <w:trPr>
          <w:trHeight w:val="237"/>
        </w:trPr>
        <w:tc>
          <w:tcPr>
            <w:tcW w:w="312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volumes</w:t>
            </w:r>
          </w:p>
        </w:tc>
        <w:tc>
          <w:tcPr>
            <w:tcW w:w="220" w:type="dxa"/>
            <w:vAlign w:val="bottom"/>
            <w:tcBorders>
              <w:bottom w:val="single" w:sz="8" w:color="auto"/>
            </w:tcBorders>
            <w:shd w:val="clear" w:color="auto" w:fill="CCEEFF"/>
          </w:tcPr>
          <w:p>
            <w:pPr>
              <w:spacing w:after="0"/>
              <w:rPr>
                <w:sz w:val="20"/>
                <w:szCs w:val="20"/>
                <w:color w:val="auto"/>
              </w:rPr>
            </w:pPr>
          </w:p>
        </w:tc>
        <w:tc>
          <w:tcPr>
            <w:tcW w:w="68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64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74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spacing w:after="0"/>
              <w:rPr>
                <w:sz w:val="20"/>
                <w:szCs w:val="20"/>
                <w:color w:val="auto"/>
              </w:rPr>
            </w:pPr>
          </w:p>
        </w:tc>
        <w:tc>
          <w:tcPr>
            <w:tcW w:w="640" w:type="dxa"/>
            <w:vAlign w:val="bottom"/>
            <w:tcBorders>
              <w:bottom w:val="single" w:sz="8" w:color="auto"/>
            </w:tcBorders>
            <w:vMerge w:val="continue"/>
            <w:shd w:val="clear" w:color="auto" w:fill="CCEEFF"/>
          </w:tcPr>
          <w:p>
            <w:pPr>
              <w:spacing w:after="0"/>
              <w:rPr>
                <w:sz w:val="20"/>
                <w:szCs w:val="20"/>
                <w:color w:val="auto"/>
              </w:rPr>
            </w:pPr>
          </w:p>
        </w:tc>
        <w:tc>
          <w:tcPr>
            <w:tcW w:w="20" w:type="dxa"/>
            <w:vAlign w:val="bottom"/>
            <w:tcBorders>
              <w:bottom w:val="single" w:sz="8" w:color="auto"/>
            </w:tcBorders>
            <w:shd w:val="clear" w:color="auto" w:fill="CCEEFF"/>
          </w:tcPr>
          <w:p>
            <w:pPr>
              <w:spacing w:after="0"/>
              <w:rPr>
                <w:sz w:val="20"/>
                <w:szCs w:val="20"/>
                <w:color w:val="auto"/>
              </w:rPr>
            </w:pPr>
          </w:p>
        </w:tc>
        <w:tc>
          <w:tcPr>
            <w:tcW w:w="120" w:type="dxa"/>
            <w:vAlign w:val="bottom"/>
            <w:tcBorders>
              <w:bottom w:val="single" w:sz="8" w:color="CCEEFF"/>
              <w:right w:val="single" w:sz="8" w:color="auto"/>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74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66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auto"/>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74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spacing w:after="0"/>
              <w:rPr>
                <w:sz w:val="20"/>
                <w:szCs w:val="20"/>
                <w:color w:val="auto"/>
              </w:rPr>
            </w:pPr>
          </w:p>
        </w:tc>
        <w:tc>
          <w:tcPr>
            <w:tcW w:w="66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250444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2504440" cy="8890"/>
                    </a:xfrm>
                    <a:prstGeom prst="rect">
                      <a:avLst/>
                    </a:prstGeom>
                    <a:noFill/>
                  </pic:spPr>
                </pic:pic>
              </a:graphicData>
            </a:graphic>
          </wp:anchor>
        </w:drawing>
      </w:r>
    </w:p>
    <w:p>
      <w:pPr>
        <w:spacing w:after="0" w:line="233" w:lineRule="exact"/>
        <w:rPr>
          <w:sz w:val="20"/>
          <w:szCs w:val="20"/>
          <w:color w:val="auto"/>
        </w:rPr>
      </w:pPr>
    </w:p>
    <w:p>
      <w:pPr>
        <w:ind w:left="660" w:hanging="652"/>
        <w:spacing w:after="0"/>
        <w:tabs>
          <w:tab w:leader="none" w:pos="660" w:val="left"/>
        </w:tabs>
        <w:numPr>
          <w:ilvl w:val="0"/>
          <w:numId w:val="40"/>
        </w:numPr>
        <w:rPr>
          <w:rFonts w:ascii="Arial" w:cs="Arial" w:eastAsia="Arial" w:hAnsi="Arial"/>
          <w:sz w:val="25"/>
          <w:szCs w:val="25"/>
          <w:color w:val="auto"/>
          <w:vertAlign w:val="superscript"/>
        </w:rPr>
      </w:pPr>
      <w:r>
        <w:rPr>
          <w:rFonts w:ascii="Arial" w:cs="Arial" w:eastAsia="Arial" w:hAnsi="Arial"/>
          <w:sz w:val="18"/>
          <w:szCs w:val="18"/>
          <w:color w:val="auto"/>
        </w:rPr>
        <w:t>Indicates that variance as a percentage is not meaningful.</w:t>
      </w:r>
    </w:p>
    <w:p>
      <w:pPr>
        <w:spacing w:after="0" w:line="91" w:lineRule="exact"/>
        <w:rPr>
          <w:sz w:val="20"/>
          <w:szCs w:val="20"/>
          <w:color w:val="auto"/>
        </w:rPr>
      </w:pPr>
    </w:p>
    <w:p>
      <w:pPr>
        <w:ind w:left="660" w:hanging="652"/>
        <w:spacing w:after="0"/>
        <w:tabs>
          <w:tab w:leader="none" w:pos="660" w:val="left"/>
        </w:tabs>
        <w:numPr>
          <w:ilvl w:val="0"/>
          <w:numId w:val="41"/>
        </w:numPr>
        <w:rPr>
          <w:rFonts w:ascii="Arial" w:cs="Arial" w:eastAsia="Arial" w:hAnsi="Arial"/>
          <w:sz w:val="25"/>
          <w:szCs w:val="25"/>
          <w:color w:val="auto"/>
          <w:vertAlign w:val="superscript"/>
        </w:rPr>
      </w:pPr>
      <w:r>
        <w:rPr>
          <w:rFonts w:ascii="Arial" w:cs="Arial" w:eastAsia="Arial" w:hAnsi="Arial"/>
          <w:sz w:val="18"/>
          <w:szCs w:val="18"/>
          <w:color w:val="auto"/>
        </w:rPr>
        <w:t>Revenues and costs include intersegment amounts.</w:t>
      </w:r>
    </w:p>
    <w:p>
      <w:pPr>
        <w:spacing w:after="0" w:line="98" w:lineRule="exact"/>
        <w:rPr>
          <w:rFonts w:ascii="Arial" w:cs="Arial" w:eastAsia="Arial" w:hAnsi="Arial"/>
          <w:sz w:val="25"/>
          <w:szCs w:val="25"/>
          <w:color w:val="auto"/>
          <w:vertAlign w:val="superscript"/>
        </w:rPr>
      </w:pPr>
    </w:p>
    <w:p>
      <w:pPr>
        <w:ind w:left="660" w:right="260" w:hanging="652"/>
        <w:spacing w:after="0" w:line="246" w:lineRule="auto"/>
        <w:tabs>
          <w:tab w:leader="none" w:pos="660" w:val="left"/>
        </w:tabs>
        <w:numPr>
          <w:ilvl w:val="0"/>
          <w:numId w:val="41"/>
        </w:numPr>
        <w:rPr>
          <w:rFonts w:ascii="Arial" w:cs="Arial" w:eastAsia="Arial" w:hAnsi="Arial"/>
          <w:sz w:val="22"/>
          <w:szCs w:val="22"/>
          <w:color w:val="auto"/>
          <w:vertAlign w:val="superscript"/>
        </w:rPr>
      </w:pPr>
      <w:r>
        <w:rPr>
          <w:rFonts w:ascii="Arial" w:cs="Arial" w:eastAsia="Arial" w:hAnsi="Arial"/>
          <w:sz w:val="16"/>
          <w:szCs w:val="16"/>
          <w:color w:val="auto"/>
        </w:rPr>
        <w:t>Segment general and administrative expenses reflect direct costs attributable to each segment and an allocation of other expenses to the segments. The proportional allocations by segment require judgment by management and are based on the business activities that exist during each period.</w:t>
      </w:r>
    </w:p>
    <w:p>
      <w:pPr>
        <w:spacing w:after="0" w:line="33" w:lineRule="exact"/>
        <w:rPr>
          <w:rFonts w:ascii="Arial" w:cs="Arial" w:eastAsia="Arial" w:hAnsi="Arial"/>
          <w:sz w:val="22"/>
          <w:szCs w:val="22"/>
          <w:color w:val="auto"/>
          <w:vertAlign w:val="superscript"/>
        </w:rPr>
      </w:pPr>
    </w:p>
    <w:p>
      <w:pPr>
        <w:ind w:left="660" w:right="640" w:hanging="652"/>
        <w:spacing w:after="0" w:line="216" w:lineRule="auto"/>
        <w:tabs>
          <w:tab w:leader="none" w:pos="660" w:val="left"/>
        </w:tabs>
        <w:numPr>
          <w:ilvl w:val="0"/>
          <w:numId w:val="41"/>
        </w:numPr>
        <w:rPr>
          <w:rFonts w:ascii="Arial" w:cs="Arial" w:eastAsia="Arial" w:hAnsi="Arial"/>
          <w:sz w:val="25"/>
          <w:szCs w:val="25"/>
          <w:color w:val="auto"/>
          <w:vertAlign w:val="superscript"/>
        </w:rPr>
      </w:pPr>
      <w:r>
        <w:rPr>
          <w:rFonts w:ascii="Arial" w:cs="Arial" w:eastAsia="Arial" w:hAnsi="Arial"/>
          <w:sz w:val="18"/>
          <w:szCs w:val="18"/>
          <w:color w:val="auto"/>
        </w:rPr>
        <w:t>Represents adjustments included in the performance measure utilized by our CODM in the evaluation of segment results. See Note 14 to our Condensed Consolidated Financial Statements for additional discussion of such adjustments.</w:t>
      </w:r>
    </w:p>
    <w:p>
      <w:pPr>
        <w:spacing w:after="0" w:line="7" w:lineRule="exact"/>
        <w:rPr>
          <w:rFonts w:ascii="Arial" w:cs="Arial" w:eastAsia="Arial" w:hAnsi="Arial"/>
          <w:sz w:val="25"/>
          <w:szCs w:val="25"/>
          <w:color w:val="auto"/>
          <w:vertAlign w:val="superscript"/>
        </w:rPr>
      </w:pPr>
    </w:p>
    <w:p>
      <w:pPr>
        <w:ind w:left="200" w:hanging="192"/>
        <w:spacing w:after="0"/>
        <w:tabs>
          <w:tab w:leader="none" w:pos="200" w:val="left"/>
        </w:tabs>
        <w:numPr>
          <w:ilvl w:val="0"/>
          <w:numId w:val="41"/>
        </w:numPr>
        <w:rPr>
          <w:rFonts w:ascii="Arial" w:cs="Arial" w:eastAsia="Arial" w:hAnsi="Arial"/>
          <w:sz w:val="23"/>
          <w:szCs w:val="23"/>
          <w:color w:val="auto"/>
          <w:vertAlign w:val="superscript"/>
        </w:rPr>
      </w:pPr>
      <w:r>
        <w:rPr>
          <w:rFonts w:ascii="Arial" w:cs="Arial" w:eastAsia="Arial" w:hAnsi="Arial"/>
          <w:sz w:val="17"/>
          <w:szCs w:val="17"/>
          <w:color w:val="auto"/>
        </w:rPr>
        <w:t>Average daily volumes are calculated as the total volumes for the period divided by the number of days in the period.</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125" w:right="239" w:bottom="1440" w:gutter="0" w:footer="0" w:header="0"/>
        </w:sectPr>
      </w:pPr>
    </w:p>
    <w:bookmarkStart w:id="52" w:name="page53"/>
    <w:bookmarkEnd w:id="5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presents the range of the NYMEX WTI benchmark price of crude oil (in dollars per barrel):</w:t>
      </w:r>
    </w:p>
    <w:p>
      <w:pPr>
        <w:spacing w:after="0" w:line="163" w:lineRule="exact"/>
        <w:rPr>
          <w:sz w:val="20"/>
          <w:szCs w:val="20"/>
          <w:color w:val="auto"/>
        </w:rPr>
      </w:pPr>
    </w:p>
    <w:p>
      <w:pPr>
        <w:ind w:left="9460"/>
        <w:spacing w:after="0"/>
        <w:rPr>
          <w:sz w:val="20"/>
          <w:szCs w:val="20"/>
          <w:color w:val="auto"/>
        </w:rPr>
      </w:pPr>
      <w:r>
        <w:rPr>
          <w:rFonts w:ascii="Arial" w:cs="Arial" w:eastAsia="Arial" w:hAnsi="Arial"/>
          <w:sz w:val="14"/>
          <w:szCs w:val="14"/>
          <w:b w:val="1"/>
          <w:bCs w:val="1"/>
          <w:color w:val="auto"/>
        </w:rPr>
        <w:t>NYMEX WTI</w:t>
      </w:r>
    </w:p>
    <w:p>
      <w:pPr>
        <w:spacing w:after="0" w:line="4" w:lineRule="exact"/>
        <w:rPr>
          <w:sz w:val="20"/>
          <w:szCs w:val="20"/>
          <w:color w:val="auto"/>
        </w:rPr>
      </w:pPr>
    </w:p>
    <w:p>
      <w:pPr>
        <w:ind w:left="9400"/>
        <w:spacing w:after="0"/>
        <w:rPr>
          <w:sz w:val="20"/>
          <w:szCs w:val="20"/>
          <w:color w:val="auto"/>
        </w:rPr>
      </w:pPr>
      <w:r>
        <w:rPr>
          <w:rFonts w:ascii="Arial" w:cs="Arial" w:eastAsia="Arial" w:hAnsi="Arial"/>
          <w:sz w:val="14"/>
          <w:szCs w:val="14"/>
          <w:b w:val="1"/>
          <w:bCs w:val="1"/>
          <w:color w:val="auto"/>
        </w:rPr>
        <w:t>Crude Oil Price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5296535</wp:posOffset>
            </wp:positionH>
            <wp:positionV relativeFrom="paragraph">
              <wp:posOffset>13335</wp:posOffset>
            </wp:positionV>
            <wp:extent cx="1955165"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955165" cy="8890"/>
                    </a:xfrm>
                    <a:prstGeom prst="rect">
                      <a:avLst/>
                    </a:prstGeom>
                    <a:noFill/>
                  </pic:spPr>
                </pic:pic>
              </a:graphicData>
            </a:graphic>
          </wp:anchor>
        </w:drawing>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40" w:type="dxa"/>
            <w:vAlign w:val="bottom"/>
            <w:tcBorders>
              <w:bottom w:val="single" w:sz="8" w:color="CCEEFF"/>
            </w:tcBorders>
          </w:tcPr>
          <w:p>
            <w:pPr>
              <w:spacing w:after="0"/>
              <w:rPr>
                <w:sz w:val="16"/>
                <w:szCs w:val="16"/>
                <w:color w:val="auto"/>
              </w:rPr>
            </w:pPr>
          </w:p>
        </w:tc>
        <w:tc>
          <w:tcPr>
            <w:tcW w:w="1040" w:type="dxa"/>
            <w:vAlign w:val="bottom"/>
            <w:tcBorders>
              <w:bottom w:val="single" w:sz="8" w:color="auto"/>
            </w:tcBorders>
          </w:tcPr>
          <w:p>
            <w:pPr>
              <w:jc w:val="right"/>
              <w:ind w:right="74"/>
              <w:spacing w:after="0"/>
              <w:rPr>
                <w:sz w:val="20"/>
                <w:szCs w:val="20"/>
                <w:color w:val="auto"/>
              </w:rPr>
            </w:pPr>
            <w:r>
              <w:rPr>
                <w:rFonts w:ascii="Arial" w:cs="Arial" w:eastAsia="Arial" w:hAnsi="Arial"/>
                <w:sz w:val="14"/>
                <w:szCs w:val="14"/>
                <w:b w:val="1"/>
                <w:bCs w:val="1"/>
                <w:color w:val="auto"/>
              </w:rPr>
              <w:t>Low</w:t>
            </w:r>
          </w:p>
        </w:tc>
        <w:tc>
          <w:tcPr>
            <w:tcW w:w="4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High</w:t>
            </w: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Three months ended June 30, 2018</w:t>
            </w:r>
          </w:p>
        </w:tc>
        <w:tc>
          <w:tcPr>
            <w:tcW w:w="1040" w:type="dxa"/>
            <w:vAlign w:val="bottom"/>
            <w:tcBorders>
              <w:bottom w:val="single" w:sz="8" w:color="CCEEFF"/>
            </w:tcBorders>
            <w:shd w:val="clear" w:color="auto" w:fill="CCEEFF"/>
          </w:tcPr>
          <w:p>
            <w:pPr>
              <w:jc w:val="right"/>
              <w:ind w:right="834"/>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74</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Three months ended June 30, 2017</w:t>
            </w:r>
          </w:p>
        </w:tc>
        <w:tc>
          <w:tcPr>
            <w:tcW w:w="1040" w:type="dxa"/>
            <w:vAlign w:val="bottom"/>
          </w:tcPr>
          <w:p>
            <w:pPr>
              <w:jc w:val="right"/>
              <w:ind w:right="834"/>
              <w:spacing w:after="0"/>
              <w:rPr>
                <w:sz w:val="20"/>
                <w:szCs w:val="20"/>
                <w:color w:val="auto"/>
              </w:rPr>
            </w:pPr>
            <w:r>
              <w:rPr>
                <w:rFonts w:ascii="Arial" w:cs="Arial" w:eastAsia="Arial" w:hAnsi="Arial"/>
                <w:sz w:val="18"/>
                <w:szCs w:val="18"/>
                <w:color w:val="auto"/>
                <w:w w:val="99"/>
              </w:rPr>
              <w:t>$</w:t>
            </w:r>
          </w:p>
        </w:tc>
        <w:tc>
          <w:tcPr>
            <w:tcW w:w="460" w:type="dxa"/>
            <w:vAlign w:val="bottom"/>
          </w:tcPr>
          <w:p>
            <w:pPr>
              <w:jc w:val="right"/>
              <w:ind w:right="10"/>
              <w:spacing w:after="0"/>
              <w:rPr>
                <w:sz w:val="20"/>
                <w:szCs w:val="20"/>
                <w:color w:val="auto"/>
              </w:rPr>
            </w:pPr>
            <w:r>
              <w:rPr>
                <w:rFonts w:ascii="Arial" w:cs="Arial" w:eastAsia="Arial" w:hAnsi="Arial"/>
                <w:sz w:val="18"/>
                <w:szCs w:val="18"/>
                <w:color w:val="auto"/>
              </w:rPr>
              <w:t>43</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53</w:t>
            </w:r>
          </w:p>
        </w:tc>
      </w:tr>
      <w:tr>
        <w:trPr>
          <w:trHeight w:val="27"/>
        </w:trPr>
        <w:tc>
          <w:tcPr>
            <w:tcW w:w="8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97"/>
        </w:trPr>
        <w:tc>
          <w:tcPr>
            <w:tcW w:w="834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Six months ended June 30, 2018</w:t>
            </w:r>
          </w:p>
        </w:tc>
        <w:tc>
          <w:tcPr>
            <w:tcW w:w="1040" w:type="dxa"/>
            <w:vAlign w:val="bottom"/>
          </w:tcPr>
          <w:p>
            <w:pPr>
              <w:jc w:val="right"/>
              <w:ind w:right="834"/>
              <w:spacing w:after="0"/>
              <w:rPr>
                <w:sz w:val="20"/>
                <w:szCs w:val="20"/>
                <w:color w:val="auto"/>
              </w:rPr>
            </w:pPr>
            <w:r>
              <w:rPr>
                <w:rFonts w:ascii="Arial" w:cs="Arial" w:eastAsia="Arial" w:hAnsi="Arial"/>
                <w:sz w:val="18"/>
                <w:szCs w:val="18"/>
                <w:color w:val="auto"/>
                <w:w w:val="99"/>
              </w:rPr>
              <w:t>$</w:t>
            </w:r>
          </w:p>
        </w:tc>
        <w:tc>
          <w:tcPr>
            <w:tcW w:w="460" w:type="dxa"/>
            <w:vAlign w:val="bottom"/>
          </w:tcPr>
          <w:p>
            <w:pPr>
              <w:jc w:val="right"/>
              <w:ind w:right="10"/>
              <w:spacing w:after="0"/>
              <w:rPr>
                <w:sz w:val="20"/>
                <w:szCs w:val="20"/>
                <w:color w:val="auto"/>
              </w:rPr>
            </w:pPr>
            <w:r>
              <w:rPr>
                <w:rFonts w:ascii="Arial" w:cs="Arial" w:eastAsia="Arial" w:hAnsi="Arial"/>
                <w:sz w:val="18"/>
                <w:szCs w:val="18"/>
                <w:color w:val="auto"/>
              </w:rPr>
              <w:t>59</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74</w:t>
            </w:r>
          </w:p>
        </w:tc>
      </w:tr>
      <w:tr>
        <w:trPr>
          <w:trHeight w:val="27"/>
        </w:trPr>
        <w:tc>
          <w:tcPr>
            <w:tcW w:w="8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43"/>
        </w:trPr>
        <w:tc>
          <w:tcPr>
            <w:tcW w:w="8340" w:type="dxa"/>
            <w:vAlign w:val="bottom"/>
            <w:shd w:val="clear" w:color="auto" w:fill="CCEEFF"/>
          </w:tcPr>
          <w:p>
            <w:pPr>
              <w:ind w:left="40"/>
              <w:spacing w:after="0"/>
              <w:rPr>
                <w:sz w:val="20"/>
                <w:szCs w:val="20"/>
                <w:color w:val="auto"/>
              </w:rPr>
            </w:pPr>
            <w:r>
              <w:rPr>
                <w:rFonts w:ascii="Arial" w:cs="Arial" w:eastAsia="Arial" w:hAnsi="Arial"/>
                <w:sz w:val="18"/>
                <w:szCs w:val="18"/>
                <w:color w:val="auto"/>
              </w:rPr>
              <w:t>Six months ended June 30, 2017</w:t>
            </w:r>
          </w:p>
        </w:tc>
        <w:tc>
          <w:tcPr>
            <w:tcW w:w="1040" w:type="dxa"/>
            <w:vAlign w:val="bottom"/>
            <w:shd w:val="clear" w:color="auto" w:fill="CCEEFF"/>
          </w:tcPr>
          <w:p>
            <w:pPr>
              <w:jc w:val="right"/>
              <w:ind w:right="834"/>
              <w:spacing w:after="0"/>
              <w:rPr>
                <w:sz w:val="20"/>
                <w:szCs w:val="20"/>
                <w:color w:val="auto"/>
              </w:rPr>
            </w:pPr>
            <w:r>
              <w:rPr>
                <w:rFonts w:ascii="Arial" w:cs="Arial" w:eastAsia="Arial" w:hAnsi="Arial"/>
                <w:sz w:val="18"/>
                <w:szCs w:val="18"/>
                <w:color w:val="auto"/>
                <w:w w:val="99"/>
              </w:rPr>
              <w:t>$</w:t>
            </w:r>
          </w:p>
        </w:tc>
        <w:tc>
          <w:tcPr>
            <w:tcW w:w="4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43</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54</w:t>
            </w:r>
          </w:p>
        </w:tc>
      </w:tr>
      <w:tr>
        <w:trPr>
          <w:trHeight w:val="27"/>
        </w:trPr>
        <w:tc>
          <w:tcPr>
            <w:tcW w:w="834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Because the commodities that we buy and sell are generally indexed to the same pricing indices for both sales and purchases, revenues and costs related to purchases will fluctuate with market prices. However, the margins related to those sales and purchases will not necessarily have a corresponding increase or decrease. The absolute amount of our revenues and purchases increased for the three and six months ended June 30, 2018 compared to the same periods in 2017 primarily due to higher crude oil prices. Additionally, revenues were impacted by net gains and losses from certain derivative activities during the periods.</w:t>
      </w:r>
    </w:p>
    <w:p>
      <w:pPr>
        <w:spacing w:after="0" w:line="188" w:lineRule="exact"/>
        <w:rPr>
          <w:sz w:val="20"/>
          <w:szCs w:val="20"/>
          <w:color w:val="auto"/>
        </w:rPr>
      </w:pPr>
    </w:p>
    <w:p>
      <w:pPr>
        <w:ind w:right="840" w:firstLine="648"/>
        <w:spacing w:after="0" w:line="264" w:lineRule="auto"/>
        <w:rPr>
          <w:sz w:val="20"/>
          <w:szCs w:val="20"/>
          <w:color w:val="auto"/>
        </w:rPr>
      </w:pPr>
      <w:r>
        <w:rPr>
          <w:rFonts w:ascii="Arial" w:cs="Arial" w:eastAsia="Arial" w:hAnsi="Arial"/>
          <w:sz w:val="18"/>
          <w:szCs w:val="18"/>
          <w:color w:val="auto"/>
        </w:rPr>
        <w:t>Our NGL operations are sensitive to weather-related demand, particularly during the approximate five-month peak heating season of November through March, and temperature differences from period-to-period may have a significant effect on NGL demand and thus our financial performance.</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is a discussion of items impacting Supply and Logistics segment operating results for the periods indicated.</w:t>
      </w:r>
    </w:p>
    <w:p>
      <w:pPr>
        <w:spacing w:after="0" w:line="225"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i w:val="1"/>
          <w:iCs w:val="1"/>
          <w:color w:val="auto"/>
        </w:rPr>
        <w:t xml:space="preserve">Segment Adjusted EBITDA and Volumes. </w:t>
      </w:r>
      <w:r>
        <w:rPr>
          <w:rFonts w:ascii="Arial" w:cs="Arial" w:eastAsia="Arial" w:hAnsi="Arial"/>
          <w:sz w:val="18"/>
          <w:szCs w:val="18"/>
          <w:color w:val="auto"/>
        </w:rPr>
        <w:t>Our Supply and Logistics Segment Adjusted EBITDA increased by $2 million and $22 million for the</w:t>
      </w:r>
      <w:r>
        <w:rPr>
          <w:rFonts w:ascii="Arial" w:cs="Arial" w:eastAsia="Arial" w:hAnsi="Arial"/>
          <w:sz w:val="18"/>
          <w:szCs w:val="18"/>
          <w:i w:val="1"/>
          <w:iCs w:val="1"/>
          <w:color w:val="auto"/>
        </w:rPr>
        <w:t xml:space="preserve"> </w:t>
      </w:r>
      <w:r>
        <w:rPr>
          <w:rFonts w:ascii="Arial" w:cs="Arial" w:eastAsia="Arial" w:hAnsi="Arial"/>
          <w:sz w:val="18"/>
          <w:szCs w:val="18"/>
          <w:color w:val="auto"/>
        </w:rPr>
        <w:t>three and six months ended June 30, 2018, respectively, compared to the three and six months ended June 30, 2017. The following summarizes the significant items impacting the comparative periods:</w:t>
      </w:r>
    </w:p>
    <w:p>
      <w:pPr>
        <w:spacing w:after="0" w:line="181" w:lineRule="exact"/>
        <w:rPr>
          <w:sz w:val="20"/>
          <w:szCs w:val="20"/>
          <w:color w:val="auto"/>
        </w:rPr>
      </w:pPr>
    </w:p>
    <w:p>
      <w:pPr>
        <w:ind w:left="980" w:right="120" w:hanging="324"/>
        <w:spacing w:after="0" w:line="259" w:lineRule="auto"/>
        <w:tabs>
          <w:tab w:leader="none" w:pos="980" w:val="left"/>
        </w:tabs>
        <w:numPr>
          <w:ilvl w:val="0"/>
          <w:numId w:val="42"/>
        </w:numPr>
        <w:rPr>
          <w:rFonts w:ascii="Arial" w:cs="Arial" w:eastAsia="Arial" w:hAnsi="Arial"/>
          <w:sz w:val="18"/>
          <w:szCs w:val="18"/>
          <w:color w:val="auto"/>
        </w:rPr>
      </w:pPr>
      <w:r>
        <w:rPr>
          <w:rFonts w:ascii="Arial" w:cs="Arial" w:eastAsia="Arial" w:hAnsi="Arial"/>
          <w:sz w:val="18"/>
          <w:szCs w:val="18"/>
          <w:i w:val="1"/>
          <w:iCs w:val="1"/>
          <w:color w:val="auto"/>
        </w:rPr>
        <w:t xml:space="preserve">NGL Operations. </w:t>
      </w:r>
      <w:r>
        <w:rPr>
          <w:rFonts w:ascii="Arial" w:cs="Arial" w:eastAsia="Arial" w:hAnsi="Arial"/>
          <w:sz w:val="18"/>
          <w:szCs w:val="18"/>
          <w:color w:val="auto"/>
        </w:rPr>
        <w:t>Net revenues from our NGL operations increased for the three and six months ended June 30, 2018, compared to the same</w:t>
      </w:r>
      <w:r>
        <w:rPr>
          <w:rFonts w:ascii="Arial" w:cs="Arial" w:eastAsia="Arial" w:hAnsi="Arial"/>
          <w:sz w:val="18"/>
          <w:szCs w:val="18"/>
          <w:i w:val="1"/>
          <w:iCs w:val="1"/>
          <w:color w:val="auto"/>
        </w:rPr>
        <w:t xml:space="preserve"> </w:t>
      </w:r>
      <w:r>
        <w:rPr>
          <w:rFonts w:ascii="Arial" w:cs="Arial" w:eastAsia="Arial" w:hAnsi="Arial"/>
          <w:sz w:val="18"/>
          <w:szCs w:val="18"/>
          <w:color w:val="auto"/>
        </w:rPr>
        <w:t>periods in 2017, after offsetting lower volumes in each period, primarily due to (i) lower supply costs at our straddle plants relative to NGL values, (ii) favorable impacts from a wider isobutane/normal butane differential and (iii) modifications made to our contracting strategies in the 2017-2018 heating season.</w:t>
      </w:r>
    </w:p>
    <w:p>
      <w:pPr>
        <w:spacing w:after="0" w:line="186" w:lineRule="exact"/>
        <w:rPr>
          <w:rFonts w:ascii="Arial" w:cs="Arial" w:eastAsia="Arial" w:hAnsi="Arial"/>
          <w:sz w:val="18"/>
          <w:szCs w:val="18"/>
          <w:color w:val="auto"/>
        </w:rPr>
      </w:pPr>
    </w:p>
    <w:p>
      <w:pPr>
        <w:ind w:left="980" w:right="240" w:hanging="324"/>
        <w:spacing w:after="0" w:line="259" w:lineRule="auto"/>
        <w:tabs>
          <w:tab w:leader="none" w:pos="9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C</w:t>
      </w:r>
      <w:r>
        <w:rPr>
          <w:rFonts w:ascii="Arial" w:cs="Arial" w:eastAsia="Arial" w:hAnsi="Arial"/>
          <w:sz w:val="18"/>
          <w:szCs w:val="18"/>
          <w:i w:val="1"/>
          <w:iCs w:val="1"/>
          <w:color w:val="auto"/>
        </w:rPr>
        <w:t>rude Oil Operations.</w:t>
      </w:r>
      <w:r>
        <w:rPr>
          <w:rFonts w:ascii="Arial" w:cs="Arial" w:eastAsia="Arial" w:hAnsi="Arial"/>
          <w:sz w:val="18"/>
          <w:szCs w:val="18"/>
          <w:color w:val="auto"/>
        </w:rPr>
        <w:t xml:space="preserve"> Net revenues from our crude oil supply and logistics operations were relatively consistent for the comparative three-month periods and the comparative six-month periods presented, as arbitrage opportunities in certain markets during the 2018 periods were substantially offset by lower lease gathering margins resulting from competition for wellhead volumes, as well as the absence of the contango market conditions experienced in 2017.</w:t>
      </w:r>
    </w:p>
    <w:p>
      <w:pPr>
        <w:spacing w:after="0" w:line="186" w:lineRule="exact"/>
        <w:rPr>
          <w:rFonts w:ascii="Arial" w:cs="Arial" w:eastAsia="Arial" w:hAnsi="Arial"/>
          <w:sz w:val="18"/>
          <w:szCs w:val="18"/>
          <w:color w:val="auto"/>
        </w:rPr>
      </w:pPr>
    </w:p>
    <w:p>
      <w:pPr>
        <w:ind w:left="980" w:right="100" w:hanging="324"/>
        <w:spacing w:after="0" w:line="255" w:lineRule="auto"/>
        <w:tabs>
          <w:tab w:leader="none" w:pos="980" w:val="left"/>
        </w:tabs>
        <w:numPr>
          <w:ilvl w:val="0"/>
          <w:numId w:val="42"/>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Impact from Certain Derivative Activities Net of Inventory Valuation Adjustments. </w:t>
      </w:r>
      <w:r>
        <w:rPr>
          <w:rFonts w:ascii="Arial" w:cs="Arial" w:eastAsia="Arial" w:hAnsi="Arial"/>
          <w:sz w:val="18"/>
          <w:szCs w:val="18"/>
          <w:color w:val="auto"/>
        </w:rPr>
        <w:t>The impact from certain derivative activities on our net</w:t>
      </w:r>
      <w:r>
        <w:rPr>
          <w:rFonts w:ascii="Arial" w:cs="Arial" w:eastAsia="Arial" w:hAnsi="Arial"/>
          <w:sz w:val="18"/>
          <w:szCs w:val="18"/>
          <w:i w:val="1"/>
          <w:iCs w:val="1"/>
          <w:color w:val="auto"/>
        </w:rPr>
        <w:t xml:space="preserve"> </w:t>
      </w:r>
      <w:r>
        <w:rPr>
          <w:rFonts w:ascii="Arial" w:cs="Arial" w:eastAsia="Arial" w:hAnsi="Arial"/>
          <w:sz w:val="18"/>
          <w:szCs w:val="18"/>
          <w:color w:val="auto"/>
        </w:rPr>
        <w:t>revenues includes mark-to-market and other gains and losses resulting from certain derivative instruments that are related to underlying activities in another period (or the reversal of mark-to-market gains and losses from a prior period) and inventory valuation adjustments, as applicable. See Note 11 to our Condensed Consolidated Financial Statements for a comprehensive discussion regarding our derivatives and risk management activities. These gains and losses impact our net revenues but are excluded from segment adjusted EBITDA and thus are reflected as an “Adjustment” in the table above.</w:t>
      </w:r>
    </w:p>
    <w:p>
      <w:pPr>
        <w:spacing w:after="0" w:line="193" w:lineRule="exact"/>
        <w:rPr>
          <w:rFonts w:ascii="Arial" w:cs="Arial" w:eastAsia="Arial" w:hAnsi="Arial"/>
          <w:sz w:val="18"/>
          <w:szCs w:val="18"/>
          <w:i w:val="1"/>
          <w:iCs w:val="1"/>
          <w:color w:val="auto"/>
        </w:rPr>
      </w:pPr>
    </w:p>
    <w:p>
      <w:pPr>
        <w:ind w:left="980" w:hanging="324"/>
        <w:spacing w:after="0" w:line="255" w:lineRule="auto"/>
        <w:tabs>
          <w:tab w:leader="none" w:pos="980" w:val="left"/>
        </w:tabs>
        <w:numPr>
          <w:ilvl w:val="0"/>
          <w:numId w:val="42"/>
        </w:numPr>
        <w:rPr>
          <w:rFonts w:ascii="Arial" w:cs="Arial" w:eastAsia="Arial" w:hAnsi="Arial"/>
          <w:sz w:val="18"/>
          <w:szCs w:val="18"/>
          <w:color w:val="auto"/>
        </w:rPr>
      </w:pPr>
      <w:r>
        <w:rPr>
          <w:rFonts w:ascii="Arial" w:cs="Arial" w:eastAsia="Arial" w:hAnsi="Arial"/>
          <w:sz w:val="18"/>
          <w:szCs w:val="18"/>
          <w:i w:val="1"/>
          <w:iCs w:val="1"/>
          <w:color w:val="auto"/>
        </w:rPr>
        <w:t xml:space="preserve">Long-Term Inventory Costing Adjustments. </w:t>
      </w:r>
      <w:r>
        <w:rPr>
          <w:rFonts w:ascii="Arial" w:cs="Arial" w:eastAsia="Arial" w:hAnsi="Arial"/>
          <w:sz w:val="18"/>
          <w:szCs w:val="18"/>
          <w:color w:val="auto"/>
        </w:rPr>
        <w:t>Our net revenues are impacted by changes in the weighted average cost of our crude oil and NGL</w:t>
      </w:r>
      <w:r>
        <w:rPr>
          <w:rFonts w:ascii="Arial" w:cs="Arial" w:eastAsia="Arial" w:hAnsi="Arial"/>
          <w:sz w:val="18"/>
          <w:szCs w:val="18"/>
          <w:i w:val="1"/>
          <w:iCs w:val="1"/>
          <w:color w:val="auto"/>
        </w:rPr>
        <w:t xml:space="preserve"> </w:t>
      </w:r>
      <w:r>
        <w:rPr>
          <w:rFonts w:ascii="Arial" w:cs="Arial" w:eastAsia="Arial" w:hAnsi="Arial"/>
          <w:sz w:val="18"/>
          <w:szCs w:val="18"/>
          <w:color w:val="auto"/>
        </w:rPr>
        <w:t>inventory pools that result from price movements during the periods. These costing adjustments related to long-term inventory necessary to meet our minimum inventory requirements in third-party assets and other working inventory that was needed for our commercial operations. We consider this inventory necessary to conduct our operations and we intend to carry this inventory for the foreseeable future. These costing adjustments impact our net revenues but are excluded from segment adjusted EBITDA and thus are reflected as an “Adjustment” in the table above.</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125" w:right="239" w:bottom="1440" w:gutter="0" w:footer="0" w:header="0"/>
        </w:sectPr>
      </w:pPr>
    </w:p>
    <w:bookmarkStart w:id="53" w:name="page54"/>
    <w:bookmarkEnd w:id="5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980" w:right="60" w:hanging="324"/>
        <w:spacing w:after="0" w:line="264" w:lineRule="auto"/>
        <w:tabs>
          <w:tab w:leader="none" w:pos="980" w:val="left"/>
        </w:tabs>
        <w:numPr>
          <w:ilvl w:val="0"/>
          <w:numId w:val="43"/>
        </w:numPr>
        <w:rPr>
          <w:rFonts w:ascii="Arial" w:cs="Arial" w:eastAsia="Arial" w:hAnsi="Arial"/>
          <w:sz w:val="18"/>
          <w:szCs w:val="18"/>
          <w:color w:val="auto"/>
        </w:rPr>
      </w:pPr>
      <w:r>
        <w:rPr>
          <w:rFonts w:ascii="Arial" w:cs="Arial" w:eastAsia="Arial" w:hAnsi="Arial"/>
          <w:sz w:val="18"/>
          <w:szCs w:val="18"/>
          <w:i w:val="1"/>
          <w:iCs w:val="1"/>
          <w:color w:val="auto"/>
        </w:rPr>
        <w:t xml:space="preserve">Foreign Exchange Impacts. </w:t>
      </w:r>
      <w:r>
        <w:rPr>
          <w:rFonts w:ascii="Arial" w:cs="Arial" w:eastAsia="Arial" w:hAnsi="Arial"/>
          <w:sz w:val="18"/>
          <w:szCs w:val="18"/>
          <w:color w:val="auto"/>
        </w:rPr>
        <w:t>Our net revenues are impacted by fluctuations in the value of CAD to USD, resulting in foreign exchange gains and</w:t>
      </w:r>
      <w:r>
        <w:rPr>
          <w:rFonts w:ascii="Arial" w:cs="Arial" w:eastAsia="Arial" w:hAnsi="Arial"/>
          <w:sz w:val="18"/>
          <w:szCs w:val="18"/>
          <w:i w:val="1"/>
          <w:iCs w:val="1"/>
          <w:color w:val="auto"/>
        </w:rPr>
        <w:t xml:space="preserve"> </w:t>
      </w:r>
      <w:r>
        <w:rPr>
          <w:rFonts w:ascii="Arial" w:cs="Arial" w:eastAsia="Arial" w:hAnsi="Arial"/>
          <w:sz w:val="18"/>
          <w:szCs w:val="18"/>
          <w:color w:val="auto"/>
        </w:rPr>
        <w:t>losses on U.S. denominated net assets within our Canadian operations. These gains and losses impact our net revenues but are excluded from segment adjusted EBITDA and thus are reflected as an “Adjustment” in the table above.</w:t>
      </w:r>
    </w:p>
    <w:p>
      <w:pPr>
        <w:spacing w:after="0" w:line="181" w:lineRule="exact"/>
        <w:rPr>
          <w:rFonts w:ascii="Arial" w:cs="Arial" w:eastAsia="Arial" w:hAnsi="Arial"/>
          <w:sz w:val="18"/>
          <w:szCs w:val="18"/>
          <w:color w:val="auto"/>
        </w:rPr>
      </w:pPr>
    </w:p>
    <w:p>
      <w:pPr>
        <w:ind w:left="980" w:right="40" w:hanging="324"/>
        <w:spacing w:after="0" w:line="259" w:lineRule="auto"/>
        <w:tabs>
          <w:tab w:leader="none" w:pos="980" w:val="left"/>
        </w:tabs>
        <w:numPr>
          <w:ilvl w:val="0"/>
          <w:numId w:val="43"/>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Segment General and Administrative Expenses. </w:t>
      </w:r>
      <w:r>
        <w:rPr>
          <w:rFonts w:ascii="Arial" w:cs="Arial" w:eastAsia="Arial" w:hAnsi="Arial"/>
          <w:sz w:val="18"/>
          <w:szCs w:val="18"/>
          <w:color w:val="auto"/>
        </w:rPr>
        <w:t>The increase in segment general and administrative expenses for the three and six months ended</w:t>
      </w:r>
      <w:r>
        <w:rPr>
          <w:rFonts w:ascii="Arial" w:cs="Arial" w:eastAsia="Arial" w:hAnsi="Arial"/>
          <w:sz w:val="18"/>
          <w:szCs w:val="18"/>
          <w:i w:val="1"/>
          <w:iCs w:val="1"/>
          <w:color w:val="auto"/>
        </w:rPr>
        <w:t xml:space="preserve"> </w:t>
      </w:r>
      <w:r>
        <w:rPr>
          <w:rFonts w:ascii="Arial" w:cs="Arial" w:eastAsia="Arial" w:hAnsi="Arial"/>
          <w:sz w:val="18"/>
          <w:szCs w:val="18"/>
          <w:color w:val="auto"/>
        </w:rPr>
        <w:t>June 30, 2018 compared to the three and six months ended June 30, 2017 was primarily driven by (i) an increase in equity-indexed compensation expense due to the impact of an increase in PAA unit price for the 2018 periods compared to a decrease in PAA unit price for the 2017 periods and (ii) cost increases across various categories.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and Expenses</w:t>
      </w:r>
    </w:p>
    <w:p>
      <w:pPr>
        <w:spacing w:after="0" w:line="221"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Depreciation and Amortization</w:t>
      </w:r>
    </w:p>
    <w:p>
      <w:pPr>
        <w:spacing w:after="0" w:line="229" w:lineRule="exact"/>
        <w:rPr>
          <w:sz w:val="20"/>
          <w:szCs w:val="20"/>
          <w:color w:val="auto"/>
        </w:rPr>
      </w:pPr>
    </w:p>
    <w:p>
      <w:pPr>
        <w:ind w:right="240" w:firstLine="648"/>
        <w:spacing w:after="0" w:line="264" w:lineRule="auto"/>
        <w:rPr>
          <w:sz w:val="20"/>
          <w:szCs w:val="20"/>
          <w:color w:val="auto"/>
        </w:rPr>
      </w:pPr>
      <w:r>
        <w:rPr>
          <w:rFonts w:ascii="Arial" w:cs="Arial" w:eastAsia="Arial" w:hAnsi="Arial"/>
          <w:sz w:val="18"/>
          <w:szCs w:val="18"/>
          <w:color w:val="auto"/>
        </w:rPr>
        <w:t>Depreciation and amortization expense decreased for the three and six months ended June 30, 2018 compared to the three and six months ended June 30, 2017 primarily due to net gains of approximately $81 million recognized during the second quarter of 2018, which were primarily associated with asset sales during the periods.</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Interest Expense</w:t>
      </w:r>
    </w:p>
    <w:p>
      <w:pPr>
        <w:spacing w:after="0" w:line="229" w:lineRule="exact"/>
        <w:rPr>
          <w:sz w:val="20"/>
          <w:szCs w:val="20"/>
          <w:color w:val="auto"/>
        </w:rPr>
      </w:pPr>
    </w:p>
    <w:p>
      <w:pPr>
        <w:ind w:right="100" w:firstLine="648"/>
        <w:spacing w:after="0" w:line="264" w:lineRule="auto"/>
        <w:rPr>
          <w:sz w:val="20"/>
          <w:szCs w:val="20"/>
          <w:color w:val="auto"/>
        </w:rPr>
      </w:pPr>
      <w:r>
        <w:rPr>
          <w:rFonts w:ascii="Arial" w:cs="Arial" w:eastAsia="Arial" w:hAnsi="Arial"/>
          <w:sz w:val="18"/>
          <w:szCs w:val="18"/>
          <w:color w:val="auto"/>
        </w:rPr>
        <w:t>The decrease in interest expense for the three and six months ended June 30, 2018 compared to the three and six months ended June 30, 2017 was primarily due to a lower weighted average debt balance during the 2018 periods resulting from the repayment of an aggregate of $950 million senior notes in December 2017.</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Other Income/(Expense), Net</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the components impacting Other income/(expense), net (in millions):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520" w:type="dxa"/>
            <w:vAlign w:val="bottom"/>
          </w:tcPr>
          <w:p>
            <w:pPr>
              <w:spacing w:after="0"/>
              <w:rPr>
                <w:sz w:val="14"/>
                <w:szCs w:val="14"/>
                <w:color w:val="auto"/>
              </w:rPr>
            </w:pPr>
          </w:p>
        </w:tc>
        <w:tc>
          <w:tcPr>
            <w:tcW w:w="2080" w:type="dxa"/>
            <w:vAlign w:val="bottom"/>
            <w:gridSpan w:val="4"/>
          </w:tcPr>
          <w:p>
            <w:pPr>
              <w:jc w:val="right"/>
              <w:ind w:right="116"/>
              <w:spacing w:after="0"/>
              <w:rPr>
                <w:sz w:val="20"/>
                <w:szCs w:val="20"/>
                <w:color w:val="auto"/>
              </w:rPr>
            </w:pPr>
            <w:r>
              <w:rPr>
                <w:rFonts w:ascii="Arial" w:cs="Arial" w:eastAsia="Arial" w:hAnsi="Arial"/>
                <w:sz w:val="14"/>
                <w:szCs w:val="14"/>
                <w:b w:val="1"/>
                <w:bCs w:val="1"/>
                <w:color w:val="auto"/>
              </w:rPr>
              <w:t>Three Months Ended</w:t>
            </w: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100" w:type="dxa"/>
            <w:vAlign w:val="bottom"/>
            <w:gridSpan w:val="4"/>
          </w:tcPr>
          <w:p>
            <w:pPr>
              <w:jc w:val="right"/>
              <w:ind w:right="514"/>
              <w:spacing w:after="0"/>
              <w:rPr>
                <w:sz w:val="20"/>
                <w:szCs w:val="20"/>
                <w:color w:val="auto"/>
              </w:rPr>
            </w:pPr>
            <w:r>
              <w:rPr>
                <w:rFonts w:ascii="Arial" w:cs="Arial" w:eastAsia="Arial" w:hAnsi="Arial"/>
                <w:sz w:val="14"/>
                <w:szCs w:val="14"/>
                <w:b w:val="1"/>
                <w:bCs w:val="1"/>
                <w:color w:val="auto"/>
              </w:rPr>
              <w:t>Six Months Ended</w:t>
            </w:r>
          </w:p>
        </w:tc>
      </w:tr>
      <w:tr>
        <w:trPr>
          <w:trHeight w:val="192"/>
        </w:trPr>
        <w:tc>
          <w:tcPr>
            <w:tcW w:w="6520" w:type="dxa"/>
            <w:vAlign w:val="bottom"/>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3"/>
          </w:tcPr>
          <w:p>
            <w:pPr>
              <w:jc w:val="right"/>
              <w:ind w:right="516"/>
              <w:spacing w:after="0"/>
              <w:rPr>
                <w:sz w:val="20"/>
                <w:szCs w:val="20"/>
                <w:color w:val="auto"/>
              </w:rPr>
            </w:pPr>
            <w:r>
              <w:rPr>
                <w:rFonts w:ascii="Arial" w:cs="Arial" w:eastAsia="Arial" w:hAnsi="Arial"/>
                <w:sz w:val="14"/>
                <w:szCs w:val="14"/>
                <w:b w:val="1"/>
                <w:bCs w:val="1"/>
                <w:color w:val="auto"/>
              </w:rPr>
              <w:t>June 30,</w:t>
            </w:r>
          </w:p>
        </w:tc>
        <w:tc>
          <w:tcPr>
            <w:tcW w:w="3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June 30,</w:t>
            </w:r>
          </w:p>
        </w:tc>
        <w:tc>
          <w:tcPr>
            <w:tcW w:w="820" w:type="dxa"/>
            <w:vAlign w:val="bottom"/>
            <w:tcBorders>
              <w:bottom w:val="single" w:sz="8" w:color="auto"/>
            </w:tcBorders>
          </w:tcPr>
          <w:p>
            <w:pPr>
              <w:spacing w:after="0"/>
              <w:rPr>
                <w:sz w:val="16"/>
                <w:szCs w:val="16"/>
                <w:color w:val="auto"/>
              </w:rPr>
            </w:pPr>
          </w:p>
        </w:tc>
      </w:tr>
      <w:tr>
        <w:trPr>
          <w:trHeight w:val="264"/>
        </w:trPr>
        <w:tc>
          <w:tcPr>
            <w:tcW w:w="652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38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34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39"/>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2017</w:t>
            </w:r>
          </w:p>
        </w:tc>
      </w:tr>
      <w:tr>
        <w:trPr>
          <w:trHeight w:val="228"/>
        </w:trPr>
        <w:tc>
          <w:tcPr>
            <w:tcW w:w="6520" w:type="dxa"/>
            <w:vAlign w:val="bottom"/>
            <w:shd w:val="clear" w:color="auto" w:fill="CCEEFF"/>
          </w:tcPr>
          <w:p>
            <w:pPr>
              <w:ind w:left="40"/>
              <w:spacing w:after="0"/>
              <w:rPr>
                <w:sz w:val="20"/>
                <w:szCs w:val="20"/>
                <w:color w:val="auto"/>
              </w:rPr>
            </w:pPr>
            <w:r>
              <w:rPr>
                <w:rFonts w:ascii="Arial" w:cs="Arial" w:eastAsia="Arial" w:hAnsi="Arial"/>
                <w:sz w:val="18"/>
                <w:szCs w:val="18"/>
                <w:color w:val="auto"/>
                <w:w w:val="91"/>
              </w:rPr>
              <w:t>Gain/(loss) related to mark-to-market adjustment of the Preferred Distribution Rate Reset</w:t>
            </w:r>
          </w:p>
        </w:tc>
        <w:tc>
          <w:tcPr>
            <w:tcW w:w="8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r>
      <w:tr>
        <w:trPr>
          <w:trHeight w:val="257"/>
        </w:trPr>
        <w:tc>
          <w:tcPr>
            <w:tcW w:w="6520" w:type="dxa"/>
            <w:vAlign w:val="bottom"/>
            <w:shd w:val="clear" w:color="auto" w:fill="CCEEFF"/>
          </w:tcPr>
          <w:p>
            <w:pPr>
              <w:ind w:left="200"/>
              <w:spacing w:after="0" w:line="257" w:lineRule="exact"/>
              <w:rPr>
                <w:sz w:val="20"/>
                <w:szCs w:val="20"/>
                <w:color w:val="auto"/>
              </w:rPr>
            </w:pPr>
            <w:r>
              <w:rPr>
                <w:rFonts w:ascii="Arial" w:cs="Arial" w:eastAsia="Arial" w:hAnsi="Arial"/>
                <w:sz w:val="18"/>
                <w:szCs w:val="18"/>
                <w:color w:val="auto"/>
              </w:rPr>
              <w:t xml:space="preserve">Option </w:t>
            </w:r>
            <w:r>
              <w:rPr>
                <w:rFonts w:ascii="Arial" w:cs="Arial" w:eastAsia="Arial" w:hAnsi="Arial"/>
                <w:sz w:val="25"/>
                <w:szCs w:val="25"/>
                <w:color w:val="auto"/>
                <w:vertAlign w:val="superscript"/>
              </w:rPr>
              <w:t>(1)</w:t>
            </w:r>
          </w:p>
        </w:tc>
        <w:tc>
          <w:tcPr>
            <w:tcW w:w="800" w:type="dxa"/>
            <w:vAlign w:val="bottom"/>
            <w:shd w:val="clear" w:color="auto" w:fill="CCEEFF"/>
          </w:tcPr>
          <w:p>
            <w:pPr>
              <w:jc w:val="right"/>
              <w:ind w:right="599"/>
              <w:spacing w:after="0"/>
              <w:rPr>
                <w:sz w:val="20"/>
                <w:szCs w:val="20"/>
                <w:color w:val="auto"/>
              </w:rPr>
            </w:pPr>
            <w:r>
              <w:rPr>
                <w:rFonts w:ascii="Arial" w:cs="Arial" w:eastAsia="Arial" w:hAnsi="Arial"/>
                <w:sz w:val="18"/>
                <w:szCs w:val="18"/>
                <w:color w:val="auto"/>
                <w:w w:val="99"/>
              </w:rPr>
              <w:t>$</w:t>
            </w:r>
          </w:p>
        </w:tc>
        <w:tc>
          <w:tcPr>
            <w:tcW w:w="38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8</w:t>
            </w:r>
          </w:p>
        </w:tc>
        <w:tc>
          <w:tcPr>
            <w:tcW w:w="100" w:type="dxa"/>
            <w:vAlign w:val="bottom"/>
            <w:shd w:val="clear" w:color="auto" w:fill="CCEEFF"/>
          </w:tcPr>
          <w:p>
            <w:pPr>
              <w:spacing w:after="0"/>
              <w:rPr>
                <w:sz w:val="22"/>
                <w:szCs w:val="22"/>
                <w:color w:val="auto"/>
              </w:rPr>
            </w:pPr>
          </w:p>
        </w:tc>
        <w:tc>
          <w:tcPr>
            <w:tcW w:w="800" w:type="dxa"/>
            <w:vAlign w:val="bottom"/>
            <w:shd w:val="clear" w:color="auto" w:fill="CCEEFF"/>
          </w:tcPr>
          <w:p>
            <w:pPr>
              <w:jc w:val="right"/>
              <w:ind w:right="596"/>
              <w:spacing w:after="0"/>
              <w:rPr>
                <w:sz w:val="20"/>
                <w:szCs w:val="20"/>
                <w:color w:val="auto"/>
              </w:rPr>
            </w:pPr>
            <w:r>
              <w:rPr>
                <w:rFonts w:ascii="Arial" w:cs="Arial" w:eastAsia="Arial" w:hAnsi="Arial"/>
                <w:sz w:val="18"/>
                <w:szCs w:val="18"/>
                <w:color w:val="auto"/>
                <w:w w:val="99"/>
              </w:rPr>
              <w:t>$</w:t>
            </w:r>
          </w:p>
        </w:tc>
        <w:tc>
          <w:tcPr>
            <w:tcW w:w="3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43"/>
        </w:trPr>
        <w:tc>
          <w:tcPr>
            <w:tcW w:w="6520" w:type="dxa"/>
            <w:vAlign w:val="bottom"/>
          </w:tcPr>
          <w:p>
            <w:pPr>
              <w:ind w:left="40"/>
              <w:spacing w:after="0"/>
              <w:rPr>
                <w:sz w:val="20"/>
                <w:szCs w:val="20"/>
                <w:color w:val="auto"/>
              </w:rPr>
            </w:pPr>
            <w:r>
              <w:rPr>
                <w:rFonts w:ascii="Arial" w:cs="Arial" w:eastAsia="Arial" w:hAnsi="Arial"/>
                <w:sz w:val="18"/>
                <w:szCs w:val="18"/>
                <w:color w:val="auto"/>
              </w:rPr>
              <w:t>Other</w:t>
            </w:r>
          </w:p>
        </w:tc>
        <w:tc>
          <w:tcPr>
            <w:tcW w:w="800" w:type="dxa"/>
            <w:vAlign w:val="bottom"/>
          </w:tcPr>
          <w:p>
            <w:pPr>
              <w:spacing w:after="0"/>
              <w:rPr>
                <w:sz w:val="21"/>
                <w:szCs w:val="21"/>
                <w:color w:val="auto"/>
              </w:rPr>
            </w:pPr>
          </w:p>
        </w:tc>
        <w:tc>
          <w:tcPr>
            <w:tcW w:w="380" w:type="dxa"/>
            <w:vAlign w:val="bottom"/>
          </w:tcPr>
          <w:p>
            <w:pPr>
              <w:jc w:val="right"/>
              <w:ind w:right="34"/>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9"/>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7"/>
        </w:trPr>
        <w:tc>
          <w:tcPr>
            <w:tcW w:w="652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69"/>
        </w:trPr>
        <w:tc>
          <w:tcPr>
            <w:tcW w:w="652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ind w:right="599"/>
              <w:spacing w:after="0"/>
              <w:rPr>
                <w:sz w:val="20"/>
                <w:szCs w:val="20"/>
                <w:color w:val="auto"/>
              </w:rPr>
            </w:pPr>
            <w:r>
              <w:rPr>
                <w:rFonts w:ascii="Arial" w:cs="Arial" w:eastAsia="Arial" w:hAnsi="Arial"/>
                <w:sz w:val="18"/>
                <w:szCs w:val="18"/>
                <w:color w:val="auto"/>
                <w:w w:val="99"/>
              </w:rPr>
              <w:t>$</w:t>
            </w:r>
          </w:p>
        </w:tc>
        <w:tc>
          <w:tcPr>
            <w:tcW w:w="3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ind w:right="596"/>
              <w:spacing w:after="0"/>
              <w:rPr>
                <w:sz w:val="20"/>
                <w:szCs w:val="20"/>
                <w:color w:val="auto"/>
              </w:rPr>
            </w:pPr>
            <w:r>
              <w:rPr>
                <w:rFonts w:ascii="Arial" w:cs="Arial" w:eastAsia="Arial" w:hAnsi="Arial"/>
                <w:sz w:val="18"/>
                <w:szCs w:val="18"/>
                <w:color w:val="auto"/>
                <w:w w:val="99"/>
              </w:rPr>
              <w:t>$</w:t>
            </w:r>
          </w:p>
        </w:tc>
        <w:tc>
          <w:tcPr>
            <w:tcW w:w="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r>
      <w:tr>
        <w:trPr>
          <w:trHeight w:val="20"/>
        </w:trPr>
        <w:tc>
          <w:tcPr>
            <w:tcW w:w="652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250444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2504440" cy="8890"/>
                    </a:xfrm>
                    <a:prstGeom prst="rect">
                      <a:avLst/>
                    </a:prstGeom>
                    <a:noFill/>
                  </pic:spPr>
                </pic:pic>
              </a:graphicData>
            </a:graphic>
          </wp:anchor>
        </w:drawing>
      </w:r>
    </w:p>
    <w:p>
      <w:pPr>
        <w:spacing w:after="0" w:line="233" w:lineRule="exact"/>
        <w:rPr>
          <w:sz w:val="20"/>
          <w:szCs w:val="20"/>
          <w:color w:val="auto"/>
        </w:rPr>
      </w:pPr>
    </w:p>
    <w:p>
      <w:pPr>
        <w:ind w:left="660" w:hanging="652"/>
        <w:spacing w:after="0"/>
        <w:tabs>
          <w:tab w:leader="none" w:pos="660" w:val="left"/>
        </w:tabs>
        <w:numPr>
          <w:ilvl w:val="0"/>
          <w:numId w:val="44"/>
        </w:numPr>
        <w:rPr>
          <w:rFonts w:ascii="Arial" w:cs="Arial" w:eastAsia="Arial" w:hAnsi="Arial"/>
          <w:sz w:val="25"/>
          <w:szCs w:val="25"/>
          <w:color w:val="auto"/>
          <w:vertAlign w:val="superscript"/>
        </w:rPr>
      </w:pPr>
      <w:r>
        <w:rPr>
          <w:rFonts w:ascii="Arial" w:cs="Arial" w:eastAsia="Arial" w:hAnsi="Arial"/>
          <w:sz w:val="18"/>
          <w:szCs w:val="18"/>
          <w:color w:val="auto"/>
        </w:rPr>
        <w:t>See Note 11 to our Condensed Consolidated Financial Statements for additional information.</w:t>
      </w:r>
    </w:p>
    <w:p>
      <w:pPr>
        <w:spacing w:after="0" w:line="305" w:lineRule="exact"/>
        <w:rPr>
          <w:rFonts w:ascii="Arial" w:cs="Arial" w:eastAsia="Arial" w:hAnsi="Arial"/>
          <w:sz w:val="25"/>
          <w:szCs w:val="25"/>
          <w:color w:val="auto"/>
          <w:vertAlign w:val="superscript"/>
        </w:rPr>
      </w:pPr>
    </w:p>
    <w:p>
      <w:pPr>
        <w:ind w:left="660"/>
        <w:spacing w:after="0"/>
        <w:rPr>
          <w:rFonts w:ascii="Arial" w:cs="Arial" w:eastAsia="Arial" w:hAnsi="Arial"/>
          <w:sz w:val="25"/>
          <w:szCs w:val="25"/>
          <w:color w:val="auto"/>
          <w:vertAlign w:val="superscript"/>
        </w:rPr>
      </w:pPr>
      <w:r>
        <w:rPr>
          <w:rFonts w:ascii="Arial" w:cs="Arial" w:eastAsia="Arial" w:hAnsi="Arial"/>
          <w:sz w:val="18"/>
          <w:szCs w:val="18"/>
          <w:b w:val="1"/>
          <w:bCs w:val="1"/>
          <w:color w:val="auto"/>
        </w:rPr>
        <w:t>Income Tax Expense</w:t>
      </w:r>
    </w:p>
    <w:p>
      <w:pPr>
        <w:spacing w:after="0" w:line="229"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Income tax expense decreased for the three and six months ended June 30, 2018 as compared to the three and six months ended June 30, 2017, primarily due to (i) lower year-over-year income as impacted by fluctuations in derivative mark-to-market valuations in our Canadian operations, partially offset by higher taxable earnings in our Canadian operations and (ii) lower deferred tax expense due to a decrease in our effective tax rate as a result of the enactment of the Tax Cuts and Jobs Act in the fourth quarter of 2017, partially offset by additional deferred tax expense as a result of changes in our effective tax rate in the first and second quarters of 2018.</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20"/>
          </w:cols>
          <w:pgMar w:left="240" w:top="125" w:right="239" w:bottom="1440" w:gutter="0" w:footer="0" w:header="0"/>
        </w:sectPr>
      </w:pPr>
    </w:p>
    <w:bookmarkStart w:id="54" w:name="page55"/>
    <w:bookmarkEnd w:id="5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w:t>
      </w:r>
    </w:p>
    <w:p>
      <w:pPr>
        <w:spacing w:after="0" w:line="225" w:lineRule="exact"/>
        <w:rPr>
          <w:sz w:val="20"/>
          <w:szCs w:val="20"/>
          <w:color w:val="auto"/>
        </w:rPr>
      </w:pPr>
    </w:p>
    <w:p>
      <w:pPr>
        <w:ind w:right="200" w:firstLine="648"/>
        <w:spacing w:after="0" w:line="288" w:lineRule="auto"/>
        <w:rPr>
          <w:sz w:val="20"/>
          <w:szCs w:val="20"/>
          <w:color w:val="auto"/>
        </w:rPr>
      </w:pPr>
      <w:r>
        <w:rPr>
          <w:rFonts w:ascii="Arial" w:cs="Arial" w:eastAsia="Arial" w:hAnsi="Arial"/>
          <w:sz w:val="16"/>
          <w:szCs w:val="16"/>
          <w:color w:val="auto"/>
        </w:rPr>
        <w:t>On a consolidated basis, our primary sources of liquidity are (i) cash flow from operating activities, (ii) borrowings under PAA’s credit facilities or the PAA commercial paper program and (iii) funds received from sales of equity and debt securities. In addition, we may supplement these sources of liquidity with proceeds from our divestiture program, as further discussed below in the section entitled “—Capital Expenditures and Divestitures.” Our primary cash requirements include, but are not limited to, (i) ordinary course of business uses, such as the payment of amounts related to the purchase of crude oil, NGL and other products, other expenses and interest payments on outstanding debt, (ii) expansion and maintenance activities, (iii) acquisitions of assets or businesses, (iv) repayment of principal on long-term debt and (v) distributions to our Class A shareholders and noncontrolling interests. We generally expect to fund our short-term cash requirements through cash flow generated from operating activities and/or borrowings under the PAA commercial paper program or PAA’s credit facilities. In addition, we generally expect to fund our long-term needs, such as those resulting from expansion activities or acquisitions and refinancing long-term debt, through a variety of sources (either separately or in combination), which may include the sources mentioned above as funding for short-term needs and/or the issuance of additional equity or debt securities and the sale of assets.</w:t>
      </w:r>
    </w:p>
    <w:p>
      <w:pPr>
        <w:spacing w:after="0" w:line="169" w:lineRule="exact"/>
        <w:rPr>
          <w:sz w:val="20"/>
          <w:szCs w:val="20"/>
          <w:color w:val="auto"/>
        </w:rPr>
      </w:pPr>
    </w:p>
    <w:p>
      <w:pPr>
        <w:ind w:right="120" w:firstLine="648"/>
        <w:spacing w:after="0" w:line="302" w:lineRule="auto"/>
        <w:rPr>
          <w:sz w:val="20"/>
          <w:szCs w:val="20"/>
          <w:color w:val="auto"/>
        </w:rPr>
      </w:pPr>
      <w:r>
        <w:rPr>
          <w:rFonts w:ascii="Arial" w:cs="Arial" w:eastAsia="Arial" w:hAnsi="Arial"/>
          <w:sz w:val="16"/>
          <w:szCs w:val="16"/>
          <w:color w:val="auto"/>
        </w:rPr>
        <w:t>As of June 30, 2018, we had a working capital deficit of $1.3 billion, which we anticipate will decrease in future quarters. We do not expect that the decrease will result in the use of a significant amount of PAA’s credit facility borrowing capacity to meet the obligations as a large portion of the anticipated decrease will be funded from incremental cash flow from our operations. In addition, as of June 30, 2018, we had over $3.0 billion of liquidity available to meet our ongoing operating, investing and financing needs, subject to continued covenant compliance, as noted below (in millions):</w:t>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7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20" w:type="dxa"/>
            <w:vAlign w:val="bottom"/>
          </w:tcPr>
          <w:p>
            <w:pPr>
              <w:jc w:val="right"/>
              <w:ind w:right="634"/>
              <w:spacing w:after="0"/>
              <w:rPr>
                <w:sz w:val="20"/>
                <w:szCs w:val="20"/>
                <w:color w:val="auto"/>
              </w:rPr>
            </w:pPr>
            <w:r>
              <w:rPr>
                <w:rFonts w:ascii="Arial" w:cs="Arial" w:eastAsia="Arial" w:hAnsi="Arial"/>
                <w:sz w:val="14"/>
                <w:szCs w:val="14"/>
                <w:b w:val="1"/>
                <w:bCs w:val="1"/>
                <w:color w:val="auto"/>
              </w:rPr>
              <w:t>As of</w:t>
            </w:r>
          </w:p>
        </w:tc>
      </w:tr>
      <w:tr>
        <w:trPr>
          <w:trHeight w:val="192"/>
        </w:trPr>
        <w:tc>
          <w:tcPr>
            <w:tcW w:w="97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June 30, 2018</w:t>
            </w:r>
          </w:p>
        </w:tc>
      </w:tr>
      <w:tr>
        <w:trPr>
          <w:trHeight w:val="270"/>
        </w:trPr>
        <w:tc>
          <w:tcPr>
            <w:tcW w:w="972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Availability under PAA senior unsecured revolving credit facility </w:t>
            </w:r>
            <w:r>
              <w:rPr>
                <w:rFonts w:ascii="Arial" w:cs="Arial" w:eastAsia="Arial" w:hAnsi="Arial"/>
                <w:sz w:val="25"/>
                <w:szCs w:val="25"/>
                <w:color w:val="auto"/>
                <w:vertAlign w:val="superscript"/>
              </w:rPr>
              <w:t>(1) (2)</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4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1,335</w:t>
            </w:r>
          </w:p>
        </w:tc>
      </w:tr>
      <w:tr>
        <w:trPr>
          <w:trHeight w:val="270"/>
        </w:trPr>
        <w:tc>
          <w:tcPr>
            <w:tcW w:w="972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Availability under PAA senior secured hedged inventory facility </w:t>
            </w:r>
            <w:r>
              <w:rPr>
                <w:rFonts w:ascii="Arial" w:cs="Arial" w:eastAsia="Arial" w:hAnsi="Arial"/>
                <w:sz w:val="25"/>
                <w:szCs w:val="25"/>
                <w:color w:val="auto"/>
                <w:vertAlign w:val="superscript"/>
              </w:rPr>
              <w:t>(1) (2)</w:t>
            </w:r>
          </w:p>
        </w:tc>
        <w:tc>
          <w:tcPr>
            <w:tcW w:w="280" w:type="dxa"/>
            <w:vAlign w:val="bottom"/>
          </w:tcPr>
          <w:p>
            <w:pPr>
              <w:spacing w:after="0"/>
              <w:rPr>
                <w:sz w:val="23"/>
                <w:szCs w:val="23"/>
                <w:color w:val="auto"/>
              </w:rPr>
            </w:pPr>
          </w:p>
        </w:tc>
        <w:tc>
          <w:tcPr>
            <w:tcW w:w="1420" w:type="dxa"/>
            <w:vAlign w:val="bottom"/>
          </w:tcPr>
          <w:p>
            <w:pPr>
              <w:jc w:val="right"/>
              <w:ind w:right="14"/>
              <w:spacing w:after="0"/>
              <w:rPr>
                <w:sz w:val="20"/>
                <w:szCs w:val="20"/>
                <w:color w:val="auto"/>
              </w:rPr>
            </w:pPr>
            <w:r>
              <w:rPr>
                <w:rFonts w:ascii="Arial" w:cs="Arial" w:eastAsia="Arial" w:hAnsi="Arial"/>
                <w:sz w:val="18"/>
                <w:szCs w:val="18"/>
                <w:color w:val="auto"/>
              </w:rPr>
              <w:t>922</w:t>
            </w:r>
          </w:p>
        </w:tc>
      </w:tr>
      <w:tr>
        <w:trPr>
          <w:trHeight w:val="270"/>
        </w:trPr>
        <w:tc>
          <w:tcPr>
            <w:tcW w:w="972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Availability under PAA senior unsecured 364-day revolving credit facility </w:t>
            </w:r>
            <w:r>
              <w:rPr>
                <w:rFonts w:ascii="Arial" w:cs="Arial" w:eastAsia="Arial" w:hAnsi="Arial"/>
                <w:sz w:val="25"/>
                <w:szCs w:val="25"/>
                <w:color w:val="auto"/>
                <w:vertAlign w:val="superscript"/>
              </w:rPr>
              <w:t>(3)</w:t>
            </w:r>
          </w:p>
        </w:tc>
        <w:tc>
          <w:tcPr>
            <w:tcW w:w="280" w:type="dxa"/>
            <w:vAlign w:val="bottom"/>
            <w:shd w:val="clear" w:color="auto" w:fill="CCEEFF"/>
          </w:tcPr>
          <w:p>
            <w:pPr>
              <w:spacing w:after="0"/>
              <w:rPr>
                <w:sz w:val="23"/>
                <w:szCs w:val="23"/>
                <w:color w:val="auto"/>
              </w:rPr>
            </w:pPr>
          </w:p>
        </w:tc>
        <w:tc>
          <w:tcPr>
            <w:tcW w:w="14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1,000</w:t>
            </w:r>
          </w:p>
        </w:tc>
      </w:tr>
      <w:tr>
        <w:trPr>
          <w:trHeight w:val="243"/>
        </w:trPr>
        <w:tc>
          <w:tcPr>
            <w:tcW w:w="9720" w:type="dxa"/>
            <w:vAlign w:val="bottom"/>
          </w:tcPr>
          <w:p>
            <w:pPr>
              <w:ind w:left="40"/>
              <w:spacing w:after="0"/>
              <w:rPr>
                <w:sz w:val="20"/>
                <w:szCs w:val="20"/>
                <w:color w:val="auto"/>
              </w:rPr>
            </w:pPr>
            <w:r>
              <w:rPr>
                <w:rFonts w:ascii="Arial" w:cs="Arial" w:eastAsia="Arial" w:hAnsi="Arial"/>
                <w:sz w:val="18"/>
                <w:szCs w:val="18"/>
                <w:color w:val="auto"/>
              </w:rPr>
              <w:t>Amounts outstanding under PAA commercial paper program</w:t>
            </w:r>
          </w:p>
        </w:tc>
        <w:tc>
          <w:tcPr>
            <w:tcW w:w="2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(259)</w:t>
            </w:r>
          </w:p>
        </w:tc>
      </w:tr>
      <w:tr>
        <w:trPr>
          <w:trHeight w:val="27"/>
        </w:trPr>
        <w:tc>
          <w:tcPr>
            <w:tcW w:w="97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44"/>
        </w:trPr>
        <w:tc>
          <w:tcPr>
            <w:tcW w:w="97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Subtotal</w:t>
            </w:r>
          </w:p>
        </w:tc>
        <w:tc>
          <w:tcPr>
            <w:tcW w:w="2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2,998</w:t>
            </w:r>
          </w:p>
        </w:tc>
      </w:tr>
      <w:tr>
        <w:trPr>
          <w:trHeight w:val="243"/>
        </w:trPr>
        <w:tc>
          <w:tcPr>
            <w:tcW w:w="9720" w:type="dxa"/>
            <w:vAlign w:val="bottom"/>
          </w:tcPr>
          <w:p>
            <w:pPr>
              <w:ind w:left="40"/>
              <w:spacing w:after="0"/>
              <w:rPr>
                <w:sz w:val="20"/>
                <w:szCs w:val="20"/>
                <w:color w:val="auto"/>
              </w:rPr>
            </w:pPr>
            <w:r>
              <w:rPr>
                <w:rFonts w:ascii="Arial" w:cs="Arial" w:eastAsia="Arial" w:hAnsi="Arial"/>
                <w:sz w:val="18"/>
                <w:szCs w:val="18"/>
                <w:color w:val="auto"/>
              </w:rPr>
              <w:t>Cash and cash equivalents</w:t>
            </w:r>
          </w:p>
        </w:tc>
        <w:tc>
          <w:tcPr>
            <w:tcW w:w="280" w:type="dxa"/>
            <w:vAlign w:val="bottom"/>
          </w:tcPr>
          <w:p>
            <w:pPr>
              <w:spacing w:after="0"/>
              <w:rPr>
                <w:sz w:val="21"/>
                <w:szCs w:val="21"/>
                <w:color w:val="auto"/>
              </w:rPr>
            </w:pPr>
          </w:p>
        </w:tc>
        <w:tc>
          <w:tcPr>
            <w:tcW w:w="1420" w:type="dxa"/>
            <w:vAlign w:val="bottom"/>
          </w:tcPr>
          <w:p>
            <w:pPr>
              <w:jc w:val="right"/>
              <w:ind w:right="14"/>
              <w:spacing w:after="0"/>
              <w:rPr>
                <w:sz w:val="20"/>
                <w:szCs w:val="20"/>
                <w:color w:val="auto"/>
              </w:rPr>
            </w:pPr>
            <w:r>
              <w:rPr>
                <w:rFonts w:ascii="Arial" w:cs="Arial" w:eastAsia="Arial" w:hAnsi="Arial"/>
                <w:sz w:val="18"/>
                <w:szCs w:val="18"/>
                <w:color w:val="auto"/>
              </w:rPr>
              <w:t>37</w:t>
            </w:r>
          </w:p>
        </w:tc>
      </w:tr>
      <w:tr>
        <w:trPr>
          <w:trHeight w:val="27"/>
        </w:trPr>
        <w:tc>
          <w:tcPr>
            <w:tcW w:w="97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69"/>
        </w:trPr>
        <w:tc>
          <w:tcPr>
            <w:tcW w:w="97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3,035</w:t>
            </w:r>
          </w:p>
        </w:tc>
      </w:tr>
      <w:tr>
        <w:trPr>
          <w:trHeight w:val="20"/>
        </w:trPr>
        <w:tc>
          <w:tcPr>
            <w:tcW w:w="97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250444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2504440" cy="8890"/>
                    </a:xfrm>
                    <a:prstGeom prst="rect">
                      <a:avLst/>
                    </a:prstGeom>
                    <a:noFill/>
                  </pic:spPr>
                </pic:pic>
              </a:graphicData>
            </a:graphic>
          </wp:anchor>
        </w:drawing>
      </w:r>
    </w:p>
    <w:p>
      <w:pPr>
        <w:spacing w:after="0" w:line="290" w:lineRule="exact"/>
        <w:rPr>
          <w:sz w:val="20"/>
          <w:szCs w:val="20"/>
          <w:color w:val="auto"/>
        </w:rPr>
      </w:pPr>
    </w:p>
    <w:p>
      <w:pPr>
        <w:ind w:left="660" w:right="360" w:hanging="652"/>
        <w:spacing w:after="0" w:line="216" w:lineRule="auto"/>
        <w:tabs>
          <w:tab w:leader="none" w:pos="660" w:val="left"/>
        </w:tabs>
        <w:numPr>
          <w:ilvl w:val="0"/>
          <w:numId w:val="45"/>
        </w:numPr>
        <w:rPr>
          <w:rFonts w:ascii="Arial" w:cs="Arial" w:eastAsia="Arial" w:hAnsi="Arial"/>
          <w:sz w:val="25"/>
          <w:szCs w:val="25"/>
          <w:color w:val="auto"/>
          <w:vertAlign w:val="superscript"/>
        </w:rPr>
      </w:pPr>
      <w:r>
        <w:rPr>
          <w:rFonts w:ascii="Arial" w:cs="Arial" w:eastAsia="Arial" w:hAnsi="Arial"/>
          <w:sz w:val="18"/>
          <w:szCs w:val="18"/>
          <w:color w:val="auto"/>
        </w:rPr>
        <w:t>Represents availability prior to giving effect to amounts outstanding under the PAA commercial paper program, which reduce available capacity under the facilities.</w:t>
      </w:r>
    </w:p>
    <w:p>
      <w:pPr>
        <w:spacing w:after="0" w:line="95" w:lineRule="exact"/>
        <w:rPr>
          <w:rFonts w:ascii="Arial" w:cs="Arial" w:eastAsia="Arial" w:hAnsi="Arial"/>
          <w:sz w:val="25"/>
          <w:szCs w:val="25"/>
          <w:color w:val="auto"/>
          <w:vertAlign w:val="superscript"/>
        </w:rPr>
      </w:pPr>
    </w:p>
    <w:p>
      <w:pPr>
        <w:ind w:left="660" w:right="260" w:hanging="652"/>
        <w:spacing w:after="0" w:line="216" w:lineRule="auto"/>
        <w:tabs>
          <w:tab w:leader="none" w:pos="660" w:val="left"/>
        </w:tabs>
        <w:numPr>
          <w:ilvl w:val="0"/>
          <w:numId w:val="45"/>
        </w:numPr>
        <w:rPr>
          <w:rFonts w:ascii="Arial" w:cs="Arial" w:eastAsia="Arial" w:hAnsi="Arial"/>
          <w:sz w:val="25"/>
          <w:szCs w:val="25"/>
          <w:color w:val="auto"/>
          <w:vertAlign w:val="superscript"/>
        </w:rPr>
      </w:pPr>
      <w:r>
        <w:rPr>
          <w:rFonts w:ascii="Arial" w:cs="Arial" w:eastAsia="Arial" w:hAnsi="Arial"/>
          <w:sz w:val="18"/>
          <w:szCs w:val="18"/>
          <w:color w:val="auto"/>
        </w:rPr>
        <w:t>Available capacity under the PAA senior unsecured revolving credit facility and the PAA senior secured hedged inventory facility was reduced by outstanding letters of credit of $140 million and $28 million, respectively.</w:t>
      </w:r>
    </w:p>
    <w:p>
      <w:pPr>
        <w:spacing w:after="0" w:line="92" w:lineRule="exact"/>
        <w:rPr>
          <w:rFonts w:ascii="Arial" w:cs="Arial" w:eastAsia="Arial" w:hAnsi="Arial"/>
          <w:sz w:val="25"/>
          <w:szCs w:val="25"/>
          <w:color w:val="auto"/>
          <w:vertAlign w:val="superscript"/>
        </w:rPr>
      </w:pPr>
    </w:p>
    <w:p>
      <w:pPr>
        <w:ind w:left="660" w:hanging="652"/>
        <w:spacing w:after="0"/>
        <w:tabs>
          <w:tab w:leader="none" w:pos="660" w:val="left"/>
        </w:tabs>
        <w:numPr>
          <w:ilvl w:val="0"/>
          <w:numId w:val="45"/>
        </w:numPr>
        <w:rPr>
          <w:rFonts w:ascii="Arial" w:cs="Arial" w:eastAsia="Arial" w:hAnsi="Arial"/>
          <w:sz w:val="25"/>
          <w:szCs w:val="25"/>
          <w:color w:val="auto"/>
          <w:vertAlign w:val="superscript"/>
        </w:rPr>
      </w:pPr>
      <w:r>
        <w:rPr>
          <w:rFonts w:ascii="Arial" w:cs="Arial" w:eastAsia="Arial" w:hAnsi="Arial"/>
          <w:sz w:val="18"/>
          <w:szCs w:val="18"/>
          <w:color w:val="auto"/>
        </w:rPr>
        <w:t>The PAA senior unsecured 364-day revolving credit facility matures in mid-August 2018.</w:t>
      </w:r>
    </w:p>
    <w:p>
      <w:pPr>
        <w:spacing w:after="0" w:line="161" w:lineRule="exact"/>
        <w:rPr>
          <w:sz w:val="20"/>
          <w:szCs w:val="20"/>
          <w:color w:val="auto"/>
        </w:rPr>
      </w:pPr>
    </w:p>
    <w:p>
      <w:pPr>
        <w:ind w:right="200" w:firstLine="648"/>
        <w:spacing w:after="0" w:line="293" w:lineRule="auto"/>
        <w:rPr>
          <w:sz w:val="20"/>
          <w:szCs w:val="20"/>
          <w:color w:val="auto"/>
        </w:rPr>
      </w:pPr>
      <w:r>
        <w:rPr>
          <w:rFonts w:ascii="Arial" w:cs="Arial" w:eastAsia="Arial" w:hAnsi="Arial"/>
          <w:sz w:val="16"/>
          <w:szCs w:val="16"/>
          <w:color w:val="auto"/>
        </w:rPr>
        <w:t>We believe that we have, and will continue to have, the ability to access the PAA commercial paper program and credit facilities, which we use to meet our short-term cash needs. We believe that our financial position remains strong and we have sufficient liquidity; however, extended disruptions in the financial markets and/or energy price volatility that adversely affect our business may have a materially adverse effect on our financial condition, results of operations or cash flows. In addition, usage of the PAA credit facilities, which provide the financial backstop for the PAA commercial paper program, is subject to ongoing compliance with covenants. As of June 30, 2018, PAA was in compliance with all such covenants. Also, see Item 1A. “Risk Factors” of our 2017 Annual Report on Form 10-K for further discussion regarding such risks that may impact our liquidity and capital resources.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 from Operating Activities</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For a comprehensive discussion of the primary drivers of cash flow from operating activities, including the impact of varying market conditions and the timing of settlement of our derivatives, see Item 7. “Liquidity and Capital Resources—Cash Flow from Operating Activities” included in our 2017 Annual Report on Form 10-K.</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20"/>
          </w:cols>
          <w:pgMar w:left="240" w:top="125" w:right="239" w:bottom="1440" w:gutter="0" w:footer="0" w:header="0"/>
        </w:sectPr>
      </w:pPr>
    </w:p>
    <w:bookmarkStart w:id="55" w:name="page56"/>
    <w:bookmarkEnd w:id="5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60" w:firstLine="648"/>
        <w:spacing w:after="0" w:line="264" w:lineRule="auto"/>
        <w:rPr>
          <w:sz w:val="20"/>
          <w:szCs w:val="20"/>
          <w:color w:val="auto"/>
        </w:rPr>
      </w:pPr>
      <w:r>
        <w:rPr>
          <w:rFonts w:ascii="Arial" w:cs="Arial" w:eastAsia="Arial" w:hAnsi="Arial"/>
          <w:sz w:val="18"/>
          <w:szCs w:val="18"/>
          <w:color w:val="auto"/>
        </w:rPr>
        <w:t>Net cash provided by operating activities for the first six months of 2018 and 2017 was $1.013 billion and $1.459 billion, respectively, and primarily resulted from earnings from our operations. Additionally, as discussed further below, changes during these periods in our inventory levels and associated margin balances required as part of our hedging activities impacted our cash flow from operating activities.</w:t>
      </w:r>
    </w:p>
    <w:p>
      <w:pPr>
        <w:spacing w:after="0" w:line="181"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During the six months ended June 30, 2018, net cash provided by operating activities was positively impacted by approximately $300 million of cash received for transactions for which the revenue has been deferred pending the completion of future performance obligations. See Note 3 to our Condensed Consolidated Financial Statements for additional information. That positive impact was partially offset by increases in the margin balances required as part of our hedging activities, which were funded by short-term debt.</w:t>
      </w:r>
    </w:p>
    <w:p>
      <w:pPr>
        <w:spacing w:after="0" w:line="187"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During the six months ended June 30, 2017, we decreased both the volume of inventory that we held and the margin balances required as part of our hedging activities, both of which had been funded by short-term debt. The cash inflows associated with these items resulted in a favorable impact on our cash provided by operating activities. However, the favorable effects from such activities were partially offset by higher prices for NGL and crude oil inventory that was purchased and stored at the end of the period.</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Capital Expenditures and Divestitures</w:t>
      </w:r>
    </w:p>
    <w:p>
      <w:pPr>
        <w:spacing w:after="0" w:line="225" w:lineRule="exact"/>
        <w:rPr>
          <w:sz w:val="20"/>
          <w:szCs w:val="20"/>
          <w:color w:val="auto"/>
        </w:rPr>
      </w:pPr>
    </w:p>
    <w:p>
      <w:pPr>
        <w:ind w:right="140" w:firstLine="648"/>
        <w:spacing w:after="0" w:line="302" w:lineRule="auto"/>
        <w:rPr>
          <w:sz w:val="20"/>
          <w:szCs w:val="20"/>
          <w:color w:val="auto"/>
        </w:rPr>
      </w:pPr>
      <w:r>
        <w:rPr>
          <w:rFonts w:ascii="Arial" w:cs="Arial" w:eastAsia="Arial" w:hAnsi="Arial"/>
          <w:sz w:val="16"/>
          <w:szCs w:val="16"/>
          <w:color w:val="auto"/>
        </w:rPr>
        <w:t>In addition to our operating needs discussed above, on a consolidated basis, we also use cash for our acquisition activities and expansion capital projects. Historically, we have financed these expenditures primarily with cash generated by operating activities and the financing activities discussed in “— Equity and Debt Financing Activities” below. In the near term, we also intend to use proceeds from our divestiture program, as discussed further below. We have made and will continue to make capital expenditures for acquisitions, expansion capital projects and maintenance activities.</w:t>
      </w:r>
    </w:p>
    <w:p>
      <w:pPr>
        <w:spacing w:after="0" w:line="154"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i w:val="1"/>
          <w:iCs w:val="1"/>
          <w:color w:val="auto"/>
        </w:rPr>
        <w:t xml:space="preserve">Capital Projects. </w:t>
      </w:r>
      <w:r>
        <w:rPr>
          <w:rFonts w:ascii="Arial" w:cs="Arial" w:eastAsia="Arial" w:hAnsi="Arial"/>
          <w:sz w:val="18"/>
          <w:szCs w:val="18"/>
          <w:color w:val="auto"/>
        </w:rPr>
        <w:t>We invested approximately $832 million in midstream infrastructure during the six months ended June 30, 2018, and we expect to</w:t>
      </w:r>
      <w:r>
        <w:rPr>
          <w:rFonts w:ascii="Arial" w:cs="Arial" w:eastAsia="Arial" w:hAnsi="Arial"/>
          <w:sz w:val="18"/>
          <w:szCs w:val="18"/>
          <w:i w:val="1"/>
          <w:iCs w:val="1"/>
          <w:color w:val="auto"/>
        </w:rPr>
        <w:t xml:space="preserve"> </w:t>
      </w:r>
      <w:r>
        <w:rPr>
          <w:rFonts w:ascii="Arial" w:cs="Arial" w:eastAsia="Arial" w:hAnsi="Arial"/>
          <w:sz w:val="18"/>
          <w:szCs w:val="18"/>
          <w:color w:val="auto"/>
        </w:rPr>
        <w:t>invest approximately $1.95 billion during the full year ended December 31, 2018. See “—Acquisitions and Capital Projects” for detail of our projected capital expenditures for the year ending December 31, 2018. We expect to fund our 2018 capital program with retained cash flow and proceeds from our divestiture program, as discussed further below.</w:t>
      </w:r>
    </w:p>
    <w:p>
      <w:pPr>
        <w:spacing w:after="0" w:line="187"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i w:val="1"/>
          <w:iCs w:val="1"/>
          <w:color w:val="auto"/>
        </w:rPr>
        <w:t>Divestitures</w:t>
      </w:r>
      <w:r>
        <w:rPr>
          <w:rFonts w:ascii="Arial" w:cs="Arial" w:eastAsia="Arial" w:hAnsi="Arial"/>
          <w:sz w:val="18"/>
          <w:szCs w:val="18"/>
          <w:color w:val="auto"/>
        </w:rPr>
        <w:t>. In 2016, we initiated a program to evaluate potential sales of non-core assets and/or sales of partial interests in assets to strategic joint</w:t>
      </w:r>
      <w:r>
        <w:rPr>
          <w:rFonts w:ascii="Arial" w:cs="Arial" w:eastAsia="Arial" w:hAnsi="Arial"/>
          <w:sz w:val="18"/>
          <w:szCs w:val="18"/>
          <w:i w:val="1"/>
          <w:iCs w:val="1"/>
          <w:color w:val="auto"/>
        </w:rPr>
        <w:t xml:space="preserve"> </w:t>
      </w:r>
      <w:r>
        <w:rPr>
          <w:rFonts w:ascii="Arial" w:cs="Arial" w:eastAsia="Arial" w:hAnsi="Arial"/>
          <w:sz w:val="18"/>
          <w:szCs w:val="18"/>
          <w:color w:val="auto"/>
        </w:rPr>
        <w:t>venture partners to optimize our asset portfolio and strengthen our balance sheet and leverage metrics. As of December 31, 2017, we had completed asset sales totaling approximately $1.7 billion, of which approximately $0.6 billion closed in 2016 (net of amounts paid for the remaining interest in a pipeline that was subsequently sold) and approximately $1.1 billion closed in 2017.</w:t>
      </w:r>
    </w:p>
    <w:p>
      <w:pPr>
        <w:spacing w:after="0" w:line="187" w:lineRule="exact"/>
        <w:rPr>
          <w:sz w:val="20"/>
          <w:szCs w:val="20"/>
          <w:color w:val="auto"/>
        </w:rPr>
      </w:pPr>
    </w:p>
    <w:p>
      <w:pPr>
        <w:ind w:right="60" w:firstLine="648"/>
        <w:spacing w:after="0" w:line="279" w:lineRule="auto"/>
        <w:rPr>
          <w:sz w:val="20"/>
          <w:szCs w:val="20"/>
          <w:color w:val="auto"/>
        </w:rPr>
      </w:pPr>
      <w:r>
        <w:rPr>
          <w:rFonts w:ascii="Arial" w:cs="Arial" w:eastAsia="Arial" w:hAnsi="Arial"/>
          <w:sz w:val="17"/>
          <w:szCs w:val="17"/>
          <w:color w:val="auto"/>
        </w:rPr>
        <w:t>As part of our funding plans for our 2018 expansion capital program, we set a target to raise $700 million through divestitures in 2018. We received proceeds of $426 million during the first six months of 2018, and we continue to advance efforts with respect to a number of additional transactions and believe successful consummation of such efforts will enable us to meet and potentially exceed our targeted amounts for 2018. Any excess proceeds above our targeted amounts would be used to reduce debt or fund incremental expansion opportunities.</w:t>
      </w:r>
    </w:p>
    <w:p>
      <w:pPr>
        <w:spacing w:after="0" w:line="171" w:lineRule="exact"/>
        <w:rPr>
          <w:sz w:val="20"/>
          <w:szCs w:val="20"/>
          <w:color w:val="auto"/>
        </w:rPr>
      </w:pPr>
    </w:p>
    <w:p>
      <w:pPr>
        <w:ind w:right="100" w:firstLine="648"/>
        <w:spacing w:after="0" w:line="293" w:lineRule="auto"/>
        <w:rPr>
          <w:sz w:val="20"/>
          <w:szCs w:val="20"/>
          <w:color w:val="auto"/>
        </w:rPr>
      </w:pPr>
      <w:r>
        <w:rPr>
          <w:rFonts w:ascii="Arial" w:cs="Arial" w:eastAsia="Arial" w:hAnsi="Arial"/>
          <w:sz w:val="16"/>
          <w:szCs w:val="16"/>
          <w:color w:val="auto"/>
        </w:rPr>
        <w:t>We typically do not announce a transaction until after we have executed a definitive agreement. However, in certain cases in order to protect our business interests or for other reasons, we may defer public announcement of a transaction until a later date. Past experience has demonstrated that discussions and negotiations regarding a potential transaction can advance or terminate in a short period of time. Moreover, the closing of any transaction for which we have entered into a definitive agreement may be subject to customary and other closing conditions, which may not ultimately be satisfied or waived. Accordingly, we can give no assurance that our current divestiture efforts will be successfully completed. Also, see Item 1A. “Risk Factors—Risks Related to PAA’s Business” of our 2017 Annual Report on Form 10-K for further discussion regarding risks related to our acquisitions and divestitures.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and Debt Financing Activities</w:t>
      </w:r>
    </w:p>
    <w:p>
      <w:pPr>
        <w:spacing w:after="0" w:line="225" w:lineRule="exact"/>
        <w:rPr>
          <w:sz w:val="20"/>
          <w:szCs w:val="20"/>
          <w:color w:val="auto"/>
        </w:rPr>
      </w:pPr>
    </w:p>
    <w:p>
      <w:pPr>
        <w:ind w:right="260" w:firstLine="648"/>
        <w:spacing w:after="0" w:line="259" w:lineRule="auto"/>
        <w:rPr>
          <w:sz w:val="20"/>
          <w:szCs w:val="20"/>
          <w:color w:val="auto"/>
        </w:rPr>
      </w:pPr>
      <w:r>
        <w:rPr>
          <w:rFonts w:ascii="Arial" w:cs="Arial" w:eastAsia="Arial" w:hAnsi="Arial"/>
          <w:sz w:val="18"/>
          <w:szCs w:val="18"/>
          <w:color w:val="auto"/>
        </w:rPr>
        <w:t>On a consolidated basis, our financing activities primarily relate to funding expansion capital projects, acquisitions and refinancing of debt maturities, as well as short-term working capital (including borrowings for NYMEX and ICE margin deposits) and hedged inventory borrowings related to our NGL business and contango market activities. Our financing activities have primarily consisted of equity offerings, PAA senior notes offerings and borrowings and repayments under the</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20"/>
          </w:cols>
          <w:pgMar w:left="240" w:top="125" w:right="239" w:bottom="1440" w:gutter="0" w:footer="0" w:header="0"/>
        </w:sectPr>
      </w:pPr>
    </w:p>
    <w:bookmarkStart w:id="56" w:name="page57"/>
    <w:bookmarkEnd w:id="5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7"/>
          <w:szCs w:val="17"/>
          <w:color w:val="auto"/>
        </w:rPr>
        <w:t>credit facilities or the PAA commercial paper program, as well as payment of distributions to our Class A shareholders and noncontrolling interests.</w:t>
      </w:r>
    </w:p>
    <w:p>
      <w:pPr>
        <w:spacing w:after="0" w:line="237" w:lineRule="exact"/>
        <w:rPr>
          <w:sz w:val="20"/>
          <w:szCs w:val="20"/>
          <w:color w:val="auto"/>
        </w:rPr>
      </w:pPr>
    </w:p>
    <w:p>
      <w:pPr>
        <w:ind w:right="40" w:firstLine="648"/>
        <w:spacing w:after="0" w:line="273" w:lineRule="auto"/>
        <w:rPr>
          <w:sz w:val="20"/>
          <w:szCs w:val="20"/>
          <w:color w:val="auto"/>
        </w:rPr>
      </w:pPr>
      <w:r>
        <w:rPr>
          <w:rFonts w:ascii="Arial" w:cs="Arial" w:eastAsia="Arial" w:hAnsi="Arial"/>
          <w:sz w:val="17"/>
          <w:szCs w:val="17"/>
          <w:i w:val="1"/>
          <w:iCs w:val="1"/>
          <w:color w:val="auto"/>
        </w:rPr>
        <w:t xml:space="preserve">PAGP Registration Statements. </w:t>
      </w:r>
      <w:r>
        <w:rPr>
          <w:rFonts w:ascii="Arial" w:cs="Arial" w:eastAsia="Arial" w:hAnsi="Arial"/>
          <w:sz w:val="17"/>
          <w:szCs w:val="17"/>
          <w:color w:val="auto"/>
        </w:rPr>
        <w:t>We have filed with the SEC a shelf registration statement that, subject to effectiveness at the time of use, allows us to</w:t>
      </w:r>
      <w:r>
        <w:rPr>
          <w:rFonts w:ascii="Arial" w:cs="Arial" w:eastAsia="Arial" w:hAnsi="Arial"/>
          <w:sz w:val="17"/>
          <w:szCs w:val="17"/>
          <w:i w:val="1"/>
          <w:iCs w:val="1"/>
          <w:color w:val="auto"/>
        </w:rPr>
        <w:t xml:space="preserve"> </w:t>
      </w:r>
      <w:r>
        <w:rPr>
          <w:rFonts w:ascii="Arial" w:cs="Arial" w:eastAsia="Arial" w:hAnsi="Arial"/>
          <w:sz w:val="17"/>
          <w:szCs w:val="17"/>
          <w:color w:val="auto"/>
        </w:rPr>
        <w:t>issue up to an aggregate of $1.0 billion of equity securities (the “PAGP Traditional Shelf”). All issuances of equity securities associated with our continuous offering program have been issued pursuant to the PAGP Traditional Shelf. At June 30, 2018, we had approximately $939 million of unsold securities available under the PAGP Traditional Shelf. We also have access to a shelf registration statement (the “PAGP WKSI Shelf”), which provides us with the ability to offer and sell an unlimited amount of equity securities, subject to market conditions and capital needs. We did not conduct any offerings under the PAGP Traditional Shelf or the PAGP WKSI Shelf during the six months ended June 30, 2018.</w:t>
      </w:r>
    </w:p>
    <w:p>
      <w:pPr>
        <w:spacing w:after="0" w:line="178"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i w:val="1"/>
          <w:iCs w:val="1"/>
          <w:color w:val="auto"/>
        </w:rPr>
        <w:t xml:space="preserve">PAA Registration Statements. </w:t>
      </w:r>
      <w:r>
        <w:rPr>
          <w:rFonts w:ascii="Arial" w:cs="Arial" w:eastAsia="Arial" w:hAnsi="Arial"/>
          <w:sz w:val="18"/>
          <w:szCs w:val="18"/>
          <w:color w:val="auto"/>
        </w:rPr>
        <w:t>PAA periodically accesses the capital markets for both equity and debt financing. PAA has filed with the SEC a</w:t>
      </w:r>
      <w:r>
        <w:rPr>
          <w:rFonts w:ascii="Arial" w:cs="Arial" w:eastAsia="Arial" w:hAnsi="Arial"/>
          <w:sz w:val="18"/>
          <w:szCs w:val="18"/>
          <w:i w:val="1"/>
          <w:iCs w:val="1"/>
          <w:color w:val="auto"/>
        </w:rPr>
        <w:t xml:space="preserve"> </w:t>
      </w:r>
      <w:r>
        <w:rPr>
          <w:rFonts w:ascii="Arial" w:cs="Arial" w:eastAsia="Arial" w:hAnsi="Arial"/>
          <w:sz w:val="18"/>
          <w:szCs w:val="18"/>
          <w:color w:val="auto"/>
        </w:rPr>
        <w:t>universal shelf registration statement that, subject to effectiveness at the time of use, allows PAA to issue up to an aggregate of $2.0 billion of debt or equity securities (the “PAA Traditional Shelf”). At June 30, 2018, PAA had approximately $1.1 billion of unsold securities available under the PAA Traditional Shelf. PAA also has access to a universal shelf registration statement (the “PAA WKSI Shelf”), which provides it with the ability to offer and sell an unlimited amount of debt and equity securities, subject to market conditions and capital needs. PAA did not conduct any offerings under the PAA Traditional Shelf or the PAA WKSI Shelf during the six months ended June 30, 2018.</w:t>
      </w:r>
    </w:p>
    <w:p>
      <w:pPr>
        <w:spacing w:after="0" w:line="193" w:lineRule="exact"/>
        <w:rPr>
          <w:sz w:val="20"/>
          <w:szCs w:val="20"/>
          <w:color w:val="auto"/>
        </w:rPr>
      </w:pPr>
    </w:p>
    <w:p>
      <w:pPr>
        <w:ind w:right="220" w:firstLine="648"/>
        <w:spacing w:after="0" w:line="276" w:lineRule="auto"/>
        <w:rPr>
          <w:sz w:val="20"/>
          <w:szCs w:val="20"/>
          <w:color w:val="auto"/>
        </w:rPr>
      </w:pPr>
      <w:r>
        <w:rPr>
          <w:rFonts w:ascii="Arial" w:cs="Arial" w:eastAsia="Arial" w:hAnsi="Arial"/>
          <w:sz w:val="17"/>
          <w:szCs w:val="17"/>
          <w:i w:val="1"/>
          <w:iCs w:val="1"/>
          <w:color w:val="auto"/>
        </w:rPr>
        <w:t xml:space="preserve">Credit Agreements, Commercial Paper Program and Indentures. </w:t>
      </w:r>
      <w:r>
        <w:rPr>
          <w:rFonts w:ascii="Arial" w:cs="Arial" w:eastAsia="Arial" w:hAnsi="Arial"/>
          <w:sz w:val="17"/>
          <w:szCs w:val="17"/>
          <w:color w:val="auto"/>
        </w:rPr>
        <w:t>The PAA credit agreements (which impact PAA’s ability to access the PAA</w:t>
      </w:r>
      <w:r>
        <w:rPr>
          <w:rFonts w:ascii="Arial" w:cs="Arial" w:eastAsia="Arial" w:hAnsi="Arial"/>
          <w:sz w:val="17"/>
          <w:szCs w:val="17"/>
          <w:i w:val="1"/>
          <w:iCs w:val="1"/>
          <w:color w:val="auto"/>
        </w:rPr>
        <w:t xml:space="preserve"> </w:t>
      </w:r>
      <w:r>
        <w:rPr>
          <w:rFonts w:ascii="Arial" w:cs="Arial" w:eastAsia="Arial" w:hAnsi="Arial"/>
          <w:sz w:val="17"/>
          <w:szCs w:val="17"/>
          <w:color w:val="auto"/>
        </w:rPr>
        <w:t>commercial paper program because they provide the financial backstop that supports PAA’s short-term credit ratings) and the indentures governing PAA’s senior notes contain cross-default provisions. A default under the credit agreements would permit the lenders to accelerate the maturity of the outstanding debt. As long as PAA is in compliance with the provisions in the credit agreements, its ability to make distributions of available cash is not restricted. As of June 30, 2018, PAA was in compliance with the covenants contained in the credit agreements and indentures.</w:t>
      </w:r>
    </w:p>
    <w:p>
      <w:pPr>
        <w:spacing w:after="0" w:line="173" w:lineRule="exact"/>
        <w:rPr>
          <w:sz w:val="20"/>
          <w:szCs w:val="20"/>
          <w:color w:val="auto"/>
        </w:rPr>
      </w:pPr>
    </w:p>
    <w:p>
      <w:pPr>
        <w:ind w:right="260" w:firstLine="648"/>
        <w:spacing w:after="0" w:line="264" w:lineRule="auto"/>
        <w:rPr>
          <w:sz w:val="20"/>
          <w:szCs w:val="20"/>
          <w:color w:val="auto"/>
        </w:rPr>
      </w:pPr>
      <w:r>
        <w:rPr>
          <w:rFonts w:ascii="Arial" w:cs="Arial" w:eastAsia="Arial" w:hAnsi="Arial"/>
          <w:sz w:val="18"/>
          <w:szCs w:val="18"/>
          <w:color w:val="auto"/>
        </w:rPr>
        <w:t>During the six months ended June 30, 2018, we had net repayments on PAA’s credit facilities and the PAA commercial paper program of $72 million. The net repayments resulted primarily from cash flow from operating activities, partially offset by borrowings during the period related to funding needs for inventory purchases and related margin activities.</w:t>
      </w:r>
    </w:p>
    <w:p>
      <w:pPr>
        <w:spacing w:after="0" w:line="181"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During the six months ended June 30, 2017, we had net repayments on PAA’s credit facilities and the PAA commercial paper program of $425 million. The net repayments resulted primarily from cash flow from operating activities and cash received from our equity activities, which offset borrowings during the period related to funding needs for (i) acquisition and capital investments, (ii) repayment of PAA’s $400 million, 6.13% senior notes in January 2017 and (iii) other general partnership purposes.</w:t>
      </w:r>
    </w:p>
    <w:p>
      <w:pPr>
        <w:spacing w:after="0" w:line="183"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Distributions to Our Class A Shareholders</w:t>
      </w:r>
    </w:p>
    <w:p>
      <w:pPr>
        <w:spacing w:after="0" w:line="229"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i w:val="1"/>
          <w:iCs w:val="1"/>
          <w:color w:val="auto"/>
        </w:rPr>
        <w:t xml:space="preserve">Distributions to our Class A shareholders. </w:t>
      </w:r>
      <w:r>
        <w:rPr>
          <w:rFonts w:ascii="Arial" w:cs="Arial" w:eastAsia="Arial" w:hAnsi="Arial"/>
          <w:sz w:val="17"/>
          <w:szCs w:val="17"/>
          <w:color w:val="auto"/>
        </w:rPr>
        <w:t>We distribute all of our available cash within 55 days following the end of each quarter to Class A</w:t>
      </w:r>
      <w:r>
        <w:rPr>
          <w:rFonts w:ascii="Arial" w:cs="Arial" w:eastAsia="Arial" w:hAnsi="Arial"/>
          <w:sz w:val="17"/>
          <w:szCs w:val="17"/>
          <w:i w:val="1"/>
          <w:iCs w:val="1"/>
          <w:color w:val="auto"/>
        </w:rPr>
        <w:t xml:space="preserve"> </w:t>
      </w:r>
      <w:r>
        <w:rPr>
          <w:rFonts w:ascii="Arial" w:cs="Arial" w:eastAsia="Arial" w:hAnsi="Arial"/>
          <w:sz w:val="17"/>
          <w:szCs w:val="17"/>
          <w:color w:val="auto"/>
        </w:rPr>
        <w:t>shareholders of record. Available cash is generally defined as all of our cash and cash equivalents on hand at the end of each quarter less reserves established in the discretion of our general partner for future requirements. On August 14, 2018, we will pay a quarterly distribution of $0.30 per Class A share ($1.20 per Class A share on an annualized basis), which is unchanged from our prior three quarterly distributions, but represents a year-over-year distribution decrease of approximately 45% compared to the quarterly distribution of $0.55 per Class A share ($2.20 per Class A share on an annualized basis) paid in August 2017. See Note 10 to our Condensed Consolidated Financial Statements for details of distributions paid during or pertaining to the first six months of 2018. Also, see Item 5. “Market for Registrant’s Shares, Related Shareholder Matters and Issuer Purchases of Equity Securities—Cash Distribution Policy” included in our 2017 Annual Report on Form 10-K for additional discussion regarding distributions.</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Distributions to Noncontrolling Interests</w:t>
      </w:r>
    </w:p>
    <w:p>
      <w:pPr>
        <w:spacing w:after="0" w:line="229" w:lineRule="exact"/>
        <w:rPr>
          <w:sz w:val="20"/>
          <w:szCs w:val="20"/>
          <w:color w:val="auto"/>
        </w:rPr>
      </w:pPr>
    </w:p>
    <w:p>
      <w:pPr>
        <w:ind w:right="60" w:firstLine="648"/>
        <w:spacing w:after="0" w:line="286" w:lineRule="auto"/>
        <w:rPr>
          <w:sz w:val="20"/>
          <w:szCs w:val="20"/>
          <w:color w:val="auto"/>
        </w:rPr>
      </w:pPr>
      <w:r>
        <w:rPr>
          <w:rFonts w:ascii="Arial" w:cs="Arial" w:eastAsia="Arial" w:hAnsi="Arial"/>
          <w:sz w:val="17"/>
          <w:szCs w:val="17"/>
          <w:color w:val="auto"/>
        </w:rPr>
        <w:t>Distributions to noncontrolling interests represent amounts paid on interests in consolidated entities that are not owned by us. As of June 30, 2018, noncontrolling interests in our subsidiaries consisted of (i) limited partner interests in PAA including a 65% interest in PAA’s common units and PAA’s Series A preferred units combined and 100% of PAA’s Series B preferred units and (ii) an approximate 44% limited partner interest in AAP.</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20"/>
          </w:cols>
          <w:pgMar w:left="240" w:top="125" w:right="239" w:bottom="1440" w:gutter="0" w:footer="0" w:header="0"/>
        </w:sectPr>
      </w:pPr>
    </w:p>
    <w:bookmarkStart w:id="57" w:name="page58"/>
    <w:bookmarkEnd w:id="5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ind w:right="260" w:firstLine="648"/>
        <w:spacing w:after="0" w:line="312" w:lineRule="auto"/>
        <w:rPr>
          <w:sz w:val="20"/>
          <w:szCs w:val="20"/>
          <w:color w:val="auto"/>
        </w:rPr>
      </w:pPr>
      <w:r>
        <w:rPr>
          <w:rFonts w:ascii="Arial" w:cs="Arial" w:eastAsia="Arial" w:hAnsi="Arial"/>
          <w:sz w:val="16"/>
          <w:szCs w:val="16"/>
          <w:i w:val="1"/>
          <w:iCs w:val="1"/>
          <w:color w:val="auto"/>
        </w:rPr>
        <w:t xml:space="preserve">Distributions to PAA’s Series A preferred unitholders. </w:t>
      </w:r>
      <w:r>
        <w:rPr>
          <w:rFonts w:ascii="Arial" w:cs="Arial" w:eastAsia="Arial" w:hAnsi="Arial"/>
          <w:sz w:val="16"/>
          <w:szCs w:val="16"/>
          <w:color w:val="auto"/>
        </w:rPr>
        <w:t>On August 14, 2018 PAA will pay a cash distribution of $37 million ($0.525 per unit) on its</w:t>
      </w:r>
      <w:r>
        <w:rPr>
          <w:rFonts w:ascii="Arial" w:cs="Arial" w:eastAsia="Arial" w:hAnsi="Arial"/>
          <w:sz w:val="16"/>
          <w:szCs w:val="16"/>
          <w:i w:val="1"/>
          <w:iCs w:val="1"/>
          <w:color w:val="auto"/>
        </w:rPr>
        <w:t xml:space="preserve"> </w:t>
      </w:r>
      <w:r>
        <w:rPr>
          <w:rFonts w:ascii="Arial" w:cs="Arial" w:eastAsia="Arial" w:hAnsi="Arial"/>
          <w:sz w:val="16"/>
          <w:szCs w:val="16"/>
          <w:color w:val="auto"/>
        </w:rPr>
        <w:t>Series A preferred units outstanding as of July 31, 2018, the record date for such distribution for the period from April 1, 2018 through June 30, 2018. See Note 10 to our Condensed Consolidated Financial Statements for details of distributions made during or pertaining to the first six months of 2018.</w:t>
      </w:r>
    </w:p>
    <w:p>
      <w:pPr>
        <w:spacing w:after="0" w:line="147"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i w:val="1"/>
          <w:iCs w:val="1"/>
          <w:color w:val="auto"/>
        </w:rPr>
        <w:t xml:space="preserve">Distributions to PAA’s Series B preferred unitholders. </w:t>
      </w:r>
      <w:r>
        <w:rPr>
          <w:rFonts w:ascii="Arial" w:cs="Arial" w:eastAsia="Arial" w:hAnsi="Arial"/>
          <w:sz w:val="18"/>
          <w:szCs w:val="18"/>
          <w:color w:val="auto"/>
        </w:rPr>
        <w:t>Distributions on PAA’s Series B preferred units are payable semiannually in arrears on the 15th</w:t>
      </w:r>
      <w:r>
        <w:rPr>
          <w:rFonts w:ascii="Arial" w:cs="Arial" w:eastAsia="Arial" w:hAnsi="Arial"/>
          <w:sz w:val="18"/>
          <w:szCs w:val="18"/>
          <w:i w:val="1"/>
          <w:iCs w:val="1"/>
          <w:color w:val="auto"/>
        </w:rPr>
        <w:t xml:space="preserve"> </w:t>
      </w:r>
      <w:r>
        <w:rPr>
          <w:rFonts w:ascii="Arial" w:cs="Arial" w:eastAsia="Arial" w:hAnsi="Arial"/>
          <w:sz w:val="18"/>
          <w:szCs w:val="18"/>
          <w:color w:val="auto"/>
        </w:rPr>
        <w:t>day of May and November. See Note 10 to our Condensed Consolidated Financial Statements for details of distributions made during the first six months of 2018.</w:t>
      </w:r>
    </w:p>
    <w:p>
      <w:pPr>
        <w:spacing w:after="0" w:line="181" w:lineRule="exact"/>
        <w:rPr>
          <w:sz w:val="20"/>
          <w:szCs w:val="20"/>
          <w:color w:val="auto"/>
        </w:rPr>
      </w:pPr>
    </w:p>
    <w:p>
      <w:pPr>
        <w:ind w:right="140" w:firstLine="648"/>
        <w:spacing w:after="0" w:line="264" w:lineRule="auto"/>
        <w:rPr>
          <w:sz w:val="20"/>
          <w:szCs w:val="20"/>
          <w:color w:val="auto"/>
        </w:rPr>
      </w:pPr>
      <w:r>
        <w:rPr>
          <w:rFonts w:ascii="Arial" w:cs="Arial" w:eastAsia="Arial" w:hAnsi="Arial"/>
          <w:sz w:val="18"/>
          <w:szCs w:val="18"/>
          <w:i w:val="1"/>
          <w:iCs w:val="1"/>
          <w:color w:val="auto"/>
        </w:rPr>
        <w:t xml:space="preserve">Distributions to PAA’s common unitholders. </w:t>
      </w:r>
      <w:r>
        <w:rPr>
          <w:rFonts w:ascii="Arial" w:cs="Arial" w:eastAsia="Arial" w:hAnsi="Arial"/>
          <w:sz w:val="18"/>
          <w:szCs w:val="18"/>
          <w:color w:val="auto"/>
        </w:rPr>
        <w:t>On August 14, 2018, PAA will pay a quarterly distribution of $0.30 per common unit ($1.20 per</w:t>
      </w:r>
      <w:r>
        <w:rPr>
          <w:rFonts w:ascii="Arial" w:cs="Arial" w:eastAsia="Arial" w:hAnsi="Arial"/>
          <w:sz w:val="18"/>
          <w:szCs w:val="18"/>
          <w:i w:val="1"/>
          <w:iCs w:val="1"/>
          <w:color w:val="auto"/>
        </w:rPr>
        <w:t xml:space="preserve"> </w:t>
      </w:r>
      <w:r>
        <w:rPr>
          <w:rFonts w:ascii="Arial" w:cs="Arial" w:eastAsia="Arial" w:hAnsi="Arial"/>
          <w:sz w:val="18"/>
          <w:szCs w:val="18"/>
          <w:color w:val="auto"/>
        </w:rPr>
        <w:t>common unit on an annualized basis). See Note 10 to our Condensed Consolidated Financial Statements for details of distributions paid during or pertaining to the first six months of 2018.</w:t>
      </w:r>
    </w:p>
    <w:p>
      <w:pPr>
        <w:spacing w:after="0" w:line="397"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We believe that we have sufficient liquid assets, cash flow from operating activities and borrowing capacity under the credit agreements to meet our financial commitments, debt service obligations, contingencies and anticipated capital expenditures. We are, however, subject to business and operational risks that could adversely affect our cash flow. A prolonged material decrease in our cash flows would likely produce an adverse effect on our borrowing capacity.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Contingencies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For a discussion of contingencies that may impact us, see Note 13 to our Condensed Consolidated Financial Statements.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Commitments</w:t>
      </w:r>
    </w:p>
    <w:p>
      <w:pPr>
        <w:spacing w:after="0" w:line="225" w:lineRule="exact"/>
        <w:rPr>
          <w:sz w:val="20"/>
          <w:szCs w:val="20"/>
          <w:color w:val="auto"/>
        </w:rPr>
      </w:pPr>
    </w:p>
    <w:p>
      <w:pPr>
        <w:ind w:right="20" w:firstLine="648"/>
        <w:spacing w:after="0" w:line="270" w:lineRule="auto"/>
        <w:rPr>
          <w:sz w:val="20"/>
          <w:szCs w:val="20"/>
          <w:color w:val="auto"/>
        </w:rPr>
      </w:pPr>
      <w:r>
        <w:rPr>
          <w:rFonts w:ascii="Arial" w:cs="Arial" w:eastAsia="Arial" w:hAnsi="Arial"/>
          <w:sz w:val="17"/>
          <w:szCs w:val="17"/>
          <w:i w:val="1"/>
          <w:iCs w:val="1"/>
          <w:color w:val="auto"/>
        </w:rPr>
        <w:t xml:space="preserve">Contractual Obligations. </w:t>
      </w:r>
      <w:r>
        <w:rPr>
          <w:rFonts w:ascii="Arial" w:cs="Arial" w:eastAsia="Arial" w:hAnsi="Arial"/>
          <w:sz w:val="17"/>
          <w:szCs w:val="17"/>
          <w:color w:val="auto"/>
        </w:rPr>
        <w:t>In the ordinary course of doing business, we purchase crude oil and NGL from third parties under contracts, the majority of</w:t>
      </w:r>
      <w:r>
        <w:rPr>
          <w:rFonts w:ascii="Arial" w:cs="Arial" w:eastAsia="Arial" w:hAnsi="Arial"/>
          <w:sz w:val="17"/>
          <w:szCs w:val="17"/>
          <w:i w:val="1"/>
          <w:iCs w:val="1"/>
          <w:color w:val="auto"/>
        </w:rPr>
        <w:t xml:space="preserve"> </w:t>
      </w:r>
      <w:r>
        <w:rPr>
          <w:rFonts w:ascii="Arial" w:cs="Arial" w:eastAsia="Arial" w:hAnsi="Arial"/>
          <w:sz w:val="17"/>
          <w:szCs w:val="17"/>
          <w:color w:val="auto"/>
        </w:rPr>
        <w:t>which range in term from thirty-day evergreen to five years, with a limited number of contracts with remaining terms extending up to ten years. We establish a margin for these purchases by entering into various types of physical and financial sale and exchange transactions through which we seek to maintain a position that is substantially balanced between purchases on the one hand and sales and future delivery obligations on the other. The table below includes purchase obligations related to these activities. Where applicable, the amounts presented represent the net obligations associated with our counterparties (including giving effect to netting buy/sell contracts and those subject to a net settlement arrangement). We do not expect to use a significant amount of internal capital to meet these obligations, as the obligations will be funded by corresponding sales to entities that we deem creditworthy or who have provided credit support we consider adequate. The following table includes our best estimate of the amount and timing of these payments as well as other amounts due under the specified contractual obligations as of June 30, 2018 (in millions):</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gridSpan w:val="2"/>
          </w:tcPr>
          <w:p>
            <w:pPr>
              <w:ind w:left="40"/>
              <w:spacing w:after="0"/>
              <w:rPr>
                <w:sz w:val="20"/>
                <w:szCs w:val="20"/>
                <w:color w:val="auto"/>
              </w:rPr>
            </w:pPr>
            <w:r>
              <w:rPr>
                <w:rFonts w:ascii="Arial" w:cs="Arial" w:eastAsia="Arial" w:hAnsi="Arial"/>
                <w:sz w:val="14"/>
                <w:szCs w:val="14"/>
                <w:b w:val="1"/>
                <w:bCs w:val="1"/>
                <w:color w:val="auto"/>
              </w:rPr>
              <w:t>Remainder of</w:t>
            </w:r>
          </w:p>
        </w:tc>
        <w:tc>
          <w:tcPr>
            <w:tcW w:w="220" w:type="dxa"/>
            <w:vAlign w:val="bottom"/>
          </w:tcPr>
          <w:p>
            <w:pPr>
              <w:spacing w:after="0"/>
              <w:rPr>
                <w:sz w:val="14"/>
                <w:szCs w:val="14"/>
                <w:color w:val="auto"/>
              </w:rPr>
            </w:pPr>
          </w:p>
        </w:tc>
        <w:tc>
          <w:tcPr>
            <w:tcW w:w="720" w:type="dxa"/>
            <w:vAlign w:val="bottom"/>
            <w:vMerge w:val="restart"/>
          </w:tcPr>
          <w:p>
            <w:pPr>
              <w:jc w:val="right"/>
              <w:ind w:right="233"/>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vMerge w:val="restart"/>
          </w:tcPr>
          <w:p>
            <w:pPr>
              <w:jc w:val="right"/>
              <w:ind w:right="213"/>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vMerge w:val="restart"/>
          </w:tcPr>
          <w:p>
            <w:pPr>
              <w:jc w:val="right"/>
              <w:ind w:right="213"/>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vMerge w:val="restart"/>
          </w:tcPr>
          <w:p>
            <w:pPr>
              <w:jc w:val="right"/>
              <w:ind w:right="233"/>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3"/>
              </w:rPr>
              <w:t>2023 and</w:t>
            </w:r>
          </w:p>
        </w:tc>
        <w:tc>
          <w:tcPr>
            <w:tcW w:w="200" w:type="dxa"/>
            <w:vAlign w:val="bottom"/>
          </w:tcPr>
          <w:p>
            <w:pPr>
              <w:spacing w:after="0"/>
              <w:rPr>
                <w:sz w:val="14"/>
                <w:szCs w:val="14"/>
                <w:color w:val="auto"/>
              </w:rPr>
            </w:pPr>
          </w:p>
        </w:tc>
        <w:tc>
          <w:tcPr>
            <w:tcW w:w="700" w:type="dxa"/>
            <w:vAlign w:val="bottom"/>
            <w:vMerge w:val="restart"/>
          </w:tcPr>
          <w:p>
            <w:pPr>
              <w:jc w:val="right"/>
              <w:ind w:right="21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4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jc w:val="right"/>
              <w:ind w:right="354"/>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6"/>
              </w:rPr>
              <w:t>Thereafter</w:t>
            </w:r>
          </w:p>
        </w:tc>
        <w:tc>
          <w:tcPr>
            <w:tcW w:w="20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4120" w:type="dxa"/>
            <w:vAlign w:val="bottom"/>
            <w:tcBorders>
              <w:top w:val="single" w:sz="8" w:color="CCEEFF"/>
            </w:tcBorders>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Long-term debt and related interest payments </w:t>
            </w:r>
            <w:r>
              <w:rPr>
                <w:rFonts w:ascii="Arial" w:cs="Arial" w:eastAsia="Arial" w:hAnsi="Arial"/>
                <w:sz w:val="25"/>
                <w:szCs w:val="25"/>
                <w:color w:val="auto"/>
                <w:vertAlign w:val="superscript"/>
              </w:rPr>
              <w:t>(1)</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207</w:t>
            </w:r>
          </w:p>
        </w:tc>
        <w:tc>
          <w:tcPr>
            <w:tcW w:w="120" w:type="dxa"/>
            <w:vAlign w:val="bottom"/>
            <w:tcBorders>
              <w:top w:val="single" w:sz="8" w:color="CCEEFF"/>
            </w:tcBorders>
            <w:shd w:val="clear" w:color="auto" w:fill="CCEEFF"/>
          </w:tcPr>
          <w:p>
            <w:pPr>
              <w:spacing w:after="0"/>
              <w:rPr>
                <w:sz w:val="23"/>
                <w:szCs w:val="23"/>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913</w:t>
            </w:r>
          </w:p>
        </w:tc>
        <w:tc>
          <w:tcPr>
            <w:tcW w:w="100" w:type="dxa"/>
            <w:vAlign w:val="bottom"/>
            <w:tcBorders>
              <w:top w:val="single" w:sz="8" w:color="CCEEFF"/>
            </w:tcBorders>
            <w:shd w:val="clear" w:color="auto" w:fill="CCEEFF"/>
          </w:tcPr>
          <w:p>
            <w:pPr>
              <w:spacing w:after="0"/>
              <w:rPr>
                <w:sz w:val="23"/>
                <w:szCs w:val="23"/>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872</w:t>
            </w:r>
          </w:p>
        </w:tc>
        <w:tc>
          <w:tcPr>
            <w:tcW w:w="120" w:type="dxa"/>
            <w:vAlign w:val="bottom"/>
            <w:tcBorders>
              <w:top w:val="single" w:sz="8" w:color="CCEEFF"/>
            </w:tcBorders>
            <w:shd w:val="clear" w:color="auto" w:fill="CCEEFF"/>
          </w:tcPr>
          <w:p>
            <w:pPr>
              <w:spacing w:after="0"/>
              <w:rPr>
                <w:sz w:val="23"/>
                <w:szCs w:val="23"/>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942</w:t>
            </w:r>
          </w:p>
        </w:tc>
        <w:tc>
          <w:tcPr>
            <w:tcW w:w="100" w:type="dxa"/>
            <w:vAlign w:val="bottom"/>
            <w:tcBorders>
              <w:top w:val="single" w:sz="8" w:color="CCEEFF"/>
            </w:tcBorders>
            <w:shd w:val="clear" w:color="auto" w:fill="CCEEFF"/>
          </w:tcPr>
          <w:p>
            <w:pPr>
              <w:spacing w:after="0"/>
              <w:rPr>
                <w:sz w:val="23"/>
                <w:szCs w:val="23"/>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1,097</w:t>
            </w:r>
          </w:p>
        </w:tc>
        <w:tc>
          <w:tcPr>
            <w:tcW w:w="10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9,985</w:t>
            </w:r>
          </w:p>
        </w:tc>
        <w:tc>
          <w:tcPr>
            <w:tcW w:w="120" w:type="dxa"/>
            <w:vAlign w:val="bottom"/>
            <w:tcBorders>
              <w:top w:val="single" w:sz="8" w:color="CCEEFF"/>
            </w:tcBorders>
            <w:shd w:val="clear" w:color="auto" w:fill="CCEEFF"/>
          </w:tcPr>
          <w:p>
            <w:pPr>
              <w:spacing w:after="0"/>
              <w:rPr>
                <w:sz w:val="23"/>
                <w:szCs w:val="23"/>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14,016</w:t>
            </w:r>
          </w:p>
        </w:tc>
        <w:tc>
          <w:tcPr>
            <w:tcW w:w="0" w:type="dxa"/>
            <w:vAlign w:val="bottom"/>
          </w:tcPr>
          <w:p>
            <w:pPr>
              <w:spacing w:after="0"/>
              <w:rPr>
                <w:sz w:val="1"/>
                <w:szCs w:val="1"/>
                <w:color w:val="auto"/>
              </w:rPr>
            </w:pPr>
          </w:p>
        </w:tc>
      </w:tr>
      <w:tr>
        <w:trPr>
          <w:trHeight w:val="270"/>
        </w:trPr>
        <w:tc>
          <w:tcPr>
            <w:tcW w:w="412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Leases, rights-of-way easements and other </w:t>
            </w:r>
            <w:r>
              <w:rPr>
                <w:rFonts w:ascii="Arial" w:cs="Arial" w:eastAsia="Arial" w:hAnsi="Arial"/>
                <w:sz w:val="25"/>
                <w:szCs w:val="25"/>
                <w:color w:val="auto"/>
                <w:vertAlign w:val="superscript"/>
              </w:rPr>
              <w:t>(2)</w:t>
            </w:r>
          </w:p>
        </w:tc>
        <w:tc>
          <w:tcPr>
            <w:tcW w:w="140" w:type="dxa"/>
            <w:vAlign w:val="bottom"/>
          </w:tcPr>
          <w:p>
            <w:pPr>
              <w:spacing w:after="0"/>
              <w:rPr>
                <w:sz w:val="23"/>
                <w:szCs w:val="23"/>
                <w:color w:val="auto"/>
              </w:rPr>
            </w:pPr>
          </w:p>
        </w:tc>
        <w:tc>
          <w:tcPr>
            <w:tcW w:w="1040" w:type="dxa"/>
            <w:vAlign w:val="bottom"/>
          </w:tcPr>
          <w:p>
            <w:pPr>
              <w:jc w:val="right"/>
              <w:ind w:right="34"/>
              <w:spacing w:after="0"/>
              <w:rPr>
                <w:sz w:val="20"/>
                <w:szCs w:val="20"/>
                <w:color w:val="auto"/>
              </w:rPr>
            </w:pPr>
            <w:r>
              <w:rPr>
                <w:rFonts w:ascii="Arial" w:cs="Arial" w:eastAsia="Arial" w:hAnsi="Arial"/>
                <w:sz w:val="18"/>
                <w:szCs w:val="18"/>
                <w:color w:val="auto"/>
              </w:rPr>
              <w:t>95</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20" w:type="dxa"/>
            <w:vAlign w:val="bottom"/>
          </w:tcPr>
          <w:p>
            <w:pPr>
              <w:jc w:val="right"/>
              <w:ind w:right="33"/>
              <w:spacing w:after="0"/>
              <w:rPr>
                <w:sz w:val="20"/>
                <w:szCs w:val="20"/>
                <w:color w:val="auto"/>
              </w:rPr>
            </w:pPr>
            <w:r>
              <w:rPr>
                <w:rFonts w:ascii="Arial" w:cs="Arial" w:eastAsia="Arial" w:hAnsi="Arial"/>
                <w:sz w:val="18"/>
                <w:szCs w:val="18"/>
                <w:color w:val="auto"/>
              </w:rPr>
              <w:t>154</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80" w:type="dxa"/>
            <w:vAlign w:val="bottom"/>
          </w:tcPr>
          <w:p>
            <w:pPr>
              <w:jc w:val="right"/>
              <w:ind w:right="13"/>
              <w:spacing w:after="0"/>
              <w:rPr>
                <w:sz w:val="20"/>
                <w:szCs w:val="20"/>
                <w:color w:val="auto"/>
              </w:rPr>
            </w:pPr>
            <w:r>
              <w:rPr>
                <w:rFonts w:ascii="Arial" w:cs="Arial" w:eastAsia="Arial" w:hAnsi="Arial"/>
                <w:sz w:val="18"/>
                <w:szCs w:val="18"/>
                <w:color w:val="auto"/>
              </w:rPr>
              <w:t>128</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00" w:type="dxa"/>
            <w:vAlign w:val="bottom"/>
          </w:tcPr>
          <w:p>
            <w:pPr>
              <w:jc w:val="right"/>
              <w:ind w:right="13"/>
              <w:spacing w:after="0"/>
              <w:rPr>
                <w:sz w:val="20"/>
                <w:szCs w:val="20"/>
                <w:color w:val="auto"/>
              </w:rPr>
            </w:pPr>
            <w:r>
              <w:rPr>
                <w:rFonts w:ascii="Arial" w:cs="Arial" w:eastAsia="Arial" w:hAnsi="Arial"/>
                <w:sz w:val="18"/>
                <w:szCs w:val="18"/>
                <w:color w:val="auto"/>
              </w:rPr>
              <w:t>108</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00" w:type="dxa"/>
            <w:vAlign w:val="bottom"/>
          </w:tcPr>
          <w:p>
            <w:pPr>
              <w:jc w:val="right"/>
              <w:ind w:right="33"/>
              <w:spacing w:after="0"/>
              <w:rPr>
                <w:sz w:val="20"/>
                <w:szCs w:val="20"/>
                <w:color w:val="auto"/>
              </w:rPr>
            </w:pPr>
            <w:r>
              <w:rPr>
                <w:rFonts w:ascii="Arial" w:cs="Arial" w:eastAsia="Arial" w:hAnsi="Arial"/>
                <w:sz w:val="18"/>
                <w:szCs w:val="18"/>
                <w:color w:val="auto"/>
              </w:rPr>
              <w:t>87</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80" w:type="dxa"/>
            <w:vAlign w:val="bottom"/>
          </w:tcPr>
          <w:p>
            <w:pPr>
              <w:jc w:val="right"/>
              <w:ind w:right="14"/>
              <w:spacing w:after="0"/>
              <w:rPr>
                <w:sz w:val="20"/>
                <w:szCs w:val="20"/>
                <w:color w:val="auto"/>
              </w:rPr>
            </w:pPr>
            <w:r>
              <w:rPr>
                <w:rFonts w:ascii="Arial" w:cs="Arial" w:eastAsia="Arial" w:hAnsi="Arial"/>
                <w:sz w:val="18"/>
                <w:szCs w:val="18"/>
                <w:color w:val="auto"/>
              </w:rPr>
              <w:t>358</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00" w:type="dxa"/>
            <w:vAlign w:val="bottom"/>
          </w:tcPr>
          <w:p>
            <w:pPr>
              <w:jc w:val="right"/>
              <w:ind w:right="13"/>
              <w:spacing w:after="0"/>
              <w:rPr>
                <w:sz w:val="20"/>
                <w:szCs w:val="20"/>
                <w:color w:val="auto"/>
              </w:rPr>
            </w:pPr>
            <w:r>
              <w:rPr>
                <w:rFonts w:ascii="Arial" w:cs="Arial" w:eastAsia="Arial" w:hAnsi="Arial"/>
                <w:sz w:val="18"/>
                <w:szCs w:val="18"/>
                <w:color w:val="auto"/>
              </w:rPr>
              <w:t>930</w:t>
            </w:r>
          </w:p>
        </w:tc>
        <w:tc>
          <w:tcPr>
            <w:tcW w:w="0" w:type="dxa"/>
            <w:vAlign w:val="bottom"/>
          </w:tcPr>
          <w:p>
            <w:pPr>
              <w:spacing w:after="0"/>
              <w:rPr>
                <w:sz w:val="1"/>
                <w:szCs w:val="1"/>
                <w:color w:val="auto"/>
              </w:rPr>
            </w:pPr>
          </w:p>
        </w:tc>
      </w:tr>
      <w:tr>
        <w:trPr>
          <w:trHeight w:val="270"/>
        </w:trPr>
        <w:tc>
          <w:tcPr>
            <w:tcW w:w="412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Other obligations </w:t>
            </w:r>
            <w:r>
              <w:rPr>
                <w:rFonts w:ascii="Arial" w:cs="Arial" w:eastAsia="Arial" w:hAnsi="Arial"/>
                <w:sz w:val="25"/>
                <w:szCs w:val="25"/>
                <w:color w:val="auto"/>
                <w:vertAlign w:val="superscript"/>
              </w:rPr>
              <w:t>(3)</w:t>
            </w:r>
          </w:p>
        </w:tc>
        <w:tc>
          <w:tcPr>
            <w:tcW w:w="14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506</w:t>
            </w:r>
          </w:p>
        </w:tc>
        <w:tc>
          <w:tcPr>
            <w:tcW w:w="12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489</w:t>
            </w:r>
          </w:p>
        </w:tc>
        <w:tc>
          <w:tcPr>
            <w:tcW w:w="10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6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218</w:t>
            </w:r>
          </w:p>
        </w:tc>
        <w:tc>
          <w:tcPr>
            <w:tcW w:w="12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7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173</w:t>
            </w:r>
          </w:p>
        </w:tc>
        <w:tc>
          <w:tcPr>
            <w:tcW w:w="10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70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126</w:t>
            </w:r>
          </w:p>
        </w:tc>
        <w:tc>
          <w:tcPr>
            <w:tcW w:w="10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418</w:t>
            </w:r>
          </w:p>
        </w:tc>
        <w:tc>
          <w:tcPr>
            <w:tcW w:w="12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7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1,930</w:t>
            </w:r>
          </w:p>
        </w:tc>
        <w:tc>
          <w:tcPr>
            <w:tcW w:w="0" w:type="dxa"/>
            <w:vAlign w:val="bottom"/>
          </w:tcPr>
          <w:p>
            <w:pPr>
              <w:spacing w:after="0"/>
              <w:rPr>
                <w:sz w:val="1"/>
                <w:szCs w:val="1"/>
                <w:color w:val="auto"/>
              </w:rPr>
            </w:pPr>
          </w:p>
        </w:tc>
      </w:tr>
      <w:tr>
        <w:trPr>
          <w:trHeight w:val="237"/>
        </w:trPr>
        <w:tc>
          <w:tcPr>
            <w:tcW w:w="4120" w:type="dxa"/>
            <w:vAlign w:val="bottom"/>
          </w:tcPr>
          <w:p>
            <w:pPr>
              <w:ind w:left="180"/>
              <w:spacing w:after="0"/>
              <w:rPr>
                <w:sz w:val="20"/>
                <w:szCs w:val="20"/>
                <w:color w:val="auto"/>
              </w:rPr>
            </w:pPr>
            <w:r>
              <w:rPr>
                <w:rFonts w:ascii="Arial" w:cs="Arial" w:eastAsia="Arial" w:hAnsi="Arial"/>
                <w:sz w:val="18"/>
                <w:szCs w:val="18"/>
                <w:color w:val="auto"/>
              </w:rPr>
              <w:t>Subtotal</w:t>
            </w:r>
          </w:p>
        </w:tc>
        <w:tc>
          <w:tcPr>
            <w:tcW w:w="140" w:type="dxa"/>
            <w:vAlign w:val="bottom"/>
          </w:tcPr>
          <w:p>
            <w:pPr>
              <w:spacing w:after="0"/>
              <w:rPr>
                <w:sz w:val="20"/>
                <w:szCs w:val="20"/>
                <w:color w:val="auto"/>
              </w:rPr>
            </w:pPr>
          </w:p>
        </w:tc>
        <w:tc>
          <w:tcPr>
            <w:tcW w:w="1040" w:type="dxa"/>
            <w:vAlign w:val="bottom"/>
          </w:tcPr>
          <w:p>
            <w:pPr>
              <w:jc w:val="right"/>
              <w:ind w:right="34"/>
              <w:spacing w:after="0"/>
              <w:rPr>
                <w:sz w:val="20"/>
                <w:szCs w:val="20"/>
                <w:color w:val="auto"/>
              </w:rPr>
            </w:pPr>
            <w:r>
              <w:rPr>
                <w:rFonts w:ascii="Arial" w:cs="Arial" w:eastAsia="Arial" w:hAnsi="Arial"/>
                <w:sz w:val="18"/>
                <w:szCs w:val="18"/>
                <w:color w:val="auto"/>
              </w:rPr>
              <w:t>808</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0" w:type="dxa"/>
            <w:vAlign w:val="bottom"/>
          </w:tcPr>
          <w:p>
            <w:pPr>
              <w:jc w:val="right"/>
              <w:ind w:right="33"/>
              <w:spacing w:after="0"/>
              <w:rPr>
                <w:sz w:val="20"/>
                <w:szCs w:val="20"/>
                <w:color w:val="auto"/>
              </w:rPr>
            </w:pPr>
            <w:r>
              <w:rPr>
                <w:rFonts w:ascii="Arial" w:cs="Arial" w:eastAsia="Arial" w:hAnsi="Arial"/>
                <w:sz w:val="18"/>
                <w:szCs w:val="18"/>
                <w:color w:val="auto"/>
              </w:rPr>
              <w:t>1,556</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tcPr>
          <w:p>
            <w:pPr>
              <w:jc w:val="right"/>
              <w:ind w:right="13"/>
              <w:spacing w:after="0"/>
              <w:rPr>
                <w:sz w:val="20"/>
                <w:szCs w:val="20"/>
                <w:color w:val="auto"/>
              </w:rPr>
            </w:pPr>
            <w:r>
              <w:rPr>
                <w:rFonts w:ascii="Arial" w:cs="Arial" w:eastAsia="Arial" w:hAnsi="Arial"/>
                <w:sz w:val="18"/>
                <w:szCs w:val="18"/>
                <w:color w:val="auto"/>
              </w:rPr>
              <w:t>1,218</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ind w:right="13"/>
              <w:spacing w:after="0"/>
              <w:rPr>
                <w:sz w:val="20"/>
                <w:szCs w:val="20"/>
                <w:color w:val="auto"/>
              </w:rPr>
            </w:pPr>
            <w:r>
              <w:rPr>
                <w:rFonts w:ascii="Arial" w:cs="Arial" w:eastAsia="Arial" w:hAnsi="Arial"/>
                <w:sz w:val="18"/>
                <w:szCs w:val="18"/>
                <w:color w:val="auto"/>
              </w:rPr>
              <w:t>1,223</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00" w:type="dxa"/>
            <w:vAlign w:val="bottom"/>
          </w:tcPr>
          <w:p>
            <w:pPr>
              <w:jc w:val="right"/>
              <w:ind w:right="33"/>
              <w:spacing w:after="0"/>
              <w:rPr>
                <w:sz w:val="20"/>
                <w:szCs w:val="20"/>
                <w:color w:val="auto"/>
              </w:rPr>
            </w:pPr>
            <w:r>
              <w:rPr>
                <w:rFonts w:ascii="Arial" w:cs="Arial" w:eastAsia="Arial" w:hAnsi="Arial"/>
                <w:sz w:val="18"/>
                <w:szCs w:val="18"/>
                <w:color w:val="auto"/>
              </w:rPr>
              <w:t>1,310</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jc w:val="right"/>
              <w:ind w:right="14"/>
              <w:spacing w:after="0"/>
              <w:rPr>
                <w:sz w:val="20"/>
                <w:szCs w:val="20"/>
                <w:color w:val="auto"/>
              </w:rPr>
            </w:pPr>
            <w:r>
              <w:rPr>
                <w:rFonts w:ascii="Arial" w:cs="Arial" w:eastAsia="Arial" w:hAnsi="Arial"/>
                <w:sz w:val="18"/>
                <w:szCs w:val="18"/>
                <w:color w:val="auto"/>
              </w:rPr>
              <w:t>10,761</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ind w:right="13"/>
              <w:spacing w:after="0"/>
              <w:rPr>
                <w:sz w:val="20"/>
                <w:szCs w:val="20"/>
                <w:color w:val="auto"/>
              </w:rPr>
            </w:pPr>
            <w:r>
              <w:rPr>
                <w:rFonts w:ascii="Arial" w:cs="Arial" w:eastAsia="Arial" w:hAnsi="Arial"/>
                <w:sz w:val="18"/>
                <w:szCs w:val="18"/>
                <w:color w:val="auto"/>
              </w:rPr>
              <w:t>16,876</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12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Crude oil, NGL and other purchases </w:t>
            </w:r>
            <w:r>
              <w:rPr>
                <w:rFonts w:ascii="Arial" w:cs="Arial" w:eastAsia="Arial" w:hAnsi="Arial"/>
                <w:sz w:val="25"/>
                <w:szCs w:val="25"/>
                <w:color w:val="auto"/>
                <w:vertAlign w:val="superscript"/>
              </w:rPr>
              <w:t>(4)</w:t>
            </w:r>
          </w:p>
        </w:tc>
        <w:tc>
          <w:tcPr>
            <w:tcW w:w="14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5,054</w:t>
            </w:r>
          </w:p>
        </w:tc>
        <w:tc>
          <w:tcPr>
            <w:tcW w:w="12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5,416</w:t>
            </w:r>
          </w:p>
        </w:tc>
        <w:tc>
          <w:tcPr>
            <w:tcW w:w="10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6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4,194</w:t>
            </w:r>
          </w:p>
        </w:tc>
        <w:tc>
          <w:tcPr>
            <w:tcW w:w="12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7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3,834</w:t>
            </w:r>
          </w:p>
        </w:tc>
        <w:tc>
          <w:tcPr>
            <w:tcW w:w="10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70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3,293</w:t>
            </w:r>
          </w:p>
        </w:tc>
        <w:tc>
          <w:tcPr>
            <w:tcW w:w="10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10,106</w:t>
            </w:r>
          </w:p>
        </w:tc>
        <w:tc>
          <w:tcPr>
            <w:tcW w:w="12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7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31,897</w:t>
            </w:r>
          </w:p>
        </w:tc>
        <w:tc>
          <w:tcPr>
            <w:tcW w:w="0" w:type="dxa"/>
            <w:vAlign w:val="bottom"/>
          </w:tcPr>
          <w:p>
            <w:pPr>
              <w:spacing w:after="0"/>
              <w:rPr>
                <w:sz w:val="1"/>
                <w:szCs w:val="1"/>
                <w:color w:val="auto"/>
              </w:rPr>
            </w:pPr>
          </w:p>
        </w:tc>
      </w:tr>
      <w:tr>
        <w:trPr>
          <w:trHeight w:val="257"/>
        </w:trPr>
        <w:tc>
          <w:tcPr>
            <w:tcW w:w="4120" w:type="dxa"/>
            <w:vAlign w:val="bottom"/>
          </w:tcPr>
          <w:p>
            <w:pPr>
              <w:ind w:left="380"/>
              <w:spacing w:after="0"/>
              <w:rPr>
                <w:sz w:val="20"/>
                <w:szCs w:val="20"/>
                <w:color w:val="auto"/>
              </w:rPr>
            </w:pPr>
            <w:r>
              <w:rPr>
                <w:rFonts w:ascii="Arial" w:cs="Arial" w:eastAsia="Arial" w:hAnsi="Arial"/>
                <w:sz w:val="18"/>
                <w:szCs w:val="18"/>
                <w:color w:val="auto"/>
              </w:rPr>
              <w:t>Total</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5,862</w:t>
            </w:r>
          </w:p>
        </w:tc>
        <w:tc>
          <w:tcPr>
            <w:tcW w:w="120" w:type="dxa"/>
            <w:vAlign w:val="bottom"/>
          </w:tcPr>
          <w:p>
            <w:pPr>
              <w:spacing w:after="0"/>
              <w:rPr>
                <w:sz w:val="22"/>
                <w:szCs w:val="22"/>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6,972</w:t>
            </w:r>
          </w:p>
        </w:tc>
        <w:tc>
          <w:tcPr>
            <w:tcW w:w="100" w:type="dxa"/>
            <w:vAlign w:val="bottom"/>
          </w:tcPr>
          <w:p>
            <w:pPr>
              <w:spacing w:after="0"/>
              <w:rPr>
                <w:sz w:val="22"/>
                <w:szCs w:val="22"/>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5,412</w:t>
            </w:r>
          </w:p>
        </w:tc>
        <w:tc>
          <w:tcPr>
            <w:tcW w:w="120" w:type="dxa"/>
            <w:vAlign w:val="bottom"/>
          </w:tcPr>
          <w:p>
            <w:pPr>
              <w:spacing w:after="0"/>
              <w:rPr>
                <w:sz w:val="22"/>
                <w:szCs w:val="22"/>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5,057</w:t>
            </w:r>
          </w:p>
        </w:tc>
        <w:tc>
          <w:tcPr>
            <w:tcW w:w="100" w:type="dxa"/>
            <w:vAlign w:val="bottom"/>
          </w:tcPr>
          <w:p>
            <w:pPr>
              <w:spacing w:after="0"/>
              <w:rPr>
                <w:sz w:val="22"/>
                <w:szCs w:val="22"/>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4,603</w:t>
            </w:r>
          </w:p>
        </w:tc>
        <w:tc>
          <w:tcPr>
            <w:tcW w:w="100" w:type="dxa"/>
            <w:vAlign w:val="bottom"/>
          </w:tcPr>
          <w:p>
            <w:pPr>
              <w:spacing w:after="0"/>
              <w:rPr>
                <w:sz w:val="22"/>
                <w:szCs w:val="22"/>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20,867</w:t>
            </w:r>
          </w:p>
        </w:tc>
        <w:tc>
          <w:tcPr>
            <w:tcW w:w="120" w:type="dxa"/>
            <w:vAlign w:val="bottom"/>
          </w:tcPr>
          <w:p>
            <w:pPr>
              <w:spacing w:after="0"/>
              <w:rPr>
                <w:sz w:val="22"/>
                <w:szCs w:val="22"/>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48,773</w:t>
            </w: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250444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2504440" cy="8890"/>
                    </a:xfrm>
                    <a:prstGeom prst="rect">
                      <a:avLst/>
                    </a:prstGeom>
                    <a:noFill/>
                  </pic:spPr>
                </pic:pic>
              </a:graphicData>
            </a:graphic>
          </wp:anchor>
        </w:drawing>
      </w:r>
    </w:p>
    <w:p>
      <w:pPr>
        <w:spacing w:after="0" w:line="290" w:lineRule="exact"/>
        <w:rPr>
          <w:sz w:val="20"/>
          <w:szCs w:val="20"/>
          <w:color w:val="auto"/>
        </w:rPr>
      </w:pPr>
    </w:p>
    <w:p>
      <w:pPr>
        <w:ind w:left="660" w:right="20" w:hanging="652"/>
        <w:spacing w:after="0" w:line="237" w:lineRule="auto"/>
        <w:tabs>
          <w:tab w:leader="none" w:pos="660" w:val="left"/>
        </w:tabs>
        <w:numPr>
          <w:ilvl w:val="0"/>
          <w:numId w:val="46"/>
        </w:numPr>
        <w:rPr>
          <w:rFonts w:ascii="Arial" w:cs="Arial" w:eastAsia="Arial" w:hAnsi="Arial"/>
          <w:sz w:val="25"/>
          <w:szCs w:val="25"/>
          <w:color w:val="auto"/>
          <w:vertAlign w:val="superscript"/>
        </w:rPr>
      </w:pPr>
      <w:r>
        <w:rPr>
          <w:rFonts w:ascii="Arial" w:cs="Arial" w:eastAsia="Arial" w:hAnsi="Arial"/>
          <w:sz w:val="18"/>
          <w:szCs w:val="18"/>
          <w:color w:val="auto"/>
        </w:rPr>
        <w:t>Includes debt service payments, interest payments due on PAA’s senior notes and the commitment fee on assumed available capacity under the PAA credit facilities, as well as long-term borrowings under the PAA credit facilities and the PAA commercial paper program. Although there may be short-term borrowings under the PAA credit facilities and the PAA commercial paper program, we historically repay and borrow at varying amounts. As such, we have included only the maximum commitment fee (as if no short-term borrowings were outstanding on the PAA credit facilities or the PAA commercial paper program) in the amounts above. For additional information regarding PAA’s debt obligations, see Note 9 to our Condensed Consolidated Financial Statements.</w:t>
      </w:r>
    </w:p>
    <w:p>
      <w:pPr>
        <w:spacing w:after="0" w:line="98" w:lineRule="exact"/>
        <w:rPr>
          <w:rFonts w:ascii="Arial" w:cs="Arial" w:eastAsia="Arial" w:hAnsi="Arial"/>
          <w:sz w:val="25"/>
          <w:szCs w:val="25"/>
          <w:color w:val="auto"/>
          <w:vertAlign w:val="superscript"/>
        </w:rPr>
      </w:pPr>
    </w:p>
    <w:p>
      <w:pPr>
        <w:ind w:left="660" w:right="480" w:hanging="652"/>
        <w:spacing w:after="0" w:line="216" w:lineRule="auto"/>
        <w:tabs>
          <w:tab w:leader="none" w:pos="660" w:val="left"/>
        </w:tabs>
        <w:numPr>
          <w:ilvl w:val="0"/>
          <w:numId w:val="46"/>
        </w:numPr>
        <w:rPr>
          <w:rFonts w:ascii="Arial" w:cs="Arial" w:eastAsia="Arial" w:hAnsi="Arial"/>
          <w:sz w:val="25"/>
          <w:szCs w:val="25"/>
          <w:color w:val="auto"/>
          <w:vertAlign w:val="superscript"/>
        </w:rPr>
      </w:pPr>
      <w:r>
        <w:rPr>
          <w:rFonts w:ascii="Arial" w:cs="Arial" w:eastAsia="Arial" w:hAnsi="Arial"/>
          <w:sz w:val="18"/>
          <w:szCs w:val="18"/>
          <w:color w:val="auto"/>
        </w:rPr>
        <w:t>Leases are primarily for (i) railcars, (ii) land and surface rentals, (iii) office buildings, (iv) pipeline assets and (v) vehicles and trailers. Includes operating and capital leases as defined by FASB guidance, as well as obligations for rights-of-way easements.</w:t>
      </w: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20"/>
          </w:cols>
          <w:pgMar w:left="240" w:top="125" w:right="239" w:bottom="1440" w:gutter="0" w:footer="0" w:header="0"/>
        </w:sectPr>
      </w:pPr>
    </w:p>
    <w:bookmarkStart w:id="58" w:name="page59"/>
    <w:bookmarkEnd w:id="5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660" w:right="120" w:hanging="652"/>
        <w:spacing w:after="0" w:line="235" w:lineRule="auto"/>
        <w:tabs>
          <w:tab w:leader="none" w:pos="660" w:val="left"/>
        </w:tabs>
        <w:numPr>
          <w:ilvl w:val="0"/>
          <w:numId w:val="47"/>
        </w:numPr>
        <w:rPr>
          <w:rFonts w:ascii="Arial" w:cs="Arial" w:eastAsia="Arial" w:hAnsi="Arial"/>
          <w:sz w:val="25"/>
          <w:szCs w:val="25"/>
          <w:color w:val="auto"/>
          <w:vertAlign w:val="superscript"/>
        </w:rPr>
      </w:pPr>
      <w:r>
        <w:rPr>
          <w:rFonts w:ascii="Arial" w:cs="Arial" w:eastAsia="Arial" w:hAnsi="Arial"/>
          <w:sz w:val="18"/>
          <w:szCs w:val="18"/>
          <w:color w:val="auto"/>
        </w:rPr>
        <w:t>Includes (i) other long-term liabilities, (ii) storage, processing and transportation agreements and (iii) non-cancelable commitments related to our capital expansion projects, including projected contributions for our share of the capital spending of our equity method investments. The transportation agreements include approximately $785 million associated with an agreement to transport crude oil at posted tariff rates on a pipeline that is owned by an equity method investee, in which we own a 50% interest. Our commitment to transport is supported by crude oil buy/sell agreements with third parties (including Oxy) with commensurate quantities.</w:t>
      </w:r>
    </w:p>
    <w:p>
      <w:pPr>
        <w:spacing w:after="0" w:line="96" w:lineRule="exact"/>
        <w:rPr>
          <w:rFonts w:ascii="Arial" w:cs="Arial" w:eastAsia="Arial" w:hAnsi="Arial"/>
          <w:sz w:val="25"/>
          <w:szCs w:val="25"/>
          <w:color w:val="auto"/>
          <w:vertAlign w:val="superscript"/>
        </w:rPr>
      </w:pPr>
    </w:p>
    <w:p>
      <w:pPr>
        <w:ind w:left="660" w:right="220" w:hanging="652"/>
        <w:spacing w:after="0" w:line="238" w:lineRule="auto"/>
        <w:tabs>
          <w:tab w:leader="none" w:pos="660" w:val="left"/>
        </w:tabs>
        <w:numPr>
          <w:ilvl w:val="0"/>
          <w:numId w:val="47"/>
        </w:numPr>
        <w:rPr>
          <w:rFonts w:ascii="Arial" w:cs="Arial" w:eastAsia="Arial" w:hAnsi="Arial"/>
          <w:sz w:val="24"/>
          <w:szCs w:val="24"/>
          <w:color w:val="auto"/>
          <w:vertAlign w:val="superscript"/>
        </w:rPr>
      </w:pPr>
      <w:r>
        <w:rPr>
          <w:rFonts w:ascii="Arial" w:cs="Arial" w:eastAsia="Arial" w:hAnsi="Arial"/>
          <w:sz w:val="17"/>
          <w:szCs w:val="17"/>
          <w:color w:val="auto"/>
        </w:rPr>
        <w:t>Amounts are primarily based on estimated volumes and market prices based on average activity during June 2018. The actual physical volume purchased and actual settlement prices will vary from the assumptions used in the table. Uncertainties involved in these estimates include levels of production at the wellhead, weather conditions, changes in market prices and other conditions beyond our control.</w:t>
      </w:r>
    </w:p>
    <w:p>
      <w:pPr>
        <w:spacing w:after="0" w:line="203" w:lineRule="exact"/>
        <w:rPr>
          <w:sz w:val="20"/>
          <w:szCs w:val="20"/>
          <w:color w:val="auto"/>
        </w:rPr>
      </w:pPr>
    </w:p>
    <w:p>
      <w:pPr>
        <w:ind w:right="200" w:firstLine="648"/>
        <w:spacing w:after="0" w:line="259" w:lineRule="auto"/>
        <w:rPr>
          <w:sz w:val="20"/>
          <w:szCs w:val="20"/>
          <w:color w:val="auto"/>
        </w:rPr>
      </w:pPr>
      <w:r>
        <w:rPr>
          <w:rFonts w:ascii="Arial" w:cs="Arial" w:eastAsia="Arial" w:hAnsi="Arial"/>
          <w:sz w:val="18"/>
          <w:szCs w:val="18"/>
          <w:i w:val="1"/>
          <w:iCs w:val="1"/>
          <w:color w:val="auto"/>
        </w:rPr>
        <w:t xml:space="preserve">Letters of Credit. </w:t>
      </w:r>
      <w:r>
        <w:rPr>
          <w:rFonts w:ascii="Arial" w:cs="Arial" w:eastAsia="Arial" w:hAnsi="Arial"/>
          <w:sz w:val="18"/>
          <w:szCs w:val="18"/>
          <w:color w:val="auto"/>
        </w:rPr>
        <w:t>In connection with supply and logistics activities, we provide certain suppliers with irrevocable standby letters of credit to secure</w:t>
      </w:r>
      <w:r>
        <w:rPr>
          <w:rFonts w:ascii="Arial" w:cs="Arial" w:eastAsia="Arial" w:hAnsi="Arial"/>
          <w:sz w:val="18"/>
          <w:szCs w:val="18"/>
          <w:i w:val="1"/>
          <w:iCs w:val="1"/>
          <w:color w:val="auto"/>
        </w:rPr>
        <w:t xml:space="preserve"> </w:t>
      </w:r>
      <w:r>
        <w:rPr>
          <w:rFonts w:ascii="Arial" w:cs="Arial" w:eastAsia="Arial" w:hAnsi="Arial"/>
          <w:sz w:val="18"/>
          <w:szCs w:val="18"/>
          <w:color w:val="auto"/>
        </w:rPr>
        <w:t>our obligation for the purchase and transportation of crude oil, NGL and natural gas. Additionally, we issue letters of credit to support insurance programs, derivative transactions including hedging related margin obligations and construction activities. At June 30, 2018 and December 31, 2017, we had outstanding letters of credit of approximately $168 million and $166 million, respectively.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have no off-balance sheet arrangements as defined by Item 303 of Regulation S-K.</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See Note 2 to our Condensed Consolidated Financial Statements.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29"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For a discussion regarding our critical accounting policies and estimates, see “Critical Accounting Policies and Estimates” under Item 7 of our 2017 Annual Report on Form 10-K.</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Items</w:t>
      </w:r>
    </w:p>
    <w:p>
      <w:pPr>
        <w:spacing w:after="0" w:line="229"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In March 2018, the Federal Energy Regulatory Commission (“FERC”) issued a revised policy statement (subsequently modified in a final rule issued in July 2018) in which it held that it will no longer permit an income tax allowance to be included in cost-of-service rates for interstate pipelines structured as master limited partnerships. The FERC also indicated that it will incorporate the effects of the revised policy statement in its next review of the oil pipeline index level, which will take effect in July 2021. We do not have cost-of-service rates that would be impacted by this policy change; our FERC regulated tariffs are either grandfathered or based on negotiated rates. However, depending on how the FERC incorporates its most recent tax policy statement into its next index review, the policy could potentially have a negative impact on the FERC adder to the PPI-FG Index, which in turn could have a negative effect on our ability to increase our index-based rates. The policy could impact future (i.e., July 2021 and later) tariff escalations on our FERC regulated pipelines, as well as some of our state regulated pipelines that have negotiated rates with escalations tied to the FERC Index.</w:t>
      </w:r>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ind w:right="40" w:firstLine="648"/>
        <w:spacing w:after="0" w:line="273" w:lineRule="auto"/>
        <w:rPr>
          <w:sz w:val="20"/>
          <w:szCs w:val="20"/>
          <w:color w:val="auto"/>
        </w:rPr>
      </w:pPr>
      <w:r>
        <w:rPr>
          <w:rFonts w:ascii="Arial" w:cs="Arial" w:eastAsia="Arial" w:hAnsi="Arial"/>
          <w:sz w:val="17"/>
          <w:szCs w:val="17"/>
          <w:color w:val="auto"/>
        </w:rPr>
        <w:t>All statements included in this report, other than statements of historical fact, are forward-looking statements, including but not limited to statements incorporating the words “anticipate,” “believe,” “estimate,” “expect,” “plan,” “intend” and “forecast,” as well as similar expressions and statements regarding our business strategy, plans and objectives for future operations. The absence of such words, expressions or statements, however, does not mean that the statements are not forward-looking. Any such forward-looking statements reflect our current views with respect to future events, based on what we believe to be reasonable assumptions. Certain factors could cause actual results or outcomes to differ materially from the results or outcomes anticipated in the forward-looking statements. The most important of these factors include, but are not limited to:</w:t>
      </w:r>
    </w:p>
    <w:p>
      <w:pPr>
        <w:spacing w:after="0" w:line="178" w:lineRule="exact"/>
        <w:rPr>
          <w:sz w:val="20"/>
          <w:szCs w:val="20"/>
          <w:color w:val="auto"/>
        </w:rPr>
      </w:pPr>
    </w:p>
    <w:p>
      <w:pPr>
        <w:ind w:left="980" w:hanging="324"/>
        <w:spacing w:after="0"/>
        <w:tabs>
          <w:tab w:leader="none" w:pos="9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our ability to pay distributions to our Class A shareholders;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our expected receipt of, and amounts of, distributions from Plains AAP, L.P.;</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20"/>
          </w:cols>
          <w:pgMar w:left="240" w:top="125" w:right="239" w:bottom="1440" w:gutter="0" w:footer="0" w:header="0"/>
        </w:sectPr>
      </w:pPr>
    </w:p>
    <w:bookmarkStart w:id="59" w:name="page60"/>
    <w:bookmarkEnd w:id="5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980" w:hanging="324"/>
        <w:spacing w:after="0" w:line="259" w:lineRule="auto"/>
        <w:tabs>
          <w:tab w:leader="none" w:pos="9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declines in the actual or expected volume of crude oil and NGL shipped, processed, purchased, stored, fractionated and/or gathered at or through the use of our assets, whether due to declines in production from existing oil and gas reserves, reduced demand, failure to develop or slowdown in the development of additional oil and gas reserves, whether from reduced cash flow to fund drilling or the inability to access capital, or other factors;</w:t>
      </w:r>
    </w:p>
    <w:p>
      <w:pPr>
        <w:spacing w:after="0" w:line="186" w:lineRule="exact"/>
        <w:rPr>
          <w:rFonts w:ascii="Arial" w:cs="Arial" w:eastAsia="Arial" w:hAnsi="Arial"/>
          <w:sz w:val="18"/>
          <w:szCs w:val="18"/>
          <w:color w:val="auto"/>
        </w:rPr>
      </w:pPr>
    </w:p>
    <w:p>
      <w:pPr>
        <w:ind w:left="980" w:hanging="324"/>
        <w:spacing w:after="0"/>
        <w:tabs>
          <w:tab w:leader="none" w:pos="9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effects of competition;</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49"/>
        </w:numPr>
        <w:rPr>
          <w:rFonts w:ascii="Arial" w:cs="Arial" w:eastAsia="Arial" w:hAnsi="Arial"/>
          <w:sz w:val="17"/>
          <w:szCs w:val="17"/>
          <w:color w:val="auto"/>
        </w:rPr>
      </w:pPr>
      <w:r>
        <w:rPr>
          <w:rFonts w:ascii="Arial" w:cs="Arial" w:eastAsia="Arial" w:hAnsi="Arial"/>
          <w:sz w:val="17"/>
          <w:szCs w:val="17"/>
          <w:color w:val="auto"/>
        </w:rPr>
        <w:t>market distortions caused by over-commitments to infrastructure projects, which impacts volumes, margins, returns and overall earnings;</w:t>
      </w:r>
    </w:p>
    <w:p>
      <w:pPr>
        <w:spacing w:after="0" w:line="236" w:lineRule="exact"/>
        <w:rPr>
          <w:rFonts w:ascii="Arial" w:cs="Arial" w:eastAsia="Arial" w:hAnsi="Arial"/>
          <w:sz w:val="17"/>
          <w:szCs w:val="17"/>
          <w:color w:val="auto"/>
        </w:rPr>
      </w:pPr>
    </w:p>
    <w:p>
      <w:pPr>
        <w:ind w:left="980" w:hanging="324"/>
        <w:spacing w:after="0"/>
        <w:tabs>
          <w:tab w:leader="none" w:pos="9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unanticipated changes in crude oil and NGL market structure, grade differentials and volatility (or lack thereof);</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maintenance of PAA's credit rating and ability to receive open credit from suppliers and trade counterparties;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environmental liabilities or events that are not covered by an indemnity, insurance or existing reserves;</w:t>
      </w:r>
    </w:p>
    <w:p>
      <w:pPr>
        <w:spacing w:after="0" w:line="225"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fluctuations in refinery capacity in areas supplied by our mainlines and other factors affecting demand for various grades of crude oil and natural gas and resulting changes in pricing conditions or transportation throughput requirements;</w:t>
      </w:r>
    </w:p>
    <w:p>
      <w:pPr>
        <w:spacing w:after="0" w:line="170" w:lineRule="exact"/>
        <w:rPr>
          <w:rFonts w:ascii="Arial" w:cs="Arial" w:eastAsia="Arial" w:hAnsi="Arial"/>
          <w:sz w:val="18"/>
          <w:szCs w:val="18"/>
          <w:color w:val="auto"/>
        </w:rPr>
      </w:pPr>
    </w:p>
    <w:p>
      <w:pPr>
        <w:ind w:left="980" w:right="680" w:hanging="324"/>
        <w:spacing w:after="0" w:line="277" w:lineRule="auto"/>
        <w:tabs>
          <w:tab w:leader="none" w:pos="9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occurrence of a natural disaster, catastrophe, terrorist attack (including eco-terrorist attacks) or other event, including attacks on our electronic and computer systems;</w:t>
      </w:r>
    </w:p>
    <w:p>
      <w:pPr>
        <w:spacing w:after="0" w:line="170"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failure to implement or capitalize, or delays in implementing or capitalizing, on expansion projects, whether due to permitting delays, permitting withdrawals or other factors;</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shortages or cost increases of supplies, materials or labor;</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49"/>
        </w:numPr>
        <w:rPr>
          <w:rFonts w:ascii="Arial" w:cs="Arial" w:eastAsia="Arial" w:hAnsi="Arial"/>
          <w:sz w:val="17"/>
          <w:szCs w:val="17"/>
          <w:color w:val="auto"/>
        </w:rPr>
      </w:pPr>
      <w:r>
        <w:rPr>
          <w:rFonts w:ascii="Arial" w:cs="Arial" w:eastAsia="Arial" w:hAnsi="Arial"/>
          <w:sz w:val="17"/>
          <w:szCs w:val="17"/>
          <w:color w:val="auto"/>
        </w:rPr>
        <w:t>the impact of current and future laws, rulings, governmental regulations, accounting standards and statements, and related interpretations;</w:t>
      </w:r>
    </w:p>
    <w:p>
      <w:pPr>
        <w:spacing w:after="0" w:line="236" w:lineRule="exact"/>
        <w:rPr>
          <w:rFonts w:ascii="Arial" w:cs="Arial" w:eastAsia="Arial" w:hAnsi="Arial"/>
          <w:sz w:val="17"/>
          <w:szCs w:val="17"/>
          <w:color w:val="auto"/>
        </w:rPr>
      </w:pPr>
    </w:p>
    <w:p>
      <w:pPr>
        <w:ind w:left="980" w:hanging="324"/>
        <w:spacing w:after="0"/>
        <w:tabs>
          <w:tab w:leader="none" w:pos="980" w:val="left"/>
        </w:tabs>
        <w:numPr>
          <w:ilvl w:val="0"/>
          <w:numId w:val="49"/>
        </w:numPr>
        <w:rPr>
          <w:rFonts w:ascii="Arial" w:cs="Arial" w:eastAsia="Arial" w:hAnsi="Arial"/>
          <w:sz w:val="17"/>
          <w:szCs w:val="17"/>
          <w:color w:val="auto"/>
        </w:rPr>
      </w:pPr>
      <w:r>
        <w:rPr>
          <w:rFonts w:ascii="Arial" w:cs="Arial" w:eastAsia="Arial" w:hAnsi="Arial"/>
          <w:sz w:val="17"/>
          <w:szCs w:val="17"/>
          <w:color w:val="auto"/>
        </w:rPr>
        <w:t>the failure to consummate, or significant delay in consummating, sales of assets or interests as a part of our strategic divestiture program;</w:t>
      </w:r>
    </w:p>
    <w:p>
      <w:pPr>
        <w:spacing w:after="0" w:line="236" w:lineRule="exact"/>
        <w:rPr>
          <w:rFonts w:ascii="Arial" w:cs="Arial" w:eastAsia="Arial" w:hAnsi="Arial"/>
          <w:sz w:val="17"/>
          <w:szCs w:val="17"/>
          <w:color w:val="auto"/>
        </w:rPr>
      </w:pPr>
    </w:p>
    <w:p>
      <w:pPr>
        <w:ind w:left="980" w:right="260" w:hanging="324"/>
        <w:spacing w:after="0" w:line="342" w:lineRule="auto"/>
        <w:tabs>
          <w:tab w:leader="none" w:pos="980" w:val="left"/>
        </w:tabs>
        <w:numPr>
          <w:ilvl w:val="0"/>
          <w:numId w:val="49"/>
        </w:numPr>
        <w:rPr>
          <w:rFonts w:ascii="Arial" w:cs="Arial" w:eastAsia="Arial" w:hAnsi="Arial"/>
          <w:sz w:val="16"/>
          <w:szCs w:val="16"/>
          <w:color w:val="auto"/>
        </w:rPr>
      </w:pPr>
      <w:r>
        <w:rPr>
          <w:rFonts w:ascii="Arial" w:cs="Arial" w:eastAsia="Arial" w:hAnsi="Arial"/>
          <w:sz w:val="16"/>
          <w:szCs w:val="16"/>
          <w:color w:val="auto"/>
        </w:rPr>
        <w:t>tightened capital markets or other factors that increase our cost of capital or limit our ability to obtain debt or equity financing on satisfactory terms to fund additional acquisitions, expansion projects, working capital requirements and the repayment or refinancing of indebtedness;</w:t>
      </w:r>
    </w:p>
    <w:p>
      <w:pPr>
        <w:spacing w:after="0" w:line="123" w:lineRule="exact"/>
        <w:rPr>
          <w:rFonts w:ascii="Arial" w:cs="Arial" w:eastAsia="Arial" w:hAnsi="Arial"/>
          <w:sz w:val="16"/>
          <w:szCs w:val="16"/>
          <w:color w:val="auto"/>
        </w:rPr>
      </w:pPr>
    </w:p>
    <w:p>
      <w:pPr>
        <w:ind w:left="980" w:hanging="324"/>
        <w:spacing w:after="0"/>
        <w:tabs>
          <w:tab w:leader="none" w:pos="9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availability of, and our ability to consummate, acquisition or combination opportunities;</w:t>
      </w:r>
    </w:p>
    <w:p>
      <w:pPr>
        <w:spacing w:after="0" w:line="225" w:lineRule="exact"/>
        <w:rPr>
          <w:rFonts w:ascii="Arial" w:cs="Arial" w:eastAsia="Arial" w:hAnsi="Arial"/>
          <w:sz w:val="18"/>
          <w:szCs w:val="18"/>
          <w:color w:val="auto"/>
        </w:rPr>
      </w:pPr>
    </w:p>
    <w:p>
      <w:pPr>
        <w:ind w:left="980" w:right="280" w:hanging="324"/>
        <w:spacing w:after="0" w:line="277" w:lineRule="auto"/>
        <w:tabs>
          <w:tab w:leader="none" w:pos="9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successful integration and future performance of acquired assets or businesses and the risks associated with operating in lines of business that are distinct and separate from historical operations;</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currency exchange rate of the Canadian dollar;</w:t>
      </w:r>
    </w:p>
    <w:p>
      <w:pPr>
        <w:spacing w:after="0" w:line="225" w:lineRule="exact"/>
        <w:rPr>
          <w:rFonts w:ascii="Arial" w:cs="Arial" w:eastAsia="Arial" w:hAnsi="Arial"/>
          <w:sz w:val="18"/>
          <w:szCs w:val="18"/>
          <w:color w:val="auto"/>
        </w:rPr>
      </w:pPr>
    </w:p>
    <w:p>
      <w:pPr>
        <w:ind w:left="980" w:right="80" w:hanging="324"/>
        <w:spacing w:after="0" w:line="277" w:lineRule="auto"/>
        <w:tabs>
          <w:tab w:leader="none" w:pos="9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continued creditworthiness of, and performance by, our counterparties, including financial institutions and trading companies with which we do business;</w:t>
      </w:r>
    </w:p>
    <w:p>
      <w:pPr>
        <w:spacing w:after="0" w:line="170"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inability to recognize current revenue attributable to deficiency payments received from customers who fail to ship or move more than minimum contracted volumes until the related credits expire or are used;</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non-utilization of our assets and facilities;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increased costs, or lack of availability, of insurance;</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49"/>
        </w:numPr>
        <w:rPr>
          <w:rFonts w:ascii="Arial" w:cs="Arial" w:eastAsia="Arial" w:hAnsi="Arial"/>
          <w:sz w:val="17"/>
          <w:szCs w:val="17"/>
          <w:color w:val="auto"/>
        </w:rPr>
      </w:pPr>
      <w:r>
        <w:rPr>
          <w:rFonts w:ascii="Arial" w:cs="Arial" w:eastAsia="Arial" w:hAnsi="Arial"/>
          <w:sz w:val="17"/>
          <w:szCs w:val="17"/>
          <w:color w:val="auto"/>
        </w:rPr>
        <w:t>weather interference with business operations or project construction, including the impact of extreme weather events or conditions;</w:t>
      </w:r>
    </w:p>
    <w:p>
      <w:pPr>
        <w:spacing w:after="0" w:line="200" w:lineRule="exact"/>
        <w:rPr>
          <w:sz w:val="20"/>
          <w:szCs w:val="20"/>
          <w:color w:val="auto"/>
        </w:rPr>
      </w:pPr>
    </w:p>
    <w:p>
      <w:pPr>
        <w:spacing w:after="0" w:line="2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00"/>
          </w:cols>
          <w:pgMar w:left="240" w:top="125" w:right="259" w:bottom="1440" w:gutter="0" w:footer="0" w:header="0"/>
        </w:sectPr>
      </w:pPr>
    </w:p>
    <w:bookmarkStart w:id="60" w:name="page61"/>
    <w:bookmarkEnd w:id="6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980" w:hanging="324"/>
        <w:spacing w:after="0"/>
        <w:tabs>
          <w:tab w:leader="none" w:pos="9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effectiveness of our risk management activities;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50"/>
        </w:numPr>
        <w:rPr>
          <w:rFonts w:ascii="Arial" w:cs="Arial" w:eastAsia="Arial" w:hAnsi="Arial"/>
          <w:sz w:val="17"/>
          <w:szCs w:val="17"/>
          <w:color w:val="auto"/>
        </w:rPr>
      </w:pPr>
      <w:r>
        <w:rPr>
          <w:rFonts w:ascii="Arial" w:cs="Arial" w:eastAsia="Arial" w:hAnsi="Arial"/>
          <w:sz w:val="17"/>
          <w:szCs w:val="17"/>
          <w:color w:val="auto"/>
        </w:rPr>
        <w:t>fluctuations in the debt and equity markets, including the price of PAA's units at the time of vesting under its long-term incentive plans;</w:t>
      </w:r>
    </w:p>
    <w:p>
      <w:pPr>
        <w:spacing w:after="0" w:line="236" w:lineRule="exact"/>
        <w:rPr>
          <w:rFonts w:ascii="Arial" w:cs="Arial" w:eastAsia="Arial" w:hAnsi="Arial"/>
          <w:sz w:val="17"/>
          <w:szCs w:val="17"/>
          <w:color w:val="auto"/>
        </w:rPr>
      </w:pPr>
    </w:p>
    <w:p>
      <w:pPr>
        <w:ind w:left="980" w:hanging="324"/>
        <w:spacing w:after="0"/>
        <w:tabs>
          <w:tab w:leader="none" w:pos="980" w:val="left"/>
        </w:tabs>
        <w:numPr>
          <w:ilvl w:val="0"/>
          <w:numId w:val="50"/>
        </w:numPr>
        <w:rPr>
          <w:rFonts w:ascii="Arial" w:cs="Arial" w:eastAsia="Arial" w:hAnsi="Arial"/>
          <w:sz w:val="17"/>
          <w:szCs w:val="17"/>
          <w:color w:val="auto"/>
        </w:rPr>
      </w:pPr>
      <w:r>
        <w:rPr>
          <w:rFonts w:ascii="Arial" w:cs="Arial" w:eastAsia="Arial" w:hAnsi="Arial"/>
          <w:sz w:val="17"/>
          <w:szCs w:val="17"/>
          <w:color w:val="auto"/>
        </w:rPr>
        <w:t>risks related to the development and operation of our assets, including our ability to satisfy our contractual obligations to our customers;</w:t>
      </w:r>
    </w:p>
    <w:p>
      <w:pPr>
        <w:spacing w:after="0" w:line="236" w:lineRule="exact"/>
        <w:rPr>
          <w:rFonts w:ascii="Arial" w:cs="Arial" w:eastAsia="Arial" w:hAnsi="Arial"/>
          <w:sz w:val="17"/>
          <w:szCs w:val="17"/>
          <w:color w:val="auto"/>
        </w:rPr>
      </w:pPr>
    </w:p>
    <w:p>
      <w:pPr>
        <w:ind w:left="980" w:hanging="324"/>
        <w:spacing w:after="0"/>
        <w:tabs>
          <w:tab w:leader="none" w:pos="9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factors affecting demand for natural gas and natural gas storage services and rates;</w:t>
      </w:r>
    </w:p>
    <w:p>
      <w:pPr>
        <w:spacing w:after="0" w:line="225" w:lineRule="exact"/>
        <w:rPr>
          <w:rFonts w:ascii="Arial" w:cs="Arial" w:eastAsia="Arial" w:hAnsi="Arial"/>
          <w:sz w:val="18"/>
          <w:szCs w:val="18"/>
          <w:color w:val="auto"/>
        </w:rPr>
      </w:pPr>
    </w:p>
    <w:p>
      <w:pPr>
        <w:ind w:left="980" w:right="20" w:hanging="324"/>
        <w:spacing w:after="0" w:line="277" w:lineRule="auto"/>
        <w:tabs>
          <w:tab w:leader="none" w:pos="9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general economic, market or business conditions and the amplification of other risks caused by volatile financial markets, capital constraints and pervasive liquidity concerns; and</w:t>
      </w:r>
    </w:p>
    <w:p>
      <w:pPr>
        <w:spacing w:after="0" w:line="170" w:lineRule="exact"/>
        <w:rPr>
          <w:rFonts w:ascii="Arial" w:cs="Arial" w:eastAsia="Arial" w:hAnsi="Arial"/>
          <w:sz w:val="18"/>
          <w:szCs w:val="18"/>
          <w:color w:val="auto"/>
        </w:rPr>
      </w:pPr>
    </w:p>
    <w:p>
      <w:pPr>
        <w:ind w:left="980" w:right="60" w:hanging="324"/>
        <w:spacing w:after="0" w:line="277" w:lineRule="auto"/>
        <w:tabs>
          <w:tab w:leader="none" w:pos="9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other factors and uncertainties inherent in the transportation, storage, terminalling and marketing of crude oil, as well as in the storage of natural gas and the processing, transportation, fractionation, storage and marketing of natural gas liquids.</w:t>
      </w:r>
    </w:p>
    <w:p>
      <w:pPr>
        <w:spacing w:after="0" w:line="170" w:lineRule="exact"/>
        <w:rPr>
          <w:sz w:val="20"/>
          <w:szCs w:val="20"/>
          <w:color w:val="auto"/>
        </w:rPr>
      </w:pPr>
    </w:p>
    <w:p>
      <w:pPr>
        <w:jc w:val="both"/>
        <w:ind w:right="480" w:firstLine="648"/>
        <w:spacing w:after="0" w:line="264" w:lineRule="auto"/>
        <w:rPr>
          <w:sz w:val="20"/>
          <w:szCs w:val="20"/>
          <w:color w:val="auto"/>
        </w:rPr>
      </w:pPr>
      <w:r>
        <w:rPr>
          <w:rFonts w:ascii="Arial" w:cs="Arial" w:eastAsia="Arial" w:hAnsi="Arial"/>
          <w:sz w:val="18"/>
          <w:szCs w:val="18"/>
          <w:color w:val="auto"/>
        </w:rPr>
        <w:t>Other factors described herein, as well as factors that are unknown or unpredictable, could also have a material adverse effect on future results. Please read “Risk Factors” discussed in Item 1A. of our 2017 Annual Report on Form 10-K. Except as required by applicable securities laws, we do not intend to update these forward-looking statements and information.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We are exposed to various market risks, including (i) commodity price risk, (ii) interest rate risk and (iii) currency exchange rate risk. We use various derivative instruments to manage such risks and, in certain circumstances, to realize incremental margin during volatile market conditions. Our risk management policies and procedures are designed to help ensure that our hedging activities address our risks by monitoring our exchange-cleared and over-the-counter positions, as well as physical volumes, grades, locations, delivery schedules and storage capacity. We have a risk management function that has direct responsibility and authority for our risk policies, related controls around commercial activities and certain aspects of corporate risk management. Our risk management function also approves all new risk management strategies through a formal process. The following discussion addresses each category of risk.</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Commodity Price Risk</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use derivative instruments to hedge price risk associated with the following commodities:</w:t>
      </w:r>
    </w:p>
    <w:p>
      <w:pPr>
        <w:spacing w:after="0" w:line="225" w:lineRule="exact"/>
        <w:rPr>
          <w:sz w:val="20"/>
          <w:szCs w:val="20"/>
          <w:color w:val="auto"/>
        </w:rPr>
      </w:pPr>
    </w:p>
    <w:p>
      <w:pPr>
        <w:ind w:left="980" w:hanging="324"/>
        <w:spacing w:after="0"/>
        <w:tabs>
          <w:tab w:leader="none" w:pos="980" w:val="left"/>
        </w:tabs>
        <w:numPr>
          <w:ilvl w:val="0"/>
          <w:numId w:val="51"/>
        </w:numPr>
        <w:rPr>
          <w:rFonts w:ascii="Arial" w:cs="Arial" w:eastAsia="Arial" w:hAnsi="Arial"/>
          <w:sz w:val="18"/>
          <w:szCs w:val="18"/>
          <w:i w:val="1"/>
          <w:iCs w:val="1"/>
          <w:color w:val="auto"/>
        </w:rPr>
      </w:pPr>
      <w:r>
        <w:rPr>
          <w:rFonts w:ascii="Arial" w:cs="Arial" w:eastAsia="Arial" w:hAnsi="Arial"/>
          <w:sz w:val="18"/>
          <w:szCs w:val="18"/>
          <w:i w:val="1"/>
          <w:iCs w:val="1"/>
          <w:u w:val="single" w:color="auto"/>
          <w:color w:val="auto"/>
        </w:rPr>
        <w:t>Crude oil</w:t>
      </w:r>
    </w:p>
    <w:p>
      <w:pPr>
        <w:spacing w:after="0" w:line="225" w:lineRule="exact"/>
        <w:rPr>
          <w:rFonts w:ascii="Arial" w:cs="Arial" w:eastAsia="Arial" w:hAnsi="Arial"/>
          <w:sz w:val="18"/>
          <w:szCs w:val="18"/>
          <w:i w:val="1"/>
          <w:iCs w:val="1"/>
          <w:color w:val="auto"/>
        </w:rPr>
      </w:pPr>
    </w:p>
    <w:p>
      <w:pPr>
        <w:ind w:left="980" w:right="20"/>
        <w:spacing w:after="0" w:line="312" w:lineRule="auto"/>
        <w:rPr>
          <w:rFonts w:ascii="Arial" w:cs="Arial" w:eastAsia="Arial" w:hAnsi="Arial"/>
          <w:sz w:val="18"/>
          <w:szCs w:val="18"/>
          <w:i w:val="1"/>
          <w:iCs w:val="1"/>
          <w:color w:val="auto"/>
        </w:rPr>
      </w:pPr>
      <w:r>
        <w:rPr>
          <w:rFonts w:ascii="Arial" w:cs="Arial" w:eastAsia="Arial" w:hAnsi="Arial"/>
          <w:sz w:val="16"/>
          <w:szCs w:val="16"/>
          <w:color w:val="auto"/>
        </w:rPr>
        <w:t>We utilize crude oil derivatives to hedge commodity price risk inherent in our Supply and Logistics and Transportation segments. Our objectives for these derivatives include hedging anticipated purchases and sales, stored inventory, basis differentials, and storage capacity utilization. We manage these exposures with various instruments including exchange-traded and over-the-counter futures, forwards, swaps and options.</w:t>
      </w:r>
    </w:p>
    <w:p>
      <w:pPr>
        <w:spacing w:after="0" w:line="146" w:lineRule="exact"/>
        <w:rPr>
          <w:rFonts w:ascii="Arial" w:cs="Arial" w:eastAsia="Arial" w:hAnsi="Arial"/>
          <w:sz w:val="18"/>
          <w:szCs w:val="18"/>
          <w:i w:val="1"/>
          <w:iCs w:val="1"/>
          <w:color w:val="auto"/>
        </w:rPr>
      </w:pPr>
    </w:p>
    <w:p>
      <w:pPr>
        <w:ind w:left="980" w:hanging="324"/>
        <w:spacing w:after="0"/>
        <w:tabs>
          <w:tab w:leader="none" w:pos="980" w:val="left"/>
        </w:tabs>
        <w:numPr>
          <w:ilvl w:val="0"/>
          <w:numId w:val="51"/>
        </w:numPr>
        <w:rPr>
          <w:rFonts w:ascii="Arial" w:cs="Arial" w:eastAsia="Arial" w:hAnsi="Arial"/>
          <w:sz w:val="18"/>
          <w:szCs w:val="18"/>
          <w:i w:val="1"/>
          <w:iCs w:val="1"/>
          <w:color w:val="auto"/>
        </w:rPr>
      </w:pPr>
      <w:r>
        <w:rPr>
          <w:rFonts w:ascii="Arial" w:cs="Arial" w:eastAsia="Arial" w:hAnsi="Arial"/>
          <w:sz w:val="18"/>
          <w:szCs w:val="18"/>
          <w:i w:val="1"/>
          <w:iCs w:val="1"/>
          <w:u w:val="single" w:color="auto"/>
          <w:color w:val="auto"/>
        </w:rPr>
        <w:t>Natural gas</w:t>
      </w:r>
    </w:p>
    <w:p>
      <w:pPr>
        <w:spacing w:after="0" w:line="225" w:lineRule="exact"/>
        <w:rPr>
          <w:rFonts w:ascii="Arial" w:cs="Arial" w:eastAsia="Arial" w:hAnsi="Arial"/>
          <w:sz w:val="18"/>
          <w:szCs w:val="18"/>
          <w:i w:val="1"/>
          <w:iCs w:val="1"/>
          <w:color w:val="auto"/>
        </w:rPr>
      </w:pPr>
    </w:p>
    <w:p>
      <w:pPr>
        <w:ind w:left="980"/>
        <w:spacing w:after="0" w:line="264" w:lineRule="auto"/>
        <w:rPr>
          <w:rFonts w:ascii="Arial" w:cs="Arial" w:eastAsia="Arial" w:hAnsi="Arial"/>
          <w:sz w:val="18"/>
          <w:szCs w:val="18"/>
          <w:i w:val="1"/>
          <w:iCs w:val="1"/>
          <w:color w:val="auto"/>
        </w:rPr>
      </w:pPr>
      <w:r>
        <w:rPr>
          <w:rFonts w:ascii="Arial" w:cs="Arial" w:eastAsia="Arial" w:hAnsi="Arial"/>
          <w:sz w:val="18"/>
          <w:szCs w:val="18"/>
          <w:color w:val="auto"/>
        </w:rPr>
        <w:t>We utilize natural gas derivatives to hedge commodity price risk inherent in our Supply and Logistics and Facilities segments. Our objectives for these derivatives include hedging anticipated purchases of natural gas. We manage these exposures with various instruments including exchange-traded futures, swaps and options.</w:t>
      </w:r>
    </w:p>
    <w:p>
      <w:pPr>
        <w:spacing w:after="0" w:line="181" w:lineRule="exact"/>
        <w:rPr>
          <w:rFonts w:ascii="Arial" w:cs="Arial" w:eastAsia="Arial" w:hAnsi="Arial"/>
          <w:sz w:val="18"/>
          <w:szCs w:val="18"/>
          <w:i w:val="1"/>
          <w:iCs w:val="1"/>
          <w:color w:val="auto"/>
        </w:rPr>
      </w:pPr>
    </w:p>
    <w:p>
      <w:pPr>
        <w:ind w:left="980" w:hanging="324"/>
        <w:spacing w:after="0"/>
        <w:tabs>
          <w:tab w:leader="none" w:pos="980" w:val="left"/>
        </w:tabs>
        <w:numPr>
          <w:ilvl w:val="0"/>
          <w:numId w:val="51"/>
        </w:numPr>
        <w:rPr>
          <w:rFonts w:ascii="Arial" w:cs="Arial" w:eastAsia="Arial" w:hAnsi="Arial"/>
          <w:sz w:val="18"/>
          <w:szCs w:val="18"/>
          <w:i w:val="1"/>
          <w:iCs w:val="1"/>
          <w:color w:val="auto"/>
        </w:rPr>
      </w:pPr>
      <w:r>
        <w:rPr>
          <w:rFonts w:ascii="Arial" w:cs="Arial" w:eastAsia="Arial" w:hAnsi="Arial"/>
          <w:sz w:val="18"/>
          <w:szCs w:val="18"/>
          <w:i w:val="1"/>
          <w:iCs w:val="1"/>
          <w:u w:val="single" w:color="auto"/>
          <w:color w:val="auto"/>
        </w:rPr>
        <w:t>NGL and other</w:t>
      </w:r>
    </w:p>
    <w:p>
      <w:pPr>
        <w:spacing w:after="0" w:line="225" w:lineRule="exact"/>
        <w:rPr>
          <w:sz w:val="20"/>
          <w:szCs w:val="20"/>
          <w:color w:val="auto"/>
        </w:rPr>
      </w:pPr>
    </w:p>
    <w:p>
      <w:pPr>
        <w:ind w:left="980" w:right="80"/>
        <w:spacing w:after="0" w:line="286" w:lineRule="auto"/>
        <w:rPr>
          <w:sz w:val="20"/>
          <w:szCs w:val="20"/>
          <w:color w:val="auto"/>
        </w:rPr>
      </w:pPr>
      <w:r>
        <w:rPr>
          <w:rFonts w:ascii="Arial" w:cs="Arial" w:eastAsia="Arial" w:hAnsi="Arial"/>
          <w:sz w:val="17"/>
          <w:szCs w:val="17"/>
          <w:color w:val="auto"/>
        </w:rPr>
        <w:t>We utilize NGL derivatives, primarily propane and butane derivatives, to hedge commodity price risk inherent in our Supply and Logistics segment. Our objectives for these derivatives include hedging anticipated purchases and sales and stored inventory. We manage these exposures with various instruments including exchange-traded and over-the-counter futures, forwards, swaps and options.</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7"/>
          <w:szCs w:val="17"/>
          <w:color w:val="auto"/>
        </w:rPr>
        <w:t>See Note 11 to our Condensed Consolidated Financial Statements for further discussion regarding our hedging strategies and objectives.</w:t>
      </w:r>
    </w:p>
    <w:p>
      <w:pPr>
        <w:spacing w:after="0" w:line="200" w:lineRule="exact"/>
        <w:rPr>
          <w:sz w:val="20"/>
          <w:szCs w:val="20"/>
          <w:color w:val="auto"/>
        </w:rPr>
      </w:pPr>
    </w:p>
    <w:p>
      <w:pPr>
        <w:spacing w:after="0" w:line="2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20"/>
          </w:cols>
          <w:pgMar w:left="240" w:top="125" w:right="239" w:bottom="1440" w:gutter="0" w:footer="0" w:header="0"/>
        </w:sectPr>
      </w:pPr>
    </w:p>
    <w:bookmarkStart w:id="61" w:name="page62"/>
    <w:bookmarkEnd w:id="6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260" w:firstLine="648"/>
        <w:spacing w:after="0" w:line="277" w:lineRule="auto"/>
        <w:rPr>
          <w:sz w:val="20"/>
          <w:szCs w:val="20"/>
          <w:color w:val="auto"/>
        </w:rPr>
      </w:pPr>
      <w:r>
        <w:rPr>
          <w:rFonts w:ascii="Arial" w:cs="Arial" w:eastAsia="Arial" w:hAnsi="Arial"/>
          <w:sz w:val="18"/>
          <w:szCs w:val="18"/>
          <w:color w:val="auto"/>
        </w:rPr>
        <w:t>The fair value of our commodity derivatives and the change in fair value as of June 30, 2018 that would be expected from a 10% price increase or decrease is shown in the table below (in millions):</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40" w:type="dxa"/>
            <w:vAlign w:val="bottom"/>
            <w:vMerge w:val="restart"/>
          </w:tcPr>
          <w:p>
            <w:pPr>
              <w:jc w:val="right"/>
              <w:ind w:right="354"/>
              <w:spacing w:after="0"/>
              <w:rPr>
                <w:sz w:val="20"/>
                <w:szCs w:val="20"/>
                <w:color w:val="auto"/>
              </w:rPr>
            </w:pPr>
            <w:r>
              <w:rPr>
                <w:rFonts w:ascii="Arial" w:cs="Arial" w:eastAsia="Arial" w:hAnsi="Arial"/>
                <w:sz w:val="14"/>
                <w:szCs w:val="14"/>
                <w:b w:val="1"/>
                <w:bCs w:val="1"/>
                <w:color w:val="auto"/>
              </w:rPr>
              <w:t>Fair Value</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60" w:type="dxa"/>
            <w:vAlign w:val="bottom"/>
            <w:gridSpan w:val="2"/>
          </w:tcPr>
          <w:p>
            <w:pPr>
              <w:ind w:left="100"/>
              <w:spacing w:after="0"/>
              <w:rPr>
                <w:sz w:val="20"/>
                <w:szCs w:val="20"/>
                <w:color w:val="auto"/>
              </w:rPr>
            </w:pPr>
            <w:r>
              <w:rPr>
                <w:rFonts w:ascii="Arial" w:cs="Arial" w:eastAsia="Arial" w:hAnsi="Arial"/>
                <w:sz w:val="14"/>
                <w:szCs w:val="14"/>
                <w:b w:val="1"/>
                <w:bCs w:val="1"/>
                <w:color w:val="auto"/>
              </w:rPr>
              <w:t>Effect of 10%</w:t>
            </w:r>
          </w:p>
        </w:tc>
        <w:tc>
          <w:tcPr>
            <w:tcW w:w="200" w:type="dxa"/>
            <w:vAlign w:val="bottom"/>
          </w:tcPr>
          <w:p>
            <w:pPr>
              <w:spacing w:after="0"/>
              <w:rPr>
                <w:sz w:val="14"/>
                <w:szCs w:val="14"/>
                <w:color w:val="auto"/>
              </w:rPr>
            </w:pPr>
          </w:p>
        </w:tc>
        <w:tc>
          <w:tcPr>
            <w:tcW w:w="1280" w:type="dxa"/>
            <w:vAlign w:val="bottom"/>
          </w:tcPr>
          <w:p>
            <w:pPr>
              <w:jc w:val="right"/>
              <w:ind w:right="237"/>
              <w:spacing w:after="0"/>
              <w:rPr>
                <w:sz w:val="20"/>
                <w:szCs w:val="20"/>
                <w:color w:val="auto"/>
              </w:rPr>
            </w:pPr>
            <w:r>
              <w:rPr>
                <w:rFonts w:ascii="Arial" w:cs="Arial" w:eastAsia="Arial" w:hAnsi="Arial"/>
                <w:sz w:val="14"/>
                <w:szCs w:val="14"/>
                <w:b w:val="1"/>
                <w:bCs w:val="1"/>
                <w:color w:val="auto"/>
              </w:rPr>
              <w:t>Effect of 10%</w:t>
            </w:r>
          </w:p>
        </w:tc>
        <w:tc>
          <w:tcPr>
            <w:tcW w:w="0" w:type="dxa"/>
            <w:vAlign w:val="bottom"/>
          </w:tcPr>
          <w:p>
            <w:pPr>
              <w:spacing w:after="0"/>
              <w:rPr>
                <w:sz w:val="1"/>
                <w:szCs w:val="1"/>
                <w:color w:val="auto"/>
              </w:rPr>
            </w:pPr>
          </w:p>
        </w:tc>
      </w:tr>
      <w:tr>
        <w:trPr>
          <w:trHeight w:val="192"/>
        </w:trPr>
        <w:tc>
          <w:tcPr>
            <w:tcW w:w="674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217"/>
              <w:spacing w:after="0"/>
              <w:rPr>
                <w:sz w:val="20"/>
                <w:szCs w:val="20"/>
                <w:color w:val="auto"/>
              </w:rPr>
            </w:pPr>
            <w:r>
              <w:rPr>
                <w:rFonts w:ascii="Arial" w:cs="Arial" w:eastAsia="Arial" w:hAnsi="Arial"/>
                <w:sz w:val="14"/>
                <w:szCs w:val="14"/>
                <w:b w:val="1"/>
                <w:bCs w:val="1"/>
                <w:color w:val="auto"/>
                <w:w w:val="98"/>
              </w:rPr>
              <w:t>Price Increase</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197"/>
              <w:spacing w:after="0"/>
              <w:rPr>
                <w:sz w:val="20"/>
                <w:szCs w:val="20"/>
                <w:color w:val="auto"/>
              </w:rPr>
            </w:pPr>
            <w:r>
              <w:rPr>
                <w:rFonts w:ascii="Arial" w:cs="Arial" w:eastAsia="Arial" w:hAnsi="Arial"/>
                <w:sz w:val="14"/>
                <w:szCs w:val="14"/>
                <w:b w:val="1"/>
                <w:bCs w:val="1"/>
                <w:color w:val="auto"/>
                <w:w w:val="97"/>
              </w:rPr>
              <w:t>Price Decrease</w:t>
            </w:r>
          </w:p>
        </w:tc>
        <w:tc>
          <w:tcPr>
            <w:tcW w:w="0" w:type="dxa"/>
            <w:vAlign w:val="bottom"/>
          </w:tcPr>
          <w:p>
            <w:pPr>
              <w:spacing w:after="0"/>
              <w:rPr>
                <w:sz w:val="1"/>
                <w:szCs w:val="1"/>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Crude oil</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(317)</w:t>
            </w:r>
          </w:p>
        </w:tc>
        <w:tc>
          <w:tcPr>
            <w:tcW w:w="3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56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Natural gas</w:t>
            </w:r>
          </w:p>
        </w:tc>
        <w:tc>
          <w:tcPr>
            <w:tcW w:w="2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(19)</w:t>
            </w:r>
          </w:p>
        </w:tc>
        <w:tc>
          <w:tcPr>
            <w:tcW w:w="3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17"/>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NGL and other</w:t>
            </w:r>
          </w:p>
        </w:tc>
        <w:tc>
          <w:tcPr>
            <w:tcW w:w="28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(125)</w:t>
            </w:r>
          </w:p>
        </w:tc>
        <w:tc>
          <w:tcPr>
            <w:tcW w:w="3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57"/>
        </w:trPr>
        <w:tc>
          <w:tcPr>
            <w:tcW w:w="6740" w:type="dxa"/>
            <w:vAlign w:val="bottom"/>
          </w:tcPr>
          <w:p>
            <w:pPr>
              <w:ind w:left="180"/>
              <w:spacing w:after="0"/>
              <w:rPr>
                <w:sz w:val="20"/>
                <w:szCs w:val="20"/>
                <w:color w:val="auto"/>
              </w:rPr>
            </w:pPr>
            <w:r>
              <w:rPr>
                <w:rFonts w:ascii="Arial" w:cs="Arial" w:eastAsia="Arial" w:hAnsi="Arial"/>
                <w:sz w:val="18"/>
                <w:szCs w:val="18"/>
                <w:color w:val="auto"/>
              </w:rPr>
              <w:t>Total fair value</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(461)</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7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The fair values presented in the table above reflect the sensitivity of the derivative instruments only and do not include the effect of the underlying hedged commodity. Price-risk sensitivities were calculated by assuming an across-the-board 10% increase or decrease in price regardless of term or historical relationships between the contractual price of the instruments and the underlying commodity price. In the event of an actual 10% change in near-term commodity prices, the fair value of our derivative portfolio would typically change less than that shown in the table as changes in near-term prices are not typically mirrored in delivery months further out.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229" w:lineRule="exact"/>
        <w:rPr>
          <w:sz w:val="20"/>
          <w:szCs w:val="20"/>
          <w:color w:val="auto"/>
        </w:rPr>
      </w:pPr>
    </w:p>
    <w:p>
      <w:pPr>
        <w:ind w:right="20" w:firstLine="648"/>
        <w:spacing w:after="0" w:line="270" w:lineRule="auto"/>
        <w:rPr>
          <w:sz w:val="20"/>
          <w:szCs w:val="20"/>
          <w:color w:val="auto"/>
        </w:rPr>
      </w:pPr>
      <w:r>
        <w:rPr>
          <w:rFonts w:ascii="Arial" w:cs="Arial" w:eastAsia="Arial" w:hAnsi="Arial"/>
          <w:sz w:val="17"/>
          <w:szCs w:val="17"/>
          <w:color w:val="auto"/>
        </w:rPr>
        <w:t>Our use of variable rate debt and any forecasted issuances of fixed rate debt expose us to interest rate risk. Therefore, from time to time, we use interest rate derivatives to hedge interest rate risk associated with anticipated interest payments and, in certain cases, outstanding debt instruments. All of PAA’s senior notes are fixed rate notes and thus are not subject to interest rate risk. Our variable rate debt outstanding at June 30, 2018, approximately $835 million, was subject to interest rate re-sets that range from one day to approximately one week. The average interest rate on variable rate debt that was outstanding during the six months ended June 30, 2018 was 2.8%, based upon rates in effect during such period. The fair value of our interest rate derivatives was a liability of less than $1 million as of June 30, 2018. A 10% increase in the forward LIBOR curve as of June 30, 2018 would have resulted in an increase of $22 million to the fair value of our interest rate derivatives. A 10% decrease in the forward LIBOR curve as of June 30, 2018 would have resulted in a decrease of $22 million to the fair value of our interest rate derivatives. See Note 11 to our Condensed Consolidated Financial Statements for a discussion of our interest rate risk hedging activities.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Currency Exchange Rate Risk</w:t>
      </w:r>
    </w:p>
    <w:p>
      <w:pPr>
        <w:spacing w:after="0" w:line="229"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We use foreign currency derivatives to hedge foreign currency exchange rate risk associated with our exposure to fluctuations in the USD-to-CAD exchange rate. Because a significant portion of our Canadian business is conducted in CAD we use certain financial instruments to minimize the risks of unfavorable changes in exchange rates. These instruments include foreign currency exchange contracts, forwards and options. The fair value of our foreign currency derivatives was a liability of $7 million as of June 30, 2018. A 10% increase in the exchange rate (USD-to-CAD) would have resulted in an increase of $18 million to the fair value of our foreign currency derivatives. A 10% decrease in the exchange rate (USD-to-CAD) would have resulted in a decrease of $18 million to the fair value of our foreign currency derivatives. See Note 11 to our Condensed Consolidated Financial Statements for a discussion of our currency exchange rate risk hedging.</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Preferred Distribution Rate Reset Option</w:t>
      </w:r>
    </w:p>
    <w:p>
      <w:pPr>
        <w:spacing w:after="0" w:line="229" w:lineRule="exact"/>
        <w:rPr>
          <w:sz w:val="20"/>
          <w:szCs w:val="20"/>
          <w:color w:val="auto"/>
        </w:rPr>
      </w:pPr>
    </w:p>
    <w:p>
      <w:pPr>
        <w:ind w:right="80" w:firstLine="648"/>
        <w:spacing w:after="0" w:line="273" w:lineRule="auto"/>
        <w:rPr>
          <w:sz w:val="20"/>
          <w:szCs w:val="20"/>
          <w:color w:val="auto"/>
        </w:rPr>
      </w:pPr>
      <w:r>
        <w:rPr>
          <w:rFonts w:ascii="Arial" w:cs="Arial" w:eastAsia="Arial" w:hAnsi="Arial"/>
          <w:sz w:val="17"/>
          <w:szCs w:val="17"/>
          <w:color w:val="auto"/>
        </w:rPr>
        <w:t>The Preferred Distribution Rate Reset Option of PAA’s Series A preferred units is an embedded derivative that must be bifurcated from the related host contract, PAA’s partnership agreement, and recorded at fair value in our Condensed Consolidated Balance Sheets. The valuation model utilized for this embedded derivative contains inputs including PAA’s common unit price, ten-year U.S. treasury rates, default probabilities and timing estimates to ultimately calculate the fair value of PAA’s Series A preferred units with and without the Preferred Distribution Rate Reset Option. The fair value of this embedded derivative was a liability of $17 million as of June 30, 2018. A 10% increase or decrease in the fair value would have an impact of $2 million. See Note 11 to our Condensed Consolidated Financial Statements for a discussion of embedded derivatives.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Disclosure Controls and Procedures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20"/>
          </w:cols>
          <w:pgMar w:left="240" w:top="125" w:right="239" w:bottom="1440" w:gutter="0" w:footer="0" w:header="0"/>
        </w:sectPr>
      </w:pPr>
    </w:p>
    <w:bookmarkStart w:id="62" w:name="page63"/>
    <w:bookmarkEnd w:id="6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We maintain written disclosure controls and procedures, which we refer to as our “DCP.” Our DCP is designed to ensure that information required to be disclosed by us in reports that we file under the Securities Exchange Act of 1934 (the “Exchange Act”) is (i) recorded, processed, summarized and reported within the time periods specified in the SEC’s rules and forms, and (ii) accumulated and communicated to management, including our Chief Executive Officer and Chief Financial Officer, to allow for timely decisions regarding required disclosure.</w:t>
      </w:r>
    </w:p>
    <w:p>
      <w:pPr>
        <w:spacing w:after="0" w:line="187" w:lineRule="exact"/>
        <w:rPr>
          <w:sz w:val="20"/>
          <w:szCs w:val="20"/>
          <w:color w:val="auto"/>
        </w:rPr>
      </w:pPr>
    </w:p>
    <w:p>
      <w:pPr>
        <w:jc w:val="both"/>
        <w:ind w:right="300" w:firstLine="648"/>
        <w:spacing w:after="0" w:line="312" w:lineRule="auto"/>
        <w:rPr>
          <w:sz w:val="20"/>
          <w:szCs w:val="20"/>
          <w:color w:val="auto"/>
        </w:rPr>
      </w:pPr>
      <w:r>
        <w:rPr>
          <w:rFonts w:ascii="Arial" w:cs="Arial" w:eastAsia="Arial" w:hAnsi="Arial"/>
          <w:sz w:val="16"/>
          <w:szCs w:val="16"/>
          <w:color w:val="auto"/>
        </w:rPr>
        <w:t>Applicable SEC rules require an evaluation of the effectiveness of our DCP. Management, under the supervision and with the participation of our Chief Executive Officer and Chief Financial Officer, has evaluated the effectiveness of our DCP as of June 30, 2018, the end of the period covered by this report, and, based on such evaluation, our Chief Executive Officer and Chief Financial Officer have concluded that our DCP is effective.</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225" w:lineRule="exact"/>
        <w:rPr>
          <w:sz w:val="20"/>
          <w:szCs w:val="20"/>
          <w:color w:val="auto"/>
        </w:rPr>
      </w:pPr>
    </w:p>
    <w:p>
      <w:pPr>
        <w:ind w:right="120" w:firstLine="648"/>
        <w:spacing w:after="0" w:line="264" w:lineRule="auto"/>
        <w:rPr>
          <w:sz w:val="20"/>
          <w:szCs w:val="20"/>
          <w:color w:val="auto"/>
        </w:rPr>
      </w:pPr>
      <w:r>
        <w:rPr>
          <w:rFonts w:ascii="Arial" w:cs="Arial" w:eastAsia="Arial" w:hAnsi="Arial"/>
          <w:sz w:val="18"/>
          <w:szCs w:val="18"/>
          <w:color w:val="auto"/>
        </w:rPr>
        <w:t>In addition to the information concerning our DCP, we are required to disclose certain changes in internal control over financial reporting. There have been no changes in our internal control over financial reporting during the second quarter of 2018 that have materially affected, or are reasonably likely to materially affect, our internal control over financial reporting.</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Certifications</w:t>
      </w:r>
    </w:p>
    <w:p>
      <w:pPr>
        <w:spacing w:after="0" w:line="225"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color w:val="auto"/>
        </w:rPr>
        <w:t>The certifications of our Chief Executive Officer and Chief Financial Officer pursuant to Exchange Act Rules 13a-14(a) and 15d-14(a) are filed with this report as Exhibits 31.1 and 31.2. The certifications of our Chief Executive Officer and Chief Financial Officer pursuant to 18 U.S.C. 1350 are furnished with this report as Exhibits 32.1 and 32.2.</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20"/>
          </w:cols>
          <w:pgMar w:left="240" w:top="125" w:right="239" w:bottom="1440" w:gutter="0" w:footer="0" w:header="0"/>
        </w:sectPr>
      </w:pPr>
    </w:p>
    <w:bookmarkStart w:id="63" w:name="page64"/>
    <w:bookmarkEnd w:id="6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ind w:right="320" w:firstLine="648"/>
        <w:spacing w:after="0" w:line="277" w:lineRule="auto"/>
        <w:rPr>
          <w:sz w:val="20"/>
          <w:szCs w:val="20"/>
          <w:color w:val="auto"/>
        </w:rPr>
      </w:pPr>
      <w:r>
        <w:rPr>
          <w:rFonts w:ascii="Arial" w:cs="Arial" w:eastAsia="Arial" w:hAnsi="Arial"/>
          <w:sz w:val="18"/>
          <w:szCs w:val="18"/>
          <w:color w:val="auto"/>
        </w:rPr>
        <w:t>The information required by this item is included in Note 13 to our Condensed Consolidated Financial Statements, and is incorporated herein by reference thereto.</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jc w:val="both"/>
        <w:ind w:right="260" w:firstLine="648"/>
        <w:spacing w:after="0" w:line="264" w:lineRule="auto"/>
        <w:rPr>
          <w:sz w:val="20"/>
          <w:szCs w:val="20"/>
          <w:color w:val="auto"/>
        </w:rPr>
      </w:pPr>
      <w:r>
        <w:rPr>
          <w:rFonts w:ascii="Arial" w:cs="Arial" w:eastAsia="Arial" w:hAnsi="Arial"/>
          <w:sz w:val="18"/>
          <w:szCs w:val="18"/>
          <w:color w:val="auto"/>
        </w:rPr>
        <w:t>For a discussion regarding our risk factors, see Item 1A. of our 2017 Annual Report on Form 10-K. Those risks and uncertainties are not the only ones facing us and there may be additional matters of which we are unaware or that we currently consider immaterial. All of those risks and uncertainties could adversely affect our business, financial condition and/or results of operations.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9" w:lineRule="exact"/>
        <w:rPr>
          <w:sz w:val="20"/>
          <w:szCs w:val="20"/>
          <w:color w:val="auto"/>
        </w:rPr>
      </w:pPr>
    </w:p>
    <w:p>
      <w:pPr>
        <w:ind w:right="160" w:firstLine="648"/>
        <w:spacing w:after="0" w:line="291" w:lineRule="auto"/>
        <w:rPr>
          <w:sz w:val="20"/>
          <w:szCs w:val="20"/>
          <w:color w:val="auto"/>
        </w:rPr>
      </w:pPr>
      <w:r>
        <w:rPr>
          <w:rFonts w:ascii="Arial" w:cs="Arial" w:eastAsia="Arial" w:hAnsi="Arial"/>
          <w:sz w:val="16"/>
          <w:szCs w:val="16"/>
          <w:color w:val="auto"/>
        </w:rPr>
        <w:t>In connection with our IPO and related transactions, the former owners of Plains All American GP LLC (the “Legacy Owners”) acquired the following interests (collectively, the “Stapled Interests”): (i) Class A units of AAP (“AAP units”) representing an economic limited partner interest in AAP;</w:t>
      </w:r>
    </w:p>
    <w:p>
      <w:pPr>
        <w:ind w:firstLine="8"/>
        <w:spacing w:after="0" w:line="268" w:lineRule="auto"/>
        <w:tabs>
          <w:tab w:leader="none" w:pos="265" w:val="left"/>
        </w:tabs>
        <w:numPr>
          <w:ilvl w:val="0"/>
          <w:numId w:val="52"/>
        </w:numPr>
        <w:rPr>
          <w:rFonts w:ascii="Arial" w:cs="Arial" w:eastAsia="Arial" w:hAnsi="Arial"/>
          <w:sz w:val="17"/>
          <w:szCs w:val="17"/>
          <w:color w:val="auto"/>
        </w:rPr>
      </w:pPr>
      <w:r>
        <w:rPr>
          <w:rFonts w:ascii="Arial" w:cs="Arial" w:eastAsia="Arial" w:hAnsi="Arial"/>
          <w:sz w:val="17"/>
          <w:szCs w:val="17"/>
          <w:color w:val="auto"/>
        </w:rPr>
        <w:t>general partner units representing a non-economic membership interest in our general partner; and (iii) Class B shares representing a non-economic limited partner interest in us. The Legacy Owners and any permitted transferees of their Stapled Interests have the right to exchange (the “Exchange Right”) all or a portion of such Stapled Interests for an equivalent number of Class A shares. In connection with the exercise of the Exchange Right, the Stapled Interests are transferred to us and the applicable Class B shares are canceled. Although we issue one Class A share for each Stapled Interest that is exchanged, we also receive one AAP unit and one general partner unit. As a result, the exercise by Legacy Owners of the Exchange Right is not dilutive. During the quarter ended June 30, 2018, certain Legacy Owners or their permitted transferees exercised the Exchange Right, which resulted in the issuance of 935,092 Class A shares. The issuance of Class A shares in connection with the exercise of the Exchange Right was exempt from the registration requirements of the Securities Act of 1933, as amended, pursuant to Section 4(a)(2) thereof.</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6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380"/>
          </w:cols>
          <w:pgMar w:left="240" w:top="125" w:right="279" w:bottom="1440" w:gutter="0" w:footer="0" w:header="0"/>
        </w:sectPr>
      </w:pPr>
    </w:p>
    <w:bookmarkStart w:id="64" w:name="page65"/>
    <w:bookmarkEnd w:id="6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1260" w:type="dxa"/>
            <w:vAlign w:val="bottom"/>
          </w:tcPr>
          <w:p>
            <w:pPr>
              <w:jc w:val="center"/>
              <w:spacing w:after="0"/>
              <w:rPr>
                <w:sz w:val="20"/>
                <w:szCs w:val="20"/>
                <w:color w:val="auto"/>
              </w:rPr>
            </w:pPr>
            <w:r>
              <w:rPr>
                <w:rFonts w:ascii="Arial" w:cs="Arial" w:eastAsia="Arial" w:hAnsi="Arial"/>
                <w:sz w:val="16"/>
                <w:szCs w:val="16"/>
                <w:b w:val="1"/>
                <w:bCs w:val="1"/>
                <w:color w:val="auto"/>
                <w:w w:val="95"/>
              </w:rPr>
              <w:t>Exhibit No.</w:t>
            </w:r>
          </w:p>
        </w:tc>
        <w:tc>
          <w:tcPr>
            <w:tcW w:w="5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320" w:type="dxa"/>
            <w:vAlign w:val="bottom"/>
            <w:gridSpan w:val="30"/>
          </w:tcPr>
          <w:p>
            <w:pPr>
              <w:ind w:left="140"/>
              <w:spacing w:after="0"/>
              <w:rPr>
                <w:sz w:val="20"/>
                <w:szCs w:val="20"/>
                <w:color w:val="auto"/>
              </w:rPr>
            </w:pPr>
            <w:r>
              <w:rPr>
                <w:rFonts w:ascii="Arial" w:cs="Arial" w:eastAsia="Arial" w:hAnsi="Arial"/>
                <w:sz w:val="16"/>
                <w:szCs w:val="16"/>
                <w:b w:val="1"/>
                <w:bCs w:val="1"/>
                <w:color w:val="auto"/>
              </w:rPr>
              <w:t>Description</w:t>
            </w:r>
          </w:p>
        </w:tc>
      </w:tr>
      <w:tr>
        <w:trPr>
          <w:trHeight w:val="47"/>
        </w:trPr>
        <w:tc>
          <w:tcPr>
            <w:tcW w:w="1260" w:type="dxa"/>
            <w:vAlign w:val="bottom"/>
            <w:tcBorders>
              <w:bottom w:val="single" w:sz="8" w:color="auto"/>
            </w:tcBorders>
          </w:tcPr>
          <w:p>
            <w:pPr>
              <w:spacing w:after="0"/>
              <w:rPr>
                <w:sz w:val="4"/>
                <w:szCs w:val="4"/>
                <w:color w:val="auto"/>
              </w:rPr>
            </w:pPr>
          </w:p>
        </w:tc>
        <w:tc>
          <w:tcPr>
            <w:tcW w:w="580" w:type="dxa"/>
            <w:vAlign w:val="bottom"/>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1540" w:type="dxa"/>
            <w:vAlign w:val="bottom"/>
            <w:tcBorders>
              <w:bottom w:val="single" w:sz="8" w:color="auto"/>
            </w:tcBorders>
          </w:tcPr>
          <w:p>
            <w:pPr>
              <w:spacing w:after="0"/>
              <w:rPr>
                <w:sz w:val="4"/>
                <w:szCs w:val="4"/>
                <w:color w:val="auto"/>
              </w:rPr>
            </w:pPr>
          </w:p>
        </w:tc>
        <w:tc>
          <w:tcPr>
            <w:tcW w:w="160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30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r>
      <w:tr>
        <w:trPr>
          <w:trHeight w:val="318"/>
        </w:trPr>
        <w:tc>
          <w:tcPr>
            <w:tcW w:w="1260" w:type="dxa"/>
            <w:vAlign w:val="bottom"/>
          </w:tcPr>
          <w:p>
            <w:pPr>
              <w:jc w:val="center"/>
              <w:spacing w:after="0"/>
              <w:rPr>
                <w:sz w:val="20"/>
                <w:szCs w:val="20"/>
                <w:color w:val="auto"/>
              </w:rPr>
            </w:pPr>
            <w:r>
              <w:rPr>
                <w:rFonts w:ascii="Arial" w:cs="Arial" w:eastAsia="Arial" w:hAnsi="Arial"/>
                <w:sz w:val="18"/>
                <w:szCs w:val="18"/>
                <w:color w:val="auto"/>
                <w:w w:val="87"/>
              </w:rPr>
              <w:t>3.1</w:t>
            </w:r>
          </w:p>
        </w:tc>
        <w:tc>
          <w:tcPr>
            <w:tcW w:w="580" w:type="dxa"/>
            <w:vAlign w:val="bottom"/>
          </w:tcPr>
          <w:p>
            <w:pPr>
              <w:ind w:left="4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4"/>
                <w:szCs w:val="24"/>
                <w:color w:val="auto"/>
              </w:rPr>
            </w:pPr>
          </w:p>
        </w:tc>
        <w:tc>
          <w:tcPr>
            <w:tcW w:w="8840" w:type="dxa"/>
            <w:vAlign w:val="bottom"/>
            <w:tcBorders>
              <w:bottom w:val="single" w:sz="8" w:color="0000FF"/>
            </w:tcBorders>
            <w:gridSpan w:val="17"/>
          </w:tcPr>
          <w:p>
            <w:pPr>
              <w:spacing w:after="0"/>
              <w:rPr>
                <w:rFonts w:ascii="Arial" w:cs="Arial" w:eastAsia="Arial" w:hAnsi="Arial"/>
                <w:sz w:val="18"/>
                <w:szCs w:val="18"/>
                <w:color w:val="0000FF"/>
                <w:w w:val="91"/>
              </w:rPr>
            </w:pPr>
            <w:hyperlink r:id="rId48">
              <w:r>
                <w:rPr>
                  <w:rFonts w:ascii="Arial" w:cs="Arial" w:eastAsia="Arial" w:hAnsi="Arial"/>
                  <w:sz w:val="18"/>
                  <w:szCs w:val="18"/>
                  <w:color w:val="0000FF"/>
                  <w:w w:val="91"/>
                </w:rPr>
                <w:t>Certificate of Limited Partnership of Plains GP Holdings, L.P. (incorporated by reference to Exhibit 3.1 to our Registration</w:t>
              </w:r>
            </w:hyperlink>
          </w:p>
        </w:tc>
        <w:tc>
          <w:tcPr>
            <w:tcW w:w="700" w:type="dxa"/>
            <w:vAlign w:val="bottom"/>
            <w:gridSpan w:val="18"/>
          </w:tcPr>
          <w:p>
            <w:pPr>
              <w:spacing w:after="0"/>
              <w:rPr>
                <w:sz w:val="24"/>
                <w:szCs w:val="24"/>
                <w:color w:val="auto"/>
              </w:rPr>
            </w:pPr>
          </w:p>
        </w:tc>
      </w:tr>
      <w:tr>
        <w:trPr>
          <w:trHeight w:val="196"/>
        </w:trPr>
        <w:tc>
          <w:tcPr>
            <w:tcW w:w="12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540" w:type="dxa"/>
            <w:vAlign w:val="bottom"/>
            <w:gridSpan w:val="35"/>
          </w:tcPr>
          <w:p>
            <w:pPr>
              <w:spacing w:after="0" w:line="196" w:lineRule="exact"/>
              <w:rPr>
                <w:rFonts w:ascii="Arial" w:cs="Arial" w:eastAsia="Arial" w:hAnsi="Arial"/>
                <w:sz w:val="18"/>
                <w:szCs w:val="18"/>
                <w:color w:val="0000FF"/>
              </w:rPr>
            </w:pPr>
            <w:hyperlink r:id="rId48">
              <w:r>
                <w:rPr>
                  <w:rFonts w:ascii="Arial" w:cs="Arial" w:eastAsia="Arial" w:hAnsi="Arial"/>
                  <w:sz w:val="18"/>
                  <w:szCs w:val="18"/>
                  <w:color w:val="0000FF"/>
                </w:rPr>
                <w:t>Statement on Form S-1 (333-190227) filed July 29, 2013).</w:t>
              </w:r>
            </w:hyperlink>
          </w:p>
        </w:tc>
      </w:tr>
      <w:tr>
        <w:trPr>
          <w:trHeight w:val="20"/>
        </w:trPr>
        <w:tc>
          <w:tcPr>
            <w:tcW w:w="12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40" w:type="dxa"/>
            <w:vAlign w:val="bottom"/>
            <w:shd w:val="clear" w:color="auto" w:fill="0000FF"/>
          </w:tcPr>
          <w:p>
            <w:pPr>
              <w:spacing w:after="0" w:line="20" w:lineRule="exact"/>
              <w:rPr>
                <w:sz w:val="1"/>
                <w:szCs w:val="1"/>
                <w:color w:val="auto"/>
              </w:rPr>
            </w:pPr>
          </w:p>
        </w:tc>
        <w:tc>
          <w:tcPr>
            <w:tcW w:w="16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520"/>
        </w:trPr>
        <w:tc>
          <w:tcPr>
            <w:tcW w:w="1260" w:type="dxa"/>
            <w:vAlign w:val="bottom"/>
          </w:tcPr>
          <w:p>
            <w:pPr>
              <w:jc w:val="center"/>
              <w:spacing w:after="0"/>
              <w:rPr>
                <w:sz w:val="20"/>
                <w:szCs w:val="20"/>
                <w:color w:val="auto"/>
              </w:rPr>
            </w:pPr>
            <w:r>
              <w:rPr>
                <w:rFonts w:ascii="Arial" w:cs="Arial" w:eastAsia="Arial" w:hAnsi="Arial"/>
                <w:sz w:val="18"/>
                <w:szCs w:val="18"/>
                <w:color w:val="auto"/>
                <w:w w:val="87"/>
              </w:rPr>
              <w:t>3.2</w:t>
            </w:r>
          </w:p>
        </w:tc>
        <w:tc>
          <w:tcPr>
            <w:tcW w:w="580" w:type="dxa"/>
            <w:vAlign w:val="bottom"/>
          </w:tcPr>
          <w:p>
            <w:pPr>
              <w:ind w:left="4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4"/>
                <w:szCs w:val="24"/>
                <w:color w:val="auto"/>
              </w:rPr>
            </w:pPr>
          </w:p>
        </w:tc>
        <w:tc>
          <w:tcPr>
            <w:tcW w:w="9100" w:type="dxa"/>
            <w:vAlign w:val="bottom"/>
            <w:tcBorders>
              <w:bottom w:val="single" w:sz="8" w:color="0000FF"/>
            </w:tcBorders>
            <w:gridSpan w:val="22"/>
          </w:tcPr>
          <w:p>
            <w:pPr>
              <w:spacing w:after="0"/>
              <w:rPr>
                <w:rFonts w:ascii="Arial" w:cs="Arial" w:eastAsia="Arial" w:hAnsi="Arial"/>
                <w:sz w:val="18"/>
                <w:szCs w:val="18"/>
                <w:color w:val="0000FF"/>
                <w:w w:val="90"/>
              </w:rPr>
            </w:pPr>
            <w:hyperlink r:id="rId49">
              <w:r>
                <w:rPr>
                  <w:rFonts w:ascii="Arial" w:cs="Arial" w:eastAsia="Arial" w:hAnsi="Arial"/>
                  <w:sz w:val="18"/>
                  <w:szCs w:val="18"/>
                  <w:color w:val="0000FF"/>
                  <w:w w:val="90"/>
                </w:rPr>
                <w:t>Second Amended and Restated Agreement of Limited Partnership of Plains GP Holdings, L.P. dated as of November 15, 2016</w:t>
              </w:r>
            </w:hyperlink>
          </w:p>
        </w:tc>
        <w:tc>
          <w:tcPr>
            <w:tcW w:w="440" w:type="dxa"/>
            <w:vAlign w:val="bottom"/>
            <w:gridSpan w:val="13"/>
          </w:tcPr>
          <w:p>
            <w:pPr>
              <w:spacing w:after="0"/>
              <w:rPr>
                <w:sz w:val="24"/>
                <w:szCs w:val="24"/>
                <w:color w:val="auto"/>
              </w:rPr>
            </w:pPr>
          </w:p>
        </w:tc>
      </w:tr>
      <w:tr>
        <w:trPr>
          <w:trHeight w:val="196"/>
        </w:trPr>
        <w:tc>
          <w:tcPr>
            <w:tcW w:w="12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500" w:type="dxa"/>
            <w:vAlign w:val="bottom"/>
            <w:tcBorders>
              <w:bottom w:val="single" w:sz="8" w:color="0000FF"/>
            </w:tcBorders>
            <w:gridSpan w:val="11"/>
          </w:tcPr>
          <w:p>
            <w:pPr>
              <w:spacing w:after="0" w:line="196" w:lineRule="exact"/>
              <w:rPr>
                <w:rFonts w:ascii="Arial" w:cs="Arial" w:eastAsia="Arial" w:hAnsi="Arial"/>
                <w:sz w:val="18"/>
                <w:szCs w:val="18"/>
                <w:color w:val="0000FF"/>
                <w:w w:val="92"/>
              </w:rPr>
            </w:pPr>
            <w:hyperlink r:id="rId49">
              <w:r>
                <w:rPr>
                  <w:rFonts w:ascii="Arial" w:cs="Arial" w:eastAsia="Arial" w:hAnsi="Arial"/>
                  <w:sz w:val="18"/>
                  <w:szCs w:val="18"/>
                  <w:color w:val="0000FF"/>
                  <w:w w:val="92"/>
                </w:rPr>
                <w:t>(incorporated by reference to Exhibit 3.2 to our Current Report on Form 8-K filed November 21, 2016).</w:t>
              </w:r>
            </w:hyperlink>
          </w:p>
        </w:tc>
        <w:tc>
          <w:tcPr>
            <w:tcW w:w="2040" w:type="dxa"/>
            <w:vAlign w:val="bottom"/>
            <w:gridSpan w:val="24"/>
          </w:tcPr>
          <w:p>
            <w:pPr>
              <w:spacing w:after="0"/>
              <w:rPr>
                <w:sz w:val="17"/>
                <w:szCs w:val="17"/>
                <w:color w:val="auto"/>
              </w:rPr>
            </w:pPr>
          </w:p>
        </w:tc>
      </w:tr>
      <w:tr>
        <w:trPr>
          <w:trHeight w:val="520"/>
        </w:trPr>
        <w:tc>
          <w:tcPr>
            <w:tcW w:w="1260" w:type="dxa"/>
            <w:vAlign w:val="bottom"/>
          </w:tcPr>
          <w:p>
            <w:pPr>
              <w:jc w:val="center"/>
              <w:spacing w:after="0"/>
              <w:rPr>
                <w:sz w:val="20"/>
                <w:szCs w:val="20"/>
                <w:color w:val="auto"/>
              </w:rPr>
            </w:pPr>
            <w:r>
              <w:rPr>
                <w:rFonts w:ascii="Arial" w:cs="Arial" w:eastAsia="Arial" w:hAnsi="Arial"/>
                <w:sz w:val="18"/>
                <w:szCs w:val="18"/>
                <w:color w:val="auto"/>
                <w:w w:val="87"/>
              </w:rPr>
              <w:t>3.3</w:t>
            </w:r>
          </w:p>
        </w:tc>
        <w:tc>
          <w:tcPr>
            <w:tcW w:w="580" w:type="dxa"/>
            <w:vAlign w:val="bottom"/>
          </w:tcPr>
          <w:p>
            <w:pPr>
              <w:ind w:left="4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4"/>
                <w:szCs w:val="24"/>
                <w:color w:val="auto"/>
              </w:rPr>
            </w:pPr>
          </w:p>
        </w:tc>
        <w:tc>
          <w:tcPr>
            <w:tcW w:w="9060" w:type="dxa"/>
            <w:vAlign w:val="bottom"/>
            <w:tcBorders>
              <w:bottom w:val="single" w:sz="8" w:color="0000FF"/>
            </w:tcBorders>
            <w:gridSpan w:val="21"/>
          </w:tcPr>
          <w:p>
            <w:pPr>
              <w:spacing w:after="0"/>
              <w:rPr>
                <w:rFonts w:ascii="Arial" w:cs="Arial" w:eastAsia="Arial" w:hAnsi="Arial"/>
                <w:sz w:val="18"/>
                <w:szCs w:val="18"/>
                <w:color w:val="0000FF"/>
                <w:w w:val="92"/>
              </w:rPr>
            </w:pPr>
            <w:hyperlink r:id="rId50">
              <w:r>
                <w:rPr>
                  <w:rFonts w:ascii="Arial" w:cs="Arial" w:eastAsia="Arial" w:hAnsi="Arial"/>
                  <w:sz w:val="18"/>
                  <w:szCs w:val="18"/>
                  <w:color w:val="0000FF"/>
                  <w:w w:val="92"/>
                </w:rPr>
                <w:t>Certificate of Formation of PAA GP Holdings LLC (incorporated by reference to Exhibit 3.3 to our Registration Statement on</w:t>
              </w:r>
            </w:hyperlink>
          </w:p>
        </w:tc>
        <w:tc>
          <w:tcPr>
            <w:tcW w:w="480" w:type="dxa"/>
            <w:vAlign w:val="bottom"/>
            <w:gridSpan w:val="14"/>
          </w:tcPr>
          <w:p>
            <w:pPr>
              <w:spacing w:after="0"/>
              <w:rPr>
                <w:sz w:val="24"/>
                <w:szCs w:val="24"/>
                <w:color w:val="auto"/>
              </w:rPr>
            </w:pPr>
          </w:p>
        </w:tc>
      </w:tr>
      <w:tr>
        <w:trPr>
          <w:trHeight w:val="196"/>
        </w:trPr>
        <w:tc>
          <w:tcPr>
            <w:tcW w:w="12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220" w:type="dxa"/>
            <w:vAlign w:val="bottom"/>
            <w:tcBorders>
              <w:bottom w:val="single" w:sz="8" w:color="0000FF"/>
            </w:tcBorders>
            <w:gridSpan w:val="3"/>
          </w:tcPr>
          <w:p>
            <w:pPr>
              <w:spacing w:after="0" w:line="196" w:lineRule="exact"/>
              <w:rPr>
                <w:rFonts w:ascii="Arial" w:cs="Arial" w:eastAsia="Arial" w:hAnsi="Arial"/>
                <w:sz w:val="18"/>
                <w:szCs w:val="18"/>
                <w:color w:val="0000FF"/>
                <w:w w:val="91"/>
              </w:rPr>
            </w:pPr>
            <w:hyperlink r:id="rId50">
              <w:r>
                <w:rPr>
                  <w:rFonts w:ascii="Arial" w:cs="Arial" w:eastAsia="Arial" w:hAnsi="Arial"/>
                  <w:sz w:val="18"/>
                  <w:szCs w:val="18"/>
                  <w:color w:val="0000FF"/>
                  <w:w w:val="91"/>
                </w:rPr>
                <w:t>Form S-1 (333-190227) filed July 29, 2013).</w:t>
              </w:r>
            </w:hyperlink>
          </w:p>
        </w:tc>
        <w:tc>
          <w:tcPr>
            <w:tcW w:w="6320" w:type="dxa"/>
            <w:vAlign w:val="bottom"/>
            <w:gridSpan w:val="32"/>
          </w:tcPr>
          <w:p>
            <w:pPr>
              <w:spacing w:after="0"/>
              <w:rPr>
                <w:sz w:val="17"/>
                <w:szCs w:val="17"/>
                <w:color w:val="auto"/>
              </w:rPr>
            </w:pPr>
          </w:p>
        </w:tc>
      </w:tr>
      <w:tr>
        <w:trPr>
          <w:trHeight w:val="520"/>
        </w:trPr>
        <w:tc>
          <w:tcPr>
            <w:tcW w:w="1260" w:type="dxa"/>
            <w:vAlign w:val="bottom"/>
          </w:tcPr>
          <w:p>
            <w:pPr>
              <w:jc w:val="center"/>
              <w:spacing w:after="0"/>
              <w:rPr>
                <w:sz w:val="20"/>
                <w:szCs w:val="20"/>
                <w:color w:val="auto"/>
              </w:rPr>
            </w:pPr>
            <w:r>
              <w:rPr>
                <w:rFonts w:ascii="Arial" w:cs="Arial" w:eastAsia="Arial" w:hAnsi="Arial"/>
                <w:sz w:val="18"/>
                <w:szCs w:val="18"/>
                <w:color w:val="auto"/>
                <w:w w:val="87"/>
              </w:rPr>
              <w:t>3.4</w:t>
            </w:r>
          </w:p>
        </w:tc>
        <w:tc>
          <w:tcPr>
            <w:tcW w:w="580" w:type="dxa"/>
            <w:vAlign w:val="bottom"/>
          </w:tcPr>
          <w:p>
            <w:pPr>
              <w:ind w:left="4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4"/>
                <w:szCs w:val="24"/>
                <w:color w:val="auto"/>
              </w:rPr>
            </w:pPr>
          </w:p>
        </w:tc>
        <w:tc>
          <w:tcPr>
            <w:tcW w:w="9120" w:type="dxa"/>
            <w:vAlign w:val="bottom"/>
            <w:tcBorders>
              <w:bottom w:val="single" w:sz="8" w:color="0000FF"/>
            </w:tcBorders>
            <w:gridSpan w:val="23"/>
          </w:tcPr>
          <w:p>
            <w:pPr>
              <w:spacing w:after="0"/>
              <w:rPr>
                <w:rFonts w:ascii="Arial" w:cs="Arial" w:eastAsia="Arial" w:hAnsi="Arial"/>
                <w:sz w:val="18"/>
                <w:szCs w:val="18"/>
                <w:color w:val="0000FF"/>
                <w:w w:val="91"/>
              </w:rPr>
            </w:pPr>
            <w:hyperlink r:id="rId51">
              <w:r>
                <w:rPr>
                  <w:rFonts w:ascii="Arial" w:cs="Arial" w:eastAsia="Arial" w:hAnsi="Arial"/>
                  <w:sz w:val="18"/>
                  <w:szCs w:val="18"/>
                  <w:color w:val="0000FF"/>
                  <w:w w:val="91"/>
                </w:rPr>
                <w:t>Third Amended and Restated Limited Liability Company Agreement of PAA GP Holdings LLC dated as of February 16, 2017</w:t>
              </w:r>
            </w:hyperlink>
          </w:p>
        </w:tc>
        <w:tc>
          <w:tcPr>
            <w:tcW w:w="420" w:type="dxa"/>
            <w:vAlign w:val="bottom"/>
            <w:gridSpan w:val="12"/>
          </w:tcPr>
          <w:p>
            <w:pPr>
              <w:spacing w:after="0"/>
              <w:rPr>
                <w:sz w:val="24"/>
                <w:szCs w:val="24"/>
                <w:color w:val="auto"/>
              </w:rPr>
            </w:pPr>
          </w:p>
        </w:tc>
      </w:tr>
      <w:tr>
        <w:trPr>
          <w:trHeight w:val="196"/>
        </w:trPr>
        <w:tc>
          <w:tcPr>
            <w:tcW w:w="12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540" w:type="dxa"/>
            <w:vAlign w:val="bottom"/>
            <w:gridSpan w:val="35"/>
          </w:tcPr>
          <w:p>
            <w:pPr>
              <w:spacing w:after="0" w:line="196" w:lineRule="exact"/>
              <w:rPr>
                <w:rFonts w:ascii="Arial" w:cs="Arial" w:eastAsia="Arial" w:hAnsi="Arial"/>
                <w:sz w:val="18"/>
                <w:szCs w:val="18"/>
                <w:color w:val="0000FF"/>
              </w:rPr>
            </w:pPr>
            <w:hyperlink r:id="rId51">
              <w:r>
                <w:rPr>
                  <w:rFonts w:ascii="Arial" w:cs="Arial" w:eastAsia="Arial" w:hAnsi="Arial"/>
                  <w:sz w:val="18"/>
                  <w:szCs w:val="18"/>
                  <w:color w:val="0000FF"/>
                </w:rPr>
                <w:t>(incorporated by reference to Exhibit 3.1 to our Current Report on Form 8-K filed February 21, 2017).</w:t>
              </w:r>
            </w:hyperlink>
          </w:p>
        </w:tc>
      </w:tr>
      <w:tr>
        <w:trPr>
          <w:trHeight w:val="20"/>
        </w:trPr>
        <w:tc>
          <w:tcPr>
            <w:tcW w:w="12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40" w:type="dxa"/>
            <w:vAlign w:val="bottom"/>
            <w:shd w:val="clear" w:color="auto" w:fill="0000FF"/>
          </w:tcPr>
          <w:p>
            <w:pPr>
              <w:spacing w:after="0" w:line="20" w:lineRule="exact"/>
              <w:rPr>
                <w:sz w:val="1"/>
                <w:szCs w:val="1"/>
                <w:color w:val="auto"/>
              </w:rPr>
            </w:pPr>
          </w:p>
        </w:tc>
        <w:tc>
          <w:tcPr>
            <w:tcW w:w="1600" w:type="dxa"/>
            <w:vAlign w:val="bottom"/>
            <w:shd w:val="clear" w:color="auto" w:fill="0000FF"/>
          </w:tcPr>
          <w:p>
            <w:pPr>
              <w:spacing w:after="0" w:line="20" w:lineRule="exact"/>
              <w:rPr>
                <w:sz w:val="1"/>
                <w:szCs w:val="1"/>
                <w:color w:val="auto"/>
              </w:rPr>
            </w:pPr>
          </w:p>
        </w:tc>
        <w:tc>
          <w:tcPr>
            <w:tcW w:w="1080" w:type="dxa"/>
            <w:vAlign w:val="bottom"/>
            <w:gridSpan w:val="3"/>
            <w:shd w:val="clear" w:color="auto" w:fill="0000FF"/>
          </w:tcPr>
          <w:p>
            <w:pPr>
              <w:spacing w:after="0" w:line="20" w:lineRule="exact"/>
              <w:rPr>
                <w:sz w:val="1"/>
                <w:szCs w:val="1"/>
                <w:color w:val="auto"/>
              </w:rPr>
            </w:pPr>
          </w:p>
        </w:tc>
        <w:tc>
          <w:tcPr>
            <w:tcW w:w="130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520"/>
        </w:trPr>
        <w:tc>
          <w:tcPr>
            <w:tcW w:w="1260" w:type="dxa"/>
            <w:vAlign w:val="bottom"/>
          </w:tcPr>
          <w:p>
            <w:pPr>
              <w:jc w:val="center"/>
              <w:spacing w:after="0"/>
              <w:rPr>
                <w:sz w:val="20"/>
                <w:szCs w:val="20"/>
                <w:color w:val="auto"/>
              </w:rPr>
            </w:pPr>
            <w:r>
              <w:rPr>
                <w:rFonts w:ascii="Arial" w:cs="Arial" w:eastAsia="Arial" w:hAnsi="Arial"/>
                <w:sz w:val="18"/>
                <w:szCs w:val="18"/>
                <w:color w:val="auto"/>
                <w:w w:val="87"/>
              </w:rPr>
              <w:t>3.5</w:t>
            </w:r>
          </w:p>
        </w:tc>
        <w:tc>
          <w:tcPr>
            <w:tcW w:w="580" w:type="dxa"/>
            <w:vAlign w:val="bottom"/>
          </w:tcPr>
          <w:p>
            <w:pPr>
              <w:ind w:left="4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4"/>
                <w:szCs w:val="24"/>
                <w:color w:val="auto"/>
              </w:rPr>
            </w:pPr>
          </w:p>
        </w:tc>
        <w:tc>
          <w:tcPr>
            <w:tcW w:w="9540" w:type="dxa"/>
            <w:vAlign w:val="bottom"/>
            <w:gridSpan w:val="35"/>
          </w:tcPr>
          <w:p>
            <w:pPr>
              <w:spacing w:after="0"/>
              <w:rPr>
                <w:rFonts w:ascii="Arial" w:cs="Arial" w:eastAsia="Arial" w:hAnsi="Arial"/>
                <w:sz w:val="18"/>
                <w:szCs w:val="18"/>
                <w:color w:val="0000FF"/>
                <w:w w:val="93"/>
              </w:rPr>
            </w:pPr>
            <w:hyperlink r:id="rId52">
              <w:r>
                <w:rPr>
                  <w:rFonts w:ascii="Arial" w:cs="Arial" w:eastAsia="Arial" w:hAnsi="Arial"/>
                  <w:sz w:val="18"/>
                  <w:szCs w:val="18"/>
                  <w:color w:val="0000FF"/>
                  <w:w w:val="93"/>
                </w:rPr>
                <w:t>Seventh Amended and Restated Agreement of Limited Partnership of Plains All American Pipeline, L.P., dated as of October 10,</w:t>
              </w:r>
            </w:hyperlink>
          </w:p>
        </w:tc>
      </w:tr>
      <w:tr>
        <w:trPr>
          <w:trHeight w:val="196"/>
        </w:trPr>
        <w:tc>
          <w:tcPr>
            <w:tcW w:w="12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280" w:type="dxa"/>
            <w:vAlign w:val="bottom"/>
            <w:tcBorders>
              <w:top w:val="single" w:sz="8" w:color="0000FF"/>
            </w:tcBorders>
            <w:gridSpan w:val="28"/>
          </w:tcPr>
          <w:p>
            <w:pPr>
              <w:spacing w:after="0" w:line="196" w:lineRule="exact"/>
              <w:rPr>
                <w:rFonts w:ascii="Arial" w:cs="Arial" w:eastAsia="Arial" w:hAnsi="Arial"/>
                <w:sz w:val="18"/>
                <w:szCs w:val="18"/>
                <w:color w:val="0000FF"/>
              </w:rPr>
            </w:pPr>
            <w:hyperlink r:id="rId52">
              <w:r>
                <w:rPr>
                  <w:rFonts w:ascii="Arial" w:cs="Arial" w:eastAsia="Arial" w:hAnsi="Arial"/>
                  <w:sz w:val="18"/>
                  <w:szCs w:val="18"/>
                  <w:color w:val="0000FF"/>
                </w:rPr>
                <w:t>2017 (incorporated by reference to Exhibit 3.1 to PAA's Current Report on Form 8-K filed October 12, 2017).</w:t>
              </w:r>
            </w:hyperlink>
          </w:p>
        </w:tc>
        <w:tc>
          <w:tcPr>
            <w:tcW w:w="260" w:type="dxa"/>
            <w:vAlign w:val="bottom"/>
            <w:gridSpan w:val="7"/>
          </w:tcPr>
          <w:p>
            <w:pPr>
              <w:spacing w:after="0"/>
              <w:rPr>
                <w:sz w:val="17"/>
                <w:szCs w:val="17"/>
                <w:color w:val="auto"/>
              </w:rPr>
            </w:pPr>
          </w:p>
        </w:tc>
      </w:tr>
      <w:tr>
        <w:trPr>
          <w:trHeight w:val="20"/>
        </w:trPr>
        <w:tc>
          <w:tcPr>
            <w:tcW w:w="12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40" w:type="dxa"/>
            <w:vAlign w:val="bottom"/>
            <w:shd w:val="clear" w:color="auto" w:fill="0000FF"/>
          </w:tcPr>
          <w:p>
            <w:pPr>
              <w:spacing w:after="0" w:line="20" w:lineRule="exact"/>
              <w:rPr>
                <w:sz w:val="1"/>
                <w:szCs w:val="1"/>
                <w:color w:val="auto"/>
              </w:rPr>
            </w:pPr>
          </w:p>
        </w:tc>
        <w:tc>
          <w:tcPr>
            <w:tcW w:w="1600" w:type="dxa"/>
            <w:vAlign w:val="bottom"/>
            <w:shd w:val="clear" w:color="auto" w:fill="0000FF"/>
          </w:tcPr>
          <w:p>
            <w:pPr>
              <w:spacing w:after="0" w:line="20" w:lineRule="exact"/>
              <w:rPr>
                <w:sz w:val="1"/>
                <w:szCs w:val="1"/>
                <w:color w:val="auto"/>
              </w:rPr>
            </w:pPr>
          </w:p>
        </w:tc>
        <w:tc>
          <w:tcPr>
            <w:tcW w:w="1080" w:type="dxa"/>
            <w:vAlign w:val="bottom"/>
            <w:gridSpan w:val="3"/>
            <w:shd w:val="clear" w:color="auto" w:fill="0000FF"/>
          </w:tcPr>
          <w:p>
            <w:pPr>
              <w:spacing w:after="0" w:line="20" w:lineRule="exact"/>
              <w:rPr>
                <w:sz w:val="1"/>
                <w:szCs w:val="1"/>
                <w:color w:val="auto"/>
              </w:rPr>
            </w:pPr>
          </w:p>
        </w:tc>
        <w:tc>
          <w:tcPr>
            <w:tcW w:w="130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40" w:type="dxa"/>
            <w:vAlign w:val="bottom"/>
            <w:gridSpan w:val="2"/>
            <w:shd w:val="clear" w:color="auto" w:fill="0000FF"/>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520"/>
        </w:trPr>
        <w:tc>
          <w:tcPr>
            <w:tcW w:w="1260" w:type="dxa"/>
            <w:vAlign w:val="bottom"/>
          </w:tcPr>
          <w:p>
            <w:pPr>
              <w:jc w:val="center"/>
              <w:spacing w:after="0"/>
              <w:rPr>
                <w:sz w:val="20"/>
                <w:szCs w:val="20"/>
                <w:color w:val="auto"/>
              </w:rPr>
            </w:pPr>
            <w:r>
              <w:rPr>
                <w:rFonts w:ascii="Arial" w:cs="Arial" w:eastAsia="Arial" w:hAnsi="Arial"/>
                <w:sz w:val="18"/>
                <w:szCs w:val="18"/>
                <w:color w:val="auto"/>
                <w:w w:val="87"/>
              </w:rPr>
              <w:t>3.6</w:t>
            </w:r>
          </w:p>
        </w:tc>
        <w:tc>
          <w:tcPr>
            <w:tcW w:w="580" w:type="dxa"/>
            <w:vAlign w:val="bottom"/>
          </w:tcPr>
          <w:p>
            <w:pPr>
              <w:ind w:left="4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4"/>
                <w:szCs w:val="24"/>
                <w:color w:val="auto"/>
              </w:rPr>
            </w:pPr>
          </w:p>
        </w:tc>
        <w:tc>
          <w:tcPr>
            <w:tcW w:w="9440" w:type="dxa"/>
            <w:vAlign w:val="bottom"/>
            <w:tcBorders>
              <w:bottom w:val="single" w:sz="8" w:color="0000FF"/>
            </w:tcBorders>
            <w:gridSpan w:val="33"/>
          </w:tcPr>
          <w:p>
            <w:pPr>
              <w:spacing w:after="0"/>
              <w:rPr>
                <w:rFonts w:ascii="Arial" w:cs="Arial" w:eastAsia="Arial" w:hAnsi="Arial"/>
                <w:sz w:val="18"/>
                <w:szCs w:val="18"/>
                <w:color w:val="0000FF"/>
                <w:w w:val="91"/>
              </w:rPr>
            </w:pPr>
            <w:hyperlink r:id="rId53">
              <w:r>
                <w:rPr>
                  <w:rFonts w:ascii="Arial" w:cs="Arial" w:eastAsia="Arial" w:hAnsi="Arial"/>
                  <w:sz w:val="18"/>
                  <w:szCs w:val="18"/>
                  <w:color w:val="0000FF"/>
                  <w:w w:val="91"/>
                </w:rPr>
                <w:t>Seventh Amended and Restated Limited Liability Company Agreement of Plains All American GP LLC dated November 15, 2016</w:t>
              </w:r>
            </w:hyperlink>
          </w:p>
        </w:tc>
        <w:tc>
          <w:tcPr>
            <w:tcW w:w="100" w:type="dxa"/>
            <w:vAlign w:val="bottom"/>
            <w:gridSpan w:val="2"/>
          </w:tcPr>
          <w:p>
            <w:pPr>
              <w:spacing w:after="0"/>
              <w:rPr>
                <w:sz w:val="24"/>
                <w:szCs w:val="24"/>
                <w:color w:val="auto"/>
              </w:rPr>
            </w:pPr>
          </w:p>
        </w:tc>
      </w:tr>
      <w:tr>
        <w:trPr>
          <w:trHeight w:val="196"/>
        </w:trPr>
        <w:tc>
          <w:tcPr>
            <w:tcW w:w="12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480" w:type="dxa"/>
            <w:vAlign w:val="bottom"/>
            <w:tcBorders>
              <w:bottom w:val="single" w:sz="8" w:color="0000FF"/>
            </w:tcBorders>
            <w:gridSpan w:val="10"/>
          </w:tcPr>
          <w:p>
            <w:pPr>
              <w:spacing w:after="0" w:line="196" w:lineRule="exact"/>
              <w:rPr>
                <w:rFonts w:ascii="Arial" w:cs="Arial" w:eastAsia="Arial" w:hAnsi="Arial"/>
                <w:sz w:val="18"/>
                <w:szCs w:val="18"/>
                <w:color w:val="0000FF"/>
                <w:w w:val="91"/>
              </w:rPr>
            </w:pPr>
            <w:hyperlink r:id="rId53">
              <w:r>
                <w:rPr>
                  <w:rFonts w:ascii="Arial" w:cs="Arial" w:eastAsia="Arial" w:hAnsi="Arial"/>
                  <w:sz w:val="18"/>
                  <w:szCs w:val="18"/>
                  <w:color w:val="0000FF"/>
                  <w:w w:val="91"/>
                </w:rPr>
                <w:t>(incorporated by reference to Exhibit 3.3 to our Current Report on Form 8-K filed November 21, 2016).</w:t>
              </w:r>
            </w:hyperlink>
          </w:p>
        </w:tc>
        <w:tc>
          <w:tcPr>
            <w:tcW w:w="2060" w:type="dxa"/>
            <w:vAlign w:val="bottom"/>
            <w:gridSpan w:val="25"/>
          </w:tcPr>
          <w:p>
            <w:pPr>
              <w:spacing w:after="0"/>
              <w:rPr>
                <w:sz w:val="17"/>
                <w:szCs w:val="17"/>
                <w:color w:val="auto"/>
              </w:rPr>
            </w:pPr>
          </w:p>
        </w:tc>
      </w:tr>
      <w:tr>
        <w:trPr>
          <w:trHeight w:val="520"/>
        </w:trPr>
        <w:tc>
          <w:tcPr>
            <w:tcW w:w="1260" w:type="dxa"/>
            <w:vAlign w:val="bottom"/>
          </w:tcPr>
          <w:p>
            <w:pPr>
              <w:jc w:val="center"/>
              <w:spacing w:after="0"/>
              <w:rPr>
                <w:sz w:val="20"/>
                <w:szCs w:val="20"/>
                <w:color w:val="auto"/>
              </w:rPr>
            </w:pPr>
            <w:r>
              <w:rPr>
                <w:rFonts w:ascii="Arial" w:cs="Arial" w:eastAsia="Arial" w:hAnsi="Arial"/>
                <w:sz w:val="18"/>
                <w:szCs w:val="18"/>
                <w:color w:val="auto"/>
                <w:w w:val="87"/>
              </w:rPr>
              <w:t>3.7</w:t>
            </w:r>
          </w:p>
        </w:tc>
        <w:tc>
          <w:tcPr>
            <w:tcW w:w="580" w:type="dxa"/>
            <w:vAlign w:val="bottom"/>
          </w:tcPr>
          <w:p>
            <w:pPr>
              <w:ind w:left="4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4"/>
                <w:szCs w:val="24"/>
                <w:color w:val="auto"/>
              </w:rPr>
            </w:pPr>
          </w:p>
        </w:tc>
        <w:tc>
          <w:tcPr>
            <w:tcW w:w="9100" w:type="dxa"/>
            <w:vAlign w:val="bottom"/>
            <w:tcBorders>
              <w:bottom w:val="single" w:sz="8" w:color="0000FF"/>
            </w:tcBorders>
            <w:gridSpan w:val="22"/>
          </w:tcPr>
          <w:p>
            <w:pPr>
              <w:spacing w:after="0"/>
              <w:rPr>
                <w:rFonts w:ascii="Arial" w:cs="Arial" w:eastAsia="Arial" w:hAnsi="Arial"/>
                <w:sz w:val="18"/>
                <w:szCs w:val="18"/>
                <w:color w:val="0000FF"/>
                <w:w w:val="90"/>
              </w:rPr>
            </w:pPr>
            <w:hyperlink r:id="rId54">
              <w:r>
                <w:rPr>
                  <w:rFonts w:ascii="Arial" w:cs="Arial" w:eastAsia="Arial" w:hAnsi="Arial"/>
                  <w:sz w:val="18"/>
                  <w:szCs w:val="18"/>
                  <w:color w:val="0000FF"/>
                  <w:w w:val="90"/>
                </w:rPr>
                <w:t>Eighth Amended and Restated Limited Partnership Agreement of Plains AAP, L.P. dated November 15, 2016 (incorporated by</w:t>
              </w:r>
            </w:hyperlink>
          </w:p>
        </w:tc>
        <w:tc>
          <w:tcPr>
            <w:tcW w:w="440" w:type="dxa"/>
            <w:vAlign w:val="bottom"/>
            <w:gridSpan w:val="13"/>
          </w:tcPr>
          <w:p>
            <w:pPr>
              <w:spacing w:after="0"/>
              <w:rPr>
                <w:sz w:val="24"/>
                <w:szCs w:val="24"/>
                <w:color w:val="auto"/>
              </w:rPr>
            </w:pPr>
          </w:p>
        </w:tc>
      </w:tr>
      <w:tr>
        <w:trPr>
          <w:trHeight w:val="196"/>
        </w:trPr>
        <w:tc>
          <w:tcPr>
            <w:tcW w:w="12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240" w:type="dxa"/>
            <w:vAlign w:val="bottom"/>
            <w:tcBorders>
              <w:bottom w:val="single" w:sz="8" w:color="0000FF"/>
            </w:tcBorders>
            <w:gridSpan w:val="8"/>
          </w:tcPr>
          <w:p>
            <w:pPr>
              <w:spacing w:after="0" w:line="196" w:lineRule="exact"/>
              <w:rPr>
                <w:rFonts w:ascii="Arial" w:cs="Arial" w:eastAsia="Arial" w:hAnsi="Arial"/>
                <w:sz w:val="18"/>
                <w:szCs w:val="18"/>
                <w:color w:val="0000FF"/>
                <w:w w:val="91"/>
              </w:rPr>
            </w:pPr>
            <w:hyperlink r:id="rId54">
              <w:r>
                <w:rPr>
                  <w:rFonts w:ascii="Arial" w:cs="Arial" w:eastAsia="Arial" w:hAnsi="Arial"/>
                  <w:sz w:val="18"/>
                  <w:szCs w:val="18"/>
                  <w:color w:val="0000FF"/>
                  <w:w w:val="91"/>
                </w:rPr>
                <w:t>reference to Exhibit 3.4 to our Current Report on Form 8-K filed November 21, 2016).</w:t>
              </w:r>
            </w:hyperlink>
          </w:p>
        </w:tc>
        <w:tc>
          <w:tcPr>
            <w:tcW w:w="3300" w:type="dxa"/>
            <w:vAlign w:val="bottom"/>
            <w:gridSpan w:val="27"/>
          </w:tcPr>
          <w:p>
            <w:pPr>
              <w:spacing w:after="0"/>
              <w:rPr>
                <w:sz w:val="17"/>
                <w:szCs w:val="17"/>
                <w:color w:val="auto"/>
              </w:rPr>
            </w:pPr>
          </w:p>
        </w:tc>
      </w:tr>
      <w:tr>
        <w:trPr>
          <w:trHeight w:val="520"/>
        </w:trPr>
        <w:tc>
          <w:tcPr>
            <w:tcW w:w="1260" w:type="dxa"/>
            <w:vAlign w:val="bottom"/>
          </w:tcPr>
          <w:p>
            <w:pPr>
              <w:jc w:val="center"/>
              <w:spacing w:after="0"/>
              <w:rPr>
                <w:sz w:val="20"/>
                <w:szCs w:val="20"/>
                <w:color w:val="auto"/>
              </w:rPr>
            </w:pPr>
            <w:r>
              <w:rPr>
                <w:rFonts w:ascii="Arial" w:cs="Arial" w:eastAsia="Arial" w:hAnsi="Arial"/>
                <w:sz w:val="18"/>
                <w:szCs w:val="18"/>
                <w:color w:val="auto"/>
                <w:w w:val="87"/>
              </w:rPr>
              <w:t>3.8</w:t>
            </w:r>
          </w:p>
        </w:tc>
        <w:tc>
          <w:tcPr>
            <w:tcW w:w="580" w:type="dxa"/>
            <w:vAlign w:val="bottom"/>
          </w:tcPr>
          <w:p>
            <w:pPr>
              <w:ind w:left="4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4"/>
                <w:szCs w:val="24"/>
                <w:color w:val="auto"/>
              </w:rPr>
            </w:pPr>
          </w:p>
        </w:tc>
        <w:tc>
          <w:tcPr>
            <w:tcW w:w="9540" w:type="dxa"/>
            <w:vAlign w:val="bottom"/>
            <w:gridSpan w:val="35"/>
          </w:tcPr>
          <w:p>
            <w:pPr>
              <w:spacing w:after="0"/>
              <w:rPr>
                <w:rFonts w:ascii="Arial" w:cs="Arial" w:eastAsia="Arial" w:hAnsi="Arial"/>
                <w:sz w:val="18"/>
                <w:szCs w:val="18"/>
                <w:color w:val="0000FF"/>
                <w:w w:val="96"/>
              </w:rPr>
            </w:pPr>
            <w:hyperlink r:id="rId55">
              <w:r>
                <w:rPr>
                  <w:rFonts w:ascii="Arial" w:cs="Arial" w:eastAsia="Arial" w:hAnsi="Arial"/>
                  <w:sz w:val="18"/>
                  <w:szCs w:val="18"/>
                  <w:color w:val="0000FF"/>
                  <w:w w:val="96"/>
                </w:rPr>
                <w:t>Limited Liability Company Agreement of PAA GP LLC dated December 28, 2007 (incorporated by reference to Exhibit 3.3 to</w:t>
              </w:r>
            </w:hyperlink>
          </w:p>
        </w:tc>
      </w:tr>
      <w:tr>
        <w:trPr>
          <w:trHeight w:val="196"/>
        </w:trPr>
        <w:tc>
          <w:tcPr>
            <w:tcW w:w="12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220" w:type="dxa"/>
            <w:vAlign w:val="bottom"/>
            <w:tcBorders>
              <w:top w:val="single" w:sz="8" w:color="0000FF"/>
              <w:bottom w:val="single" w:sz="8" w:color="0000FF"/>
            </w:tcBorders>
            <w:gridSpan w:val="5"/>
          </w:tcPr>
          <w:p>
            <w:pPr>
              <w:spacing w:after="0" w:line="196" w:lineRule="exact"/>
              <w:rPr>
                <w:rFonts w:ascii="Arial" w:cs="Arial" w:eastAsia="Arial" w:hAnsi="Arial"/>
                <w:sz w:val="18"/>
                <w:szCs w:val="18"/>
                <w:color w:val="0000FF"/>
                <w:w w:val="91"/>
              </w:rPr>
            </w:pPr>
            <w:hyperlink r:id="rId55">
              <w:r>
                <w:rPr>
                  <w:rFonts w:ascii="Arial" w:cs="Arial" w:eastAsia="Arial" w:hAnsi="Arial"/>
                  <w:sz w:val="18"/>
                  <w:szCs w:val="18"/>
                  <w:color w:val="0000FF"/>
                  <w:w w:val="91"/>
                </w:rPr>
                <w:t>PAA’s Current Report on Form 8-K filed January 4, 2008).</w:t>
              </w:r>
            </w:hyperlink>
          </w:p>
        </w:tc>
        <w:tc>
          <w:tcPr>
            <w:tcW w:w="4880" w:type="dxa"/>
            <w:vAlign w:val="bottom"/>
            <w:tcBorders>
              <w:top w:val="single" w:sz="8" w:color="0000FF"/>
            </w:tcBorders>
            <w:gridSpan w:val="17"/>
          </w:tcPr>
          <w:p>
            <w:pPr>
              <w:spacing w:after="0"/>
              <w:rPr>
                <w:sz w:val="17"/>
                <w:szCs w:val="17"/>
                <w:color w:val="auto"/>
              </w:rPr>
            </w:pPr>
          </w:p>
        </w:tc>
        <w:tc>
          <w:tcPr>
            <w:tcW w:w="440" w:type="dxa"/>
            <w:vAlign w:val="bottom"/>
            <w:gridSpan w:val="13"/>
          </w:tcPr>
          <w:p>
            <w:pPr>
              <w:spacing w:after="0"/>
              <w:rPr>
                <w:sz w:val="17"/>
                <w:szCs w:val="17"/>
                <w:color w:val="auto"/>
              </w:rPr>
            </w:pPr>
          </w:p>
        </w:tc>
      </w:tr>
      <w:tr>
        <w:trPr>
          <w:trHeight w:val="520"/>
        </w:trPr>
        <w:tc>
          <w:tcPr>
            <w:tcW w:w="1260" w:type="dxa"/>
            <w:vAlign w:val="bottom"/>
          </w:tcPr>
          <w:p>
            <w:pPr>
              <w:jc w:val="center"/>
              <w:spacing w:after="0"/>
              <w:rPr>
                <w:sz w:val="20"/>
                <w:szCs w:val="20"/>
                <w:color w:val="auto"/>
              </w:rPr>
            </w:pPr>
            <w:r>
              <w:rPr>
                <w:rFonts w:ascii="Arial" w:cs="Arial" w:eastAsia="Arial" w:hAnsi="Arial"/>
                <w:sz w:val="18"/>
                <w:szCs w:val="18"/>
                <w:color w:val="auto"/>
                <w:w w:val="87"/>
              </w:rPr>
              <w:t>4.1</w:t>
            </w:r>
          </w:p>
        </w:tc>
        <w:tc>
          <w:tcPr>
            <w:tcW w:w="580" w:type="dxa"/>
            <w:vAlign w:val="bottom"/>
          </w:tcPr>
          <w:p>
            <w:pPr>
              <w:ind w:left="4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4"/>
                <w:szCs w:val="24"/>
                <w:color w:val="auto"/>
              </w:rPr>
            </w:pPr>
          </w:p>
        </w:tc>
        <w:tc>
          <w:tcPr>
            <w:tcW w:w="9360" w:type="dxa"/>
            <w:vAlign w:val="bottom"/>
            <w:tcBorders>
              <w:bottom w:val="single" w:sz="8" w:color="0000FF"/>
            </w:tcBorders>
            <w:gridSpan w:val="30"/>
          </w:tcPr>
          <w:p>
            <w:pPr>
              <w:spacing w:after="0"/>
              <w:rPr>
                <w:rFonts w:ascii="Arial" w:cs="Arial" w:eastAsia="Arial" w:hAnsi="Arial"/>
                <w:sz w:val="18"/>
                <w:szCs w:val="18"/>
                <w:color w:val="0000FF"/>
                <w:w w:val="90"/>
              </w:rPr>
            </w:pPr>
            <w:hyperlink r:id="rId56">
              <w:r>
                <w:rPr>
                  <w:rFonts w:ascii="Arial" w:cs="Arial" w:eastAsia="Arial" w:hAnsi="Arial"/>
                  <w:sz w:val="18"/>
                  <w:szCs w:val="18"/>
                  <w:color w:val="0000FF"/>
                  <w:w w:val="90"/>
                </w:rPr>
                <w:t>Indenture dated September 25, 2002 among Plains All American Pipeline, L.P., PAA Finance Corp. and Wachovia Bank, National</w:t>
              </w:r>
            </w:hyperlink>
          </w:p>
        </w:tc>
        <w:tc>
          <w:tcPr>
            <w:tcW w:w="180" w:type="dxa"/>
            <w:vAlign w:val="bottom"/>
            <w:gridSpan w:val="5"/>
          </w:tcPr>
          <w:p>
            <w:pPr>
              <w:spacing w:after="0"/>
              <w:rPr>
                <w:sz w:val="24"/>
                <w:szCs w:val="24"/>
                <w:color w:val="auto"/>
              </w:rPr>
            </w:pPr>
          </w:p>
        </w:tc>
      </w:tr>
      <w:tr>
        <w:trPr>
          <w:trHeight w:val="196"/>
        </w:trPr>
        <w:tc>
          <w:tcPr>
            <w:tcW w:w="12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180" w:type="dxa"/>
            <w:vAlign w:val="bottom"/>
            <w:tcBorders>
              <w:bottom w:val="single" w:sz="8" w:color="0000FF"/>
            </w:tcBorders>
            <w:gridSpan w:val="26"/>
          </w:tcPr>
          <w:p>
            <w:pPr>
              <w:spacing w:after="0" w:line="196" w:lineRule="exact"/>
              <w:rPr>
                <w:rFonts w:ascii="Arial" w:cs="Arial" w:eastAsia="Arial" w:hAnsi="Arial"/>
                <w:sz w:val="18"/>
                <w:szCs w:val="18"/>
                <w:color w:val="0000FF"/>
                <w:w w:val="90"/>
              </w:rPr>
            </w:pPr>
            <w:hyperlink r:id="rId56">
              <w:r>
                <w:rPr>
                  <w:rFonts w:ascii="Arial" w:cs="Arial" w:eastAsia="Arial" w:hAnsi="Arial"/>
                  <w:sz w:val="18"/>
                  <w:szCs w:val="18"/>
                  <w:color w:val="0000FF"/>
                  <w:w w:val="90"/>
                </w:rPr>
                <w:t>Association, as trustee (incorporated by reference to Exhibit 4.1 to PAA’s Quarterly Report on Form 10-Q for the quarter ended</w:t>
              </w:r>
            </w:hyperlink>
          </w:p>
        </w:tc>
        <w:tc>
          <w:tcPr>
            <w:tcW w:w="360" w:type="dxa"/>
            <w:vAlign w:val="bottom"/>
            <w:gridSpan w:val="9"/>
          </w:tcPr>
          <w:p>
            <w:pPr>
              <w:spacing w:after="0"/>
              <w:rPr>
                <w:sz w:val="17"/>
                <w:szCs w:val="17"/>
                <w:color w:val="auto"/>
              </w:rPr>
            </w:pPr>
          </w:p>
        </w:tc>
      </w:tr>
      <w:tr>
        <w:trPr>
          <w:trHeight w:val="196"/>
        </w:trPr>
        <w:tc>
          <w:tcPr>
            <w:tcW w:w="12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540" w:type="dxa"/>
            <w:vAlign w:val="bottom"/>
            <w:gridSpan w:val="35"/>
          </w:tcPr>
          <w:p>
            <w:pPr>
              <w:spacing w:after="0" w:line="196" w:lineRule="exact"/>
              <w:rPr>
                <w:rFonts w:ascii="Arial" w:cs="Arial" w:eastAsia="Arial" w:hAnsi="Arial"/>
                <w:sz w:val="18"/>
                <w:szCs w:val="18"/>
                <w:color w:val="0000FF"/>
              </w:rPr>
            </w:pPr>
            <w:hyperlink r:id="rId56">
              <w:r>
                <w:rPr>
                  <w:rFonts w:ascii="Arial" w:cs="Arial" w:eastAsia="Arial" w:hAnsi="Arial"/>
                  <w:sz w:val="18"/>
                  <w:szCs w:val="18"/>
                  <w:color w:val="0000FF"/>
                </w:rPr>
                <w:t>September 30, 2002).</w:t>
              </w:r>
            </w:hyperlink>
          </w:p>
        </w:tc>
      </w:tr>
      <w:tr>
        <w:trPr>
          <w:trHeight w:val="20"/>
        </w:trPr>
        <w:tc>
          <w:tcPr>
            <w:tcW w:w="12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40" w:type="dxa"/>
            <w:vAlign w:val="bottom"/>
            <w:shd w:val="clear" w:color="auto" w:fill="0000FF"/>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2380" w:type="dxa"/>
            <w:vAlign w:val="bottom"/>
            <w:gridSpan w:val="4"/>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380" w:type="dxa"/>
            <w:vAlign w:val="bottom"/>
            <w:gridSpan w:val="5"/>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520"/>
        </w:trPr>
        <w:tc>
          <w:tcPr>
            <w:tcW w:w="1260" w:type="dxa"/>
            <w:vAlign w:val="bottom"/>
          </w:tcPr>
          <w:p>
            <w:pPr>
              <w:jc w:val="center"/>
              <w:spacing w:after="0"/>
              <w:rPr>
                <w:sz w:val="20"/>
                <w:szCs w:val="20"/>
                <w:color w:val="auto"/>
              </w:rPr>
            </w:pPr>
            <w:r>
              <w:rPr>
                <w:rFonts w:ascii="Arial" w:cs="Arial" w:eastAsia="Arial" w:hAnsi="Arial"/>
                <w:sz w:val="18"/>
                <w:szCs w:val="18"/>
                <w:color w:val="auto"/>
                <w:w w:val="87"/>
              </w:rPr>
              <w:t>4.2</w:t>
            </w:r>
          </w:p>
        </w:tc>
        <w:tc>
          <w:tcPr>
            <w:tcW w:w="580" w:type="dxa"/>
            <w:vAlign w:val="bottom"/>
          </w:tcPr>
          <w:p>
            <w:pPr>
              <w:ind w:left="4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4"/>
                <w:szCs w:val="24"/>
                <w:color w:val="auto"/>
              </w:rPr>
            </w:pPr>
          </w:p>
        </w:tc>
        <w:tc>
          <w:tcPr>
            <w:tcW w:w="8860" w:type="dxa"/>
            <w:vAlign w:val="bottom"/>
            <w:tcBorders>
              <w:bottom w:val="single" w:sz="8" w:color="0000FF"/>
            </w:tcBorders>
            <w:gridSpan w:val="18"/>
          </w:tcPr>
          <w:p>
            <w:pPr>
              <w:spacing w:after="0"/>
              <w:rPr>
                <w:rFonts w:ascii="Arial" w:cs="Arial" w:eastAsia="Arial" w:hAnsi="Arial"/>
                <w:sz w:val="18"/>
                <w:szCs w:val="18"/>
                <w:color w:val="0000FF"/>
                <w:w w:val="90"/>
              </w:rPr>
            </w:pPr>
            <w:hyperlink r:id="rId57">
              <w:r>
                <w:rPr>
                  <w:rFonts w:ascii="Arial" w:cs="Arial" w:eastAsia="Arial" w:hAnsi="Arial"/>
                  <w:sz w:val="18"/>
                  <w:szCs w:val="18"/>
                  <w:color w:val="0000FF"/>
                  <w:w w:val="90"/>
                </w:rPr>
                <w:t>Sixth Supplemental Indenture (Series A and Series B 6.70% Senior Notes due 2036) dated May 12, 2006 among Plains All</w:t>
              </w:r>
            </w:hyperlink>
          </w:p>
        </w:tc>
        <w:tc>
          <w:tcPr>
            <w:tcW w:w="680" w:type="dxa"/>
            <w:vAlign w:val="bottom"/>
            <w:gridSpan w:val="17"/>
          </w:tcPr>
          <w:p>
            <w:pPr>
              <w:spacing w:after="0"/>
              <w:rPr>
                <w:sz w:val="24"/>
                <w:szCs w:val="24"/>
                <w:color w:val="auto"/>
              </w:rPr>
            </w:pPr>
          </w:p>
        </w:tc>
      </w:tr>
      <w:tr>
        <w:trPr>
          <w:trHeight w:val="196"/>
        </w:trPr>
        <w:tc>
          <w:tcPr>
            <w:tcW w:w="12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540" w:type="dxa"/>
            <w:vAlign w:val="bottom"/>
            <w:gridSpan w:val="35"/>
          </w:tcPr>
          <w:p>
            <w:pPr>
              <w:spacing w:after="0" w:line="196" w:lineRule="exact"/>
              <w:rPr>
                <w:rFonts w:ascii="Arial" w:cs="Arial" w:eastAsia="Arial" w:hAnsi="Arial"/>
                <w:sz w:val="18"/>
                <w:szCs w:val="18"/>
                <w:color w:val="0000FF"/>
                <w:w w:val="92"/>
              </w:rPr>
            </w:pPr>
            <w:hyperlink r:id="rId57">
              <w:r>
                <w:rPr>
                  <w:rFonts w:ascii="Arial" w:cs="Arial" w:eastAsia="Arial" w:hAnsi="Arial"/>
                  <w:sz w:val="18"/>
                  <w:szCs w:val="18"/>
                  <w:color w:val="0000FF"/>
                  <w:w w:val="92"/>
                </w:rPr>
                <w:t>American Pipeline, L.P., PAA Finance Corp., the Subsidiary Guarantors named therein and Wachovia Bank, National Association,</w:t>
              </w:r>
            </w:hyperlink>
          </w:p>
        </w:tc>
      </w:tr>
      <w:tr>
        <w:trPr>
          <w:trHeight w:val="196"/>
        </w:trPr>
        <w:tc>
          <w:tcPr>
            <w:tcW w:w="12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380" w:type="dxa"/>
            <w:vAlign w:val="bottom"/>
            <w:tcBorders>
              <w:top w:val="single" w:sz="8" w:color="0000FF"/>
            </w:tcBorders>
            <w:gridSpan w:val="31"/>
          </w:tcPr>
          <w:p>
            <w:pPr>
              <w:spacing w:after="0" w:line="196" w:lineRule="exact"/>
              <w:rPr>
                <w:rFonts w:ascii="Arial" w:cs="Arial" w:eastAsia="Arial" w:hAnsi="Arial"/>
                <w:sz w:val="18"/>
                <w:szCs w:val="18"/>
                <w:color w:val="0000FF"/>
              </w:rPr>
            </w:pPr>
            <w:hyperlink r:id="rId57">
              <w:r>
                <w:rPr>
                  <w:rFonts w:ascii="Arial" w:cs="Arial" w:eastAsia="Arial" w:hAnsi="Arial"/>
                  <w:sz w:val="18"/>
                  <w:szCs w:val="18"/>
                  <w:color w:val="0000FF"/>
                </w:rPr>
                <w:t>as trustee (incorporated by reference to Exhibit 4.1 to PAA’s Current Report on Form 8-K filed May 12, 2006).</w:t>
              </w:r>
            </w:hyperlink>
          </w:p>
        </w:tc>
        <w:tc>
          <w:tcPr>
            <w:tcW w:w="160" w:type="dxa"/>
            <w:vAlign w:val="bottom"/>
            <w:gridSpan w:val="4"/>
          </w:tcPr>
          <w:p>
            <w:pPr>
              <w:spacing w:after="0"/>
              <w:rPr>
                <w:sz w:val="17"/>
                <w:szCs w:val="17"/>
                <w:color w:val="auto"/>
              </w:rPr>
            </w:pPr>
          </w:p>
        </w:tc>
      </w:tr>
      <w:tr>
        <w:trPr>
          <w:trHeight w:val="20"/>
        </w:trPr>
        <w:tc>
          <w:tcPr>
            <w:tcW w:w="12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140" w:type="dxa"/>
            <w:vAlign w:val="bottom"/>
            <w:gridSpan w:val="2"/>
            <w:shd w:val="clear" w:color="auto" w:fill="0000FF"/>
          </w:tcPr>
          <w:p>
            <w:pPr>
              <w:spacing w:after="0" w:line="20" w:lineRule="exact"/>
              <w:rPr>
                <w:sz w:val="1"/>
                <w:szCs w:val="1"/>
                <w:color w:val="auto"/>
              </w:rPr>
            </w:pPr>
          </w:p>
        </w:tc>
        <w:tc>
          <w:tcPr>
            <w:tcW w:w="2380" w:type="dxa"/>
            <w:vAlign w:val="bottom"/>
            <w:gridSpan w:val="4"/>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1380" w:type="dxa"/>
            <w:vAlign w:val="bottom"/>
            <w:gridSpan w:val="5"/>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372"/>
        </w:trPr>
        <w:tc>
          <w:tcPr>
            <w:tcW w:w="1260" w:type="dxa"/>
            <w:vAlign w:val="bottom"/>
          </w:tcPr>
          <w:p>
            <w:pPr>
              <w:jc w:val="center"/>
              <w:spacing w:after="0"/>
              <w:rPr>
                <w:sz w:val="20"/>
                <w:szCs w:val="20"/>
                <w:color w:val="auto"/>
              </w:rPr>
            </w:pPr>
            <w:r>
              <w:rPr>
                <w:rFonts w:ascii="Arial" w:cs="Arial" w:eastAsia="Arial" w:hAnsi="Arial"/>
                <w:sz w:val="18"/>
                <w:szCs w:val="18"/>
                <w:color w:val="auto"/>
                <w:w w:val="87"/>
              </w:rPr>
              <w:t>4.3</w:t>
            </w:r>
          </w:p>
        </w:tc>
        <w:tc>
          <w:tcPr>
            <w:tcW w:w="580" w:type="dxa"/>
            <w:vAlign w:val="bottom"/>
          </w:tcPr>
          <w:p>
            <w:pPr>
              <w:ind w:left="4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4"/>
                <w:szCs w:val="24"/>
                <w:color w:val="auto"/>
              </w:rPr>
            </w:pPr>
          </w:p>
        </w:tc>
        <w:tc>
          <w:tcPr>
            <w:tcW w:w="9220" w:type="dxa"/>
            <w:vAlign w:val="bottom"/>
            <w:tcBorders>
              <w:bottom w:val="single" w:sz="8" w:color="0000FF"/>
            </w:tcBorders>
            <w:gridSpan w:val="27"/>
          </w:tcPr>
          <w:p>
            <w:pPr>
              <w:spacing w:after="0"/>
              <w:rPr>
                <w:rFonts w:ascii="Arial" w:cs="Arial" w:eastAsia="Arial" w:hAnsi="Arial"/>
                <w:sz w:val="18"/>
                <w:szCs w:val="18"/>
                <w:color w:val="0000FF"/>
                <w:w w:val="89"/>
              </w:rPr>
            </w:pPr>
            <w:hyperlink r:id="rId58">
              <w:r>
                <w:rPr>
                  <w:rFonts w:ascii="Arial" w:cs="Arial" w:eastAsia="Arial" w:hAnsi="Arial"/>
                  <w:sz w:val="18"/>
                  <w:szCs w:val="18"/>
                  <w:color w:val="0000FF"/>
                  <w:w w:val="89"/>
                </w:rPr>
                <w:t>Tenth Supplemental Indenture (Series A and Series B 6.650% Senior Notes due 2037) dated October 30, 2006 among Plains All</w:t>
              </w:r>
            </w:hyperlink>
          </w:p>
        </w:tc>
        <w:tc>
          <w:tcPr>
            <w:tcW w:w="320" w:type="dxa"/>
            <w:vAlign w:val="bottom"/>
            <w:gridSpan w:val="8"/>
          </w:tcPr>
          <w:p>
            <w:pPr>
              <w:spacing w:after="0"/>
              <w:rPr>
                <w:sz w:val="24"/>
                <w:szCs w:val="24"/>
                <w:color w:val="auto"/>
              </w:rPr>
            </w:pPr>
          </w:p>
        </w:tc>
      </w:tr>
      <w:tr>
        <w:trPr>
          <w:trHeight w:val="196"/>
        </w:trPr>
        <w:tc>
          <w:tcPr>
            <w:tcW w:w="12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140" w:type="dxa"/>
            <w:vAlign w:val="bottom"/>
            <w:tcBorders>
              <w:bottom w:val="single" w:sz="8" w:color="0000FF"/>
            </w:tcBorders>
            <w:gridSpan w:val="24"/>
          </w:tcPr>
          <w:p>
            <w:pPr>
              <w:spacing w:after="0" w:line="196" w:lineRule="exact"/>
              <w:rPr>
                <w:rFonts w:ascii="Arial" w:cs="Arial" w:eastAsia="Arial" w:hAnsi="Arial"/>
                <w:sz w:val="18"/>
                <w:szCs w:val="18"/>
                <w:color w:val="0000FF"/>
                <w:w w:val="90"/>
              </w:rPr>
            </w:pPr>
            <w:hyperlink r:id="rId58">
              <w:r>
                <w:rPr>
                  <w:rFonts w:ascii="Arial" w:cs="Arial" w:eastAsia="Arial" w:hAnsi="Arial"/>
                  <w:sz w:val="18"/>
                  <w:szCs w:val="18"/>
                  <w:color w:val="0000FF"/>
                  <w:w w:val="90"/>
                </w:rPr>
                <w:t>American Pipeline, L.P., PAA Finance Corp., the Subsidiary Guarantors named therein and U.S. Bank National Association, as</w:t>
              </w:r>
            </w:hyperlink>
          </w:p>
        </w:tc>
        <w:tc>
          <w:tcPr>
            <w:tcW w:w="400" w:type="dxa"/>
            <w:vAlign w:val="bottom"/>
            <w:gridSpan w:val="11"/>
          </w:tcPr>
          <w:p>
            <w:pPr>
              <w:spacing w:after="0"/>
              <w:rPr>
                <w:sz w:val="17"/>
                <w:szCs w:val="17"/>
                <w:color w:val="auto"/>
              </w:rPr>
            </w:pPr>
          </w:p>
        </w:tc>
      </w:tr>
      <w:tr>
        <w:trPr>
          <w:trHeight w:val="196"/>
        </w:trPr>
        <w:tc>
          <w:tcPr>
            <w:tcW w:w="12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540" w:type="dxa"/>
            <w:vAlign w:val="bottom"/>
            <w:gridSpan w:val="35"/>
          </w:tcPr>
          <w:p>
            <w:pPr>
              <w:spacing w:after="0" w:line="196" w:lineRule="exact"/>
              <w:rPr>
                <w:rFonts w:ascii="Arial" w:cs="Arial" w:eastAsia="Arial" w:hAnsi="Arial"/>
                <w:sz w:val="18"/>
                <w:szCs w:val="18"/>
                <w:color w:val="0000FF"/>
              </w:rPr>
            </w:pPr>
            <w:hyperlink r:id="rId58">
              <w:r>
                <w:rPr>
                  <w:rFonts w:ascii="Arial" w:cs="Arial" w:eastAsia="Arial" w:hAnsi="Arial"/>
                  <w:sz w:val="18"/>
                  <w:szCs w:val="18"/>
                  <w:color w:val="0000FF"/>
                </w:rPr>
                <w:t>trustee (incorporated by reference to Exhibit 4.2 to PAA’s Current Report on Form 8-K filed October 30, 2006).</w:t>
              </w:r>
            </w:hyperlink>
          </w:p>
        </w:tc>
      </w:tr>
      <w:tr>
        <w:trPr>
          <w:trHeight w:val="20"/>
        </w:trPr>
        <w:tc>
          <w:tcPr>
            <w:tcW w:w="12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140" w:type="dxa"/>
            <w:vAlign w:val="bottom"/>
            <w:gridSpan w:val="2"/>
            <w:shd w:val="clear" w:color="auto" w:fill="0000FF"/>
          </w:tcPr>
          <w:p>
            <w:pPr>
              <w:spacing w:after="0" w:line="20" w:lineRule="exact"/>
              <w:rPr>
                <w:sz w:val="1"/>
                <w:szCs w:val="1"/>
                <w:color w:val="auto"/>
              </w:rPr>
            </w:pPr>
          </w:p>
        </w:tc>
        <w:tc>
          <w:tcPr>
            <w:tcW w:w="2380" w:type="dxa"/>
            <w:vAlign w:val="bottom"/>
            <w:gridSpan w:val="4"/>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1380" w:type="dxa"/>
            <w:vAlign w:val="bottom"/>
            <w:gridSpan w:val="5"/>
            <w:shd w:val="clear" w:color="auto" w:fill="0000FF"/>
          </w:tcPr>
          <w:p>
            <w:pPr>
              <w:spacing w:after="0" w:line="20" w:lineRule="exact"/>
              <w:rPr>
                <w:sz w:val="1"/>
                <w:szCs w:val="1"/>
                <w:color w:val="auto"/>
              </w:rPr>
            </w:pPr>
          </w:p>
        </w:tc>
        <w:tc>
          <w:tcPr>
            <w:tcW w:w="420" w:type="dxa"/>
            <w:vAlign w:val="bottom"/>
            <w:gridSpan w:val="3"/>
            <w:shd w:val="clear" w:color="auto" w:fill="0000FF"/>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5"/>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520"/>
        </w:trPr>
        <w:tc>
          <w:tcPr>
            <w:tcW w:w="1260" w:type="dxa"/>
            <w:vAlign w:val="bottom"/>
          </w:tcPr>
          <w:p>
            <w:pPr>
              <w:jc w:val="center"/>
              <w:spacing w:after="0"/>
              <w:rPr>
                <w:sz w:val="20"/>
                <w:szCs w:val="20"/>
                <w:color w:val="auto"/>
              </w:rPr>
            </w:pPr>
            <w:r>
              <w:rPr>
                <w:rFonts w:ascii="Arial" w:cs="Arial" w:eastAsia="Arial" w:hAnsi="Arial"/>
                <w:sz w:val="18"/>
                <w:szCs w:val="18"/>
                <w:color w:val="auto"/>
                <w:w w:val="87"/>
              </w:rPr>
              <w:t>4.4</w:t>
            </w:r>
          </w:p>
        </w:tc>
        <w:tc>
          <w:tcPr>
            <w:tcW w:w="580" w:type="dxa"/>
            <w:vAlign w:val="bottom"/>
          </w:tcPr>
          <w:p>
            <w:pPr>
              <w:ind w:left="4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4"/>
                <w:szCs w:val="24"/>
                <w:color w:val="auto"/>
              </w:rPr>
            </w:pPr>
          </w:p>
        </w:tc>
        <w:tc>
          <w:tcPr>
            <w:tcW w:w="9540" w:type="dxa"/>
            <w:vAlign w:val="bottom"/>
            <w:gridSpan w:val="35"/>
          </w:tcPr>
          <w:p>
            <w:pPr>
              <w:spacing w:after="0"/>
              <w:rPr>
                <w:rFonts w:ascii="Arial" w:cs="Arial" w:eastAsia="Arial" w:hAnsi="Arial"/>
                <w:sz w:val="18"/>
                <w:szCs w:val="18"/>
                <w:color w:val="0000FF"/>
                <w:w w:val="96"/>
              </w:rPr>
            </w:pPr>
            <w:hyperlink r:id="rId59">
              <w:r>
                <w:rPr>
                  <w:rFonts w:ascii="Arial" w:cs="Arial" w:eastAsia="Arial" w:hAnsi="Arial"/>
                  <w:sz w:val="18"/>
                  <w:szCs w:val="18"/>
                  <w:color w:val="0000FF"/>
                  <w:w w:val="96"/>
                </w:rPr>
                <w:t>Seventeenth Supplemental Indenture (5.75% Senior Notes due 2020) dated September 4, 2009 among Plains All American</w:t>
              </w:r>
            </w:hyperlink>
          </w:p>
        </w:tc>
      </w:tr>
      <w:tr>
        <w:trPr>
          <w:trHeight w:val="20"/>
        </w:trPr>
        <w:tc>
          <w:tcPr>
            <w:tcW w:w="12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140" w:type="dxa"/>
            <w:vAlign w:val="bottom"/>
            <w:gridSpan w:val="2"/>
            <w:shd w:val="clear" w:color="auto" w:fill="0000FF"/>
          </w:tcPr>
          <w:p>
            <w:pPr>
              <w:spacing w:after="0" w:line="20" w:lineRule="exact"/>
              <w:rPr>
                <w:sz w:val="1"/>
                <w:szCs w:val="1"/>
                <w:color w:val="auto"/>
              </w:rPr>
            </w:pPr>
          </w:p>
        </w:tc>
        <w:tc>
          <w:tcPr>
            <w:tcW w:w="2380" w:type="dxa"/>
            <w:vAlign w:val="bottom"/>
            <w:gridSpan w:val="4"/>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1380" w:type="dxa"/>
            <w:vAlign w:val="bottom"/>
            <w:gridSpan w:val="5"/>
            <w:shd w:val="clear" w:color="auto" w:fill="0000FF"/>
          </w:tcPr>
          <w:p>
            <w:pPr>
              <w:spacing w:after="0" w:line="20" w:lineRule="exact"/>
              <w:rPr>
                <w:sz w:val="1"/>
                <w:szCs w:val="1"/>
                <w:color w:val="auto"/>
              </w:rPr>
            </w:pPr>
          </w:p>
        </w:tc>
        <w:tc>
          <w:tcPr>
            <w:tcW w:w="1160" w:type="dxa"/>
            <w:vAlign w:val="bottom"/>
            <w:gridSpan w:val="4"/>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5"/>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6"/>
        </w:trPr>
        <w:tc>
          <w:tcPr>
            <w:tcW w:w="12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540" w:type="dxa"/>
            <w:vAlign w:val="bottom"/>
            <w:gridSpan w:val="35"/>
          </w:tcPr>
          <w:p>
            <w:pPr>
              <w:spacing w:after="0" w:line="196" w:lineRule="exact"/>
              <w:rPr>
                <w:rFonts w:ascii="Arial" w:cs="Arial" w:eastAsia="Arial" w:hAnsi="Arial"/>
                <w:sz w:val="18"/>
                <w:szCs w:val="18"/>
                <w:color w:val="0000FF"/>
                <w:w w:val="96"/>
              </w:rPr>
            </w:pPr>
            <w:hyperlink r:id="rId59">
              <w:r>
                <w:rPr>
                  <w:rFonts w:ascii="Arial" w:cs="Arial" w:eastAsia="Arial" w:hAnsi="Arial"/>
                  <w:sz w:val="18"/>
                  <w:szCs w:val="18"/>
                  <w:color w:val="0000FF"/>
                  <w:w w:val="96"/>
                </w:rPr>
                <w:t>Pipeline, L.P., PAA Finance Corp., the Subsidiary Guarantors named therein and U.S. Bank National Association, as trustee</w:t>
              </w:r>
            </w:hyperlink>
          </w:p>
        </w:tc>
      </w:tr>
      <w:tr>
        <w:trPr>
          <w:trHeight w:val="196"/>
        </w:trPr>
        <w:tc>
          <w:tcPr>
            <w:tcW w:w="12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600" w:type="dxa"/>
            <w:vAlign w:val="bottom"/>
            <w:tcBorders>
              <w:top w:val="single" w:sz="8" w:color="0000FF"/>
              <w:bottom w:val="single" w:sz="8" w:color="0000FF"/>
            </w:tcBorders>
            <w:gridSpan w:val="12"/>
          </w:tcPr>
          <w:p>
            <w:pPr>
              <w:spacing w:after="0" w:line="196" w:lineRule="exact"/>
              <w:rPr>
                <w:rFonts w:ascii="Arial" w:cs="Arial" w:eastAsia="Arial" w:hAnsi="Arial"/>
                <w:sz w:val="18"/>
                <w:szCs w:val="18"/>
                <w:color w:val="0000FF"/>
                <w:w w:val="91"/>
              </w:rPr>
            </w:pPr>
            <w:hyperlink r:id="rId59">
              <w:r>
                <w:rPr>
                  <w:rFonts w:ascii="Arial" w:cs="Arial" w:eastAsia="Arial" w:hAnsi="Arial"/>
                  <w:sz w:val="18"/>
                  <w:szCs w:val="18"/>
                  <w:color w:val="0000FF"/>
                  <w:w w:val="91"/>
                </w:rPr>
                <w:t>(incorporated by reference to Exhibit 4.1 to PAA’s Current Report on Form 8-K filed September 4, 2009).</w:t>
              </w:r>
            </w:hyperlink>
          </w:p>
        </w:tc>
        <w:tc>
          <w:tcPr>
            <w:tcW w:w="1300" w:type="dxa"/>
            <w:vAlign w:val="bottom"/>
            <w:tcBorders>
              <w:top w:val="single" w:sz="8" w:color="0000FF"/>
            </w:tcBorders>
            <w:gridSpan w:val="7"/>
          </w:tcPr>
          <w:p>
            <w:pPr>
              <w:spacing w:after="0"/>
              <w:rPr>
                <w:sz w:val="17"/>
                <w:szCs w:val="17"/>
                <w:color w:val="auto"/>
              </w:rPr>
            </w:pPr>
          </w:p>
        </w:tc>
        <w:tc>
          <w:tcPr>
            <w:tcW w:w="640" w:type="dxa"/>
            <w:vAlign w:val="bottom"/>
            <w:gridSpan w:val="16"/>
          </w:tcPr>
          <w:p>
            <w:pPr>
              <w:spacing w:after="0"/>
              <w:rPr>
                <w:sz w:val="17"/>
                <w:szCs w:val="17"/>
                <w:color w:val="auto"/>
              </w:rPr>
            </w:pPr>
          </w:p>
        </w:tc>
      </w:tr>
      <w:tr>
        <w:trPr>
          <w:trHeight w:val="372"/>
        </w:trPr>
        <w:tc>
          <w:tcPr>
            <w:tcW w:w="1260" w:type="dxa"/>
            <w:vAlign w:val="bottom"/>
          </w:tcPr>
          <w:p>
            <w:pPr>
              <w:jc w:val="center"/>
              <w:spacing w:after="0"/>
              <w:rPr>
                <w:sz w:val="20"/>
                <w:szCs w:val="20"/>
                <w:color w:val="auto"/>
              </w:rPr>
            </w:pPr>
            <w:r>
              <w:rPr>
                <w:rFonts w:ascii="Arial" w:cs="Arial" w:eastAsia="Arial" w:hAnsi="Arial"/>
                <w:sz w:val="18"/>
                <w:szCs w:val="18"/>
                <w:color w:val="auto"/>
                <w:w w:val="87"/>
              </w:rPr>
              <w:t>4.5</w:t>
            </w:r>
          </w:p>
        </w:tc>
        <w:tc>
          <w:tcPr>
            <w:tcW w:w="580" w:type="dxa"/>
            <w:vAlign w:val="bottom"/>
          </w:tcPr>
          <w:p>
            <w:pPr>
              <w:ind w:left="4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4"/>
                <w:szCs w:val="24"/>
                <w:color w:val="auto"/>
              </w:rPr>
            </w:pPr>
          </w:p>
        </w:tc>
        <w:tc>
          <w:tcPr>
            <w:tcW w:w="9540" w:type="dxa"/>
            <w:vAlign w:val="bottom"/>
            <w:gridSpan w:val="35"/>
          </w:tcPr>
          <w:p>
            <w:pPr>
              <w:spacing w:after="0"/>
              <w:rPr>
                <w:rFonts w:ascii="Arial" w:cs="Arial" w:eastAsia="Arial" w:hAnsi="Arial"/>
                <w:sz w:val="18"/>
                <w:szCs w:val="18"/>
                <w:color w:val="0000FF"/>
                <w:w w:val="92"/>
              </w:rPr>
            </w:pPr>
            <w:hyperlink r:id="rId60">
              <w:r>
                <w:rPr>
                  <w:rFonts w:ascii="Arial" w:cs="Arial" w:eastAsia="Arial" w:hAnsi="Arial"/>
                  <w:sz w:val="18"/>
                  <w:szCs w:val="18"/>
                  <w:color w:val="0000FF"/>
                  <w:w w:val="92"/>
                </w:rPr>
                <w:t>Nineteenth Supplemental Indenture (5.00% Senior Notes due 2021) dated January 14, 2011 among Plains All American Pipeline,</w:t>
              </w:r>
            </w:hyperlink>
          </w:p>
        </w:tc>
      </w:tr>
      <w:tr>
        <w:trPr>
          <w:trHeight w:val="20"/>
        </w:trPr>
        <w:tc>
          <w:tcPr>
            <w:tcW w:w="12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140" w:type="dxa"/>
            <w:vAlign w:val="bottom"/>
            <w:gridSpan w:val="2"/>
            <w:shd w:val="clear" w:color="auto" w:fill="0000FF"/>
          </w:tcPr>
          <w:p>
            <w:pPr>
              <w:spacing w:after="0" w:line="20" w:lineRule="exact"/>
              <w:rPr>
                <w:sz w:val="1"/>
                <w:szCs w:val="1"/>
                <w:color w:val="auto"/>
              </w:rPr>
            </w:pPr>
          </w:p>
        </w:tc>
        <w:tc>
          <w:tcPr>
            <w:tcW w:w="2380" w:type="dxa"/>
            <w:vAlign w:val="bottom"/>
            <w:gridSpan w:val="4"/>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2540" w:type="dxa"/>
            <w:vAlign w:val="bottom"/>
            <w:gridSpan w:val="9"/>
            <w:shd w:val="clear" w:color="auto" w:fill="0000FF"/>
          </w:tcPr>
          <w:p>
            <w:pPr>
              <w:spacing w:after="0" w:line="20" w:lineRule="exact"/>
              <w:rPr>
                <w:sz w:val="1"/>
                <w:szCs w:val="1"/>
                <w:color w:val="auto"/>
              </w:rPr>
            </w:pPr>
          </w:p>
        </w:tc>
        <w:tc>
          <w:tcPr>
            <w:tcW w:w="220" w:type="dxa"/>
            <w:vAlign w:val="bottom"/>
            <w:gridSpan w:val="4"/>
            <w:shd w:val="clear" w:color="auto" w:fill="0000FF"/>
          </w:tcPr>
          <w:p>
            <w:pPr>
              <w:spacing w:after="0" w:line="20" w:lineRule="exact"/>
              <w:rPr>
                <w:sz w:val="1"/>
                <w:szCs w:val="1"/>
                <w:color w:val="auto"/>
              </w:rPr>
            </w:pPr>
          </w:p>
        </w:tc>
        <w:tc>
          <w:tcPr>
            <w:tcW w:w="180" w:type="dxa"/>
            <w:vAlign w:val="bottom"/>
            <w:gridSpan w:val="5"/>
            <w:shd w:val="clear" w:color="auto" w:fill="0000FF"/>
          </w:tcPr>
          <w:p>
            <w:pPr>
              <w:spacing w:after="0" w:line="20" w:lineRule="exact"/>
              <w:rPr>
                <w:sz w:val="1"/>
                <w:szCs w:val="1"/>
                <w:color w:val="auto"/>
              </w:rPr>
            </w:pPr>
          </w:p>
        </w:tc>
        <w:tc>
          <w:tcPr>
            <w:tcW w:w="140" w:type="dxa"/>
            <w:vAlign w:val="bottom"/>
            <w:gridSpan w:val="4"/>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6"/>
        </w:trPr>
        <w:tc>
          <w:tcPr>
            <w:tcW w:w="12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540" w:type="dxa"/>
            <w:vAlign w:val="bottom"/>
            <w:gridSpan w:val="35"/>
          </w:tcPr>
          <w:p>
            <w:pPr>
              <w:spacing w:after="0" w:line="196" w:lineRule="exact"/>
              <w:rPr>
                <w:rFonts w:ascii="Arial" w:cs="Arial" w:eastAsia="Arial" w:hAnsi="Arial"/>
                <w:sz w:val="18"/>
                <w:szCs w:val="18"/>
                <w:color w:val="0000FF"/>
                <w:w w:val="90"/>
              </w:rPr>
            </w:pPr>
            <w:hyperlink r:id="rId60">
              <w:r>
                <w:rPr>
                  <w:rFonts w:ascii="Arial" w:cs="Arial" w:eastAsia="Arial" w:hAnsi="Arial"/>
                  <w:sz w:val="18"/>
                  <w:szCs w:val="18"/>
                  <w:color w:val="0000FF"/>
                  <w:w w:val="90"/>
                </w:rPr>
                <w:t>L.P., PAA Finance Corp., the Subsidiary Guarantors named therein and U.S. Bank National Association, as trustee (incorporated by</w:t>
              </w:r>
            </w:hyperlink>
          </w:p>
        </w:tc>
      </w:tr>
      <w:tr>
        <w:trPr>
          <w:trHeight w:val="196"/>
        </w:trPr>
        <w:tc>
          <w:tcPr>
            <w:tcW w:w="12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460" w:type="dxa"/>
            <w:vAlign w:val="bottom"/>
            <w:tcBorders>
              <w:top w:val="single" w:sz="8" w:color="0000FF"/>
            </w:tcBorders>
            <w:gridSpan w:val="34"/>
          </w:tcPr>
          <w:p>
            <w:pPr>
              <w:spacing w:after="0" w:line="196" w:lineRule="exact"/>
              <w:rPr>
                <w:rFonts w:ascii="Arial" w:cs="Arial" w:eastAsia="Arial" w:hAnsi="Arial"/>
                <w:sz w:val="18"/>
                <w:szCs w:val="18"/>
                <w:color w:val="0000FF"/>
              </w:rPr>
            </w:pPr>
            <w:hyperlink r:id="rId60">
              <w:r>
                <w:rPr>
                  <w:rFonts w:ascii="Arial" w:cs="Arial" w:eastAsia="Arial" w:hAnsi="Arial"/>
                  <w:sz w:val="18"/>
                  <w:szCs w:val="18"/>
                  <w:color w:val="0000FF"/>
                </w:rPr>
                <w:t>reference to Exhibit 4.1 to PAA’s Current Report on Form 8-K filed January 11, 2011).</w:t>
              </w:r>
            </w:hyperlink>
          </w:p>
        </w:tc>
        <w:tc>
          <w:tcPr>
            <w:tcW w:w="80" w:type="dxa"/>
            <w:vAlign w:val="bottom"/>
          </w:tcPr>
          <w:p>
            <w:pPr>
              <w:spacing w:after="0"/>
              <w:rPr>
                <w:sz w:val="17"/>
                <w:szCs w:val="17"/>
                <w:color w:val="auto"/>
              </w:rPr>
            </w:pPr>
          </w:p>
        </w:tc>
      </w:tr>
      <w:tr>
        <w:trPr>
          <w:trHeight w:val="20"/>
        </w:trPr>
        <w:tc>
          <w:tcPr>
            <w:tcW w:w="12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140" w:type="dxa"/>
            <w:vAlign w:val="bottom"/>
            <w:gridSpan w:val="2"/>
            <w:shd w:val="clear" w:color="auto" w:fill="0000FF"/>
          </w:tcPr>
          <w:p>
            <w:pPr>
              <w:spacing w:after="0" w:line="20" w:lineRule="exact"/>
              <w:rPr>
                <w:sz w:val="1"/>
                <w:szCs w:val="1"/>
                <w:color w:val="auto"/>
              </w:rPr>
            </w:pPr>
          </w:p>
        </w:tc>
        <w:tc>
          <w:tcPr>
            <w:tcW w:w="2380" w:type="dxa"/>
            <w:vAlign w:val="bottom"/>
            <w:gridSpan w:val="4"/>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2540" w:type="dxa"/>
            <w:vAlign w:val="bottom"/>
            <w:gridSpan w:val="9"/>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c>
          <w:tcPr>
            <w:tcW w:w="180" w:type="dxa"/>
            <w:vAlign w:val="bottom"/>
            <w:gridSpan w:val="5"/>
          </w:tcPr>
          <w:p>
            <w:pPr>
              <w:spacing w:after="0" w:line="20" w:lineRule="exact"/>
              <w:rPr>
                <w:sz w:val="1"/>
                <w:szCs w:val="1"/>
                <w:color w:val="auto"/>
              </w:rPr>
            </w:pPr>
          </w:p>
        </w:tc>
        <w:tc>
          <w:tcPr>
            <w:tcW w:w="200" w:type="dxa"/>
            <w:vAlign w:val="bottom"/>
            <w:gridSpan w:val="5"/>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r>
      <w:tr>
        <w:trPr>
          <w:trHeight w:val="520"/>
        </w:trPr>
        <w:tc>
          <w:tcPr>
            <w:tcW w:w="1260" w:type="dxa"/>
            <w:vAlign w:val="bottom"/>
          </w:tcPr>
          <w:p>
            <w:pPr>
              <w:jc w:val="center"/>
              <w:spacing w:after="0"/>
              <w:rPr>
                <w:sz w:val="20"/>
                <w:szCs w:val="20"/>
                <w:color w:val="auto"/>
              </w:rPr>
            </w:pPr>
            <w:r>
              <w:rPr>
                <w:rFonts w:ascii="Arial" w:cs="Arial" w:eastAsia="Arial" w:hAnsi="Arial"/>
                <w:sz w:val="18"/>
                <w:szCs w:val="18"/>
                <w:color w:val="auto"/>
                <w:w w:val="87"/>
              </w:rPr>
              <w:t>4.6</w:t>
            </w:r>
          </w:p>
        </w:tc>
        <w:tc>
          <w:tcPr>
            <w:tcW w:w="580" w:type="dxa"/>
            <w:vAlign w:val="bottom"/>
          </w:tcPr>
          <w:p>
            <w:pPr>
              <w:ind w:left="4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4"/>
                <w:szCs w:val="24"/>
                <w:color w:val="auto"/>
              </w:rPr>
            </w:pPr>
          </w:p>
        </w:tc>
        <w:tc>
          <w:tcPr>
            <w:tcW w:w="9160" w:type="dxa"/>
            <w:vAlign w:val="bottom"/>
            <w:tcBorders>
              <w:bottom w:val="single" w:sz="8" w:color="0000FF"/>
            </w:tcBorders>
            <w:gridSpan w:val="25"/>
          </w:tcPr>
          <w:p>
            <w:pPr>
              <w:spacing w:after="0"/>
              <w:rPr>
                <w:rFonts w:ascii="Arial" w:cs="Arial" w:eastAsia="Arial" w:hAnsi="Arial"/>
                <w:sz w:val="18"/>
                <w:szCs w:val="18"/>
                <w:color w:val="0000FF"/>
                <w:w w:val="90"/>
              </w:rPr>
            </w:pPr>
            <w:hyperlink r:id="rId61">
              <w:r>
                <w:rPr>
                  <w:rFonts w:ascii="Arial" w:cs="Arial" w:eastAsia="Arial" w:hAnsi="Arial"/>
                  <w:sz w:val="18"/>
                  <w:szCs w:val="18"/>
                  <w:color w:val="0000FF"/>
                  <w:w w:val="90"/>
                </w:rPr>
                <w:t>Twentieth Supplemental Indenture (3.65% Senior Notes due 2022) dated March 22, 2012 among Plains All American Pipeline,</w:t>
              </w:r>
            </w:hyperlink>
          </w:p>
        </w:tc>
        <w:tc>
          <w:tcPr>
            <w:tcW w:w="380" w:type="dxa"/>
            <w:vAlign w:val="bottom"/>
            <w:gridSpan w:val="10"/>
          </w:tcPr>
          <w:p>
            <w:pPr>
              <w:spacing w:after="0"/>
              <w:rPr>
                <w:sz w:val="24"/>
                <w:szCs w:val="24"/>
                <w:color w:val="auto"/>
              </w:rPr>
            </w:pPr>
          </w:p>
        </w:tc>
      </w:tr>
      <w:tr>
        <w:trPr>
          <w:trHeight w:val="196"/>
        </w:trPr>
        <w:tc>
          <w:tcPr>
            <w:tcW w:w="12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400" w:type="dxa"/>
            <w:vAlign w:val="bottom"/>
            <w:tcBorders>
              <w:bottom w:val="single" w:sz="8" w:color="0000FF"/>
            </w:tcBorders>
            <w:gridSpan w:val="32"/>
          </w:tcPr>
          <w:p>
            <w:pPr>
              <w:spacing w:after="0" w:line="196" w:lineRule="exact"/>
              <w:rPr>
                <w:rFonts w:ascii="Arial" w:cs="Arial" w:eastAsia="Arial" w:hAnsi="Arial"/>
                <w:sz w:val="18"/>
                <w:szCs w:val="18"/>
                <w:color w:val="0000FF"/>
                <w:w w:val="90"/>
              </w:rPr>
            </w:pPr>
            <w:hyperlink r:id="rId61">
              <w:r>
                <w:rPr>
                  <w:rFonts w:ascii="Arial" w:cs="Arial" w:eastAsia="Arial" w:hAnsi="Arial"/>
                  <w:sz w:val="18"/>
                  <w:szCs w:val="18"/>
                  <w:color w:val="0000FF"/>
                  <w:w w:val="90"/>
                </w:rPr>
                <w:t>L.P., PAA Finance Corp and U.S. Bank National Association, as trustee (incorporated by reference to Exhibit 4.1 to PAA’s Current</w:t>
              </w:r>
            </w:hyperlink>
          </w:p>
        </w:tc>
        <w:tc>
          <w:tcPr>
            <w:tcW w:w="140" w:type="dxa"/>
            <w:vAlign w:val="bottom"/>
            <w:gridSpan w:val="3"/>
          </w:tcPr>
          <w:p>
            <w:pPr>
              <w:spacing w:after="0"/>
              <w:rPr>
                <w:sz w:val="17"/>
                <w:szCs w:val="17"/>
                <w:color w:val="auto"/>
              </w:rPr>
            </w:pPr>
          </w:p>
        </w:tc>
      </w:tr>
      <w:tr>
        <w:trPr>
          <w:trHeight w:val="196"/>
        </w:trPr>
        <w:tc>
          <w:tcPr>
            <w:tcW w:w="12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140" w:type="dxa"/>
            <w:vAlign w:val="bottom"/>
            <w:tcBorders>
              <w:bottom w:val="single" w:sz="8" w:color="0000FF"/>
            </w:tcBorders>
            <w:gridSpan w:val="2"/>
          </w:tcPr>
          <w:p>
            <w:pPr>
              <w:spacing w:after="0" w:line="196" w:lineRule="exact"/>
              <w:rPr>
                <w:rFonts w:ascii="Arial" w:cs="Arial" w:eastAsia="Arial" w:hAnsi="Arial"/>
                <w:sz w:val="18"/>
                <w:szCs w:val="18"/>
                <w:color w:val="0000FF"/>
                <w:w w:val="92"/>
              </w:rPr>
            </w:pPr>
            <w:hyperlink r:id="rId61">
              <w:r>
                <w:rPr>
                  <w:rFonts w:ascii="Arial" w:cs="Arial" w:eastAsia="Arial" w:hAnsi="Arial"/>
                  <w:sz w:val="18"/>
                  <w:szCs w:val="18"/>
                  <w:color w:val="0000FF"/>
                  <w:w w:val="92"/>
                </w:rPr>
                <w:t>Report on Form 8-K filed March 26, 2012).</w:t>
              </w:r>
            </w:hyperlink>
          </w:p>
        </w:tc>
        <w:tc>
          <w:tcPr>
            <w:tcW w:w="6400" w:type="dxa"/>
            <w:vAlign w:val="bottom"/>
            <w:gridSpan w:val="33"/>
          </w:tcPr>
          <w:p>
            <w:pPr>
              <w:spacing w:after="0"/>
              <w:rPr>
                <w:sz w:val="17"/>
                <w:szCs w:val="17"/>
                <w:color w:val="auto"/>
              </w:rPr>
            </w:pPr>
          </w:p>
        </w:tc>
      </w:tr>
      <w:tr>
        <w:trPr>
          <w:trHeight w:val="520"/>
        </w:trPr>
        <w:tc>
          <w:tcPr>
            <w:tcW w:w="1260" w:type="dxa"/>
            <w:vAlign w:val="bottom"/>
          </w:tcPr>
          <w:p>
            <w:pPr>
              <w:jc w:val="center"/>
              <w:spacing w:after="0"/>
              <w:rPr>
                <w:sz w:val="20"/>
                <w:szCs w:val="20"/>
                <w:color w:val="auto"/>
              </w:rPr>
            </w:pPr>
            <w:r>
              <w:rPr>
                <w:rFonts w:ascii="Arial" w:cs="Arial" w:eastAsia="Arial" w:hAnsi="Arial"/>
                <w:sz w:val="18"/>
                <w:szCs w:val="18"/>
                <w:color w:val="auto"/>
                <w:w w:val="87"/>
              </w:rPr>
              <w:t>4.7</w:t>
            </w:r>
          </w:p>
        </w:tc>
        <w:tc>
          <w:tcPr>
            <w:tcW w:w="580" w:type="dxa"/>
            <w:vAlign w:val="bottom"/>
          </w:tcPr>
          <w:p>
            <w:pPr>
              <w:ind w:left="4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4"/>
                <w:szCs w:val="24"/>
                <w:color w:val="auto"/>
              </w:rPr>
            </w:pPr>
          </w:p>
        </w:tc>
        <w:tc>
          <w:tcPr>
            <w:tcW w:w="9540" w:type="dxa"/>
            <w:vAlign w:val="bottom"/>
            <w:gridSpan w:val="35"/>
          </w:tcPr>
          <w:p>
            <w:pPr>
              <w:spacing w:after="0"/>
              <w:rPr>
                <w:rFonts w:ascii="Arial" w:cs="Arial" w:eastAsia="Arial" w:hAnsi="Arial"/>
                <w:sz w:val="18"/>
                <w:szCs w:val="18"/>
                <w:color w:val="0000FF"/>
                <w:w w:val="92"/>
              </w:rPr>
            </w:pPr>
            <w:hyperlink r:id="rId62">
              <w:r>
                <w:rPr>
                  <w:rFonts w:ascii="Arial" w:cs="Arial" w:eastAsia="Arial" w:hAnsi="Arial"/>
                  <w:sz w:val="18"/>
                  <w:szCs w:val="18"/>
                  <w:color w:val="0000FF"/>
                  <w:w w:val="92"/>
                </w:rPr>
                <w:t>Twenty-First Supplemental Indenture (5.15% Senior Notes due 2042) dated March 22, 2012 among Plains All American Pipeline,</w:t>
              </w:r>
            </w:hyperlink>
          </w:p>
        </w:tc>
      </w:tr>
      <w:tr>
        <w:trPr>
          <w:trHeight w:val="20"/>
        </w:trPr>
        <w:tc>
          <w:tcPr>
            <w:tcW w:w="12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520" w:type="dxa"/>
            <w:vAlign w:val="bottom"/>
            <w:gridSpan w:val="6"/>
            <w:shd w:val="clear" w:color="auto" w:fill="0000FF"/>
          </w:tcPr>
          <w:p>
            <w:pPr>
              <w:spacing w:after="0" w:line="20" w:lineRule="exact"/>
              <w:rPr>
                <w:sz w:val="1"/>
                <w:szCs w:val="1"/>
                <w:color w:val="auto"/>
              </w:rPr>
            </w:pPr>
          </w:p>
        </w:tc>
        <w:tc>
          <w:tcPr>
            <w:tcW w:w="3240" w:type="dxa"/>
            <w:vAlign w:val="bottom"/>
            <w:gridSpan w:val="10"/>
            <w:shd w:val="clear" w:color="auto" w:fill="0000FF"/>
          </w:tcPr>
          <w:p>
            <w:pPr>
              <w:spacing w:after="0" w:line="20" w:lineRule="exact"/>
              <w:rPr>
                <w:sz w:val="1"/>
                <w:szCs w:val="1"/>
                <w:color w:val="auto"/>
              </w:rPr>
            </w:pPr>
          </w:p>
        </w:tc>
        <w:tc>
          <w:tcPr>
            <w:tcW w:w="220" w:type="dxa"/>
            <w:vAlign w:val="bottom"/>
            <w:gridSpan w:val="4"/>
            <w:shd w:val="clear" w:color="auto" w:fill="0000FF"/>
          </w:tcPr>
          <w:p>
            <w:pPr>
              <w:spacing w:after="0" w:line="20" w:lineRule="exact"/>
              <w:rPr>
                <w:sz w:val="1"/>
                <w:szCs w:val="1"/>
                <w:color w:val="auto"/>
              </w:rPr>
            </w:pPr>
          </w:p>
        </w:tc>
        <w:tc>
          <w:tcPr>
            <w:tcW w:w="380" w:type="dxa"/>
            <w:vAlign w:val="bottom"/>
            <w:gridSpan w:val="10"/>
            <w:shd w:val="clear" w:color="auto" w:fill="0000FF"/>
          </w:tcPr>
          <w:p>
            <w:pPr>
              <w:spacing w:after="0" w:line="20" w:lineRule="exact"/>
              <w:rPr>
                <w:sz w:val="1"/>
                <w:szCs w:val="1"/>
                <w:color w:val="auto"/>
              </w:rPr>
            </w:pPr>
          </w:p>
        </w:tc>
        <w:tc>
          <w:tcPr>
            <w:tcW w:w="180" w:type="dxa"/>
            <w:vAlign w:val="bottom"/>
            <w:gridSpan w:val="5"/>
          </w:tcPr>
          <w:p>
            <w:pPr>
              <w:spacing w:after="0" w:line="20" w:lineRule="exact"/>
              <w:rPr>
                <w:sz w:val="1"/>
                <w:szCs w:val="1"/>
                <w:color w:val="auto"/>
              </w:rPr>
            </w:pPr>
          </w:p>
        </w:tc>
      </w:tr>
      <w:tr>
        <w:trPr>
          <w:trHeight w:val="196"/>
        </w:trPr>
        <w:tc>
          <w:tcPr>
            <w:tcW w:w="12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400" w:type="dxa"/>
            <w:vAlign w:val="bottom"/>
            <w:tcBorders>
              <w:bottom w:val="single" w:sz="8" w:color="0000FF"/>
            </w:tcBorders>
            <w:gridSpan w:val="32"/>
          </w:tcPr>
          <w:p>
            <w:pPr>
              <w:spacing w:after="0" w:line="196" w:lineRule="exact"/>
              <w:rPr>
                <w:rFonts w:ascii="Arial" w:cs="Arial" w:eastAsia="Arial" w:hAnsi="Arial"/>
                <w:sz w:val="18"/>
                <w:szCs w:val="18"/>
                <w:color w:val="0000FF"/>
                <w:w w:val="90"/>
              </w:rPr>
            </w:pPr>
            <w:hyperlink r:id="rId62">
              <w:r>
                <w:rPr>
                  <w:rFonts w:ascii="Arial" w:cs="Arial" w:eastAsia="Arial" w:hAnsi="Arial"/>
                  <w:sz w:val="18"/>
                  <w:szCs w:val="18"/>
                  <w:color w:val="0000FF"/>
                  <w:w w:val="90"/>
                </w:rPr>
                <w:t>L.P., PAA Finance Corp and U.S. Bank National Association, as trustee (incorporated by reference to Exhibit 4.3 to PAA’s Current</w:t>
              </w:r>
            </w:hyperlink>
          </w:p>
        </w:tc>
        <w:tc>
          <w:tcPr>
            <w:tcW w:w="140" w:type="dxa"/>
            <w:vAlign w:val="bottom"/>
            <w:gridSpan w:val="3"/>
          </w:tcPr>
          <w:p>
            <w:pPr>
              <w:spacing w:after="0"/>
              <w:rPr>
                <w:sz w:val="17"/>
                <w:szCs w:val="17"/>
                <w:color w:val="auto"/>
              </w:rPr>
            </w:pPr>
          </w:p>
        </w:tc>
      </w:tr>
      <w:tr>
        <w:trPr>
          <w:trHeight w:val="196"/>
        </w:trPr>
        <w:tc>
          <w:tcPr>
            <w:tcW w:w="12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140" w:type="dxa"/>
            <w:vAlign w:val="bottom"/>
            <w:tcBorders>
              <w:bottom w:val="single" w:sz="8" w:color="0000FF"/>
            </w:tcBorders>
            <w:gridSpan w:val="2"/>
          </w:tcPr>
          <w:p>
            <w:pPr>
              <w:spacing w:after="0" w:line="196" w:lineRule="exact"/>
              <w:rPr>
                <w:rFonts w:ascii="Arial" w:cs="Arial" w:eastAsia="Arial" w:hAnsi="Arial"/>
                <w:sz w:val="18"/>
                <w:szCs w:val="18"/>
                <w:color w:val="0000FF"/>
                <w:w w:val="92"/>
              </w:rPr>
            </w:pPr>
            <w:hyperlink r:id="rId62">
              <w:r>
                <w:rPr>
                  <w:rFonts w:ascii="Arial" w:cs="Arial" w:eastAsia="Arial" w:hAnsi="Arial"/>
                  <w:sz w:val="18"/>
                  <w:szCs w:val="18"/>
                  <w:color w:val="0000FF"/>
                  <w:w w:val="92"/>
                </w:rPr>
                <w:t>Report on Form 8-K filed March 26, 2012).</w:t>
              </w:r>
            </w:hyperlink>
          </w:p>
        </w:tc>
        <w:tc>
          <w:tcPr>
            <w:tcW w:w="6400" w:type="dxa"/>
            <w:vAlign w:val="bottom"/>
            <w:gridSpan w:val="33"/>
          </w:tcPr>
          <w:p>
            <w:pPr>
              <w:spacing w:after="0"/>
              <w:rPr>
                <w:sz w:val="17"/>
                <w:szCs w:val="17"/>
                <w:color w:val="auto"/>
              </w:rPr>
            </w:pPr>
          </w:p>
        </w:tc>
      </w:tr>
      <w:tr>
        <w:trPr>
          <w:trHeight w:val="520"/>
        </w:trPr>
        <w:tc>
          <w:tcPr>
            <w:tcW w:w="1260" w:type="dxa"/>
            <w:vAlign w:val="bottom"/>
          </w:tcPr>
          <w:p>
            <w:pPr>
              <w:jc w:val="center"/>
              <w:spacing w:after="0"/>
              <w:rPr>
                <w:sz w:val="20"/>
                <w:szCs w:val="20"/>
                <w:color w:val="auto"/>
              </w:rPr>
            </w:pPr>
            <w:r>
              <w:rPr>
                <w:rFonts w:ascii="Arial" w:cs="Arial" w:eastAsia="Arial" w:hAnsi="Arial"/>
                <w:sz w:val="18"/>
                <w:szCs w:val="18"/>
                <w:color w:val="auto"/>
                <w:w w:val="87"/>
              </w:rPr>
              <w:t>4.8</w:t>
            </w:r>
          </w:p>
        </w:tc>
        <w:tc>
          <w:tcPr>
            <w:tcW w:w="580" w:type="dxa"/>
            <w:vAlign w:val="bottom"/>
          </w:tcPr>
          <w:p>
            <w:pPr>
              <w:ind w:left="4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4"/>
                <w:szCs w:val="24"/>
                <w:color w:val="auto"/>
              </w:rPr>
            </w:pPr>
          </w:p>
        </w:tc>
        <w:tc>
          <w:tcPr>
            <w:tcW w:w="8980" w:type="dxa"/>
            <w:vAlign w:val="bottom"/>
            <w:tcBorders>
              <w:bottom w:val="single" w:sz="8" w:color="0000FF"/>
            </w:tcBorders>
            <w:gridSpan w:val="20"/>
          </w:tcPr>
          <w:p>
            <w:pPr>
              <w:spacing w:after="0"/>
              <w:rPr>
                <w:rFonts w:ascii="Arial" w:cs="Arial" w:eastAsia="Arial" w:hAnsi="Arial"/>
                <w:sz w:val="18"/>
                <w:szCs w:val="18"/>
                <w:color w:val="0000FF"/>
                <w:w w:val="90"/>
              </w:rPr>
            </w:pPr>
            <w:hyperlink r:id="rId63">
              <w:r>
                <w:rPr>
                  <w:rFonts w:ascii="Arial" w:cs="Arial" w:eastAsia="Arial" w:hAnsi="Arial"/>
                  <w:sz w:val="18"/>
                  <w:szCs w:val="18"/>
                  <w:color w:val="0000FF"/>
                  <w:w w:val="90"/>
                </w:rPr>
                <w:t>Twenty-Second Supplemental Indenture (2.85% Senior Notes due 2023) dated December 10, 2012, by and among Plains All</w:t>
              </w:r>
            </w:hyperlink>
          </w:p>
        </w:tc>
        <w:tc>
          <w:tcPr>
            <w:tcW w:w="560" w:type="dxa"/>
            <w:vAlign w:val="bottom"/>
            <w:gridSpan w:val="15"/>
          </w:tcPr>
          <w:p>
            <w:pPr>
              <w:spacing w:after="0"/>
              <w:rPr>
                <w:sz w:val="24"/>
                <w:szCs w:val="24"/>
                <w:color w:val="auto"/>
              </w:rPr>
            </w:pPr>
          </w:p>
        </w:tc>
      </w:tr>
      <w:tr>
        <w:trPr>
          <w:trHeight w:val="196"/>
        </w:trPr>
        <w:tc>
          <w:tcPr>
            <w:tcW w:w="12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540" w:type="dxa"/>
            <w:vAlign w:val="bottom"/>
            <w:gridSpan w:val="35"/>
          </w:tcPr>
          <w:p>
            <w:pPr>
              <w:spacing w:after="0" w:line="196" w:lineRule="exact"/>
              <w:rPr>
                <w:rFonts w:ascii="Arial" w:cs="Arial" w:eastAsia="Arial" w:hAnsi="Arial"/>
                <w:sz w:val="18"/>
                <w:szCs w:val="18"/>
                <w:color w:val="0000FF"/>
                <w:w w:val="98"/>
              </w:rPr>
            </w:pPr>
            <w:hyperlink r:id="rId63">
              <w:r>
                <w:rPr>
                  <w:rFonts w:ascii="Arial" w:cs="Arial" w:eastAsia="Arial" w:hAnsi="Arial"/>
                  <w:sz w:val="18"/>
                  <w:szCs w:val="18"/>
                  <w:color w:val="0000FF"/>
                  <w:w w:val="98"/>
                </w:rPr>
                <w:t>American Pipeline, L.P., PAA Finance Corp. and U.S. Bank National Association, as trustee (incorporated by reference to</w:t>
              </w:r>
            </w:hyperlink>
          </w:p>
        </w:tc>
      </w:tr>
      <w:tr>
        <w:trPr>
          <w:trHeight w:val="196"/>
        </w:trPr>
        <w:tc>
          <w:tcPr>
            <w:tcW w:w="12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520" w:type="dxa"/>
            <w:vAlign w:val="bottom"/>
            <w:tcBorders>
              <w:top w:val="single" w:sz="8" w:color="0000FF"/>
              <w:bottom w:val="single" w:sz="8" w:color="0000FF"/>
            </w:tcBorders>
            <w:gridSpan w:val="6"/>
          </w:tcPr>
          <w:p>
            <w:pPr>
              <w:spacing w:after="0" w:line="196" w:lineRule="exact"/>
              <w:rPr>
                <w:rFonts w:ascii="Arial" w:cs="Arial" w:eastAsia="Arial" w:hAnsi="Arial"/>
                <w:sz w:val="18"/>
                <w:szCs w:val="18"/>
                <w:color w:val="0000FF"/>
                <w:w w:val="91"/>
              </w:rPr>
            </w:pPr>
            <w:hyperlink r:id="rId63">
              <w:r>
                <w:rPr>
                  <w:rFonts w:ascii="Arial" w:cs="Arial" w:eastAsia="Arial" w:hAnsi="Arial"/>
                  <w:sz w:val="18"/>
                  <w:szCs w:val="18"/>
                  <w:color w:val="0000FF"/>
                  <w:w w:val="91"/>
                </w:rPr>
                <w:t>Exhibit 4.1 to PAA’s Current Report on Form 8-K filed December 12, 2012).</w:t>
              </w:r>
            </w:hyperlink>
          </w:p>
        </w:tc>
        <w:tc>
          <w:tcPr>
            <w:tcW w:w="3240" w:type="dxa"/>
            <w:vAlign w:val="bottom"/>
            <w:tcBorders>
              <w:top w:val="single" w:sz="8" w:color="0000FF"/>
            </w:tcBorders>
            <w:gridSpan w:val="10"/>
          </w:tcPr>
          <w:p>
            <w:pPr>
              <w:spacing w:after="0"/>
              <w:rPr>
                <w:sz w:val="17"/>
                <w:szCs w:val="17"/>
                <w:color w:val="auto"/>
              </w:rPr>
            </w:pPr>
          </w:p>
        </w:tc>
        <w:tc>
          <w:tcPr>
            <w:tcW w:w="780" w:type="dxa"/>
            <w:vAlign w:val="bottom"/>
            <w:gridSpan w:val="19"/>
          </w:tcPr>
          <w:p>
            <w:pPr>
              <w:spacing w:after="0"/>
              <w:rPr>
                <w:sz w:val="17"/>
                <w:szCs w:val="17"/>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757" w:gutter="0" w:footer="0" w:header="0"/>
        </w:sect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65</w:t>
      </w:r>
    </w:p>
    <w:p>
      <w:pPr>
        <w:sectPr>
          <w:pgSz w:w="11900" w:h="16838" w:orient="portrait"/>
          <w:cols w:equalWidth="0" w:num="1">
            <w:col w:w="11420"/>
          </w:cols>
          <w:pgMar w:left="240" w:top="125" w:right="239" w:bottom="757" w:gutter="0" w:footer="0" w:header="0"/>
          <w:type w:val="continuous"/>
        </w:sectPr>
      </w:pPr>
    </w:p>
    <w:bookmarkStart w:id="65" w:name="page66"/>
    <w:bookmarkEnd w:id="65"/>
    <w:tbl>
      <w:tblPr>
        <w:tblLayout w:type="fixed"/>
        <w:tblInd w:w="0" w:type="dxa"/>
        <w:tblCellMar>
          <w:top w:w="0" w:type="dxa"/>
          <w:left w:w="0" w:type="dxa"/>
          <w:bottom w:w="0" w:type="dxa"/>
          <w:right w:w="0" w:type="dxa"/>
        </w:tblCellMar>
      </w:tblPr>
      <w:tr>
        <w:trPr>
          <w:trHeight w:val="207"/>
        </w:trPr>
        <w:tc>
          <w:tcPr>
            <w:tcW w:w="1280" w:type="dxa"/>
            <w:vAlign w:val="bottom"/>
            <w:tcBorders>
              <w:bottom w:val="single" w:sz="8" w:color="0000EE"/>
            </w:tcBorders>
          </w:tcPr>
          <w:p>
            <w:pPr>
              <w:jc w:val="center"/>
              <w:spacing w:after="0"/>
              <w:rPr>
                <w:rFonts w:ascii="Arial" w:cs="Arial" w:eastAsia="Arial" w:hAnsi="Arial"/>
                <w:sz w:val="18"/>
                <w:szCs w:val="18"/>
                <w:color w:val="0000EE"/>
                <w:w w:val="90"/>
              </w:rPr>
            </w:pPr>
            <w:hyperlink w:anchor="page2">
              <w:r>
                <w:rPr>
                  <w:rFonts w:ascii="Arial" w:cs="Arial" w:eastAsia="Arial" w:hAnsi="Arial"/>
                  <w:sz w:val="18"/>
                  <w:szCs w:val="18"/>
                  <w:color w:val="0000EE"/>
                  <w:w w:val="90"/>
                </w:rPr>
                <w:t>Table of Contents</w:t>
              </w:r>
            </w:hyperlink>
          </w:p>
        </w:tc>
        <w:tc>
          <w:tcPr>
            <w:tcW w:w="60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601"/>
        </w:trPr>
        <w:tc>
          <w:tcPr>
            <w:tcW w:w="1280" w:type="dxa"/>
            <w:vAlign w:val="bottom"/>
          </w:tcPr>
          <w:p>
            <w:pPr>
              <w:jc w:val="center"/>
              <w:spacing w:after="0"/>
              <w:rPr>
                <w:sz w:val="20"/>
                <w:szCs w:val="20"/>
                <w:color w:val="auto"/>
              </w:rPr>
            </w:pPr>
            <w:r>
              <w:rPr>
                <w:rFonts w:ascii="Arial" w:cs="Arial" w:eastAsia="Arial" w:hAnsi="Arial"/>
                <w:sz w:val="18"/>
                <w:szCs w:val="18"/>
                <w:color w:val="auto"/>
                <w:w w:val="87"/>
              </w:rPr>
              <w:t>4.9</w:t>
            </w:r>
          </w:p>
        </w:tc>
        <w:tc>
          <w:tcPr>
            <w:tcW w:w="600" w:type="dxa"/>
            <w:vAlign w:val="bottom"/>
          </w:tcPr>
          <w:p>
            <w:pPr>
              <w:ind w:left="20"/>
              <w:spacing w:after="0"/>
              <w:rPr>
                <w:sz w:val="20"/>
                <w:szCs w:val="20"/>
                <w:color w:val="auto"/>
              </w:rPr>
            </w:pPr>
            <w:r>
              <w:rPr>
                <w:rFonts w:ascii="Arial" w:cs="Arial" w:eastAsia="Arial" w:hAnsi="Arial"/>
                <w:sz w:val="18"/>
                <w:szCs w:val="18"/>
                <w:color w:val="auto"/>
              </w:rPr>
              <w:t>—</w:t>
            </w:r>
          </w:p>
        </w:tc>
        <w:tc>
          <w:tcPr>
            <w:tcW w:w="8860" w:type="dxa"/>
            <w:vAlign w:val="bottom"/>
            <w:tcBorders>
              <w:bottom w:val="single" w:sz="8" w:color="0000FF"/>
            </w:tcBorders>
            <w:gridSpan w:val="20"/>
          </w:tcPr>
          <w:p>
            <w:pPr>
              <w:spacing w:after="0"/>
              <w:rPr>
                <w:rFonts w:ascii="Arial" w:cs="Arial" w:eastAsia="Arial" w:hAnsi="Arial"/>
                <w:sz w:val="18"/>
                <w:szCs w:val="18"/>
                <w:color w:val="0000FF"/>
                <w:w w:val="90"/>
              </w:rPr>
            </w:pPr>
            <w:hyperlink r:id="rId64">
              <w:r>
                <w:rPr>
                  <w:rFonts w:ascii="Arial" w:cs="Arial" w:eastAsia="Arial" w:hAnsi="Arial"/>
                  <w:sz w:val="18"/>
                  <w:szCs w:val="18"/>
                  <w:color w:val="0000FF"/>
                  <w:w w:val="90"/>
                </w:rPr>
                <w:t>Twenty-Third Supplemental Indenture (4.30% Senior Notes due 2043) dated December 10, 2012, by and among Plains All</w:t>
              </w:r>
            </w:hyperlink>
          </w:p>
        </w:tc>
        <w:tc>
          <w:tcPr>
            <w:tcW w:w="600" w:type="dxa"/>
            <w:vAlign w:val="bottom"/>
            <w:gridSpan w:val="14"/>
          </w:tcPr>
          <w:p>
            <w:pPr>
              <w:spacing w:after="0"/>
              <w:rPr>
                <w:sz w:val="24"/>
                <w:szCs w:val="24"/>
                <w:color w:val="auto"/>
              </w:rPr>
            </w:pPr>
          </w:p>
        </w:tc>
      </w:tr>
      <w:tr>
        <w:trPr>
          <w:trHeight w:val="196"/>
        </w:trPr>
        <w:tc>
          <w:tcPr>
            <w:tcW w:w="12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780" w:type="dxa"/>
            <w:vAlign w:val="bottom"/>
            <w:tcBorders>
              <w:bottom w:val="single" w:sz="8" w:color="0000FF"/>
            </w:tcBorders>
            <w:gridSpan w:val="17"/>
          </w:tcPr>
          <w:p>
            <w:pPr>
              <w:spacing w:after="0" w:line="196" w:lineRule="exact"/>
              <w:rPr>
                <w:rFonts w:ascii="Arial" w:cs="Arial" w:eastAsia="Arial" w:hAnsi="Arial"/>
                <w:sz w:val="18"/>
                <w:szCs w:val="18"/>
                <w:color w:val="0000FF"/>
                <w:w w:val="90"/>
              </w:rPr>
            </w:pPr>
            <w:hyperlink r:id="rId64">
              <w:r>
                <w:rPr>
                  <w:rFonts w:ascii="Arial" w:cs="Arial" w:eastAsia="Arial" w:hAnsi="Arial"/>
                  <w:sz w:val="18"/>
                  <w:szCs w:val="18"/>
                  <w:color w:val="0000FF"/>
                  <w:w w:val="90"/>
                </w:rPr>
                <w:t>American Pipeline, L.P., PAA Finance Corp. and U.S. Bank National Association, as trustee (incorporated by reference to</w:t>
              </w:r>
            </w:hyperlink>
          </w:p>
        </w:tc>
        <w:tc>
          <w:tcPr>
            <w:tcW w:w="680" w:type="dxa"/>
            <w:vAlign w:val="bottom"/>
            <w:gridSpan w:val="17"/>
          </w:tcPr>
          <w:p>
            <w:pPr>
              <w:spacing w:after="0"/>
              <w:rPr>
                <w:sz w:val="17"/>
                <w:szCs w:val="17"/>
                <w:color w:val="auto"/>
              </w:rPr>
            </w:pPr>
          </w:p>
        </w:tc>
      </w:tr>
      <w:tr>
        <w:trPr>
          <w:trHeight w:val="196"/>
        </w:trPr>
        <w:tc>
          <w:tcPr>
            <w:tcW w:w="12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5520" w:type="dxa"/>
            <w:vAlign w:val="bottom"/>
            <w:tcBorders>
              <w:bottom w:val="single" w:sz="8" w:color="0000FF"/>
            </w:tcBorders>
            <w:gridSpan w:val="10"/>
          </w:tcPr>
          <w:p>
            <w:pPr>
              <w:spacing w:after="0" w:line="196" w:lineRule="exact"/>
              <w:rPr>
                <w:rFonts w:ascii="Arial" w:cs="Arial" w:eastAsia="Arial" w:hAnsi="Arial"/>
                <w:sz w:val="18"/>
                <w:szCs w:val="18"/>
                <w:color w:val="0000FF"/>
                <w:w w:val="91"/>
              </w:rPr>
            </w:pPr>
            <w:hyperlink r:id="rId64">
              <w:r>
                <w:rPr>
                  <w:rFonts w:ascii="Arial" w:cs="Arial" w:eastAsia="Arial" w:hAnsi="Arial"/>
                  <w:sz w:val="18"/>
                  <w:szCs w:val="18"/>
                  <w:color w:val="0000FF"/>
                  <w:w w:val="91"/>
                </w:rPr>
                <w:t>Exhibit 4.3 to PAA’s Current Report on Form 8-K filed December 12, 2012).</w:t>
              </w:r>
            </w:hyperlink>
          </w:p>
        </w:tc>
        <w:tc>
          <w:tcPr>
            <w:tcW w:w="3940" w:type="dxa"/>
            <w:vAlign w:val="bottom"/>
            <w:gridSpan w:val="24"/>
          </w:tcPr>
          <w:p>
            <w:pPr>
              <w:spacing w:after="0"/>
              <w:rPr>
                <w:sz w:val="17"/>
                <w:szCs w:val="17"/>
                <w:color w:val="auto"/>
              </w:rPr>
            </w:pPr>
          </w:p>
        </w:tc>
      </w:tr>
      <w:tr>
        <w:trPr>
          <w:trHeight w:val="520"/>
        </w:trPr>
        <w:tc>
          <w:tcPr>
            <w:tcW w:w="1280" w:type="dxa"/>
            <w:vAlign w:val="bottom"/>
          </w:tcPr>
          <w:p>
            <w:pPr>
              <w:jc w:val="center"/>
              <w:spacing w:after="0"/>
              <w:rPr>
                <w:sz w:val="20"/>
                <w:szCs w:val="20"/>
                <w:color w:val="auto"/>
              </w:rPr>
            </w:pPr>
            <w:r>
              <w:rPr>
                <w:rFonts w:ascii="Arial" w:cs="Arial" w:eastAsia="Arial" w:hAnsi="Arial"/>
                <w:sz w:val="18"/>
                <w:szCs w:val="18"/>
                <w:color w:val="auto"/>
                <w:w w:val="91"/>
              </w:rPr>
              <w:t>4.10</w:t>
            </w:r>
          </w:p>
        </w:tc>
        <w:tc>
          <w:tcPr>
            <w:tcW w:w="600" w:type="dxa"/>
            <w:vAlign w:val="bottom"/>
          </w:tcPr>
          <w:p>
            <w:pPr>
              <w:ind w:left="20"/>
              <w:spacing w:after="0"/>
              <w:rPr>
                <w:sz w:val="20"/>
                <w:szCs w:val="20"/>
                <w:color w:val="auto"/>
              </w:rPr>
            </w:pPr>
            <w:r>
              <w:rPr>
                <w:rFonts w:ascii="Arial" w:cs="Arial" w:eastAsia="Arial" w:hAnsi="Arial"/>
                <w:sz w:val="18"/>
                <w:szCs w:val="18"/>
                <w:color w:val="auto"/>
              </w:rPr>
              <w:t>—</w:t>
            </w:r>
          </w:p>
        </w:tc>
        <w:tc>
          <w:tcPr>
            <w:tcW w:w="9460" w:type="dxa"/>
            <w:vAlign w:val="bottom"/>
            <w:tcBorders>
              <w:bottom w:val="single" w:sz="8" w:color="0000FF"/>
            </w:tcBorders>
            <w:gridSpan w:val="34"/>
          </w:tcPr>
          <w:p>
            <w:pPr>
              <w:spacing w:after="0"/>
              <w:rPr>
                <w:rFonts w:ascii="Arial" w:cs="Arial" w:eastAsia="Arial" w:hAnsi="Arial"/>
                <w:sz w:val="18"/>
                <w:szCs w:val="18"/>
                <w:color w:val="0000FF"/>
                <w:w w:val="90"/>
              </w:rPr>
            </w:pPr>
            <w:hyperlink r:id="rId65">
              <w:r>
                <w:rPr>
                  <w:rFonts w:ascii="Arial" w:cs="Arial" w:eastAsia="Arial" w:hAnsi="Arial"/>
                  <w:sz w:val="18"/>
                  <w:szCs w:val="18"/>
                  <w:color w:val="0000FF"/>
                  <w:w w:val="90"/>
                </w:rPr>
                <w:t>Twenty-Fourth Supplemental Indenture (3.85% Senior Notes due 2023) dated August 15, 2013, by and among Plains All American</w:t>
              </w:r>
            </w:hyperlink>
          </w:p>
        </w:tc>
      </w:tr>
      <w:tr>
        <w:trPr>
          <w:trHeight w:val="196"/>
        </w:trPr>
        <w:tc>
          <w:tcPr>
            <w:tcW w:w="12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040" w:type="dxa"/>
            <w:vAlign w:val="bottom"/>
            <w:tcBorders>
              <w:bottom w:val="single" w:sz="8" w:color="0000FF"/>
            </w:tcBorders>
            <w:gridSpan w:val="22"/>
          </w:tcPr>
          <w:p>
            <w:pPr>
              <w:spacing w:after="0" w:line="196" w:lineRule="exact"/>
              <w:rPr>
                <w:rFonts w:ascii="Arial" w:cs="Arial" w:eastAsia="Arial" w:hAnsi="Arial"/>
                <w:sz w:val="18"/>
                <w:szCs w:val="18"/>
                <w:color w:val="0000FF"/>
                <w:w w:val="90"/>
              </w:rPr>
            </w:pPr>
            <w:hyperlink r:id="rId65">
              <w:r>
                <w:rPr>
                  <w:rFonts w:ascii="Arial" w:cs="Arial" w:eastAsia="Arial" w:hAnsi="Arial"/>
                  <w:sz w:val="18"/>
                  <w:szCs w:val="18"/>
                  <w:color w:val="0000FF"/>
                  <w:w w:val="90"/>
                </w:rPr>
                <w:t>Pipeline, L.P., PAA Finance Corp. and U.S. Bank National Association, as trustee (incorporated by reference to Exhibit 4.1 to</w:t>
              </w:r>
            </w:hyperlink>
          </w:p>
        </w:tc>
        <w:tc>
          <w:tcPr>
            <w:tcW w:w="420" w:type="dxa"/>
            <w:vAlign w:val="bottom"/>
            <w:gridSpan w:val="12"/>
          </w:tcPr>
          <w:p>
            <w:pPr>
              <w:spacing w:after="0"/>
              <w:rPr>
                <w:sz w:val="17"/>
                <w:szCs w:val="17"/>
                <w:color w:val="auto"/>
              </w:rPr>
            </w:pPr>
          </w:p>
        </w:tc>
      </w:tr>
      <w:tr>
        <w:trPr>
          <w:trHeight w:val="196"/>
        </w:trPr>
        <w:tc>
          <w:tcPr>
            <w:tcW w:w="12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460" w:type="dxa"/>
            <w:vAlign w:val="bottom"/>
            <w:gridSpan w:val="34"/>
          </w:tcPr>
          <w:p>
            <w:pPr>
              <w:spacing w:after="0" w:line="196" w:lineRule="exact"/>
              <w:rPr>
                <w:rFonts w:ascii="Arial" w:cs="Arial" w:eastAsia="Arial" w:hAnsi="Arial"/>
                <w:sz w:val="18"/>
                <w:szCs w:val="18"/>
                <w:color w:val="0000FF"/>
              </w:rPr>
            </w:pPr>
            <w:hyperlink r:id="rId65">
              <w:r>
                <w:rPr>
                  <w:rFonts w:ascii="Arial" w:cs="Arial" w:eastAsia="Arial" w:hAnsi="Arial"/>
                  <w:sz w:val="18"/>
                  <w:szCs w:val="18"/>
                  <w:color w:val="0000FF"/>
                </w:rPr>
                <w:t>PAA’s Current Report on Form 8-K filed August 15, 2013).</w:t>
              </w:r>
            </w:hyperlink>
          </w:p>
        </w:tc>
      </w:tr>
      <w:tr>
        <w:trPr>
          <w:trHeight w:val="20"/>
        </w:trPr>
        <w:tc>
          <w:tcPr>
            <w:tcW w:w="12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720" w:type="dxa"/>
            <w:vAlign w:val="bottom"/>
            <w:shd w:val="clear" w:color="auto" w:fill="0000FF"/>
          </w:tcPr>
          <w:p>
            <w:pPr>
              <w:spacing w:after="0" w:line="20" w:lineRule="exact"/>
              <w:rPr>
                <w:sz w:val="1"/>
                <w:szCs w:val="1"/>
                <w:color w:val="auto"/>
              </w:rPr>
            </w:pPr>
          </w:p>
        </w:tc>
        <w:tc>
          <w:tcPr>
            <w:tcW w:w="19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520"/>
        </w:trPr>
        <w:tc>
          <w:tcPr>
            <w:tcW w:w="1280" w:type="dxa"/>
            <w:vAlign w:val="bottom"/>
          </w:tcPr>
          <w:p>
            <w:pPr>
              <w:jc w:val="center"/>
              <w:spacing w:after="0"/>
              <w:rPr>
                <w:sz w:val="20"/>
                <w:szCs w:val="20"/>
                <w:color w:val="auto"/>
              </w:rPr>
            </w:pPr>
            <w:r>
              <w:rPr>
                <w:rFonts w:ascii="Arial" w:cs="Arial" w:eastAsia="Arial" w:hAnsi="Arial"/>
                <w:sz w:val="18"/>
                <w:szCs w:val="18"/>
                <w:color w:val="auto"/>
                <w:w w:val="91"/>
              </w:rPr>
              <w:t>4.11</w:t>
            </w:r>
          </w:p>
        </w:tc>
        <w:tc>
          <w:tcPr>
            <w:tcW w:w="600" w:type="dxa"/>
            <w:vAlign w:val="bottom"/>
          </w:tcPr>
          <w:p>
            <w:pPr>
              <w:ind w:left="20"/>
              <w:spacing w:after="0"/>
              <w:rPr>
                <w:sz w:val="20"/>
                <w:szCs w:val="20"/>
                <w:color w:val="auto"/>
              </w:rPr>
            </w:pPr>
            <w:r>
              <w:rPr>
                <w:rFonts w:ascii="Arial" w:cs="Arial" w:eastAsia="Arial" w:hAnsi="Arial"/>
                <w:sz w:val="18"/>
                <w:szCs w:val="18"/>
                <w:color w:val="auto"/>
              </w:rPr>
              <w:t>—</w:t>
            </w:r>
          </w:p>
        </w:tc>
        <w:tc>
          <w:tcPr>
            <w:tcW w:w="9460" w:type="dxa"/>
            <w:vAlign w:val="bottom"/>
            <w:gridSpan w:val="34"/>
          </w:tcPr>
          <w:p>
            <w:pPr>
              <w:spacing w:after="0"/>
              <w:rPr>
                <w:rFonts w:ascii="Arial" w:cs="Arial" w:eastAsia="Arial" w:hAnsi="Arial"/>
                <w:sz w:val="18"/>
                <w:szCs w:val="18"/>
                <w:color w:val="0000FF"/>
                <w:w w:val="94"/>
              </w:rPr>
            </w:pPr>
            <w:hyperlink r:id="rId66">
              <w:r>
                <w:rPr>
                  <w:rFonts w:ascii="Arial" w:cs="Arial" w:eastAsia="Arial" w:hAnsi="Arial"/>
                  <w:sz w:val="18"/>
                  <w:szCs w:val="18"/>
                  <w:color w:val="0000FF"/>
                  <w:w w:val="94"/>
                </w:rPr>
                <w:t>Twenty-Fifth Supplemental Indenture (4.70% Senior Notes due 2044) dated April 23, 2014, by and among Plains All American</w:t>
              </w:r>
            </w:hyperlink>
          </w:p>
        </w:tc>
      </w:tr>
      <w:tr>
        <w:trPr>
          <w:trHeight w:val="20"/>
        </w:trPr>
        <w:tc>
          <w:tcPr>
            <w:tcW w:w="12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720" w:type="dxa"/>
            <w:vAlign w:val="bottom"/>
            <w:shd w:val="clear" w:color="auto" w:fill="0000FF"/>
          </w:tcPr>
          <w:p>
            <w:pPr>
              <w:spacing w:after="0" w:line="20" w:lineRule="exact"/>
              <w:rPr>
                <w:sz w:val="1"/>
                <w:szCs w:val="1"/>
                <w:color w:val="auto"/>
              </w:rPr>
            </w:pPr>
          </w:p>
        </w:tc>
        <w:tc>
          <w:tcPr>
            <w:tcW w:w="19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40" w:type="dxa"/>
            <w:vAlign w:val="bottom"/>
            <w:gridSpan w:val="2"/>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gridSpan w:val="2"/>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12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460" w:type="dxa"/>
            <w:vAlign w:val="bottom"/>
            <w:gridSpan w:val="34"/>
          </w:tcPr>
          <w:p>
            <w:pPr>
              <w:spacing w:after="0" w:line="196" w:lineRule="exact"/>
              <w:rPr>
                <w:rFonts w:ascii="Arial" w:cs="Arial" w:eastAsia="Arial" w:hAnsi="Arial"/>
                <w:sz w:val="18"/>
                <w:szCs w:val="18"/>
                <w:color w:val="0000FF"/>
                <w:w w:val="92"/>
              </w:rPr>
            </w:pPr>
            <w:hyperlink r:id="rId66">
              <w:r>
                <w:rPr>
                  <w:rFonts w:ascii="Arial" w:cs="Arial" w:eastAsia="Arial" w:hAnsi="Arial"/>
                  <w:sz w:val="18"/>
                  <w:szCs w:val="18"/>
                  <w:color w:val="0000FF"/>
                  <w:w w:val="92"/>
                </w:rPr>
                <w:t>Pipeline, L.P., PAA Finance Corp. and U.S. Bank National Association, as trustee (incorporated by reference to Exhibit 4.1 to our</w:t>
              </w:r>
            </w:hyperlink>
          </w:p>
        </w:tc>
      </w:tr>
      <w:tr>
        <w:trPr>
          <w:trHeight w:val="196"/>
        </w:trPr>
        <w:tc>
          <w:tcPr>
            <w:tcW w:w="12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660" w:type="dxa"/>
            <w:vAlign w:val="bottom"/>
            <w:tcBorders>
              <w:top w:val="single" w:sz="8" w:color="0000FF"/>
              <w:bottom w:val="single" w:sz="8" w:color="0000FF"/>
            </w:tcBorders>
            <w:gridSpan w:val="3"/>
          </w:tcPr>
          <w:p>
            <w:pPr>
              <w:spacing w:after="0" w:line="196" w:lineRule="exact"/>
              <w:rPr>
                <w:rFonts w:ascii="Arial" w:cs="Arial" w:eastAsia="Arial" w:hAnsi="Arial"/>
                <w:sz w:val="18"/>
                <w:szCs w:val="18"/>
                <w:color w:val="0000FF"/>
                <w:w w:val="93"/>
              </w:rPr>
            </w:pPr>
            <w:hyperlink r:id="rId66">
              <w:r>
                <w:rPr>
                  <w:rFonts w:ascii="Arial" w:cs="Arial" w:eastAsia="Arial" w:hAnsi="Arial"/>
                  <w:sz w:val="18"/>
                  <w:szCs w:val="18"/>
                  <w:color w:val="0000FF"/>
                  <w:w w:val="93"/>
                </w:rPr>
                <w:t>Current Report on Form 8-K filed April 29, 2014).</w:t>
              </w:r>
            </w:hyperlink>
          </w:p>
        </w:tc>
        <w:tc>
          <w:tcPr>
            <w:tcW w:w="5660" w:type="dxa"/>
            <w:vAlign w:val="bottom"/>
            <w:tcBorders>
              <w:top w:val="single" w:sz="8" w:color="0000FF"/>
            </w:tcBorders>
            <w:gridSpan w:val="25"/>
          </w:tcPr>
          <w:p>
            <w:pPr>
              <w:spacing w:after="0"/>
              <w:rPr>
                <w:sz w:val="17"/>
                <w:szCs w:val="17"/>
                <w:color w:val="auto"/>
              </w:rPr>
            </w:pPr>
          </w:p>
        </w:tc>
        <w:tc>
          <w:tcPr>
            <w:tcW w:w="140" w:type="dxa"/>
            <w:vAlign w:val="bottom"/>
            <w:gridSpan w:val="6"/>
          </w:tcPr>
          <w:p>
            <w:pPr>
              <w:spacing w:after="0"/>
              <w:rPr>
                <w:sz w:val="17"/>
                <w:szCs w:val="17"/>
                <w:color w:val="auto"/>
              </w:rPr>
            </w:pPr>
          </w:p>
        </w:tc>
      </w:tr>
      <w:tr>
        <w:trPr>
          <w:trHeight w:val="520"/>
        </w:trPr>
        <w:tc>
          <w:tcPr>
            <w:tcW w:w="1280" w:type="dxa"/>
            <w:vAlign w:val="bottom"/>
          </w:tcPr>
          <w:p>
            <w:pPr>
              <w:jc w:val="center"/>
              <w:spacing w:after="0"/>
              <w:rPr>
                <w:sz w:val="20"/>
                <w:szCs w:val="20"/>
                <w:color w:val="auto"/>
              </w:rPr>
            </w:pPr>
            <w:r>
              <w:rPr>
                <w:rFonts w:ascii="Arial" w:cs="Arial" w:eastAsia="Arial" w:hAnsi="Arial"/>
                <w:sz w:val="18"/>
                <w:szCs w:val="18"/>
                <w:color w:val="auto"/>
                <w:w w:val="91"/>
              </w:rPr>
              <w:t>4.12</w:t>
            </w:r>
          </w:p>
        </w:tc>
        <w:tc>
          <w:tcPr>
            <w:tcW w:w="600" w:type="dxa"/>
            <w:vAlign w:val="bottom"/>
          </w:tcPr>
          <w:p>
            <w:pPr>
              <w:ind w:left="20"/>
              <w:spacing w:after="0"/>
              <w:rPr>
                <w:sz w:val="20"/>
                <w:szCs w:val="20"/>
                <w:color w:val="auto"/>
              </w:rPr>
            </w:pPr>
            <w:r>
              <w:rPr>
                <w:rFonts w:ascii="Arial" w:cs="Arial" w:eastAsia="Arial" w:hAnsi="Arial"/>
                <w:sz w:val="18"/>
                <w:szCs w:val="18"/>
                <w:color w:val="auto"/>
              </w:rPr>
              <w:t>—</w:t>
            </w:r>
          </w:p>
        </w:tc>
        <w:tc>
          <w:tcPr>
            <w:tcW w:w="9460" w:type="dxa"/>
            <w:vAlign w:val="bottom"/>
            <w:gridSpan w:val="34"/>
          </w:tcPr>
          <w:p>
            <w:pPr>
              <w:spacing w:after="0"/>
              <w:rPr>
                <w:rFonts w:ascii="Arial" w:cs="Arial" w:eastAsia="Arial" w:hAnsi="Arial"/>
                <w:sz w:val="18"/>
                <w:szCs w:val="18"/>
                <w:color w:val="0000FF"/>
                <w:w w:val="97"/>
              </w:rPr>
            </w:pPr>
            <w:hyperlink r:id="rId67">
              <w:r>
                <w:rPr>
                  <w:rFonts w:ascii="Arial" w:cs="Arial" w:eastAsia="Arial" w:hAnsi="Arial"/>
                  <w:sz w:val="18"/>
                  <w:szCs w:val="18"/>
                  <w:color w:val="0000FF"/>
                  <w:w w:val="97"/>
                </w:rPr>
                <w:t>Twenty-Sixth Supplemental Indenture (3.60% Senior Notes due 2024) dated September 9, 2014, by and among Plains All</w:t>
              </w:r>
            </w:hyperlink>
          </w:p>
        </w:tc>
      </w:tr>
      <w:tr>
        <w:trPr>
          <w:trHeight w:val="20"/>
        </w:trPr>
        <w:tc>
          <w:tcPr>
            <w:tcW w:w="12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720" w:type="dxa"/>
            <w:vAlign w:val="bottom"/>
            <w:shd w:val="clear" w:color="auto" w:fill="0000FF"/>
          </w:tcPr>
          <w:p>
            <w:pPr>
              <w:spacing w:after="0" w:line="20" w:lineRule="exact"/>
              <w:rPr>
                <w:sz w:val="1"/>
                <w:szCs w:val="1"/>
                <w:color w:val="auto"/>
              </w:rPr>
            </w:pPr>
          </w:p>
        </w:tc>
        <w:tc>
          <w:tcPr>
            <w:tcW w:w="1920" w:type="dxa"/>
            <w:vAlign w:val="bottom"/>
            <w:shd w:val="clear" w:color="auto" w:fill="0000FF"/>
          </w:tcPr>
          <w:p>
            <w:pPr>
              <w:spacing w:after="0" w:line="20" w:lineRule="exact"/>
              <w:rPr>
                <w:sz w:val="1"/>
                <w:szCs w:val="1"/>
                <w:color w:val="auto"/>
              </w:rPr>
            </w:pPr>
          </w:p>
        </w:tc>
        <w:tc>
          <w:tcPr>
            <w:tcW w:w="860" w:type="dxa"/>
            <w:vAlign w:val="bottom"/>
            <w:gridSpan w:val="3"/>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12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780" w:type="dxa"/>
            <w:vAlign w:val="bottom"/>
            <w:tcBorders>
              <w:bottom w:val="single" w:sz="8" w:color="0000FF"/>
            </w:tcBorders>
            <w:gridSpan w:val="17"/>
          </w:tcPr>
          <w:p>
            <w:pPr>
              <w:spacing w:after="0" w:line="196" w:lineRule="exact"/>
              <w:rPr>
                <w:rFonts w:ascii="Arial" w:cs="Arial" w:eastAsia="Arial" w:hAnsi="Arial"/>
                <w:sz w:val="18"/>
                <w:szCs w:val="18"/>
                <w:color w:val="0000FF"/>
                <w:w w:val="90"/>
              </w:rPr>
            </w:pPr>
            <w:hyperlink r:id="rId67">
              <w:r>
                <w:rPr>
                  <w:rFonts w:ascii="Arial" w:cs="Arial" w:eastAsia="Arial" w:hAnsi="Arial"/>
                  <w:sz w:val="18"/>
                  <w:szCs w:val="18"/>
                  <w:color w:val="0000FF"/>
                  <w:w w:val="90"/>
                </w:rPr>
                <w:t>American Pipeline, L.P., PAA Finance Corp. and U.S. Bank National Association, as trustee (incorporated by reference to</w:t>
              </w:r>
            </w:hyperlink>
          </w:p>
        </w:tc>
        <w:tc>
          <w:tcPr>
            <w:tcW w:w="680" w:type="dxa"/>
            <w:vAlign w:val="bottom"/>
            <w:gridSpan w:val="17"/>
          </w:tcPr>
          <w:p>
            <w:pPr>
              <w:spacing w:after="0"/>
              <w:rPr>
                <w:sz w:val="17"/>
                <w:szCs w:val="17"/>
                <w:color w:val="auto"/>
              </w:rPr>
            </w:pPr>
          </w:p>
        </w:tc>
      </w:tr>
      <w:tr>
        <w:trPr>
          <w:trHeight w:val="196"/>
        </w:trPr>
        <w:tc>
          <w:tcPr>
            <w:tcW w:w="12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5340" w:type="dxa"/>
            <w:vAlign w:val="bottom"/>
            <w:tcBorders>
              <w:bottom w:val="single" w:sz="8" w:color="0000FF"/>
            </w:tcBorders>
            <w:gridSpan w:val="9"/>
          </w:tcPr>
          <w:p>
            <w:pPr>
              <w:spacing w:after="0" w:line="196" w:lineRule="exact"/>
              <w:rPr>
                <w:rFonts w:ascii="Arial" w:cs="Arial" w:eastAsia="Arial" w:hAnsi="Arial"/>
                <w:sz w:val="18"/>
                <w:szCs w:val="18"/>
                <w:color w:val="0000FF"/>
                <w:w w:val="91"/>
              </w:rPr>
            </w:pPr>
            <w:hyperlink r:id="rId67">
              <w:r>
                <w:rPr>
                  <w:rFonts w:ascii="Arial" w:cs="Arial" w:eastAsia="Arial" w:hAnsi="Arial"/>
                  <w:sz w:val="18"/>
                  <w:szCs w:val="18"/>
                  <w:color w:val="0000FF"/>
                  <w:w w:val="91"/>
                </w:rPr>
                <w:t>Exhibit 4.1 to our Current Report on Form 8-K filed September 11, 2014).</w:t>
              </w:r>
            </w:hyperlink>
          </w:p>
        </w:tc>
        <w:tc>
          <w:tcPr>
            <w:tcW w:w="4120" w:type="dxa"/>
            <w:vAlign w:val="bottom"/>
            <w:gridSpan w:val="25"/>
          </w:tcPr>
          <w:p>
            <w:pPr>
              <w:spacing w:after="0"/>
              <w:rPr>
                <w:sz w:val="17"/>
                <w:szCs w:val="17"/>
                <w:color w:val="auto"/>
              </w:rPr>
            </w:pPr>
          </w:p>
        </w:tc>
      </w:tr>
      <w:tr>
        <w:trPr>
          <w:trHeight w:val="520"/>
        </w:trPr>
        <w:tc>
          <w:tcPr>
            <w:tcW w:w="1280" w:type="dxa"/>
            <w:vAlign w:val="bottom"/>
          </w:tcPr>
          <w:p>
            <w:pPr>
              <w:jc w:val="center"/>
              <w:spacing w:after="0"/>
              <w:rPr>
                <w:sz w:val="20"/>
                <w:szCs w:val="20"/>
                <w:color w:val="auto"/>
              </w:rPr>
            </w:pPr>
            <w:r>
              <w:rPr>
                <w:rFonts w:ascii="Arial" w:cs="Arial" w:eastAsia="Arial" w:hAnsi="Arial"/>
                <w:sz w:val="18"/>
                <w:szCs w:val="18"/>
                <w:color w:val="auto"/>
                <w:w w:val="91"/>
              </w:rPr>
              <w:t>4.13</w:t>
            </w:r>
          </w:p>
        </w:tc>
        <w:tc>
          <w:tcPr>
            <w:tcW w:w="600" w:type="dxa"/>
            <w:vAlign w:val="bottom"/>
          </w:tcPr>
          <w:p>
            <w:pPr>
              <w:ind w:left="20"/>
              <w:spacing w:after="0"/>
              <w:rPr>
                <w:sz w:val="20"/>
                <w:szCs w:val="20"/>
                <w:color w:val="auto"/>
              </w:rPr>
            </w:pPr>
            <w:r>
              <w:rPr>
                <w:rFonts w:ascii="Arial" w:cs="Arial" w:eastAsia="Arial" w:hAnsi="Arial"/>
                <w:sz w:val="18"/>
                <w:szCs w:val="18"/>
                <w:color w:val="auto"/>
              </w:rPr>
              <w:t>—</w:t>
            </w:r>
          </w:p>
        </w:tc>
        <w:tc>
          <w:tcPr>
            <w:tcW w:w="8940" w:type="dxa"/>
            <w:vAlign w:val="bottom"/>
            <w:tcBorders>
              <w:bottom w:val="single" w:sz="8" w:color="0000FF"/>
            </w:tcBorders>
            <w:gridSpan w:val="21"/>
          </w:tcPr>
          <w:p>
            <w:pPr>
              <w:spacing w:after="0"/>
              <w:rPr>
                <w:rFonts w:ascii="Arial" w:cs="Arial" w:eastAsia="Arial" w:hAnsi="Arial"/>
                <w:sz w:val="18"/>
                <w:szCs w:val="18"/>
                <w:color w:val="0000FF"/>
                <w:w w:val="90"/>
              </w:rPr>
            </w:pPr>
            <w:hyperlink r:id="rId68">
              <w:r>
                <w:rPr>
                  <w:rFonts w:ascii="Arial" w:cs="Arial" w:eastAsia="Arial" w:hAnsi="Arial"/>
                  <w:sz w:val="18"/>
                  <w:szCs w:val="18"/>
                  <w:color w:val="0000FF"/>
                  <w:w w:val="90"/>
                </w:rPr>
                <w:t>Twenty-Seventh Supplemental Indenture (2.60% Senior Notes due 2019) dated December 9, 2014, by and among Plains All</w:t>
              </w:r>
            </w:hyperlink>
          </w:p>
        </w:tc>
        <w:tc>
          <w:tcPr>
            <w:tcW w:w="520" w:type="dxa"/>
            <w:vAlign w:val="bottom"/>
            <w:gridSpan w:val="13"/>
          </w:tcPr>
          <w:p>
            <w:pPr>
              <w:spacing w:after="0"/>
              <w:rPr>
                <w:sz w:val="24"/>
                <w:szCs w:val="24"/>
                <w:color w:val="auto"/>
              </w:rPr>
            </w:pPr>
          </w:p>
        </w:tc>
      </w:tr>
      <w:tr>
        <w:trPr>
          <w:trHeight w:val="196"/>
        </w:trPr>
        <w:tc>
          <w:tcPr>
            <w:tcW w:w="12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460" w:type="dxa"/>
            <w:vAlign w:val="bottom"/>
            <w:gridSpan w:val="34"/>
          </w:tcPr>
          <w:p>
            <w:pPr>
              <w:spacing w:after="0" w:line="196" w:lineRule="exact"/>
              <w:rPr>
                <w:rFonts w:ascii="Arial" w:cs="Arial" w:eastAsia="Arial" w:hAnsi="Arial"/>
                <w:sz w:val="18"/>
                <w:szCs w:val="18"/>
                <w:color w:val="0000FF"/>
                <w:w w:val="97"/>
              </w:rPr>
            </w:pPr>
            <w:hyperlink r:id="rId68">
              <w:r>
                <w:rPr>
                  <w:rFonts w:ascii="Arial" w:cs="Arial" w:eastAsia="Arial" w:hAnsi="Arial"/>
                  <w:sz w:val="18"/>
                  <w:szCs w:val="18"/>
                  <w:color w:val="0000FF"/>
                  <w:w w:val="97"/>
                </w:rPr>
                <w:t>American Pipeline, L.P., PAA Finance Corp., and U.S. Bank National Association, as trustee (incorporated by reference to</w:t>
              </w:r>
            </w:hyperlink>
          </w:p>
        </w:tc>
      </w:tr>
      <w:tr>
        <w:trPr>
          <w:trHeight w:val="196"/>
        </w:trPr>
        <w:tc>
          <w:tcPr>
            <w:tcW w:w="12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800" w:type="dxa"/>
            <w:vAlign w:val="bottom"/>
            <w:tcBorders>
              <w:top w:val="single" w:sz="8" w:color="0000FF"/>
            </w:tcBorders>
            <w:gridSpan w:val="18"/>
          </w:tcPr>
          <w:p>
            <w:pPr>
              <w:spacing w:after="0" w:line="196" w:lineRule="exact"/>
              <w:rPr>
                <w:rFonts w:ascii="Arial" w:cs="Arial" w:eastAsia="Arial" w:hAnsi="Arial"/>
                <w:sz w:val="18"/>
                <w:szCs w:val="18"/>
                <w:color w:val="0000FF"/>
              </w:rPr>
            </w:pPr>
            <w:hyperlink r:id="rId68">
              <w:r>
                <w:rPr>
                  <w:rFonts w:ascii="Arial" w:cs="Arial" w:eastAsia="Arial" w:hAnsi="Arial"/>
                  <w:sz w:val="18"/>
                  <w:szCs w:val="18"/>
                  <w:color w:val="0000FF"/>
                </w:rPr>
                <w:t>Exhibit 4.1 to our Current Report on Form 8-K filed December 11, 2014).</w:t>
              </w:r>
            </w:hyperlink>
          </w:p>
        </w:tc>
        <w:tc>
          <w:tcPr>
            <w:tcW w:w="660" w:type="dxa"/>
            <w:vAlign w:val="bottom"/>
            <w:gridSpan w:val="16"/>
          </w:tcPr>
          <w:p>
            <w:pPr>
              <w:spacing w:after="0"/>
              <w:rPr>
                <w:sz w:val="17"/>
                <w:szCs w:val="17"/>
                <w:color w:val="auto"/>
              </w:rPr>
            </w:pPr>
          </w:p>
        </w:tc>
      </w:tr>
      <w:tr>
        <w:trPr>
          <w:trHeight w:val="20"/>
        </w:trPr>
        <w:tc>
          <w:tcPr>
            <w:tcW w:w="12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720" w:type="dxa"/>
            <w:vAlign w:val="bottom"/>
            <w:shd w:val="clear" w:color="auto" w:fill="0000FF"/>
          </w:tcPr>
          <w:p>
            <w:pPr>
              <w:spacing w:after="0" w:line="20" w:lineRule="exact"/>
              <w:rPr>
                <w:sz w:val="1"/>
                <w:szCs w:val="1"/>
                <w:color w:val="auto"/>
              </w:rPr>
            </w:pPr>
          </w:p>
        </w:tc>
        <w:tc>
          <w:tcPr>
            <w:tcW w:w="1920" w:type="dxa"/>
            <w:vAlign w:val="bottom"/>
            <w:shd w:val="clear" w:color="auto" w:fill="0000FF"/>
          </w:tcPr>
          <w:p>
            <w:pPr>
              <w:spacing w:after="0" w:line="20" w:lineRule="exact"/>
              <w:rPr>
                <w:sz w:val="1"/>
                <w:szCs w:val="1"/>
                <w:color w:val="auto"/>
              </w:rPr>
            </w:pPr>
          </w:p>
        </w:tc>
        <w:tc>
          <w:tcPr>
            <w:tcW w:w="860" w:type="dxa"/>
            <w:vAlign w:val="bottom"/>
            <w:gridSpan w:val="3"/>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24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80" w:type="dxa"/>
            <w:vAlign w:val="bottom"/>
            <w:gridSpan w:val="4"/>
          </w:tcPr>
          <w:p>
            <w:pPr>
              <w:spacing w:after="0" w:line="20" w:lineRule="exact"/>
              <w:rPr>
                <w:sz w:val="1"/>
                <w:szCs w:val="1"/>
                <w:color w:val="auto"/>
              </w:rPr>
            </w:pPr>
          </w:p>
        </w:tc>
        <w:tc>
          <w:tcPr>
            <w:tcW w:w="2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520"/>
        </w:trPr>
        <w:tc>
          <w:tcPr>
            <w:tcW w:w="1280" w:type="dxa"/>
            <w:vAlign w:val="bottom"/>
          </w:tcPr>
          <w:p>
            <w:pPr>
              <w:jc w:val="center"/>
              <w:spacing w:after="0"/>
              <w:rPr>
                <w:sz w:val="20"/>
                <w:szCs w:val="20"/>
                <w:color w:val="auto"/>
              </w:rPr>
            </w:pPr>
            <w:r>
              <w:rPr>
                <w:rFonts w:ascii="Arial" w:cs="Arial" w:eastAsia="Arial" w:hAnsi="Arial"/>
                <w:sz w:val="18"/>
                <w:szCs w:val="18"/>
                <w:color w:val="auto"/>
                <w:w w:val="91"/>
              </w:rPr>
              <w:t>4.14</w:t>
            </w:r>
          </w:p>
        </w:tc>
        <w:tc>
          <w:tcPr>
            <w:tcW w:w="600" w:type="dxa"/>
            <w:vAlign w:val="bottom"/>
          </w:tcPr>
          <w:p>
            <w:pPr>
              <w:ind w:left="20"/>
              <w:spacing w:after="0"/>
              <w:rPr>
                <w:sz w:val="20"/>
                <w:szCs w:val="20"/>
                <w:color w:val="auto"/>
              </w:rPr>
            </w:pPr>
            <w:r>
              <w:rPr>
                <w:rFonts w:ascii="Arial" w:cs="Arial" w:eastAsia="Arial" w:hAnsi="Arial"/>
                <w:sz w:val="18"/>
                <w:szCs w:val="18"/>
                <w:color w:val="auto"/>
              </w:rPr>
              <w:t>—</w:t>
            </w:r>
          </w:p>
        </w:tc>
        <w:tc>
          <w:tcPr>
            <w:tcW w:w="8840" w:type="dxa"/>
            <w:vAlign w:val="bottom"/>
            <w:tcBorders>
              <w:bottom w:val="single" w:sz="8" w:color="0000FF"/>
            </w:tcBorders>
            <w:gridSpan w:val="19"/>
          </w:tcPr>
          <w:p>
            <w:pPr>
              <w:spacing w:after="0"/>
              <w:rPr>
                <w:rFonts w:ascii="Arial" w:cs="Arial" w:eastAsia="Arial" w:hAnsi="Arial"/>
                <w:sz w:val="18"/>
                <w:szCs w:val="18"/>
                <w:color w:val="0000FF"/>
                <w:w w:val="90"/>
              </w:rPr>
            </w:pPr>
            <w:hyperlink r:id="rId69">
              <w:r>
                <w:rPr>
                  <w:rFonts w:ascii="Arial" w:cs="Arial" w:eastAsia="Arial" w:hAnsi="Arial"/>
                  <w:sz w:val="18"/>
                  <w:szCs w:val="18"/>
                  <w:color w:val="0000FF"/>
                  <w:w w:val="90"/>
                </w:rPr>
                <w:t>Twenty-Eighth Supplemental Indenture (4.90% Senior Notes due 2045) dated December 9, 2014, by and among Plains All</w:t>
              </w:r>
            </w:hyperlink>
          </w:p>
        </w:tc>
        <w:tc>
          <w:tcPr>
            <w:tcW w:w="620" w:type="dxa"/>
            <w:vAlign w:val="bottom"/>
            <w:gridSpan w:val="15"/>
          </w:tcPr>
          <w:p>
            <w:pPr>
              <w:spacing w:after="0"/>
              <w:rPr>
                <w:sz w:val="24"/>
                <w:szCs w:val="24"/>
                <w:color w:val="auto"/>
              </w:rPr>
            </w:pPr>
          </w:p>
        </w:tc>
      </w:tr>
      <w:tr>
        <w:trPr>
          <w:trHeight w:val="196"/>
        </w:trPr>
        <w:tc>
          <w:tcPr>
            <w:tcW w:w="12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460" w:type="dxa"/>
            <w:vAlign w:val="bottom"/>
            <w:gridSpan w:val="34"/>
          </w:tcPr>
          <w:p>
            <w:pPr>
              <w:spacing w:after="0" w:line="196" w:lineRule="exact"/>
              <w:rPr>
                <w:rFonts w:ascii="Arial" w:cs="Arial" w:eastAsia="Arial" w:hAnsi="Arial"/>
                <w:sz w:val="18"/>
                <w:szCs w:val="18"/>
                <w:color w:val="0000FF"/>
                <w:w w:val="97"/>
              </w:rPr>
            </w:pPr>
            <w:hyperlink r:id="rId69">
              <w:r>
                <w:rPr>
                  <w:rFonts w:ascii="Arial" w:cs="Arial" w:eastAsia="Arial" w:hAnsi="Arial"/>
                  <w:sz w:val="18"/>
                  <w:szCs w:val="18"/>
                  <w:color w:val="0000FF"/>
                  <w:w w:val="97"/>
                </w:rPr>
                <w:t>American Pipeline, L.P., PAA Finance Corp., and U.S. Bank National Association, as trustee (incorporated by reference to</w:t>
              </w:r>
            </w:hyperlink>
          </w:p>
        </w:tc>
      </w:tr>
      <w:tr>
        <w:trPr>
          <w:trHeight w:val="196"/>
        </w:trPr>
        <w:tc>
          <w:tcPr>
            <w:tcW w:w="12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800" w:type="dxa"/>
            <w:vAlign w:val="bottom"/>
            <w:tcBorders>
              <w:top w:val="single" w:sz="8" w:color="0000FF"/>
            </w:tcBorders>
            <w:gridSpan w:val="18"/>
          </w:tcPr>
          <w:p>
            <w:pPr>
              <w:spacing w:after="0" w:line="196" w:lineRule="exact"/>
              <w:rPr>
                <w:rFonts w:ascii="Arial" w:cs="Arial" w:eastAsia="Arial" w:hAnsi="Arial"/>
                <w:sz w:val="18"/>
                <w:szCs w:val="18"/>
                <w:color w:val="0000FF"/>
              </w:rPr>
            </w:pPr>
            <w:hyperlink r:id="rId69">
              <w:r>
                <w:rPr>
                  <w:rFonts w:ascii="Arial" w:cs="Arial" w:eastAsia="Arial" w:hAnsi="Arial"/>
                  <w:sz w:val="18"/>
                  <w:szCs w:val="18"/>
                  <w:color w:val="0000FF"/>
                </w:rPr>
                <w:t>Exhibit 4.3 to our Current Report on Form 8-K filed December 11, 2014).</w:t>
              </w:r>
            </w:hyperlink>
          </w:p>
        </w:tc>
        <w:tc>
          <w:tcPr>
            <w:tcW w:w="660" w:type="dxa"/>
            <w:vAlign w:val="bottom"/>
            <w:gridSpan w:val="16"/>
          </w:tcPr>
          <w:p>
            <w:pPr>
              <w:spacing w:after="0"/>
              <w:rPr>
                <w:sz w:val="17"/>
                <w:szCs w:val="17"/>
                <w:color w:val="auto"/>
              </w:rPr>
            </w:pPr>
          </w:p>
        </w:tc>
      </w:tr>
      <w:tr>
        <w:trPr>
          <w:trHeight w:val="20"/>
        </w:trPr>
        <w:tc>
          <w:tcPr>
            <w:tcW w:w="12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720" w:type="dxa"/>
            <w:vAlign w:val="bottom"/>
            <w:shd w:val="clear" w:color="auto" w:fill="0000FF"/>
          </w:tcPr>
          <w:p>
            <w:pPr>
              <w:spacing w:after="0" w:line="20" w:lineRule="exact"/>
              <w:rPr>
                <w:sz w:val="1"/>
                <w:szCs w:val="1"/>
                <w:color w:val="auto"/>
              </w:rPr>
            </w:pPr>
          </w:p>
        </w:tc>
        <w:tc>
          <w:tcPr>
            <w:tcW w:w="1920" w:type="dxa"/>
            <w:vAlign w:val="bottom"/>
            <w:shd w:val="clear" w:color="auto" w:fill="0000FF"/>
          </w:tcPr>
          <w:p>
            <w:pPr>
              <w:spacing w:after="0" w:line="20" w:lineRule="exact"/>
              <w:rPr>
                <w:sz w:val="1"/>
                <w:szCs w:val="1"/>
                <w:color w:val="auto"/>
              </w:rPr>
            </w:pPr>
          </w:p>
        </w:tc>
        <w:tc>
          <w:tcPr>
            <w:tcW w:w="860" w:type="dxa"/>
            <w:vAlign w:val="bottom"/>
            <w:gridSpan w:val="3"/>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24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20" w:type="dxa"/>
            <w:vAlign w:val="bottom"/>
            <w:gridSpan w:val="8"/>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520"/>
        </w:trPr>
        <w:tc>
          <w:tcPr>
            <w:tcW w:w="1280" w:type="dxa"/>
            <w:vAlign w:val="bottom"/>
          </w:tcPr>
          <w:p>
            <w:pPr>
              <w:jc w:val="center"/>
              <w:spacing w:after="0"/>
              <w:rPr>
                <w:sz w:val="20"/>
                <w:szCs w:val="20"/>
                <w:color w:val="auto"/>
              </w:rPr>
            </w:pPr>
            <w:r>
              <w:rPr>
                <w:rFonts w:ascii="Arial" w:cs="Arial" w:eastAsia="Arial" w:hAnsi="Arial"/>
                <w:sz w:val="18"/>
                <w:szCs w:val="18"/>
                <w:color w:val="auto"/>
                <w:w w:val="91"/>
              </w:rPr>
              <w:t>4.15</w:t>
            </w:r>
          </w:p>
        </w:tc>
        <w:tc>
          <w:tcPr>
            <w:tcW w:w="600" w:type="dxa"/>
            <w:vAlign w:val="bottom"/>
          </w:tcPr>
          <w:p>
            <w:pPr>
              <w:ind w:left="20"/>
              <w:spacing w:after="0"/>
              <w:rPr>
                <w:sz w:val="20"/>
                <w:szCs w:val="20"/>
                <w:color w:val="auto"/>
              </w:rPr>
            </w:pPr>
            <w:r>
              <w:rPr>
                <w:rFonts w:ascii="Arial" w:cs="Arial" w:eastAsia="Arial" w:hAnsi="Arial"/>
                <w:sz w:val="18"/>
                <w:szCs w:val="18"/>
                <w:color w:val="auto"/>
              </w:rPr>
              <w:t>—</w:t>
            </w:r>
          </w:p>
        </w:tc>
        <w:tc>
          <w:tcPr>
            <w:tcW w:w="9460" w:type="dxa"/>
            <w:vAlign w:val="bottom"/>
            <w:gridSpan w:val="34"/>
          </w:tcPr>
          <w:p>
            <w:pPr>
              <w:spacing w:after="0"/>
              <w:rPr>
                <w:rFonts w:ascii="Arial" w:cs="Arial" w:eastAsia="Arial" w:hAnsi="Arial"/>
                <w:sz w:val="18"/>
                <w:szCs w:val="18"/>
                <w:color w:val="0000FF"/>
                <w:w w:val="91"/>
              </w:rPr>
            </w:pPr>
            <w:hyperlink r:id="rId70">
              <w:r>
                <w:rPr>
                  <w:rFonts w:ascii="Arial" w:cs="Arial" w:eastAsia="Arial" w:hAnsi="Arial"/>
                  <w:sz w:val="18"/>
                  <w:szCs w:val="18"/>
                  <w:color w:val="0000FF"/>
                  <w:w w:val="91"/>
                </w:rPr>
                <w:t>Twenty-Ninth Supplemental Indenture (4.65% Senior Notes due 2025) dated August 24, 2015, by and among Plains All American</w:t>
              </w:r>
            </w:hyperlink>
          </w:p>
        </w:tc>
      </w:tr>
      <w:tr>
        <w:trPr>
          <w:trHeight w:val="196"/>
        </w:trPr>
        <w:tc>
          <w:tcPr>
            <w:tcW w:w="12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100" w:type="dxa"/>
            <w:vAlign w:val="bottom"/>
            <w:tcBorders>
              <w:top w:val="single" w:sz="8" w:color="0000FF"/>
              <w:bottom w:val="single" w:sz="8" w:color="0000FF"/>
            </w:tcBorders>
            <w:gridSpan w:val="24"/>
          </w:tcPr>
          <w:p>
            <w:pPr>
              <w:spacing w:after="0" w:line="196" w:lineRule="exact"/>
              <w:rPr>
                <w:rFonts w:ascii="Arial" w:cs="Arial" w:eastAsia="Arial" w:hAnsi="Arial"/>
                <w:sz w:val="18"/>
                <w:szCs w:val="18"/>
                <w:color w:val="0000FF"/>
                <w:w w:val="90"/>
              </w:rPr>
            </w:pPr>
            <w:hyperlink r:id="rId70">
              <w:r>
                <w:rPr>
                  <w:rFonts w:ascii="Arial" w:cs="Arial" w:eastAsia="Arial" w:hAnsi="Arial"/>
                  <w:sz w:val="18"/>
                  <w:szCs w:val="18"/>
                  <w:color w:val="0000FF"/>
                  <w:w w:val="90"/>
                </w:rPr>
                <w:t>Pipeline, L.P., PAA Finance Corp., and U.S. Bank National Association, as trustee (incorporated by reference to Exhibit 4.1 to</w:t>
              </w:r>
            </w:hyperlink>
          </w:p>
        </w:tc>
        <w:tc>
          <w:tcPr>
            <w:tcW w:w="280" w:type="dxa"/>
            <w:vAlign w:val="bottom"/>
            <w:tcBorders>
              <w:top w:val="single" w:sz="8" w:color="0000FF"/>
            </w:tcBorders>
            <w:gridSpan w:val="7"/>
          </w:tcPr>
          <w:p>
            <w:pPr>
              <w:spacing w:after="0"/>
              <w:rPr>
                <w:sz w:val="17"/>
                <w:szCs w:val="17"/>
                <w:color w:val="auto"/>
              </w:rPr>
            </w:pPr>
          </w:p>
        </w:tc>
        <w:tc>
          <w:tcPr>
            <w:tcW w:w="80" w:type="dxa"/>
            <w:vAlign w:val="bottom"/>
            <w:gridSpan w:val="3"/>
          </w:tcPr>
          <w:p>
            <w:pPr>
              <w:spacing w:after="0"/>
              <w:rPr>
                <w:sz w:val="17"/>
                <w:szCs w:val="17"/>
                <w:color w:val="auto"/>
              </w:rPr>
            </w:pPr>
          </w:p>
        </w:tc>
      </w:tr>
      <w:tr>
        <w:trPr>
          <w:trHeight w:val="196"/>
        </w:trPr>
        <w:tc>
          <w:tcPr>
            <w:tcW w:w="12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460" w:type="dxa"/>
            <w:vAlign w:val="bottom"/>
            <w:gridSpan w:val="34"/>
          </w:tcPr>
          <w:p>
            <w:pPr>
              <w:spacing w:after="0" w:line="196" w:lineRule="exact"/>
              <w:rPr>
                <w:rFonts w:ascii="Arial" w:cs="Arial" w:eastAsia="Arial" w:hAnsi="Arial"/>
                <w:sz w:val="18"/>
                <w:szCs w:val="18"/>
                <w:color w:val="0000FF"/>
              </w:rPr>
            </w:pPr>
            <w:hyperlink r:id="rId70">
              <w:r>
                <w:rPr>
                  <w:rFonts w:ascii="Arial" w:cs="Arial" w:eastAsia="Arial" w:hAnsi="Arial"/>
                  <w:sz w:val="18"/>
                  <w:szCs w:val="18"/>
                  <w:color w:val="0000FF"/>
                </w:rPr>
                <w:t>PAA’s Current Report on Form 8-K filed August 26, 2015).</w:t>
              </w:r>
            </w:hyperlink>
          </w:p>
        </w:tc>
      </w:tr>
      <w:tr>
        <w:trPr>
          <w:trHeight w:val="20"/>
        </w:trPr>
        <w:tc>
          <w:tcPr>
            <w:tcW w:w="12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720" w:type="dxa"/>
            <w:vAlign w:val="bottom"/>
            <w:shd w:val="clear" w:color="auto" w:fill="0000FF"/>
          </w:tcPr>
          <w:p>
            <w:pPr>
              <w:spacing w:after="0" w:line="20" w:lineRule="exact"/>
              <w:rPr>
                <w:sz w:val="1"/>
                <w:szCs w:val="1"/>
                <w:color w:val="auto"/>
              </w:rPr>
            </w:pPr>
          </w:p>
        </w:tc>
        <w:tc>
          <w:tcPr>
            <w:tcW w:w="1920" w:type="dxa"/>
            <w:vAlign w:val="bottom"/>
            <w:shd w:val="clear" w:color="auto" w:fill="0000FF"/>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60" w:type="dxa"/>
            <w:vAlign w:val="bottom"/>
            <w:gridSpan w:val="4"/>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20" w:type="dxa"/>
            <w:vAlign w:val="bottom"/>
            <w:gridSpan w:val="8"/>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520"/>
        </w:trPr>
        <w:tc>
          <w:tcPr>
            <w:tcW w:w="1280" w:type="dxa"/>
            <w:vAlign w:val="bottom"/>
          </w:tcPr>
          <w:p>
            <w:pPr>
              <w:jc w:val="center"/>
              <w:spacing w:after="0"/>
              <w:rPr>
                <w:sz w:val="20"/>
                <w:szCs w:val="20"/>
                <w:color w:val="auto"/>
              </w:rPr>
            </w:pPr>
            <w:r>
              <w:rPr>
                <w:rFonts w:ascii="Arial" w:cs="Arial" w:eastAsia="Arial" w:hAnsi="Arial"/>
                <w:sz w:val="18"/>
                <w:szCs w:val="18"/>
                <w:color w:val="auto"/>
                <w:w w:val="91"/>
              </w:rPr>
              <w:t>4.16</w:t>
            </w:r>
          </w:p>
        </w:tc>
        <w:tc>
          <w:tcPr>
            <w:tcW w:w="600" w:type="dxa"/>
            <w:vAlign w:val="bottom"/>
          </w:tcPr>
          <w:p>
            <w:pPr>
              <w:ind w:left="20"/>
              <w:spacing w:after="0"/>
              <w:rPr>
                <w:sz w:val="20"/>
                <w:szCs w:val="20"/>
                <w:color w:val="auto"/>
              </w:rPr>
            </w:pPr>
            <w:r>
              <w:rPr>
                <w:rFonts w:ascii="Arial" w:cs="Arial" w:eastAsia="Arial" w:hAnsi="Arial"/>
                <w:sz w:val="18"/>
                <w:szCs w:val="18"/>
                <w:color w:val="auto"/>
              </w:rPr>
              <w:t>—</w:t>
            </w:r>
          </w:p>
        </w:tc>
        <w:tc>
          <w:tcPr>
            <w:tcW w:w="9460" w:type="dxa"/>
            <w:vAlign w:val="bottom"/>
            <w:gridSpan w:val="34"/>
          </w:tcPr>
          <w:p>
            <w:pPr>
              <w:spacing w:after="0"/>
              <w:rPr>
                <w:rFonts w:ascii="Arial" w:cs="Arial" w:eastAsia="Arial" w:hAnsi="Arial"/>
                <w:sz w:val="18"/>
                <w:szCs w:val="18"/>
                <w:color w:val="0000FF"/>
                <w:w w:val="92"/>
              </w:rPr>
            </w:pPr>
            <w:hyperlink r:id="rId71">
              <w:r>
                <w:rPr>
                  <w:rFonts w:ascii="Arial" w:cs="Arial" w:eastAsia="Arial" w:hAnsi="Arial"/>
                  <w:sz w:val="18"/>
                  <w:szCs w:val="18"/>
                  <w:color w:val="0000FF"/>
                  <w:w w:val="92"/>
                </w:rPr>
                <w:t>Thirtieth Supplemental Indenture (4.50% Senior Notes due 2026) dated November 22, 2016, by and among Plains All American</w:t>
              </w:r>
            </w:hyperlink>
          </w:p>
        </w:tc>
      </w:tr>
      <w:tr>
        <w:trPr>
          <w:trHeight w:val="196"/>
        </w:trPr>
        <w:tc>
          <w:tcPr>
            <w:tcW w:w="12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100" w:type="dxa"/>
            <w:vAlign w:val="bottom"/>
            <w:tcBorders>
              <w:top w:val="single" w:sz="8" w:color="0000FF"/>
              <w:bottom w:val="single" w:sz="8" w:color="0000FF"/>
            </w:tcBorders>
            <w:gridSpan w:val="24"/>
          </w:tcPr>
          <w:p>
            <w:pPr>
              <w:spacing w:after="0" w:line="196" w:lineRule="exact"/>
              <w:rPr>
                <w:rFonts w:ascii="Arial" w:cs="Arial" w:eastAsia="Arial" w:hAnsi="Arial"/>
                <w:sz w:val="18"/>
                <w:szCs w:val="18"/>
                <w:color w:val="0000FF"/>
                <w:w w:val="90"/>
              </w:rPr>
            </w:pPr>
            <w:hyperlink r:id="rId71">
              <w:r>
                <w:rPr>
                  <w:rFonts w:ascii="Arial" w:cs="Arial" w:eastAsia="Arial" w:hAnsi="Arial"/>
                  <w:sz w:val="18"/>
                  <w:szCs w:val="18"/>
                  <w:color w:val="0000FF"/>
                  <w:w w:val="90"/>
                </w:rPr>
                <w:t>Pipeline, L.P., PAA Finance Corp., and U.S. Bank National Association, as trustee (incorporated by reference to Exhibit 4.1 to</w:t>
              </w:r>
            </w:hyperlink>
          </w:p>
        </w:tc>
        <w:tc>
          <w:tcPr>
            <w:tcW w:w="140" w:type="dxa"/>
            <w:vAlign w:val="bottom"/>
            <w:tcBorders>
              <w:top w:val="single" w:sz="8" w:color="0000FF"/>
            </w:tcBorders>
            <w:gridSpan w:val="2"/>
          </w:tcPr>
          <w:p>
            <w:pPr>
              <w:spacing w:after="0"/>
              <w:rPr>
                <w:sz w:val="17"/>
                <w:szCs w:val="17"/>
                <w:color w:val="auto"/>
              </w:rPr>
            </w:pPr>
          </w:p>
        </w:tc>
        <w:tc>
          <w:tcPr>
            <w:tcW w:w="220" w:type="dxa"/>
            <w:vAlign w:val="bottom"/>
            <w:gridSpan w:val="8"/>
          </w:tcPr>
          <w:p>
            <w:pPr>
              <w:spacing w:after="0"/>
              <w:rPr>
                <w:sz w:val="17"/>
                <w:szCs w:val="17"/>
                <w:color w:val="auto"/>
              </w:rPr>
            </w:pPr>
          </w:p>
        </w:tc>
      </w:tr>
      <w:tr>
        <w:trPr>
          <w:trHeight w:val="196"/>
        </w:trPr>
        <w:tc>
          <w:tcPr>
            <w:tcW w:w="12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460" w:type="dxa"/>
            <w:vAlign w:val="bottom"/>
            <w:gridSpan w:val="34"/>
          </w:tcPr>
          <w:p>
            <w:pPr>
              <w:spacing w:after="0" w:line="196" w:lineRule="exact"/>
              <w:rPr>
                <w:rFonts w:ascii="Arial" w:cs="Arial" w:eastAsia="Arial" w:hAnsi="Arial"/>
                <w:sz w:val="18"/>
                <w:szCs w:val="18"/>
                <w:color w:val="0000FF"/>
              </w:rPr>
            </w:pPr>
            <w:hyperlink r:id="rId71">
              <w:r>
                <w:rPr>
                  <w:rFonts w:ascii="Arial" w:cs="Arial" w:eastAsia="Arial" w:hAnsi="Arial"/>
                  <w:sz w:val="18"/>
                  <w:szCs w:val="18"/>
                  <w:color w:val="0000FF"/>
                </w:rPr>
                <w:t>PAA’s Current Report on Form 8-K filed November 29, 2016).</w:t>
              </w:r>
            </w:hyperlink>
          </w:p>
        </w:tc>
      </w:tr>
      <w:tr>
        <w:trPr>
          <w:trHeight w:val="20"/>
        </w:trPr>
        <w:tc>
          <w:tcPr>
            <w:tcW w:w="12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720" w:type="dxa"/>
            <w:vAlign w:val="bottom"/>
            <w:shd w:val="clear" w:color="auto" w:fill="0000FF"/>
          </w:tcPr>
          <w:p>
            <w:pPr>
              <w:spacing w:after="0" w:line="20" w:lineRule="exact"/>
              <w:rPr>
                <w:sz w:val="1"/>
                <w:szCs w:val="1"/>
                <w:color w:val="auto"/>
              </w:rPr>
            </w:pPr>
          </w:p>
        </w:tc>
        <w:tc>
          <w:tcPr>
            <w:tcW w:w="1920" w:type="dxa"/>
            <w:vAlign w:val="bottom"/>
            <w:shd w:val="clear" w:color="auto" w:fill="0000FF"/>
          </w:tcPr>
          <w:p>
            <w:pPr>
              <w:spacing w:after="0" w:line="20" w:lineRule="exact"/>
              <w:rPr>
                <w:sz w:val="1"/>
                <w:szCs w:val="1"/>
                <w:color w:val="auto"/>
              </w:rPr>
            </w:pPr>
          </w:p>
        </w:tc>
        <w:tc>
          <w:tcPr>
            <w:tcW w:w="860" w:type="dxa"/>
            <w:vAlign w:val="bottom"/>
            <w:gridSpan w:val="3"/>
            <w:shd w:val="clear" w:color="auto" w:fill="0000FF"/>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60" w:type="dxa"/>
            <w:vAlign w:val="bottom"/>
            <w:gridSpan w:val="4"/>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20" w:type="dxa"/>
            <w:vAlign w:val="bottom"/>
            <w:gridSpan w:val="8"/>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520"/>
        </w:trPr>
        <w:tc>
          <w:tcPr>
            <w:tcW w:w="1280" w:type="dxa"/>
            <w:vAlign w:val="bottom"/>
          </w:tcPr>
          <w:p>
            <w:pPr>
              <w:jc w:val="center"/>
              <w:spacing w:after="0"/>
              <w:rPr>
                <w:sz w:val="20"/>
                <w:szCs w:val="20"/>
                <w:color w:val="auto"/>
              </w:rPr>
            </w:pPr>
            <w:r>
              <w:rPr>
                <w:rFonts w:ascii="Arial" w:cs="Arial" w:eastAsia="Arial" w:hAnsi="Arial"/>
                <w:sz w:val="18"/>
                <w:szCs w:val="18"/>
                <w:color w:val="auto"/>
                <w:w w:val="91"/>
              </w:rPr>
              <w:t>4.17</w:t>
            </w:r>
          </w:p>
        </w:tc>
        <w:tc>
          <w:tcPr>
            <w:tcW w:w="600" w:type="dxa"/>
            <w:vAlign w:val="bottom"/>
          </w:tcPr>
          <w:p>
            <w:pPr>
              <w:ind w:left="20"/>
              <w:spacing w:after="0"/>
              <w:rPr>
                <w:sz w:val="20"/>
                <w:szCs w:val="20"/>
                <w:color w:val="auto"/>
              </w:rPr>
            </w:pPr>
            <w:r>
              <w:rPr>
                <w:rFonts w:ascii="Arial" w:cs="Arial" w:eastAsia="Arial" w:hAnsi="Arial"/>
                <w:sz w:val="18"/>
                <w:szCs w:val="18"/>
                <w:color w:val="auto"/>
              </w:rPr>
              <w:t>—</w:t>
            </w:r>
          </w:p>
        </w:tc>
        <w:tc>
          <w:tcPr>
            <w:tcW w:w="9080" w:type="dxa"/>
            <w:vAlign w:val="bottom"/>
            <w:tcBorders>
              <w:bottom w:val="single" w:sz="8" w:color="0000FF"/>
            </w:tcBorders>
            <w:gridSpan w:val="23"/>
          </w:tcPr>
          <w:p>
            <w:pPr>
              <w:spacing w:after="0"/>
              <w:rPr>
                <w:rFonts w:ascii="Arial" w:cs="Arial" w:eastAsia="Arial" w:hAnsi="Arial"/>
                <w:sz w:val="18"/>
                <w:szCs w:val="18"/>
                <w:color w:val="0000FF"/>
                <w:w w:val="89"/>
              </w:rPr>
            </w:pPr>
            <w:hyperlink r:id="rId72">
              <w:r>
                <w:rPr>
                  <w:rFonts w:ascii="Arial" w:cs="Arial" w:eastAsia="Arial" w:hAnsi="Arial"/>
                  <w:sz w:val="18"/>
                  <w:szCs w:val="18"/>
                  <w:color w:val="0000FF"/>
                  <w:w w:val="89"/>
                </w:rPr>
                <w:t>Shareholder and Registration Rights Agreement dated October 21, 2013 by and among Plains GP Holdings, L.P. and the other</w:t>
              </w:r>
            </w:hyperlink>
          </w:p>
        </w:tc>
        <w:tc>
          <w:tcPr>
            <w:tcW w:w="380" w:type="dxa"/>
            <w:vAlign w:val="bottom"/>
            <w:gridSpan w:val="11"/>
          </w:tcPr>
          <w:p>
            <w:pPr>
              <w:spacing w:after="0"/>
              <w:rPr>
                <w:sz w:val="24"/>
                <w:szCs w:val="24"/>
                <w:color w:val="auto"/>
              </w:rPr>
            </w:pPr>
          </w:p>
        </w:tc>
      </w:tr>
      <w:tr>
        <w:trPr>
          <w:trHeight w:val="196"/>
        </w:trPr>
        <w:tc>
          <w:tcPr>
            <w:tcW w:w="12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080" w:type="dxa"/>
            <w:vAlign w:val="bottom"/>
            <w:tcBorders>
              <w:bottom w:val="single" w:sz="8" w:color="0000FF"/>
            </w:tcBorders>
            <w:gridSpan w:val="23"/>
          </w:tcPr>
          <w:p>
            <w:pPr>
              <w:spacing w:after="0" w:line="196" w:lineRule="exact"/>
              <w:rPr>
                <w:rFonts w:ascii="Arial" w:cs="Arial" w:eastAsia="Arial" w:hAnsi="Arial"/>
                <w:sz w:val="18"/>
                <w:szCs w:val="18"/>
                <w:color w:val="0000FF"/>
                <w:w w:val="91"/>
              </w:rPr>
            </w:pPr>
            <w:hyperlink r:id="rId72">
              <w:r>
                <w:rPr>
                  <w:rFonts w:ascii="Arial" w:cs="Arial" w:eastAsia="Arial" w:hAnsi="Arial"/>
                  <w:sz w:val="18"/>
                  <w:szCs w:val="18"/>
                  <w:color w:val="0000FF"/>
                  <w:w w:val="91"/>
                </w:rPr>
                <w:t>parties signatory thereto (incorporated by reference to Exhibit 4.1 to our Current Report on Form 8-K filed October 25, 2013).</w:t>
              </w:r>
            </w:hyperlink>
          </w:p>
        </w:tc>
        <w:tc>
          <w:tcPr>
            <w:tcW w:w="380" w:type="dxa"/>
            <w:vAlign w:val="bottom"/>
            <w:gridSpan w:val="11"/>
          </w:tcPr>
          <w:p>
            <w:pPr>
              <w:spacing w:after="0"/>
              <w:rPr>
                <w:sz w:val="17"/>
                <w:szCs w:val="17"/>
                <w:color w:val="auto"/>
              </w:rPr>
            </w:pPr>
          </w:p>
        </w:tc>
      </w:tr>
      <w:tr>
        <w:trPr>
          <w:trHeight w:val="520"/>
        </w:trPr>
        <w:tc>
          <w:tcPr>
            <w:tcW w:w="1280" w:type="dxa"/>
            <w:vAlign w:val="bottom"/>
          </w:tcPr>
          <w:p>
            <w:pPr>
              <w:jc w:val="center"/>
              <w:spacing w:after="0"/>
              <w:rPr>
                <w:sz w:val="20"/>
                <w:szCs w:val="20"/>
                <w:color w:val="auto"/>
              </w:rPr>
            </w:pPr>
            <w:r>
              <w:rPr>
                <w:rFonts w:ascii="Arial" w:cs="Arial" w:eastAsia="Arial" w:hAnsi="Arial"/>
                <w:sz w:val="18"/>
                <w:szCs w:val="18"/>
                <w:color w:val="auto"/>
                <w:w w:val="93"/>
              </w:rPr>
              <w:t>10.1 *</w:t>
            </w:r>
          </w:p>
        </w:tc>
        <w:tc>
          <w:tcPr>
            <w:tcW w:w="600" w:type="dxa"/>
            <w:vAlign w:val="bottom"/>
          </w:tcPr>
          <w:p>
            <w:pPr>
              <w:ind w:left="20"/>
              <w:spacing w:after="0"/>
              <w:rPr>
                <w:sz w:val="20"/>
                <w:szCs w:val="20"/>
                <w:color w:val="auto"/>
              </w:rPr>
            </w:pPr>
            <w:r>
              <w:rPr>
                <w:rFonts w:ascii="Arial" w:cs="Arial" w:eastAsia="Arial" w:hAnsi="Arial"/>
                <w:sz w:val="18"/>
                <w:szCs w:val="18"/>
                <w:color w:val="auto"/>
              </w:rPr>
              <w:t>—</w:t>
            </w:r>
          </w:p>
        </w:tc>
        <w:tc>
          <w:tcPr>
            <w:tcW w:w="9360" w:type="dxa"/>
            <w:vAlign w:val="bottom"/>
            <w:tcBorders>
              <w:bottom w:val="single" w:sz="8" w:color="0000FF"/>
            </w:tcBorders>
            <w:gridSpan w:val="30"/>
          </w:tcPr>
          <w:p>
            <w:pPr>
              <w:spacing w:after="0"/>
              <w:rPr>
                <w:rFonts w:ascii="Arial" w:cs="Arial" w:eastAsia="Arial" w:hAnsi="Arial"/>
                <w:sz w:val="18"/>
                <w:szCs w:val="18"/>
                <w:color w:val="0000FF"/>
                <w:w w:val="91"/>
              </w:rPr>
            </w:pPr>
            <w:hyperlink r:id="rId73">
              <w:r>
                <w:rPr>
                  <w:rFonts w:ascii="Arial" w:cs="Arial" w:eastAsia="Arial" w:hAnsi="Arial"/>
                  <w:sz w:val="18"/>
                  <w:szCs w:val="18"/>
                  <w:color w:val="0000FF"/>
                  <w:w w:val="91"/>
                </w:rPr>
                <w:t>Second Amendment dated March 22, 2018 to Plains AAP, L.P. Class B Restricted Units Agreement (Willie Chiang) (incorporated</w:t>
              </w:r>
            </w:hyperlink>
          </w:p>
        </w:tc>
        <w:tc>
          <w:tcPr>
            <w:tcW w:w="100" w:type="dxa"/>
            <w:vAlign w:val="bottom"/>
            <w:gridSpan w:val="4"/>
          </w:tcPr>
          <w:p>
            <w:pPr>
              <w:spacing w:after="0"/>
              <w:rPr>
                <w:sz w:val="24"/>
                <w:szCs w:val="24"/>
                <w:color w:val="auto"/>
              </w:rPr>
            </w:pPr>
          </w:p>
        </w:tc>
      </w:tr>
      <w:tr>
        <w:trPr>
          <w:trHeight w:val="196"/>
        </w:trPr>
        <w:tc>
          <w:tcPr>
            <w:tcW w:w="12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460" w:type="dxa"/>
            <w:vAlign w:val="bottom"/>
            <w:gridSpan w:val="34"/>
          </w:tcPr>
          <w:p>
            <w:pPr>
              <w:spacing w:after="0" w:line="196" w:lineRule="exact"/>
              <w:rPr>
                <w:rFonts w:ascii="Arial" w:cs="Arial" w:eastAsia="Arial" w:hAnsi="Arial"/>
                <w:sz w:val="18"/>
                <w:szCs w:val="18"/>
                <w:color w:val="0000FF"/>
              </w:rPr>
            </w:pPr>
            <w:hyperlink r:id="rId73">
              <w:r>
                <w:rPr>
                  <w:rFonts w:ascii="Arial" w:cs="Arial" w:eastAsia="Arial" w:hAnsi="Arial"/>
                  <w:sz w:val="18"/>
                  <w:szCs w:val="18"/>
                  <w:color w:val="0000FF"/>
                </w:rPr>
                <w:t>by reference to Exhibit 10.1 to our Quarterly Report on Form 10-Q for the quarter ended March 31, 2018).</w:t>
              </w:r>
            </w:hyperlink>
          </w:p>
        </w:tc>
      </w:tr>
      <w:tr>
        <w:trPr>
          <w:trHeight w:val="20"/>
        </w:trPr>
        <w:tc>
          <w:tcPr>
            <w:tcW w:w="12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720" w:type="dxa"/>
            <w:vAlign w:val="bottom"/>
            <w:shd w:val="clear" w:color="auto" w:fill="0000FF"/>
          </w:tcPr>
          <w:p>
            <w:pPr>
              <w:spacing w:after="0" w:line="20" w:lineRule="exact"/>
              <w:rPr>
                <w:sz w:val="1"/>
                <w:szCs w:val="1"/>
                <w:color w:val="auto"/>
              </w:rPr>
            </w:pPr>
          </w:p>
        </w:tc>
        <w:tc>
          <w:tcPr>
            <w:tcW w:w="1920" w:type="dxa"/>
            <w:vAlign w:val="bottom"/>
            <w:shd w:val="clear" w:color="auto" w:fill="0000FF"/>
          </w:tcPr>
          <w:p>
            <w:pPr>
              <w:spacing w:after="0" w:line="20" w:lineRule="exact"/>
              <w:rPr>
                <w:sz w:val="1"/>
                <w:szCs w:val="1"/>
                <w:color w:val="auto"/>
              </w:rPr>
            </w:pPr>
          </w:p>
        </w:tc>
        <w:tc>
          <w:tcPr>
            <w:tcW w:w="1480" w:type="dxa"/>
            <w:vAlign w:val="bottom"/>
            <w:gridSpan w:val="4"/>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360" w:type="dxa"/>
            <w:vAlign w:val="bottom"/>
            <w:gridSpan w:val="4"/>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640" w:type="dxa"/>
            <w:vAlign w:val="bottom"/>
            <w:gridSpan w:val="1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72"/>
        </w:trPr>
        <w:tc>
          <w:tcPr>
            <w:tcW w:w="1280" w:type="dxa"/>
            <w:vAlign w:val="bottom"/>
          </w:tcPr>
          <w:p>
            <w:pPr>
              <w:jc w:val="center"/>
              <w:spacing w:after="0"/>
              <w:rPr>
                <w:sz w:val="20"/>
                <w:szCs w:val="20"/>
                <w:color w:val="auto"/>
              </w:rPr>
            </w:pPr>
            <w:r>
              <w:rPr>
                <w:rFonts w:ascii="Arial" w:cs="Arial" w:eastAsia="Arial" w:hAnsi="Arial"/>
                <w:sz w:val="18"/>
                <w:szCs w:val="18"/>
                <w:color w:val="auto"/>
                <w:w w:val="93"/>
              </w:rPr>
              <w:t>10.2 *</w:t>
            </w:r>
          </w:p>
        </w:tc>
        <w:tc>
          <w:tcPr>
            <w:tcW w:w="600" w:type="dxa"/>
            <w:vAlign w:val="bottom"/>
          </w:tcPr>
          <w:p>
            <w:pPr>
              <w:ind w:left="20"/>
              <w:spacing w:after="0"/>
              <w:rPr>
                <w:sz w:val="20"/>
                <w:szCs w:val="20"/>
                <w:color w:val="auto"/>
              </w:rPr>
            </w:pPr>
            <w:r>
              <w:rPr>
                <w:rFonts w:ascii="Arial" w:cs="Arial" w:eastAsia="Arial" w:hAnsi="Arial"/>
                <w:sz w:val="18"/>
                <w:szCs w:val="18"/>
                <w:color w:val="auto"/>
              </w:rPr>
              <w:t>—</w:t>
            </w:r>
          </w:p>
        </w:tc>
        <w:tc>
          <w:tcPr>
            <w:tcW w:w="9460" w:type="dxa"/>
            <w:vAlign w:val="bottom"/>
            <w:gridSpan w:val="34"/>
          </w:tcPr>
          <w:p>
            <w:pPr>
              <w:spacing w:after="0"/>
              <w:rPr>
                <w:rFonts w:ascii="Arial" w:cs="Arial" w:eastAsia="Arial" w:hAnsi="Arial"/>
                <w:sz w:val="18"/>
                <w:szCs w:val="18"/>
                <w:color w:val="0000FF"/>
                <w:w w:val="91"/>
              </w:rPr>
            </w:pPr>
            <w:hyperlink r:id="rId74">
              <w:r>
                <w:rPr>
                  <w:rFonts w:ascii="Arial" w:cs="Arial" w:eastAsia="Arial" w:hAnsi="Arial"/>
                  <w:sz w:val="18"/>
                  <w:szCs w:val="18"/>
                  <w:color w:val="0000FF"/>
                  <w:w w:val="91"/>
                </w:rPr>
                <w:t>Form of First Amendment dated March 22, 2018 to Amended and Restated Plains AAP, L.P. Class B Restricted Units Agreement</w:t>
              </w:r>
            </w:hyperlink>
          </w:p>
        </w:tc>
      </w:tr>
      <w:tr>
        <w:trPr>
          <w:trHeight w:val="20"/>
        </w:trPr>
        <w:tc>
          <w:tcPr>
            <w:tcW w:w="12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720" w:type="dxa"/>
            <w:vAlign w:val="bottom"/>
            <w:shd w:val="clear" w:color="auto" w:fill="0000FF"/>
          </w:tcPr>
          <w:p>
            <w:pPr>
              <w:spacing w:after="0" w:line="20" w:lineRule="exact"/>
              <w:rPr>
                <w:sz w:val="1"/>
                <w:szCs w:val="1"/>
                <w:color w:val="auto"/>
              </w:rPr>
            </w:pPr>
          </w:p>
        </w:tc>
        <w:tc>
          <w:tcPr>
            <w:tcW w:w="1920" w:type="dxa"/>
            <w:vAlign w:val="bottom"/>
            <w:shd w:val="clear" w:color="auto" w:fill="0000FF"/>
          </w:tcPr>
          <w:p>
            <w:pPr>
              <w:spacing w:after="0" w:line="20" w:lineRule="exact"/>
              <w:rPr>
                <w:sz w:val="1"/>
                <w:szCs w:val="1"/>
                <w:color w:val="auto"/>
              </w:rPr>
            </w:pPr>
          </w:p>
        </w:tc>
        <w:tc>
          <w:tcPr>
            <w:tcW w:w="1480" w:type="dxa"/>
            <w:vAlign w:val="bottom"/>
            <w:gridSpan w:val="4"/>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360" w:type="dxa"/>
            <w:vAlign w:val="bottom"/>
            <w:gridSpan w:val="4"/>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960" w:type="dxa"/>
            <w:vAlign w:val="bottom"/>
            <w:tcBorders>
              <w:right w:val="single" w:sz="8" w:color="0000FF"/>
            </w:tcBorders>
            <w:gridSpan w:val="13"/>
            <w:shd w:val="clear" w:color="auto" w:fill="0000FF"/>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12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340" w:type="dxa"/>
            <w:vAlign w:val="bottom"/>
            <w:tcBorders>
              <w:bottom w:val="single" w:sz="8" w:color="0000FF"/>
            </w:tcBorders>
            <w:gridSpan w:val="29"/>
          </w:tcPr>
          <w:p>
            <w:pPr>
              <w:spacing w:after="0" w:line="196" w:lineRule="exact"/>
              <w:rPr>
                <w:rFonts w:ascii="Arial" w:cs="Arial" w:eastAsia="Arial" w:hAnsi="Arial"/>
                <w:sz w:val="18"/>
                <w:szCs w:val="18"/>
                <w:color w:val="0000FF"/>
                <w:w w:val="91"/>
              </w:rPr>
            </w:pPr>
            <w:hyperlink r:id="rId74">
              <w:r>
                <w:rPr>
                  <w:rFonts w:ascii="Arial" w:cs="Arial" w:eastAsia="Arial" w:hAnsi="Arial"/>
                  <w:sz w:val="18"/>
                  <w:szCs w:val="18"/>
                  <w:color w:val="0000FF"/>
                  <w:w w:val="91"/>
                </w:rPr>
                <w:t>dated August 25, 2016 (Officers) (incorporated by reference to Exhibit 10.2 to our Quarterly Report on Form 10-Q for the quarter</w:t>
              </w:r>
            </w:hyperlink>
          </w:p>
        </w:tc>
        <w:tc>
          <w:tcPr>
            <w:tcW w:w="120" w:type="dxa"/>
            <w:vAlign w:val="bottom"/>
            <w:gridSpan w:val="5"/>
          </w:tcPr>
          <w:p>
            <w:pPr>
              <w:spacing w:after="0"/>
              <w:rPr>
                <w:sz w:val="17"/>
                <w:szCs w:val="17"/>
                <w:color w:val="auto"/>
              </w:rPr>
            </w:pPr>
          </w:p>
        </w:tc>
      </w:tr>
      <w:tr>
        <w:trPr>
          <w:trHeight w:val="196"/>
        </w:trPr>
        <w:tc>
          <w:tcPr>
            <w:tcW w:w="12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720" w:type="dxa"/>
            <w:vAlign w:val="bottom"/>
            <w:tcBorders>
              <w:bottom w:val="single" w:sz="8" w:color="0000FF"/>
            </w:tcBorders>
          </w:tcPr>
          <w:p>
            <w:pPr>
              <w:spacing w:after="0" w:line="196" w:lineRule="exact"/>
              <w:rPr>
                <w:rFonts w:ascii="Arial" w:cs="Arial" w:eastAsia="Arial" w:hAnsi="Arial"/>
                <w:sz w:val="18"/>
                <w:szCs w:val="18"/>
                <w:color w:val="0000FF"/>
                <w:w w:val="88"/>
              </w:rPr>
            </w:pPr>
            <w:hyperlink r:id="rId74">
              <w:r>
                <w:rPr>
                  <w:rFonts w:ascii="Arial" w:cs="Arial" w:eastAsia="Arial" w:hAnsi="Arial"/>
                  <w:sz w:val="18"/>
                  <w:szCs w:val="18"/>
                  <w:color w:val="0000FF"/>
                  <w:w w:val="88"/>
                </w:rPr>
                <w:t>ended March 31, 2018).</w:t>
              </w:r>
            </w:hyperlink>
          </w:p>
        </w:tc>
        <w:tc>
          <w:tcPr>
            <w:tcW w:w="7740" w:type="dxa"/>
            <w:vAlign w:val="bottom"/>
            <w:gridSpan w:val="33"/>
          </w:tcPr>
          <w:p>
            <w:pPr>
              <w:spacing w:after="0"/>
              <w:rPr>
                <w:sz w:val="17"/>
                <w:szCs w:val="17"/>
                <w:color w:val="auto"/>
              </w:rPr>
            </w:pPr>
          </w:p>
        </w:tc>
      </w:tr>
      <w:tr>
        <w:trPr>
          <w:trHeight w:val="372"/>
        </w:trPr>
        <w:tc>
          <w:tcPr>
            <w:tcW w:w="1280" w:type="dxa"/>
            <w:vAlign w:val="bottom"/>
          </w:tcPr>
          <w:p>
            <w:pPr>
              <w:jc w:val="center"/>
              <w:spacing w:after="0"/>
              <w:rPr>
                <w:sz w:val="20"/>
                <w:szCs w:val="20"/>
                <w:color w:val="auto"/>
              </w:rPr>
            </w:pPr>
            <w:r>
              <w:rPr>
                <w:rFonts w:ascii="Arial" w:cs="Arial" w:eastAsia="Arial" w:hAnsi="Arial"/>
                <w:sz w:val="18"/>
                <w:szCs w:val="18"/>
                <w:color w:val="auto"/>
                <w:w w:val="93"/>
              </w:rPr>
              <w:t>10.3 *</w:t>
            </w:r>
          </w:p>
        </w:tc>
        <w:tc>
          <w:tcPr>
            <w:tcW w:w="600" w:type="dxa"/>
            <w:vAlign w:val="bottom"/>
          </w:tcPr>
          <w:p>
            <w:pPr>
              <w:ind w:left="20"/>
              <w:spacing w:after="0"/>
              <w:rPr>
                <w:sz w:val="20"/>
                <w:szCs w:val="20"/>
                <w:color w:val="auto"/>
              </w:rPr>
            </w:pPr>
            <w:r>
              <w:rPr>
                <w:rFonts w:ascii="Arial" w:cs="Arial" w:eastAsia="Arial" w:hAnsi="Arial"/>
                <w:sz w:val="18"/>
                <w:szCs w:val="18"/>
                <w:color w:val="auto"/>
              </w:rPr>
              <w:t>—</w:t>
            </w:r>
          </w:p>
        </w:tc>
        <w:tc>
          <w:tcPr>
            <w:tcW w:w="9460" w:type="dxa"/>
            <w:vAlign w:val="bottom"/>
            <w:gridSpan w:val="34"/>
          </w:tcPr>
          <w:p>
            <w:pPr>
              <w:spacing w:after="0"/>
              <w:rPr>
                <w:rFonts w:ascii="Arial" w:cs="Arial" w:eastAsia="Arial" w:hAnsi="Arial"/>
                <w:sz w:val="18"/>
                <w:szCs w:val="18"/>
                <w:color w:val="0000FF"/>
                <w:w w:val="91"/>
              </w:rPr>
            </w:pPr>
            <w:hyperlink r:id="rId75">
              <w:r>
                <w:rPr>
                  <w:rFonts w:ascii="Arial" w:cs="Arial" w:eastAsia="Arial" w:hAnsi="Arial"/>
                  <w:sz w:val="18"/>
                  <w:szCs w:val="18"/>
                  <w:color w:val="0000FF"/>
                  <w:w w:val="91"/>
                </w:rPr>
                <w:t>Amendment dated March 22, 2018 to PAA LTIP Grant Letter dated August 24, 2015 (Willie Chiang) (incorporated by reference to</w:t>
              </w:r>
            </w:hyperlink>
          </w:p>
        </w:tc>
      </w:tr>
      <w:tr>
        <w:trPr>
          <w:trHeight w:val="196"/>
        </w:trPr>
        <w:tc>
          <w:tcPr>
            <w:tcW w:w="12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400" w:type="dxa"/>
            <w:vAlign w:val="bottom"/>
            <w:tcBorders>
              <w:top w:val="single" w:sz="8" w:color="0000FF"/>
            </w:tcBorders>
            <w:gridSpan w:val="32"/>
          </w:tcPr>
          <w:p>
            <w:pPr>
              <w:spacing w:after="0" w:line="196" w:lineRule="exact"/>
              <w:rPr>
                <w:rFonts w:ascii="Arial" w:cs="Arial" w:eastAsia="Arial" w:hAnsi="Arial"/>
                <w:sz w:val="18"/>
                <w:szCs w:val="18"/>
                <w:color w:val="0000FF"/>
              </w:rPr>
            </w:pPr>
            <w:hyperlink r:id="rId75">
              <w:r>
                <w:rPr>
                  <w:rFonts w:ascii="Arial" w:cs="Arial" w:eastAsia="Arial" w:hAnsi="Arial"/>
                  <w:sz w:val="18"/>
                  <w:szCs w:val="18"/>
                  <w:color w:val="0000FF"/>
                </w:rPr>
                <w:t>Exhibit 10.3 to our Quarterly Report on Form 10-Q for the quarter ended March 31, 2018).</w:t>
              </w:r>
            </w:hyperlink>
          </w:p>
        </w:tc>
        <w:tc>
          <w:tcPr>
            <w:tcW w:w="60" w:type="dxa"/>
            <w:vAlign w:val="bottom"/>
            <w:gridSpan w:val="2"/>
          </w:tcPr>
          <w:p>
            <w:pPr>
              <w:spacing w:after="0"/>
              <w:rPr>
                <w:sz w:val="17"/>
                <w:szCs w:val="17"/>
                <w:color w:val="auto"/>
              </w:rPr>
            </w:pPr>
          </w:p>
        </w:tc>
      </w:tr>
      <w:tr>
        <w:trPr>
          <w:trHeight w:val="20"/>
        </w:trPr>
        <w:tc>
          <w:tcPr>
            <w:tcW w:w="12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640" w:type="dxa"/>
            <w:vAlign w:val="bottom"/>
            <w:gridSpan w:val="2"/>
            <w:shd w:val="clear" w:color="auto" w:fill="0000FF"/>
          </w:tcPr>
          <w:p>
            <w:pPr>
              <w:spacing w:after="0" w:line="20" w:lineRule="exact"/>
              <w:rPr>
                <w:sz w:val="1"/>
                <w:szCs w:val="1"/>
                <w:color w:val="auto"/>
              </w:rPr>
            </w:pPr>
          </w:p>
        </w:tc>
        <w:tc>
          <w:tcPr>
            <w:tcW w:w="1480" w:type="dxa"/>
            <w:vAlign w:val="bottom"/>
            <w:gridSpan w:val="4"/>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360" w:type="dxa"/>
            <w:vAlign w:val="bottom"/>
            <w:gridSpan w:val="4"/>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960" w:type="dxa"/>
            <w:vAlign w:val="bottom"/>
            <w:gridSpan w:val="13"/>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72"/>
        </w:trPr>
        <w:tc>
          <w:tcPr>
            <w:tcW w:w="1280" w:type="dxa"/>
            <w:vAlign w:val="bottom"/>
          </w:tcPr>
          <w:p>
            <w:pPr>
              <w:jc w:val="center"/>
              <w:spacing w:after="0"/>
              <w:rPr>
                <w:sz w:val="20"/>
                <w:szCs w:val="20"/>
                <w:color w:val="auto"/>
              </w:rPr>
            </w:pPr>
            <w:r>
              <w:rPr>
                <w:rFonts w:ascii="Arial" w:cs="Arial" w:eastAsia="Arial" w:hAnsi="Arial"/>
                <w:sz w:val="18"/>
                <w:szCs w:val="18"/>
                <w:color w:val="auto"/>
                <w:w w:val="93"/>
              </w:rPr>
              <w:t>10.4 *</w:t>
            </w:r>
          </w:p>
        </w:tc>
        <w:tc>
          <w:tcPr>
            <w:tcW w:w="600" w:type="dxa"/>
            <w:vAlign w:val="bottom"/>
          </w:tcPr>
          <w:p>
            <w:pPr>
              <w:ind w:left="20"/>
              <w:spacing w:after="0"/>
              <w:rPr>
                <w:sz w:val="20"/>
                <w:szCs w:val="20"/>
                <w:color w:val="auto"/>
              </w:rPr>
            </w:pPr>
            <w:r>
              <w:rPr>
                <w:rFonts w:ascii="Arial" w:cs="Arial" w:eastAsia="Arial" w:hAnsi="Arial"/>
                <w:sz w:val="18"/>
                <w:szCs w:val="18"/>
                <w:color w:val="auto"/>
              </w:rPr>
              <w:t>—</w:t>
            </w:r>
          </w:p>
        </w:tc>
        <w:tc>
          <w:tcPr>
            <w:tcW w:w="9460" w:type="dxa"/>
            <w:vAlign w:val="bottom"/>
            <w:gridSpan w:val="34"/>
          </w:tcPr>
          <w:p>
            <w:pPr>
              <w:spacing w:after="0"/>
              <w:rPr>
                <w:rFonts w:ascii="Arial" w:cs="Arial" w:eastAsia="Arial" w:hAnsi="Arial"/>
                <w:sz w:val="18"/>
                <w:szCs w:val="18"/>
                <w:color w:val="0000FF"/>
                <w:w w:val="91"/>
              </w:rPr>
            </w:pPr>
            <w:hyperlink r:id="rId76">
              <w:r>
                <w:rPr>
                  <w:rFonts w:ascii="Arial" w:cs="Arial" w:eastAsia="Arial" w:hAnsi="Arial"/>
                  <w:sz w:val="18"/>
                  <w:szCs w:val="18"/>
                  <w:color w:val="0000FF"/>
                  <w:w w:val="91"/>
                </w:rPr>
                <w:t>Form of Amendment dated March 22, 2018 to PAA LTIP Grant Letter dated August 25, 2016 (Officers) (incorporated by reference</w:t>
              </w:r>
            </w:hyperlink>
          </w:p>
        </w:tc>
      </w:tr>
      <w:tr>
        <w:trPr>
          <w:trHeight w:val="196"/>
        </w:trPr>
        <w:tc>
          <w:tcPr>
            <w:tcW w:w="12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420" w:type="dxa"/>
            <w:vAlign w:val="bottom"/>
            <w:tcBorders>
              <w:top w:val="single" w:sz="8" w:color="0000FF"/>
            </w:tcBorders>
            <w:gridSpan w:val="33"/>
          </w:tcPr>
          <w:p>
            <w:pPr>
              <w:spacing w:after="0" w:line="196" w:lineRule="exact"/>
              <w:rPr>
                <w:rFonts w:ascii="Arial" w:cs="Arial" w:eastAsia="Arial" w:hAnsi="Arial"/>
                <w:sz w:val="18"/>
                <w:szCs w:val="18"/>
                <w:color w:val="0000FF"/>
              </w:rPr>
            </w:pPr>
            <w:hyperlink r:id="rId76">
              <w:r>
                <w:rPr>
                  <w:rFonts w:ascii="Arial" w:cs="Arial" w:eastAsia="Arial" w:hAnsi="Arial"/>
                  <w:sz w:val="18"/>
                  <w:szCs w:val="18"/>
                  <w:color w:val="0000FF"/>
                </w:rPr>
                <w:t>to Exhibit 10.4 to our Quarterly Report on Form 10-Q for the quarter ended March 31, 2018).</w:t>
              </w:r>
            </w:hyperlink>
          </w:p>
        </w:tc>
        <w:tc>
          <w:tcPr>
            <w:tcW w:w="40" w:type="dxa"/>
            <w:vAlign w:val="bottom"/>
          </w:tcPr>
          <w:p>
            <w:pPr>
              <w:spacing w:after="0"/>
              <w:rPr>
                <w:sz w:val="17"/>
                <w:szCs w:val="17"/>
                <w:color w:val="auto"/>
              </w:rPr>
            </w:pPr>
          </w:p>
        </w:tc>
      </w:tr>
      <w:tr>
        <w:trPr>
          <w:trHeight w:val="20"/>
        </w:trPr>
        <w:tc>
          <w:tcPr>
            <w:tcW w:w="12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640" w:type="dxa"/>
            <w:vAlign w:val="bottom"/>
            <w:gridSpan w:val="2"/>
            <w:shd w:val="clear" w:color="auto" w:fill="0000FF"/>
          </w:tcPr>
          <w:p>
            <w:pPr>
              <w:spacing w:after="0" w:line="20" w:lineRule="exact"/>
              <w:rPr>
                <w:sz w:val="1"/>
                <w:szCs w:val="1"/>
                <w:color w:val="auto"/>
              </w:rPr>
            </w:pPr>
          </w:p>
        </w:tc>
        <w:tc>
          <w:tcPr>
            <w:tcW w:w="1480" w:type="dxa"/>
            <w:vAlign w:val="bottom"/>
            <w:gridSpan w:val="4"/>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540" w:type="dxa"/>
            <w:vAlign w:val="bottom"/>
            <w:gridSpan w:val="5"/>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960" w:type="dxa"/>
            <w:vAlign w:val="bottom"/>
            <w:gridSpan w:val="13"/>
          </w:tcPr>
          <w:p>
            <w:pPr>
              <w:spacing w:after="0" w:line="20" w:lineRule="exact"/>
              <w:rPr>
                <w:sz w:val="1"/>
                <w:szCs w:val="1"/>
                <w:color w:val="auto"/>
              </w:rPr>
            </w:pPr>
          </w:p>
        </w:tc>
        <w:tc>
          <w:tcPr>
            <w:tcW w:w="160" w:type="dxa"/>
            <w:vAlign w:val="bottom"/>
            <w:gridSpan w:val="7"/>
          </w:tcPr>
          <w:p>
            <w:pPr>
              <w:spacing w:after="0" w:line="20" w:lineRule="exact"/>
              <w:rPr>
                <w:sz w:val="1"/>
                <w:szCs w:val="1"/>
                <w:color w:val="auto"/>
              </w:rPr>
            </w:pPr>
          </w:p>
        </w:tc>
      </w:tr>
      <w:tr>
        <w:trPr>
          <w:trHeight w:val="372"/>
        </w:trPr>
        <w:tc>
          <w:tcPr>
            <w:tcW w:w="1280" w:type="dxa"/>
            <w:vAlign w:val="bottom"/>
          </w:tcPr>
          <w:p>
            <w:pPr>
              <w:jc w:val="center"/>
              <w:spacing w:after="0"/>
              <w:rPr>
                <w:sz w:val="20"/>
                <w:szCs w:val="20"/>
                <w:color w:val="auto"/>
              </w:rPr>
            </w:pPr>
            <w:r>
              <w:rPr>
                <w:rFonts w:ascii="Arial" w:cs="Arial" w:eastAsia="Arial" w:hAnsi="Arial"/>
                <w:sz w:val="18"/>
                <w:szCs w:val="18"/>
                <w:color w:val="auto"/>
                <w:w w:val="93"/>
              </w:rPr>
              <w:t>10.5 *</w:t>
            </w:r>
          </w:p>
        </w:tc>
        <w:tc>
          <w:tcPr>
            <w:tcW w:w="600" w:type="dxa"/>
            <w:vAlign w:val="bottom"/>
          </w:tcPr>
          <w:p>
            <w:pPr>
              <w:ind w:left="20"/>
              <w:spacing w:after="0"/>
              <w:rPr>
                <w:sz w:val="20"/>
                <w:szCs w:val="20"/>
                <w:color w:val="auto"/>
              </w:rPr>
            </w:pPr>
            <w:r>
              <w:rPr>
                <w:rFonts w:ascii="Arial" w:cs="Arial" w:eastAsia="Arial" w:hAnsi="Arial"/>
                <w:sz w:val="18"/>
                <w:szCs w:val="18"/>
                <w:color w:val="auto"/>
              </w:rPr>
              <w:t>—</w:t>
            </w:r>
          </w:p>
        </w:tc>
        <w:tc>
          <w:tcPr>
            <w:tcW w:w="9460" w:type="dxa"/>
            <w:vAlign w:val="bottom"/>
            <w:gridSpan w:val="34"/>
          </w:tcPr>
          <w:p>
            <w:pPr>
              <w:spacing w:after="0"/>
              <w:rPr>
                <w:rFonts w:ascii="Arial" w:cs="Arial" w:eastAsia="Arial" w:hAnsi="Arial"/>
                <w:sz w:val="18"/>
                <w:szCs w:val="18"/>
                <w:color w:val="0000FF"/>
                <w:w w:val="94"/>
              </w:rPr>
            </w:pPr>
            <w:hyperlink r:id="rId77">
              <w:r>
                <w:rPr>
                  <w:rFonts w:ascii="Arial" w:cs="Arial" w:eastAsia="Arial" w:hAnsi="Arial"/>
                  <w:sz w:val="18"/>
                  <w:szCs w:val="18"/>
                  <w:color w:val="0000FF"/>
                  <w:w w:val="94"/>
                </w:rPr>
                <w:t>Form of PAA LTIP Grant Letter for Officers (March 2018) (incorporated by reference to Exhibit 10.5 to our Quarterly Report on</w:t>
              </w:r>
            </w:hyperlink>
          </w:p>
        </w:tc>
      </w:tr>
      <w:tr>
        <w:trPr>
          <w:trHeight w:val="196"/>
        </w:trPr>
        <w:tc>
          <w:tcPr>
            <w:tcW w:w="12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300" w:type="dxa"/>
            <w:vAlign w:val="bottom"/>
            <w:tcBorders>
              <w:top w:val="single" w:sz="8" w:color="0000FF"/>
            </w:tcBorders>
            <w:gridSpan w:val="27"/>
          </w:tcPr>
          <w:p>
            <w:pPr>
              <w:spacing w:after="0" w:line="196" w:lineRule="exact"/>
              <w:rPr>
                <w:rFonts w:ascii="Arial" w:cs="Arial" w:eastAsia="Arial" w:hAnsi="Arial"/>
                <w:sz w:val="18"/>
                <w:szCs w:val="18"/>
                <w:color w:val="0000FF"/>
              </w:rPr>
            </w:pPr>
            <w:hyperlink r:id="rId77">
              <w:r>
                <w:rPr>
                  <w:rFonts w:ascii="Arial" w:cs="Arial" w:eastAsia="Arial" w:hAnsi="Arial"/>
                  <w:sz w:val="18"/>
                  <w:szCs w:val="18"/>
                  <w:color w:val="0000FF"/>
                </w:rPr>
                <w:t>Form 10-Q for the quarter ended March 31, 2018).</w:t>
              </w:r>
            </w:hyperlink>
          </w:p>
        </w:tc>
        <w:tc>
          <w:tcPr>
            <w:tcW w:w="160" w:type="dxa"/>
            <w:vAlign w:val="bottom"/>
            <w:gridSpan w:val="7"/>
          </w:tcPr>
          <w:p>
            <w:pPr>
              <w:spacing w:after="0"/>
              <w:rPr>
                <w:sz w:val="17"/>
                <w:szCs w:val="17"/>
                <w:color w:val="auto"/>
              </w:rPr>
            </w:pPr>
          </w:p>
        </w:tc>
      </w:tr>
      <w:tr>
        <w:trPr>
          <w:trHeight w:val="20"/>
        </w:trPr>
        <w:tc>
          <w:tcPr>
            <w:tcW w:w="12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640" w:type="dxa"/>
            <w:vAlign w:val="bottom"/>
            <w:gridSpan w:val="2"/>
            <w:shd w:val="clear" w:color="auto" w:fill="0000FF"/>
          </w:tcPr>
          <w:p>
            <w:pPr>
              <w:spacing w:after="0" w:line="20" w:lineRule="exact"/>
              <w:rPr>
                <w:sz w:val="1"/>
                <w:szCs w:val="1"/>
                <w:color w:val="auto"/>
              </w:rPr>
            </w:pPr>
          </w:p>
        </w:tc>
        <w:tc>
          <w:tcPr>
            <w:tcW w:w="148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100" w:type="dxa"/>
            <w:vAlign w:val="bottom"/>
            <w:gridSpan w:val="6"/>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120" w:type="dxa"/>
            <w:vAlign w:val="bottom"/>
            <w:gridSpan w:val="20"/>
          </w:tcPr>
          <w:p>
            <w:pPr>
              <w:spacing w:after="0" w:line="20" w:lineRule="exact"/>
              <w:rPr>
                <w:sz w:val="1"/>
                <w:szCs w:val="1"/>
                <w:color w:val="auto"/>
              </w:rPr>
            </w:pPr>
          </w:p>
        </w:tc>
      </w:tr>
      <w:tr>
        <w:trPr>
          <w:trHeight w:val="372"/>
        </w:trPr>
        <w:tc>
          <w:tcPr>
            <w:tcW w:w="1280" w:type="dxa"/>
            <w:vAlign w:val="bottom"/>
          </w:tcPr>
          <w:p>
            <w:pPr>
              <w:jc w:val="center"/>
              <w:spacing w:after="0"/>
              <w:rPr>
                <w:sz w:val="20"/>
                <w:szCs w:val="20"/>
                <w:color w:val="auto"/>
              </w:rPr>
            </w:pPr>
            <w:r>
              <w:rPr>
                <w:rFonts w:ascii="Arial" w:cs="Arial" w:eastAsia="Arial" w:hAnsi="Arial"/>
                <w:sz w:val="18"/>
                <w:szCs w:val="18"/>
                <w:color w:val="auto"/>
                <w:w w:val="87"/>
              </w:rPr>
              <w:t>31.1 †</w:t>
            </w:r>
          </w:p>
        </w:tc>
        <w:tc>
          <w:tcPr>
            <w:tcW w:w="600" w:type="dxa"/>
            <w:vAlign w:val="bottom"/>
          </w:tcPr>
          <w:p>
            <w:pPr>
              <w:ind w:left="20"/>
              <w:spacing w:after="0"/>
              <w:rPr>
                <w:sz w:val="20"/>
                <w:szCs w:val="20"/>
                <w:color w:val="auto"/>
              </w:rPr>
            </w:pPr>
            <w:r>
              <w:rPr>
                <w:rFonts w:ascii="Arial" w:cs="Arial" w:eastAsia="Arial" w:hAnsi="Arial"/>
                <w:sz w:val="18"/>
                <w:szCs w:val="18"/>
                <w:color w:val="auto"/>
              </w:rPr>
              <w:t>—</w:t>
            </w:r>
          </w:p>
        </w:tc>
        <w:tc>
          <w:tcPr>
            <w:tcW w:w="7340" w:type="dxa"/>
            <w:vAlign w:val="bottom"/>
            <w:tcBorders>
              <w:bottom w:val="single" w:sz="8" w:color="0000FF"/>
            </w:tcBorders>
            <w:gridSpan w:val="14"/>
          </w:tcPr>
          <w:p>
            <w:pPr>
              <w:spacing w:after="0"/>
              <w:rPr>
                <w:rFonts w:ascii="Arial" w:cs="Arial" w:eastAsia="Arial" w:hAnsi="Arial"/>
                <w:sz w:val="18"/>
                <w:szCs w:val="18"/>
                <w:color w:val="0000FF"/>
                <w:w w:val="91"/>
              </w:rPr>
            </w:pPr>
            <w:hyperlink w:anchor="page69">
              <w:r>
                <w:rPr>
                  <w:rFonts w:ascii="Arial" w:cs="Arial" w:eastAsia="Arial" w:hAnsi="Arial"/>
                  <w:sz w:val="18"/>
                  <w:szCs w:val="18"/>
                  <w:color w:val="0000FF"/>
                  <w:w w:val="91"/>
                </w:rPr>
                <w:t>Certification of Principal Executive Officer pursuant to Exchange Act Rules 13a-14(a) and 15d-14(a).</w:t>
              </w:r>
            </w:hyperlink>
          </w:p>
        </w:tc>
        <w:tc>
          <w:tcPr>
            <w:tcW w:w="2120" w:type="dxa"/>
            <w:vAlign w:val="bottom"/>
            <w:gridSpan w:val="20"/>
          </w:tcPr>
          <w:p>
            <w:pPr>
              <w:spacing w:after="0"/>
              <w:rPr>
                <w:sz w:val="24"/>
                <w:szCs w:val="24"/>
                <w:color w:val="auto"/>
              </w:rPr>
            </w:pPr>
          </w:p>
        </w:tc>
      </w:tr>
      <w:tr>
        <w:trPr>
          <w:trHeight w:val="520"/>
        </w:trPr>
        <w:tc>
          <w:tcPr>
            <w:tcW w:w="1280" w:type="dxa"/>
            <w:vAlign w:val="bottom"/>
          </w:tcPr>
          <w:p>
            <w:pPr>
              <w:jc w:val="center"/>
              <w:spacing w:after="0"/>
              <w:rPr>
                <w:sz w:val="20"/>
                <w:szCs w:val="20"/>
                <w:color w:val="auto"/>
              </w:rPr>
            </w:pPr>
            <w:r>
              <w:rPr>
                <w:rFonts w:ascii="Arial" w:cs="Arial" w:eastAsia="Arial" w:hAnsi="Arial"/>
                <w:sz w:val="18"/>
                <w:szCs w:val="18"/>
                <w:color w:val="auto"/>
                <w:w w:val="87"/>
              </w:rPr>
              <w:t>31.2 †</w:t>
            </w:r>
          </w:p>
        </w:tc>
        <w:tc>
          <w:tcPr>
            <w:tcW w:w="600" w:type="dxa"/>
            <w:vAlign w:val="bottom"/>
          </w:tcPr>
          <w:p>
            <w:pPr>
              <w:ind w:left="20"/>
              <w:spacing w:after="0"/>
              <w:rPr>
                <w:sz w:val="20"/>
                <w:szCs w:val="20"/>
                <w:color w:val="auto"/>
              </w:rPr>
            </w:pPr>
            <w:r>
              <w:rPr>
                <w:rFonts w:ascii="Arial" w:cs="Arial" w:eastAsia="Arial" w:hAnsi="Arial"/>
                <w:sz w:val="18"/>
                <w:szCs w:val="18"/>
                <w:color w:val="auto"/>
              </w:rPr>
              <w:t>—</w:t>
            </w:r>
          </w:p>
        </w:tc>
        <w:tc>
          <w:tcPr>
            <w:tcW w:w="9460" w:type="dxa"/>
            <w:vAlign w:val="bottom"/>
            <w:gridSpan w:val="34"/>
          </w:tcPr>
          <w:p>
            <w:pPr>
              <w:spacing w:after="0"/>
              <w:rPr>
                <w:rFonts w:ascii="Arial" w:cs="Arial" w:eastAsia="Arial" w:hAnsi="Arial"/>
                <w:sz w:val="18"/>
                <w:szCs w:val="18"/>
                <w:color w:val="0000FF"/>
              </w:rPr>
            </w:pPr>
            <w:hyperlink w:anchor="page70">
              <w:r>
                <w:rPr>
                  <w:rFonts w:ascii="Arial" w:cs="Arial" w:eastAsia="Arial" w:hAnsi="Arial"/>
                  <w:sz w:val="18"/>
                  <w:szCs w:val="18"/>
                  <w:color w:val="0000FF"/>
                </w:rPr>
                <w:t>Certification of Principal Financial Officer pursuant to Exchange Act Rules 13a-14(a) and 15d-14(a).</w:t>
              </w:r>
            </w:hyperlink>
          </w:p>
        </w:tc>
      </w:tr>
      <w:tr>
        <w:trPr>
          <w:trHeight w:val="520"/>
        </w:trPr>
        <w:tc>
          <w:tcPr>
            <w:tcW w:w="1280" w:type="dxa"/>
            <w:vAlign w:val="bottom"/>
          </w:tcPr>
          <w:p>
            <w:pPr>
              <w:jc w:val="center"/>
              <w:spacing w:after="0"/>
              <w:rPr>
                <w:sz w:val="20"/>
                <w:szCs w:val="20"/>
                <w:color w:val="auto"/>
              </w:rPr>
            </w:pPr>
            <w:r>
              <w:rPr>
                <w:rFonts w:ascii="Arial" w:cs="Arial" w:eastAsia="Arial" w:hAnsi="Arial"/>
                <w:sz w:val="18"/>
                <w:szCs w:val="18"/>
                <w:color w:val="auto"/>
                <w:w w:val="89"/>
              </w:rPr>
              <w:t>32.1 ††</w:t>
            </w:r>
          </w:p>
        </w:tc>
        <w:tc>
          <w:tcPr>
            <w:tcW w:w="600" w:type="dxa"/>
            <w:vAlign w:val="bottom"/>
          </w:tcPr>
          <w:p>
            <w:pPr>
              <w:ind w:left="20"/>
              <w:spacing w:after="0"/>
              <w:rPr>
                <w:sz w:val="20"/>
                <w:szCs w:val="20"/>
                <w:color w:val="auto"/>
              </w:rPr>
            </w:pPr>
            <w:r>
              <w:rPr>
                <w:rFonts w:ascii="Arial" w:cs="Arial" w:eastAsia="Arial" w:hAnsi="Arial"/>
                <w:sz w:val="18"/>
                <w:szCs w:val="18"/>
                <w:color w:val="auto"/>
              </w:rPr>
              <w:t>—</w:t>
            </w:r>
          </w:p>
        </w:tc>
        <w:tc>
          <w:tcPr>
            <w:tcW w:w="5180" w:type="dxa"/>
            <w:vAlign w:val="bottom"/>
            <w:tcBorders>
              <w:top w:val="single" w:sz="8" w:color="0000FF"/>
              <w:bottom w:val="single" w:sz="8" w:color="0000FF"/>
            </w:tcBorders>
            <w:gridSpan w:val="7"/>
          </w:tcPr>
          <w:p>
            <w:pPr>
              <w:spacing w:after="0"/>
              <w:rPr>
                <w:rFonts w:ascii="Arial" w:cs="Arial" w:eastAsia="Arial" w:hAnsi="Arial"/>
                <w:sz w:val="18"/>
                <w:szCs w:val="18"/>
                <w:color w:val="0000FF"/>
                <w:w w:val="92"/>
              </w:rPr>
            </w:pPr>
            <w:hyperlink w:anchor="page71">
              <w:r>
                <w:rPr>
                  <w:rFonts w:ascii="Arial" w:cs="Arial" w:eastAsia="Arial" w:hAnsi="Arial"/>
                  <w:sz w:val="18"/>
                  <w:szCs w:val="18"/>
                  <w:color w:val="0000FF"/>
                  <w:w w:val="92"/>
                </w:rPr>
                <w:t>Certification of Principal Executive Officer pursuant to 18 U.S.C. 1350.</w:t>
              </w:r>
            </w:hyperlink>
          </w:p>
        </w:tc>
        <w:tc>
          <w:tcPr>
            <w:tcW w:w="2100" w:type="dxa"/>
            <w:vAlign w:val="bottom"/>
            <w:tcBorders>
              <w:top w:val="single" w:sz="8" w:color="0000FF"/>
            </w:tcBorders>
            <w:gridSpan w:val="6"/>
          </w:tcPr>
          <w:p>
            <w:pPr>
              <w:spacing w:after="0"/>
              <w:rPr>
                <w:sz w:val="24"/>
                <w:szCs w:val="24"/>
                <w:color w:val="auto"/>
              </w:rPr>
            </w:pPr>
          </w:p>
        </w:tc>
        <w:tc>
          <w:tcPr>
            <w:tcW w:w="2180" w:type="dxa"/>
            <w:vAlign w:val="bottom"/>
            <w:gridSpan w:val="21"/>
          </w:tcPr>
          <w:p>
            <w:pPr>
              <w:spacing w:after="0"/>
              <w:rPr>
                <w:sz w:val="24"/>
                <w:szCs w:val="24"/>
                <w:color w:val="auto"/>
              </w:rPr>
            </w:pPr>
          </w:p>
        </w:tc>
      </w:tr>
      <w:tr>
        <w:trPr>
          <w:trHeight w:val="520"/>
        </w:trPr>
        <w:tc>
          <w:tcPr>
            <w:tcW w:w="1280" w:type="dxa"/>
            <w:vAlign w:val="bottom"/>
          </w:tcPr>
          <w:p>
            <w:pPr>
              <w:jc w:val="center"/>
              <w:spacing w:after="0"/>
              <w:rPr>
                <w:sz w:val="20"/>
                <w:szCs w:val="20"/>
                <w:color w:val="auto"/>
              </w:rPr>
            </w:pPr>
            <w:r>
              <w:rPr>
                <w:rFonts w:ascii="Arial" w:cs="Arial" w:eastAsia="Arial" w:hAnsi="Arial"/>
                <w:sz w:val="18"/>
                <w:szCs w:val="18"/>
                <w:color w:val="auto"/>
                <w:w w:val="89"/>
              </w:rPr>
              <w:t>32.2 ††</w:t>
            </w:r>
          </w:p>
        </w:tc>
        <w:tc>
          <w:tcPr>
            <w:tcW w:w="600" w:type="dxa"/>
            <w:vAlign w:val="bottom"/>
          </w:tcPr>
          <w:p>
            <w:pPr>
              <w:ind w:left="20"/>
              <w:spacing w:after="0"/>
              <w:rPr>
                <w:sz w:val="20"/>
                <w:szCs w:val="20"/>
                <w:color w:val="auto"/>
              </w:rPr>
            </w:pPr>
            <w:r>
              <w:rPr>
                <w:rFonts w:ascii="Arial" w:cs="Arial" w:eastAsia="Arial" w:hAnsi="Arial"/>
                <w:sz w:val="18"/>
                <w:szCs w:val="18"/>
                <w:color w:val="auto"/>
              </w:rPr>
              <w:t>—</w:t>
            </w:r>
          </w:p>
        </w:tc>
        <w:tc>
          <w:tcPr>
            <w:tcW w:w="9460" w:type="dxa"/>
            <w:vAlign w:val="bottom"/>
            <w:gridSpan w:val="34"/>
          </w:tcPr>
          <w:p>
            <w:pPr>
              <w:spacing w:after="0"/>
              <w:rPr>
                <w:rFonts w:ascii="Arial" w:cs="Arial" w:eastAsia="Arial" w:hAnsi="Arial"/>
                <w:sz w:val="18"/>
                <w:szCs w:val="18"/>
                <w:color w:val="0000FF"/>
              </w:rPr>
            </w:pPr>
            <w:hyperlink w:anchor="page72">
              <w:r>
                <w:rPr>
                  <w:rFonts w:ascii="Arial" w:cs="Arial" w:eastAsia="Arial" w:hAnsi="Arial"/>
                  <w:sz w:val="18"/>
                  <w:szCs w:val="18"/>
                  <w:color w:val="0000FF"/>
                </w:rPr>
                <w:t>Certification of Principal Financial Officer pursuant to 18 U.S.C. 1350.</w:t>
              </w:r>
            </w:hyperlink>
          </w:p>
        </w:tc>
      </w:tr>
      <w:tr>
        <w:trPr>
          <w:trHeight w:val="561"/>
        </w:trPr>
        <w:tc>
          <w:tcPr>
            <w:tcW w:w="1280" w:type="dxa"/>
            <w:vAlign w:val="bottom"/>
          </w:tcPr>
          <w:p>
            <w:pPr>
              <w:jc w:val="center"/>
              <w:spacing w:after="0"/>
              <w:rPr>
                <w:sz w:val="20"/>
                <w:szCs w:val="20"/>
                <w:color w:val="auto"/>
              </w:rPr>
            </w:pPr>
            <w:r>
              <w:rPr>
                <w:rFonts w:ascii="Arial" w:cs="Arial" w:eastAsia="Arial" w:hAnsi="Arial"/>
                <w:sz w:val="18"/>
                <w:szCs w:val="18"/>
                <w:color w:val="auto"/>
                <w:w w:val="93"/>
              </w:rPr>
              <w:t>101.INS†</w:t>
            </w:r>
          </w:p>
        </w:tc>
        <w:tc>
          <w:tcPr>
            <w:tcW w:w="600" w:type="dxa"/>
            <w:vAlign w:val="bottom"/>
          </w:tcPr>
          <w:p>
            <w:pPr>
              <w:ind w:left="20"/>
              <w:spacing w:after="0"/>
              <w:rPr>
                <w:sz w:val="20"/>
                <w:szCs w:val="20"/>
                <w:color w:val="auto"/>
              </w:rPr>
            </w:pPr>
            <w:r>
              <w:rPr>
                <w:rFonts w:ascii="Arial" w:cs="Arial" w:eastAsia="Arial" w:hAnsi="Arial"/>
                <w:sz w:val="18"/>
                <w:szCs w:val="18"/>
                <w:color w:val="auto"/>
              </w:rPr>
              <w:t>—</w:t>
            </w:r>
          </w:p>
        </w:tc>
        <w:tc>
          <w:tcPr>
            <w:tcW w:w="5120" w:type="dxa"/>
            <w:vAlign w:val="bottom"/>
            <w:tcBorders>
              <w:top w:val="single" w:sz="8" w:color="0000FF"/>
            </w:tcBorders>
            <w:gridSpan w:val="6"/>
          </w:tcPr>
          <w:p>
            <w:pPr>
              <w:spacing w:after="0"/>
              <w:rPr>
                <w:sz w:val="20"/>
                <w:szCs w:val="20"/>
                <w:color w:val="auto"/>
              </w:rPr>
            </w:pPr>
            <w:r>
              <w:rPr>
                <w:rFonts w:ascii="Arial" w:cs="Arial" w:eastAsia="Arial" w:hAnsi="Arial"/>
                <w:sz w:val="18"/>
                <w:szCs w:val="18"/>
                <w:color w:val="auto"/>
              </w:rPr>
              <w:t>XBRL Instance Document</w:t>
            </w:r>
          </w:p>
        </w:tc>
        <w:tc>
          <w:tcPr>
            <w:tcW w:w="4340" w:type="dxa"/>
            <w:vAlign w:val="bottom"/>
            <w:gridSpan w:val="28"/>
          </w:tcPr>
          <w:p>
            <w:pPr>
              <w:spacing w:after="0"/>
              <w:rPr>
                <w:sz w:val="24"/>
                <w:szCs w:val="24"/>
                <w:color w:val="auto"/>
              </w:rPr>
            </w:pPr>
          </w:p>
        </w:tc>
      </w:tr>
    </w:tbl>
    <w:p>
      <w:pPr>
        <w:spacing w:after="0" w:line="200" w:lineRule="exact"/>
        <w:rPr>
          <w:sz w:val="20"/>
          <w:szCs w:val="20"/>
          <w:color w:val="auto"/>
        </w:rPr>
      </w:pPr>
    </w:p>
    <w:p>
      <w:pPr>
        <w:sectPr>
          <w:pgSz w:w="11900" w:h="16838" w:orient="portrait"/>
          <w:cols w:equalWidth="0" w:num="1">
            <w:col w:w="11340"/>
          </w:cols>
          <w:pgMar w:left="240" w:top="108" w:right="319" w:bottom="636" w:gutter="0" w:footer="0" w:header="0"/>
        </w:sectPr>
      </w:pPr>
    </w:p>
    <w:p>
      <w:pPr>
        <w:spacing w:after="0" w:line="326"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66</w:t>
      </w:r>
    </w:p>
    <w:p>
      <w:pPr>
        <w:sectPr>
          <w:pgSz w:w="11900" w:h="16838" w:orient="portrait"/>
          <w:cols w:equalWidth="0" w:num="1">
            <w:col w:w="11340"/>
          </w:cols>
          <w:pgMar w:left="240" w:top="108" w:right="319" w:bottom="636" w:gutter="0" w:footer="0" w:header="0"/>
          <w:type w:val="continuous"/>
        </w:sectPr>
      </w:pPr>
    </w:p>
    <w:bookmarkStart w:id="66" w:name="page67"/>
    <w:bookmarkEnd w:id="66"/>
    <w:tbl>
      <w:tblPr>
        <w:tblLayout w:type="fixed"/>
        <w:tblInd w:w="0" w:type="dxa"/>
        <w:tblCellMar>
          <w:top w:w="0" w:type="dxa"/>
          <w:left w:w="0" w:type="dxa"/>
          <w:bottom w:w="0" w:type="dxa"/>
          <w:right w:w="0" w:type="dxa"/>
        </w:tblCellMar>
      </w:tblPr>
      <w:tr>
        <w:trPr>
          <w:trHeight w:val="207"/>
        </w:trPr>
        <w:tc>
          <w:tcPr>
            <w:tcW w:w="1280" w:type="dxa"/>
            <w:vAlign w:val="bottom"/>
            <w:tcBorders>
              <w:bottom w:val="single" w:sz="8" w:color="0000EE"/>
            </w:tcBorders>
            <w:gridSpan w:val="2"/>
          </w:tcPr>
          <w:p>
            <w:pPr>
              <w:spacing w:after="0"/>
              <w:rPr>
                <w:rFonts w:ascii="Arial" w:cs="Arial" w:eastAsia="Arial" w:hAnsi="Arial"/>
                <w:sz w:val="18"/>
                <w:szCs w:val="18"/>
                <w:color w:val="0000EE"/>
                <w:w w:val="88"/>
              </w:rPr>
            </w:pPr>
            <w:hyperlink w:anchor="page2">
              <w:r>
                <w:rPr>
                  <w:rFonts w:ascii="Arial" w:cs="Arial" w:eastAsia="Arial" w:hAnsi="Arial"/>
                  <w:sz w:val="18"/>
                  <w:szCs w:val="18"/>
                  <w:color w:val="0000EE"/>
                  <w:w w:val="88"/>
                </w:rPr>
                <w:t>Table of Contents</w:t>
              </w:r>
            </w:hyperlink>
          </w:p>
        </w:tc>
        <w:tc>
          <w:tcPr>
            <w:tcW w:w="560" w:type="dxa"/>
            <w:vAlign w:val="bottom"/>
          </w:tcPr>
          <w:p>
            <w:pPr>
              <w:spacing w:after="0"/>
              <w:rPr>
                <w:sz w:val="17"/>
                <w:szCs w:val="17"/>
                <w:color w:val="auto"/>
              </w:rPr>
            </w:pPr>
          </w:p>
        </w:tc>
        <w:tc>
          <w:tcPr>
            <w:tcW w:w="2120" w:type="dxa"/>
            <w:vAlign w:val="bottom"/>
          </w:tcPr>
          <w:p>
            <w:pPr>
              <w:spacing w:after="0"/>
              <w:rPr>
                <w:sz w:val="17"/>
                <w:szCs w:val="17"/>
                <w:color w:val="auto"/>
              </w:rPr>
            </w:pPr>
          </w:p>
        </w:tc>
        <w:tc>
          <w:tcPr>
            <w:tcW w:w="2400" w:type="dxa"/>
            <w:vAlign w:val="bottom"/>
          </w:tcPr>
          <w:p>
            <w:pPr>
              <w:spacing w:after="0"/>
              <w:rPr>
                <w:sz w:val="17"/>
                <w:szCs w:val="17"/>
                <w:color w:val="auto"/>
              </w:rPr>
            </w:pPr>
          </w:p>
        </w:tc>
      </w:tr>
      <w:tr>
        <w:trPr>
          <w:trHeight w:val="642"/>
        </w:trPr>
        <w:tc>
          <w:tcPr>
            <w:tcW w:w="220" w:type="dxa"/>
            <w:vAlign w:val="bottom"/>
          </w:tcPr>
          <w:p>
            <w:pPr>
              <w:spacing w:after="0"/>
              <w:rPr>
                <w:sz w:val="24"/>
                <w:szCs w:val="24"/>
                <w:color w:val="auto"/>
              </w:rPr>
            </w:pPr>
          </w:p>
        </w:tc>
        <w:tc>
          <w:tcPr>
            <w:tcW w:w="1060" w:type="dxa"/>
            <w:vAlign w:val="bottom"/>
          </w:tcPr>
          <w:p>
            <w:pPr>
              <w:ind w:left="40"/>
              <w:spacing w:after="0"/>
              <w:rPr>
                <w:sz w:val="20"/>
                <w:szCs w:val="20"/>
                <w:color w:val="auto"/>
              </w:rPr>
            </w:pPr>
            <w:r>
              <w:rPr>
                <w:rFonts w:ascii="Arial" w:cs="Arial" w:eastAsia="Arial" w:hAnsi="Arial"/>
                <w:sz w:val="18"/>
                <w:szCs w:val="18"/>
                <w:color w:val="auto"/>
              </w:rPr>
              <w:t>101.SCH†</w:t>
            </w:r>
          </w:p>
        </w:tc>
        <w:tc>
          <w:tcPr>
            <w:tcW w:w="560" w:type="dxa"/>
            <w:vAlign w:val="bottom"/>
          </w:tcPr>
          <w:p>
            <w:pPr>
              <w:ind w:left="20"/>
              <w:spacing w:after="0"/>
              <w:rPr>
                <w:sz w:val="20"/>
                <w:szCs w:val="20"/>
                <w:color w:val="auto"/>
              </w:rPr>
            </w:pPr>
            <w:r>
              <w:rPr>
                <w:rFonts w:ascii="Arial" w:cs="Arial" w:eastAsia="Arial" w:hAnsi="Arial"/>
                <w:sz w:val="18"/>
                <w:szCs w:val="18"/>
                <w:color w:val="auto"/>
              </w:rPr>
              <w:t>—</w:t>
            </w:r>
          </w:p>
        </w:tc>
        <w:tc>
          <w:tcPr>
            <w:tcW w:w="4520" w:type="dxa"/>
            <w:vAlign w:val="bottom"/>
            <w:gridSpan w:val="2"/>
          </w:tcPr>
          <w:p>
            <w:pPr>
              <w:ind w:left="40"/>
              <w:spacing w:after="0"/>
              <w:rPr>
                <w:sz w:val="20"/>
                <w:szCs w:val="20"/>
                <w:color w:val="auto"/>
              </w:rPr>
            </w:pPr>
            <w:r>
              <w:rPr>
                <w:rFonts w:ascii="Arial" w:cs="Arial" w:eastAsia="Arial" w:hAnsi="Arial"/>
                <w:sz w:val="18"/>
                <w:szCs w:val="18"/>
                <w:color w:val="auto"/>
              </w:rPr>
              <w:t>XBRL Taxonomy Extension Schema Document</w:t>
            </w:r>
          </w:p>
        </w:tc>
      </w:tr>
      <w:tr>
        <w:trPr>
          <w:trHeight w:val="540"/>
        </w:trPr>
        <w:tc>
          <w:tcPr>
            <w:tcW w:w="220" w:type="dxa"/>
            <w:vAlign w:val="bottom"/>
          </w:tcPr>
          <w:p>
            <w:pPr>
              <w:spacing w:after="0"/>
              <w:rPr>
                <w:sz w:val="24"/>
                <w:szCs w:val="24"/>
                <w:color w:val="auto"/>
              </w:rPr>
            </w:pPr>
          </w:p>
        </w:tc>
        <w:tc>
          <w:tcPr>
            <w:tcW w:w="1060" w:type="dxa"/>
            <w:vAlign w:val="bottom"/>
          </w:tcPr>
          <w:p>
            <w:pPr>
              <w:ind w:left="40"/>
              <w:spacing w:after="0"/>
              <w:rPr>
                <w:sz w:val="20"/>
                <w:szCs w:val="20"/>
                <w:color w:val="auto"/>
              </w:rPr>
            </w:pPr>
            <w:r>
              <w:rPr>
                <w:rFonts w:ascii="Arial" w:cs="Arial" w:eastAsia="Arial" w:hAnsi="Arial"/>
                <w:sz w:val="18"/>
                <w:szCs w:val="18"/>
                <w:color w:val="auto"/>
              </w:rPr>
              <w:t>101.CAL†</w:t>
            </w:r>
          </w:p>
        </w:tc>
        <w:tc>
          <w:tcPr>
            <w:tcW w:w="560" w:type="dxa"/>
            <w:vAlign w:val="bottom"/>
          </w:tcPr>
          <w:p>
            <w:pPr>
              <w:ind w:left="20"/>
              <w:spacing w:after="0"/>
              <w:rPr>
                <w:sz w:val="20"/>
                <w:szCs w:val="20"/>
                <w:color w:val="auto"/>
              </w:rPr>
            </w:pPr>
            <w:r>
              <w:rPr>
                <w:rFonts w:ascii="Arial" w:cs="Arial" w:eastAsia="Arial" w:hAnsi="Arial"/>
                <w:sz w:val="18"/>
                <w:szCs w:val="18"/>
                <w:color w:val="auto"/>
              </w:rPr>
              <w:t>—</w:t>
            </w:r>
          </w:p>
        </w:tc>
        <w:tc>
          <w:tcPr>
            <w:tcW w:w="4520" w:type="dxa"/>
            <w:vAlign w:val="bottom"/>
            <w:gridSpan w:val="2"/>
          </w:tcPr>
          <w:p>
            <w:pPr>
              <w:ind w:left="40"/>
              <w:spacing w:after="0"/>
              <w:rPr>
                <w:sz w:val="20"/>
                <w:szCs w:val="20"/>
                <w:color w:val="auto"/>
              </w:rPr>
            </w:pPr>
            <w:r>
              <w:rPr>
                <w:rFonts w:ascii="Arial" w:cs="Arial" w:eastAsia="Arial" w:hAnsi="Arial"/>
                <w:sz w:val="18"/>
                <w:szCs w:val="18"/>
                <w:color w:val="auto"/>
                <w:w w:val="93"/>
              </w:rPr>
              <w:t>XBRL Taxonomy Extension Calculation Linkbase Document</w:t>
            </w:r>
          </w:p>
        </w:tc>
      </w:tr>
      <w:tr>
        <w:trPr>
          <w:trHeight w:val="540"/>
        </w:trPr>
        <w:tc>
          <w:tcPr>
            <w:tcW w:w="220" w:type="dxa"/>
            <w:vAlign w:val="bottom"/>
          </w:tcPr>
          <w:p>
            <w:pPr>
              <w:spacing w:after="0"/>
              <w:rPr>
                <w:sz w:val="24"/>
                <w:szCs w:val="24"/>
                <w:color w:val="auto"/>
              </w:rPr>
            </w:pPr>
          </w:p>
        </w:tc>
        <w:tc>
          <w:tcPr>
            <w:tcW w:w="1060" w:type="dxa"/>
            <w:vAlign w:val="bottom"/>
          </w:tcPr>
          <w:p>
            <w:pPr>
              <w:ind w:left="40"/>
              <w:spacing w:after="0"/>
              <w:rPr>
                <w:sz w:val="20"/>
                <w:szCs w:val="20"/>
                <w:color w:val="auto"/>
              </w:rPr>
            </w:pPr>
            <w:r>
              <w:rPr>
                <w:rFonts w:ascii="Arial" w:cs="Arial" w:eastAsia="Arial" w:hAnsi="Arial"/>
                <w:sz w:val="18"/>
                <w:szCs w:val="18"/>
                <w:color w:val="auto"/>
              </w:rPr>
              <w:t>101.DEF†</w:t>
            </w:r>
          </w:p>
        </w:tc>
        <w:tc>
          <w:tcPr>
            <w:tcW w:w="560" w:type="dxa"/>
            <w:vAlign w:val="bottom"/>
          </w:tcPr>
          <w:p>
            <w:pPr>
              <w:ind w:left="20"/>
              <w:spacing w:after="0"/>
              <w:rPr>
                <w:sz w:val="20"/>
                <w:szCs w:val="20"/>
                <w:color w:val="auto"/>
              </w:rPr>
            </w:pPr>
            <w:r>
              <w:rPr>
                <w:rFonts w:ascii="Arial" w:cs="Arial" w:eastAsia="Arial" w:hAnsi="Arial"/>
                <w:sz w:val="18"/>
                <w:szCs w:val="18"/>
                <w:color w:val="auto"/>
              </w:rPr>
              <w:t>—</w:t>
            </w:r>
          </w:p>
        </w:tc>
        <w:tc>
          <w:tcPr>
            <w:tcW w:w="4520" w:type="dxa"/>
            <w:vAlign w:val="bottom"/>
            <w:gridSpan w:val="2"/>
          </w:tcPr>
          <w:p>
            <w:pPr>
              <w:ind w:left="40"/>
              <w:spacing w:after="0"/>
              <w:rPr>
                <w:sz w:val="20"/>
                <w:szCs w:val="20"/>
                <w:color w:val="auto"/>
              </w:rPr>
            </w:pPr>
            <w:r>
              <w:rPr>
                <w:rFonts w:ascii="Arial" w:cs="Arial" w:eastAsia="Arial" w:hAnsi="Arial"/>
                <w:sz w:val="18"/>
                <w:szCs w:val="18"/>
                <w:color w:val="auto"/>
                <w:w w:val="96"/>
              </w:rPr>
              <w:t>XBRL Taxonomy Extension Definition Linkbase Document</w:t>
            </w:r>
          </w:p>
        </w:tc>
      </w:tr>
      <w:tr>
        <w:trPr>
          <w:trHeight w:val="540"/>
        </w:trPr>
        <w:tc>
          <w:tcPr>
            <w:tcW w:w="220" w:type="dxa"/>
            <w:vAlign w:val="bottom"/>
          </w:tcPr>
          <w:p>
            <w:pPr>
              <w:spacing w:after="0"/>
              <w:rPr>
                <w:sz w:val="24"/>
                <w:szCs w:val="24"/>
                <w:color w:val="auto"/>
              </w:rPr>
            </w:pPr>
          </w:p>
        </w:tc>
        <w:tc>
          <w:tcPr>
            <w:tcW w:w="1060" w:type="dxa"/>
            <w:vAlign w:val="bottom"/>
          </w:tcPr>
          <w:p>
            <w:pPr>
              <w:ind w:left="40"/>
              <w:spacing w:after="0"/>
              <w:rPr>
                <w:sz w:val="20"/>
                <w:szCs w:val="20"/>
                <w:color w:val="auto"/>
              </w:rPr>
            </w:pPr>
            <w:r>
              <w:rPr>
                <w:rFonts w:ascii="Arial" w:cs="Arial" w:eastAsia="Arial" w:hAnsi="Arial"/>
                <w:sz w:val="18"/>
                <w:szCs w:val="18"/>
                <w:color w:val="auto"/>
              </w:rPr>
              <w:t>101.LAB†</w:t>
            </w:r>
          </w:p>
        </w:tc>
        <w:tc>
          <w:tcPr>
            <w:tcW w:w="560" w:type="dxa"/>
            <w:vAlign w:val="bottom"/>
          </w:tcPr>
          <w:p>
            <w:pPr>
              <w:ind w:left="20"/>
              <w:spacing w:after="0"/>
              <w:rPr>
                <w:sz w:val="20"/>
                <w:szCs w:val="20"/>
                <w:color w:val="auto"/>
              </w:rPr>
            </w:pPr>
            <w:r>
              <w:rPr>
                <w:rFonts w:ascii="Arial" w:cs="Arial" w:eastAsia="Arial" w:hAnsi="Arial"/>
                <w:sz w:val="18"/>
                <w:szCs w:val="18"/>
                <w:color w:val="auto"/>
              </w:rPr>
              <w:t>—</w:t>
            </w:r>
          </w:p>
        </w:tc>
        <w:tc>
          <w:tcPr>
            <w:tcW w:w="4520" w:type="dxa"/>
            <w:vAlign w:val="bottom"/>
            <w:gridSpan w:val="2"/>
          </w:tcPr>
          <w:p>
            <w:pPr>
              <w:ind w:left="40"/>
              <w:spacing w:after="0"/>
              <w:rPr>
                <w:sz w:val="20"/>
                <w:szCs w:val="20"/>
                <w:color w:val="auto"/>
              </w:rPr>
            </w:pPr>
            <w:r>
              <w:rPr>
                <w:rFonts w:ascii="Arial" w:cs="Arial" w:eastAsia="Arial" w:hAnsi="Arial"/>
                <w:sz w:val="18"/>
                <w:szCs w:val="18"/>
                <w:color w:val="auto"/>
              </w:rPr>
              <w:t>XBRL Taxonomy Extension Label Linkbase Document</w:t>
            </w:r>
          </w:p>
        </w:tc>
      </w:tr>
      <w:tr>
        <w:trPr>
          <w:trHeight w:val="540"/>
        </w:trPr>
        <w:tc>
          <w:tcPr>
            <w:tcW w:w="220" w:type="dxa"/>
            <w:vAlign w:val="bottom"/>
          </w:tcPr>
          <w:p>
            <w:pPr>
              <w:spacing w:after="0"/>
              <w:rPr>
                <w:sz w:val="24"/>
                <w:szCs w:val="24"/>
                <w:color w:val="auto"/>
              </w:rPr>
            </w:pPr>
          </w:p>
        </w:tc>
        <w:tc>
          <w:tcPr>
            <w:tcW w:w="1060" w:type="dxa"/>
            <w:vAlign w:val="bottom"/>
          </w:tcPr>
          <w:p>
            <w:pPr>
              <w:ind w:left="40"/>
              <w:spacing w:after="0"/>
              <w:rPr>
                <w:sz w:val="20"/>
                <w:szCs w:val="20"/>
                <w:color w:val="auto"/>
              </w:rPr>
            </w:pPr>
            <w:r>
              <w:rPr>
                <w:rFonts w:ascii="Arial" w:cs="Arial" w:eastAsia="Arial" w:hAnsi="Arial"/>
                <w:sz w:val="18"/>
                <w:szCs w:val="18"/>
                <w:color w:val="auto"/>
              </w:rPr>
              <w:t>101.PRE†</w:t>
            </w:r>
          </w:p>
        </w:tc>
        <w:tc>
          <w:tcPr>
            <w:tcW w:w="560" w:type="dxa"/>
            <w:vAlign w:val="bottom"/>
          </w:tcPr>
          <w:p>
            <w:pPr>
              <w:ind w:left="20"/>
              <w:spacing w:after="0"/>
              <w:rPr>
                <w:sz w:val="20"/>
                <w:szCs w:val="20"/>
                <w:color w:val="auto"/>
              </w:rPr>
            </w:pPr>
            <w:r>
              <w:rPr>
                <w:rFonts w:ascii="Arial" w:cs="Arial" w:eastAsia="Arial" w:hAnsi="Arial"/>
                <w:sz w:val="18"/>
                <w:szCs w:val="18"/>
                <w:color w:val="auto"/>
              </w:rPr>
              <w:t>—</w:t>
            </w:r>
          </w:p>
        </w:tc>
        <w:tc>
          <w:tcPr>
            <w:tcW w:w="4520" w:type="dxa"/>
            <w:vAlign w:val="bottom"/>
            <w:gridSpan w:val="2"/>
          </w:tcPr>
          <w:p>
            <w:pPr>
              <w:ind w:left="40"/>
              <w:spacing w:after="0"/>
              <w:rPr>
                <w:sz w:val="20"/>
                <w:szCs w:val="20"/>
                <w:color w:val="auto"/>
              </w:rPr>
            </w:pPr>
            <w:r>
              <w:rPr>
                <w:rFonts w:ascii="Arial" w:cs="Arial" w:eastAsia="Arial" w:hAnsi="Arial"/>
                <w:sz w:val="18"/>
                <w:szCs w:val="18"/>
                <w:color w:val="auto"/>
                <w:w w:val="90"/>
              </w:rPr>
              <w:t>XBRL Taxonomy Extension Presentation Linkbase Document</w:t>
            </w:r>
          </w:p>
        </w:tc>
      </w:tr>
      <w:tr>
        <w:trPr>
          <w:trHeight w:val="284"/>
        </w:trPr>
        <w:tc>
          <w:tcPr>
            <w:tcW w:w="2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2120" w:type="dxa"/>
            <w:vAlign w:val="bottom"/>
            <w:tcBorders>
              <w:bottom w:val="single" w:sz="8" w:color="auto"/>
            </w:tcBorders>
          </w:tcPr>
          <w:p>
            <w:pPr>
              <w:spacing w:after="0"/>
              <w:rPr>
                <w:sz w:val="24"/>
                <w:szCs w:val="24"/>
                <w:color w:val="auto"/>
              </w:rPr>
            </w:pPr>
          </w:p>
        </w:tc>
        <w:tc>
          <w:tcPr>
            <w:tcW w:w="2400" w:type="dxa"/>
            <w:vAlign w:val="bottom"/>
          </w:tcPr>
          <w:p>
            <w:pPr>
              <w:spacing w:after="0"/>
              <w:rPr>
                <w:sz w:val="24"/>
                <w:szCs w:val="24"/>
                <w:color w:val="auto"/>
              </w:rPr>
            </w:pPr>
          </w:p>
        </w:tc>
      </w:tr>
      <w:tr>
        <w:trPr>
          <w:trHeight w:val="264"/>
        </w:trPr>
        <w:tc>
          <w:tcPr>
            <w:tcW w:w="220" w:type="dxa"/>
            <w:vAlign w:val="bottom"/>
          </w:tcPr>
          <w:p>
            <w:pPr>
              <w:spacing w:after="0"/>
              <w:rPr>
                <w:sz w:val="20"/>
                <w:szCs w:val="20"/>
                <w:color w:val="auto"/>
              </w:rPr>
            </w:pPr>
            <w:r>
              <w:rPr>
                <w:rFonts w:ascii="Arial" w:cs="Arial" w:eastAsia="Arial" w:hAnsi="Arial"/>
                <w:sz w:val="18"/>
                <w:szCs w:val="18"/>
                <w:color w:val="auto"/>
              </w:rPr>
              <w:t>†</w:t>
            </w:r>
          </w:p>
        </w:tc>
        <w:tc>
          <w:tcPr>
            <w:tcW w:w="1620" w:type="dxa"/>
            <w:vAlign w:val="bottom"/>
            <w:gridSpan w:val="2"/>
          </w:tcPr>
          <w:p>
            <w:pPr>
              <w:ind w:left="60"/>
              <w:spacing w:after="0"/>
              <w:rPr>
                <w:sz w:val="20"/>
                <w:szCs w:val="20"/>
                <w:color w:val="auto"/>
              </w:rPr>
            </w:pPr>
            <w:r>
              <w:rPr>
                <w:rFonts w:ascii="Arial" w:cs="Arial" w:eastAsia="Arial" w:hAnsi="Arial"/>
                <w:sz w:val="18"/>
                <w:szCs w:val="18"/>
                <w:color w:val="auto"/>
              </w:rPr>
              <w:t>Filed herewith.</w:t>
            </w:r>
          </w:p>
        </w:tc>
        <w:tc>
          <w:tcPr>
            <w:tcW w:w="2120" w:type="dxa"/>
            <w:vAlign w:val="bottom"/>
          </w:tcPr>
          <w:p>
            <w:pPr>
              <w:spacing w:after="0"/>
              <w:rPr>
                <w:sz w:val="22"/>
                <w:szCs w:val="22"/>
                <w:color w:val="auto"/>
              </w:rPr>
            </w:pPr>
          </w:p>
        </w:tc>
        <w:tc>
          <w:tcPr>
            <w:tcW w:w="2400" w:type="dxa"/>
            <w:vAlign w:val="bottom"/>
          </w:tcPr>
          <w:p>
            <w:pPr>
              <w:spacing w:after="0"/>
              <w:rPr>
                <w:sz w:val="22"/>
                <w:szCs w:val="22"/>
                <w:color w:val="auto"/>
              </w:rPr>
            </w:pPr>
          </w:p>
        </w:tc>
      </w:tr>
      <w:tr>
        <w:trPr>
          <w:trHeight w:val="324"/>
        </w:trPr>
        <w:tc>
          <w:tcPr>
            <w:tcW w:w="220" w:type="dxa"/>
            <w:vAlign w:val="bottom"/>
          </w:tcPr>
          <w:p>
            <w:pPr>
              <w:spacing w:after="0"/>
              <w:rPr>
                <w:sz w:val="20"/>
                <w:szCs w:val="20"/>
                <w:color w:val="auto"/>
              </w:rPr>
            </w:pPr>
            <w:r>
              <w:rPr>
                <w:rFonts w:ascii="Arial" w:cs="Arial" w:eastAsia="Arial" w:hAnsi="Arial"/>
                <w:sz w:val="18"/>
                <w:szCs w:val="18"/>
                <w:color w:val="auto"/>
                <w:w w:val="99"/>
              </w:rPr>
              <w:t>††</w:t>
            </w:r>
          </w:p>
        </w:tc>
        <w:tc>
          <w:tcPr>
            <w:tcW w:w="1620" w:type="dxa"/>
            <w:vAlign w:val="bottom"/>
            <w:gridSpan w:val="2"/>
          </w:tcPr>
          <w:p>
            <w:pPr>
              <w:ind w:left="140"/>
              <w:spacing w:after="0"/>
              <w:rPr>
                <w:sz w:val="20"/>
                <w:szCs w:val="20"/>
                <w:color w:val="auto"/>
              </w:rPr>
            </w:pPr>
            <w:r>
              <w:rPr>
                <w:rFonts w:ascii="Arial" w:cs="Arial" w:eastAsia="Arial" w:hAnsi="Arial"/>
                <w:sz w:val="18"/>
                <w:szCs w:val="18"/>
                <w:color w:val="auto"/>
                <w:w w:val="92"/>
              </w:rPr>
              <w:t>Furnished herewith.</w:t>
            </w:r>
          </w:p>
        </w:tc>
        <w:tc>
          <w:tcPr>
            <w:tcW w:w="2120" w:type="dxa"/>
            <w:vAlign w:val="bottom"/>
          </w:tcPr>
          <w:p>
            <w:pPr>
              <w:spacing w:after="0"/>
              <w:rPr>
                <w:sz w:val="24"/>
                <w:szCs w:val="24"/>
                <w:color w:val="auto"/>
              </w:rPr>
            </w:pPr>
          </w:p>
        </w:tc>
        <w:tc>
          <w:tcPr>
            <w:tcW w:w="2400" w:type="dxa"/>
            <w:vAlign w:val="bottom"/>
          </w:tcPr>
          <w:p>
            <w:pPr>
              <w:spacing w:after="0"/>
              <w:rPr>
                <w:sz w:val="24"/>
                <w:szCs w:val="24"/>
                <w:color w:val="auto"/>
              </w:rPr>
            </w:pPr>
          </w:p>
        </w:tc>
      </w:tr>
    </w:tbl>
    <w:p>
      <w:pPr>
        <w:spacing w:after="0" w:line="94" w:lineRule="exact"/>
        <w:rPr>
          <w:sz w:val="20"/>
          <w:szCs w:val="20"/>
          <w:color w:val="auto"/>
        </w:rPr>
      </w:pPr>
    </w:p>
    <w:p>
      <w:pPr>
        <w:ind w:left="320" w:hanging="312"/>
        <w:spacing w:after="0"/>
        <w:tabs>
          <w:tab w:leader="none" w:pos="320" w:val="left"/>
        </w:tabs>
        <w:numPr>
          <w:ilvl w:val="0"/>
          <w:numId w:val="53"/>
        </w:numPr>
        <w:rPr>
          <w:rFonts w:ascii="Arial" w:cs="Arial" w:eastAsia="Arial" w:hAnsi="Arial"/>
          <w:sz w:val="18"/>
          <w:szCs w:val="18"/>
          <w:color w:val="auto"/>
        </w:rPr>
      </w:pPr>
      <w:r>
        <w:rPr>
          <w:rFonts w:ascii="Arial" w:cs="Arial" w:eastAsia="Arial" w:hAnsi="Arial"/>
          <w:sz w:val="18"/>
          <w:szCs w:val="18"/>
          <w:color w:val="auto"/>
        </w:rPr>
        <w:t>Management compensatory plan or arrangement.</w:t>
      </w:r>
    </w:p>
    <w:p>
      <w:pPr>
        <w:spacing w:after="0" w:line="200" w:lineRule="exact"/>
        <w:rPr>
          <w:sz w:val="20"/>
          <w:szCs w:val="20"/>
          <w:color w:val="auto"/>
        </w:rPr>
      </w:pPr>
    </w:p>
    <w:p>
      <w:pPr>
        <w:spacing w:after="0" w:line="37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0219"/>
          </w:cols>
          <w:pgMar w:left="240" w:top="108" w:right="1440" w:bottom="1440" w:gutter="0" w:footer="0" w:header="0"/>
        </w:sectPr>
      </w:pPr>
    </w:p>
    <w:bookmarkStart w:id="67" w:name="page68"/>
    <w:bookmarkEnd w:id="6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680" w:firstLine="446"/>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329"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PLAINS GP HOLDINGS, L.P.</w:t>
      </w:r>
    </w:p>
    <w:p>
      <w:pPr>
        <w:spacing w:after="0" w:line="337" w:lineRule="exact"/>
        <w:rPr>
          <w:sz w:val="20"/>
          <w:szCs w:val="20"/>
          <w:color w:val="auto"/>
        </w:rPr>
      </w:pPr>
    </w:p>
    <w:tbl>
      <w:tblPr>
        <w:tblLayout w:type="fixed"/>
        <w:tblInd w:w="5640" w:type="dxa"/>
        <w:tblCellMar>
          <w:top w:w="0" w:type="dxa"/>
          <w:left w:w="0" w:type="dxa"/>
          <w:bottom w:w="0" w:type="dxa"/>
          <w:right w:w="0" w:type="dxa"/>
        </w:tblCellMar>
      </w:tblPr>
      <w:tr>
        <w:trPr>
          <w:trHeight w:val="230"/>
        </w:trPr>
        <w:tc>
          <w:tcPr>
            <w:tcW w:w="640" w:type="dxa"/>
            <w:vAlign w:val="bottom"/>
          </w:tcPr>
          <w:p>
            <w:pPr>
              <w:spacing w:after="0"/>
              <w:rPr>
                <w:sz w:val="20"/>
                <w:szCs w:val="20"/>
                <w:color w:val="auto"/>
              </w:rPr>
            </w:pPr>
            <w:r>
              <w:rPr>
                <w:rFonts w:ascii="Arial" w:cs="Arial" w:eastAsia="Arial" w:hAnsi="Arial"/>
                <w:sz w:val="18"/>
                <w:szCs w:val="18"/>
                <w:color w:val="auto"/>
              </w:rPr>
              <w:t>By:</w:t>
            </w:r>
          </w:p>
        </w:tc>
        <w:tc>
          <w:tcPr>
            <w:tcW w:w="5140" w:type="dxa"/>
            <w:vAlign w:val="bottom"/>
          </w:tcPr>
          <w:p>
            <w:pPr>
              <w:ind w:left="40"/>
              <w:spacing w:after="0"/>
              <w:rPr>
                <w:sz w:val="20"/>
                <w:szCs w:val="20"/>
                <w:color w:val="auto"/>
              </w:rPr>
            </w:pPr>
            <w:r>
              <w:rPr>
                <w:rFonts w:ascii="Arial" w:cs="Arial" w:eastAsia="Arial" w:hAnsi="Arial"/>
                <w:sz w:val="18"/>
                <w:szCs w:val="18"/>
                <w:color w:val="auto"/>
              </w:rPr>
              <w:t>PAA GP HOLDINGS LLC,</w:t>
            </w:r>
          </w:p>
        </w:tc>
      </w:tr>
      <w:tr>
        <w:trPr>
          <w:trHeight w:val="270"/>
        </w:trPr>
        <w:tc>
          <w:tcPr>
            <w:tcW w:w="640" w:type="dxa"/>
            <w:vAlign w:val="bottom"/>
          </w:tcPr>
          <w:p>
            <w:pPr>
              <w:spacing w:after="0"/>
              <w:rPr>
                <w:sz w:val="23"/>
                <w:szCs w:val="23"/>
                <w:color w:val="auto"/>
              </w:rPr>
            </w:pPr>
          </w:p>
        </w:tc>
        <w:tc>
          <w:tcPr>
            <w:tcW w:w="5140" w:type="dxa"/>
            <w:vAlign w:val="bottom"/>
          </w:tcPr>
          <w:p>
            <w:pPr>
              <w:ind w:left="40"/>
              <w:spacing w:after="0"/>
              <w:rPr>
                <w:sz w:val="20"/>
                <w:szCs w:val="20"/>
                <w:color w:val="auto"/>
              </w:rPr>
            </w:pPr>
            <w:r>
              <w:rPr>
                <w:rFonts w:ascii="Arial" w:cs="Arial" w:eastAsia="Arial" w:hAnsi="Arial"/>
                <w:sz w:val="18"/>
                <w:szCs w:val="18"/>
                <w:i w:val="1"/>
                <w:iCs w:val="1"/>
                <w:color w:val="auto"/>
              </w:rPr>
              <w:t>its general partner</w:t>
            </w:r>
          </w:p>
        </w:tc>
      </w:tr>
      <w:tr>
        <w:trPr>
          <w:trHeight w:val="540"/>
        </w:trPr>
        <w:tc>
          <w:tcPr>
            <w:tcW w:w="640" w:type="dxa"/>
            <w:vAlign w:val="bottom"/>
          </w:tcPr>
          <w:p>
            <w:pPr>
              <w:spacing w:after="0"/>
              <w:rPr>
                <w:sz w:val="20"/>
                <w:szCs w:val="20"/>
                <w:color w:val="auto"/>
              </w:rPr>
            </w:pPr>
            <w:r>
              <w:rPr>
                <w:rFonts w:ascii="Arial" w:cs="Arial" w:eastAsia="Arial" w:hAnsi="Arial"/>
                <w:sz w:val="18"/>
                <w:szCs w:val="18"/>
                <w:color w:val="auto"/>
              </w:rPr>
              <w:t>By:</w:t>
            </w:r>
          </w:p>
        </w:tc>
        <w:tc>
          <w:tcPr>
            <w:tcW w:w="5140" w:type="dxa"/>
            <w:vAlign w:val="bottom"/>
          </w:tcPr>
          <w:p>
            <w:pPr>
              <w:ind w:left="40"/>
              <w:spacing w:after="0"/>
              <w:rPr>
                <w:sz w:val="20"/>
                <w:szCs w:val="20"/>
                <w:color w:val="auto"/>
              </w:rPr>
            </w:pPr>
            <w:r>
              <w:rPr>
                <w:rFonts w:ascii="Arial" w:cs="Arial" w:eastAsia="Arial" w:hAnsi="Arial"/>
                <w:sz w:val="18"/>
                <w:szCs w:val="18"/>
                <w:color w:val="auto"/>
              </w:rPr>
              <w:t>/s/ Greg L. Armstrong</w:t>
            </w:r>
          </w:p>
        </w:tc>
      </w:tr>
      <w:tr>
        <w:trPr>
          <w:trHeight w:val="27"/>
        </w:trPr>
        <w:tc>
          <w:tcPr>
            <w:tcW w:w="640" w:type="dxa"/>
            <w:vAlign w:val="bottom"/>
          </w:tcPr>
          <w:p>
            <w:pPr>
              <w:spacing w:after="0"/>
              <w:rPr>
                <w:sz w:val="2"/>
                <w:szCs w:val="2"/>
                <w:color w:val="auto"/>
              </w:rPr>
            </w:pPr>
          </w:p>
        </w:tc>
        <w:tc>
          <w:tcPr>
            <w:tcW w:w="5140" w:type="dxa"/>
            <w:vAlign w:val="bottom"/>
            <w:tcBorders>
              <w:bottom w:val="single" w:sz="8" w:color="auto"/>
            </w:tcBorders>
          </w:tcPr>
          <w:p>
            <w:pPr>
              <w:spacing w:after="0"/>
              <w:rPr>
                <w:sz w:val="2"/>
                <w:szCs w:val="2"/>
                <w:color w:val="auto"/>
              </w:rPr>
            </w:pPr>
          </w:p>
        </w:tc>
      </w:tr>
      <w:tr>
        <w:trPr>
          <w:trHeight w:val="237"/>
        </w:trPr>
        <w:tc>
          <w:tcPr>
            <w:tcW w:w="640" w:type="dxa"/>
            <w:vAlign w:val="bottom"/>
          </w:tcPr>
          <w:p>
            <w:pPr>
              <w:spacing w:after="0"/>
              <w:rPr>
                <w:sz w:val="20"/>
                <w:szCs w:val="20"/>
                <w:color w:val="auto"/>
              </w:rPr>
            </w:pPr>
          </w:p>
        </w:tc>
        <w:tc>
          <w:tcPr>
            <w:tcW w:w="5140" w:type="dxa"/>
            <w:vAlign w:val="bottom"/>
          </w:tcPr>
          <w:p>
            <w:pPr>
              <w:ind w:left="40"/>
              <w:spacing w:after="0"/>
              <w:rPr>
                <w:sz w:val="20"/>
                <w:szCs w:val="20"/>
                <w:color w:val="auto"/>
              </w:rPr>
            </w:pPr>
            <w:r>
              <w:rPr>
                <w:rFonts w:ascii="Arial" w:cs="Arial" w:eastAsia="Arial" w:hAnsi="Arial"/>
                <w:sz w:val="18"/>
                <w:szCs w:val="18"/>
                <w:b w:val="1"/>
                <w:bCs w:val="1"/>
                <w:color w:val="auto"/>
              </w:rPr>
              <w:t>Greg L. Armstrong,</w:t>
            </w:r>
          </w:p>
        </w:tc>
      </w:tr>
      <w:tr>
        <w:trPr>
          <w:trHeight w:val="256"/>
        </w:trPr>
        <w:tc>
          <w:tcPr>
            <w:tcW w:w="640" w:type="dxa"/>
            <w:vAlign w:val="bottom"/>
          </w:tcPr>
          <w:p>
            <w:pPr>
              <w:spacing w:after="0"/>
              <w:rPr>
                <w:sz w:val="22"/>
                <w:szCs w:val="22"/>
                <w:color w:val="auto"/>
              </w:rPr>
            </w:pPr>
          </w:p>
        </w:tc>
        <w:tc>
          <w:tcPr>
            <w:tcW w:w="5140" w:type="dxa"/>
            <w:vAlign w:val="bottom"/>
          </w:tcPr>
          <w:p>
            <w:pPr>
              <w:ind w:left="40"/>
              <w:spacing w:after="0"/>
              <w:rPr>
                <w:sz w:val="20"/>
                <w:szCs w:val="20"/>
                <w:color w:val="auto"/>
              </w:rPr>
            </w:pPr>
            <w:r>
              <w:rPr>
                <w:rFonts w:ascii="Arial" w:cs="Arial" w:eastAsia="Arial" w:hAnsi="Arial"/>
                <w:sz w:val="18"/>
                <w:szCs w:val="18"/>
                <w:b w:val="1"/>
                <w:bCs w:val="1"/>
                <w:i w:val="1"/>
                <w:iCs w:val="1"/>
                <w:color w:val="auto"/>
              </w:rPr>
              <w:t>Chairman of the Board,</w:t>
            </w:r>
          </w:p>
        </w:tc>
      </w:tr>
      <w:tr>
        <w:trPr>
          <w:trHeight w:val="216"/>
        </w:trPr>
        <w:tc>
          <w:tcPr>
            <w:tcW w:w="640" w:type="dxa"/>
            <w:vAlign w:val="bottom"/>
          </w:tcPr>
          <w:p>
            <w:pPr>
              <w:spacing w:after="0"/>
              <w:rPr>
                <w:sz w:val="18"/>
                <w:szCs w:val="18"/>
                <w:color w:val="auto"/>
              </w:rPr>
            </w:pPr>
          </w:p>
        </w:tc>
        <w:tc>
          <w:tcPr>
            <w:tcW w:w="5140" w:type="dxa"/>
            <w:vAlign w:val="bottom"/>
          </w:tcPr>
          <w:p>
            <w:pPr>
              <w:ind w:left="40"/>
              <w:spacing w:after="0"/>
              <w:rPr>
                <w:sz w:val="20"/>
                <w:szCs w:val="20"/>
                <w:color w:val="auto"/>
              </w:rPr>
            </w:pPr>
            <w:r>
              <w:rPr>
                <w:rFonts w:ascii="Arial" w:cs="Arial" w:eastAsia="Arial" w:hAnsi="Arial"/>
                <w:sz w:val="18"/>
                <w:szCs w:val="18"/>
                <w:b w:val="1"/>
                <w:bCs w:val="1"/>
                <w:i w:val="1"/>
                <w:iCs w:val="1"/>
                <w:color w:val="auto"/>
                <w:w w:val="96"/>
              </w:rPr>
              <w:t>Chief Executive Officer and Director of PAA GP Holdings LLC</w:t>
            </w:r>
          </w:p>
        </w:tc>
      </w:tr>
      <w:tr>
        <w:trPr>
          <w:trHeight w:val="230"/>
        </w:trPr>
        <w:tc>
          <w:tcPr>
            <w:tcW w:w="640" w:type="dxa"/>
            <w:vAlign w:val="bottom"/>
          </w:tcPr>
          <w:p>
            <w:pPr>
              <w:spacing w:after="0"/>
              <w:rPr>
                <w:sz w:val="20"/>
                <w:szCs w:val="20"/>
                <w:color w:val="auto"/>
              </w:rPr>
            </w:pPr>
          </w:p>
        </w:tc>
        <w:tc>
          <w:tcPr>
            <w:tcW w:w="5140" w:type="dxa"/>
            <w:vAlign w:val="bottom"/>
          </w:tcPr>
          <w:p>
            <w:pPr>
              <w:ind w:left="40"/>
              <w:spacing w:after="0"/>
              <w:rPr>
                <w:sz w:val="20"/>
                <w:szCs w:val="20"/>
                <w:color w:val="auto"/>
              </w:rPr>
            </w:pPr>
            <w:r>
              <w:rPr>
                <w:rFonts w:ascii="Arial" w:cs="Arial" w:eastAsia="Arial" w:hAnsi="Arial"/>
                <w:sz w:val="18"/>
                <w:szCs w:val="18"/>
                <w:b w:val="1"/>
                <w:bCs w:val="1"/>
                <w:i w:val="1"/>
                <w:iCs w:val="1"/>
                <w:color w:val="auto"/>
              </w:rPr>
              <w:t>(Principal Executive Officer)</w:t>
            </w:r>
          </w:p>
        </w:tc>
      </w:tr>
    </w:tbl>
    <w:p>
      <w:pPr>
        <w:spacing w:after="0" w:line="310" w:lineRule="exact"/>
        <w:rPr>
          <w:sz w:val="20"/>
          <w:szCs w:val="20"/>
          <w:color w:val="auto"/>
        </w:rPr>
      </w:pPr>
    </w:p>
    <w:p>
      <w:pPr>
        <w:ind w:left="40"/>
        <w:spacing w:after="0"/>
        <w:rPr>
          <w:sz w:val="20"/>
          <w:szCs w:val="20"/>
          <w:color w:val="auto"/>
        </w:rPr>
      </w:pPr>
      <w:r>
        <w:rPr>
          <w:rFonts w:ascii="Arial" w:cs="Arial" w:eastAsia="Arial" w:hAnsi="Arial"/>
          <w:sz w:val="18"/>
          <w:szCs w:val="18"/>
          <w:color w:val="auto"/>
        </w:rPr>
        <w:t>August 8, 2018</w:t>
      </w:r>
    </w:p>
    <w:p>
      <w:pPr>
        <w:spacing w:after="0" w:line="333" w:lineRule="exact"/>
        <w:rPr>
          <w:sz w:val="20"/>
          <w:szCs w:val="20"/>
          <w:color w:val="auto"/>
        </w:rPr>
      </w:pPr>
    </w:p>
    <w:p>
      <w:pPr>
        <w:ind w:left="5640"/>
        <w:spacing w:after="0"/>
        <w:tabs>
          <w:tab w:leader="none" w:pos="63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Al Swanson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31750</wp:posOffset>
            </wp:positionV>
            <wp:extent cx="325882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78">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53" w:lineRule="exact"/>
        <w:rPr>
          <w:sz w:val="20"/>
          <w:szCs w:val="20"/>
          <w:color w:val="auto"/>
        </w:rPr>
      </w:pPr>
    </w:p>
    <w:p>
      <w:pPr>
        <w:ind w:left="6320"/>
        <w:spacing w:after="0"/>
        <w:rPr>
          <w:sz w:val="20"/>
          <w:szCs w:val="20"/>
          <w:color w:val="auto"/>
        </w:rPr>
      </w:pPr>
      <w:r>
        <w:rPr>
          <w:rFonts w:ascii="Arial" w:cs="Arial" w:eastAsia="Arial" w:hAnsi="Arial"/>
          <w:sz w:val="18"/>
          <w:szCs w:val="18"/>
          <w:b w:val="1"/>
          <w:bCs w:val="1"/>
          <w:color w:val="auto"/>
        </w:rPr>
        <w:t>Al Swanson,</w:t>
      </w:r>
    </w:p>
    <w:p>
      <w:pPr>
        <w:spacing w:after="0" w:line="67" w:lineRule="exact"/>
        <w:rPr>
          <w:sz w:val="20"/>
          <w:szCs w:val="20"/>
          <w:color w:val="auto"/>
        </w:rPr>
      </w:pPr>
    </w:p>
    <w:p>
      <w:pPr>
        <w:ind w:left="6320"/>
        <w:spacing w:after="0"/>
        <w:rPr>
          <w:sz w:val="20"/>
          <w:szCs w:val="20"/>
          <w:color w:val="auto"/>
        </w:rPr>
      </w:pPr>
      <w:r>
        <w:rPr>
          <w:rFonts w:ascii="Arial" w:cs="Arial" w:eastAsia="Arial" w:hAnsi="Arial"/>
          <w:sz w:val="16"/>
          <w:szCs w:val="16"/>
          <w:b w:val="1"/>
          <w:bCs w:val="1"/>
          <w:i w:val="1"/>
          <w:iCs w:val="1"/>
          <w:color w:val="auto"/>
        </w:rPr>
        <w:t>Executive Vice President and Chief Financial Officer of PAA GP</w:t>
      </w:r>
    </w:p>
    <w:p>
      <w:pPr>
        <w:spacing w:after="0" w:line="46" w:lineRule="exact"/>
        <w:rPr>
          <w:sz w:val="20"/>
          <w:szCs w:val="20"/>
          <w:color w:val="auto"/>
        </w:rPr>
      </w:pPr>
    </w:p>
    <w:p>
      <w:pPr>
        <w:ind w:left="6320"/>
        <w:spacing w:after="0"/>
        <w:rPr>
          <w:sz w:val="20"/>
          <w:szCs w:val="20"/>
          <w:color w:val="auto"/>
        </w:rPr>
      </w:pPr>
      <w:r>
        <w:rPr>
          <w:rFonts w:ascii="Arial" w:cs="Arial" w:eastAsia="Arial" w:hAnsi="Arial"/>
          <w:sz w:val="18"/>
          <w:szCs w:val="18"/>
          <w:b w:val="1"/>
          <w:bCs w:val="1"/>
          <w:i w:val="1"/>
          <w:iCs w:val="1"/>
          <w:color w:val="auto"/>
        </w:rPr>
        <w:t>Holdings LLC (Principal Financial Officer)</w:t>
      </w:r>
    </w:p>
    <w:p>
      <w:pPr>
        <w:spacing w:after="0" w:line="319" w:lineRule="exact"/>
        <w:rPr>
          <w:sz w:val="20"/>
          <w:szCs w:val="20"/>
          <w:color w:val="auto"/>
        </w:rPr>
      </w:pPr>
    </w:p>
    <w:p>
      <w:pPr>
        <w:ind w:left="40"/>
        <w:spacing w:after="0"/>
        <w:rPr>
          <w:sz w:val="20"/>
          <w:szCs w:val="20"/>
          <w:color w:val="auto"/>
        </w:rPr>
      </w:pPr>
      <w:r>
        <w:rPr>
          <w:rFonts w:ascii="Arial" w:cs="Arial" w:eastAsia="Arial" w:hAnsi="Arial"/>
          <w:sz w:val="18"/>
          <w:szCs w:val="18"/>
          <w:color w:val="auto"/>
        </w:rPr>
        <w:t>August 8, 2018</w:t>
      </w:r>
    </w:p>
    <w:p>
      <w:pPr>
        <w:spacing w:after="0" w:line="333" w:lineRule="exact"/>
        <w:rPr>
          <w:sz w:val="20"/>
          <w:szCs w:val="20"/>
          <w:color w:val="auto"/>
        </w:rPr>
      </w:pPr>
    </w:p>
    <w:p>
      <w:pPr>
        <w:ind w:left="5640"/>
        <w:spacing w:after="0"/>
        <w:tabs>
          <w:tab w:leader="none" w:pos="63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Chris Herbold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31750</wp:posOffset>
            </wp:positionV>
            <wp:extent cx="325882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79">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53" w:lineRule="exact"/>
        <w:rPr>
          <w:sz w:val="20"/>
          <w:szCs w:val="20"/>
          <w:color w:val="auto"/>
        </w:rPr>
      </w:pPr>
    </w:p>
    <w:p>
      <w:pPr>
        <w:ind w:left="6320"/>
        <w:spacing w:after="0"/>
        <w:rPr>
          <w:sz w:val="20"/>
          <w:szCs w:val="20"/>
          <w:color w:val="auto"/>
        </w:rPr>
      </w:pPr>
      <w:r>
        <w:rPr>
          <w:rFonts w:ascii="Arial" w:cs="Arial" w:eastAsia="Arial" w:hAnsi="Arial"/>
          <w:sz w:val="18"/>
          <w:szCs w:val="18"/>
          <w:b w:val="1"/>
          <w:bCs w:val="1"/>
          <w:color w:val="auto"/>
        </w:rPr>
        <w:t>Chris Herbold,</w:t>
      </w:r>
    </w:p>
    <w:p>
      <w:pPr>
        <w:spacing w:after="0" w:line="67" w:lineRule="exact"/>
        <w:rPr>
          <w:sz w:val="20"/>
          <w:szCs w:val="20"/>
          <w:color w:val="auto"/>
        </w:rPr>
      </w:pPr>
    </w:p>
    <w:p>
      <w:pPr>
        <w:jc w:val="right"/>
        <w:ind w:right="160"/>
        <w:spacing w:after="0"/>
        <w:rPr>
          <w:sz w:val="20"/>
          <w:szCs w:val="20"/>
          <w:color w:val="auto"/>
        </w:rPr>
      </w:pPr>
      <w:r>
        <w:rPr>
          <w:rFonts w:ascii="Arial" w:cs="Arial" w:eastAsia="Arial" w:hAnsi="Arial"/>
          <w:sz w:val="18"/>
          <w:szCs w:val="18"/>
          <w:b w:val="1"/>
          <w:bCs w:val="1"/>
          <w:i w:val="1"/>
          <w:iCs w:val="1"/>
          <w:color w:val="auto"/>
        </w:rPr>
        <w:t>Vice President—Accounting and Chief Accounting Officer of PAA</w:t>
      </w:r>
    </w:p>
    <w:p>
      <w:pPr>
        <w:spacing w:after="0" w:line="23" w:lineRule="exact"/>
        <w:rPr>
          <w:sz w:val="20"/>
          <w:szCs w:val="20"/>
          <w:color w:val="auto"/>
        </w:rPr>
      </w:pPr>
    </w:p>
    <w:p>
      <w:pPr>
        <w:ind w:left="6320"/>
        <w:spacing w:after="0"/>
        <w:rPr>
          <w:sz w:val="20"/>
          <w:szCs w:val="20"/>
          <w:color w:val="auto"/>
        </w:rPr>
      </w:pPr>
      <w:r>
        <w:rPr>
          <w:rFonts w:ascii="Arial" w:cs="Arial" w:eastAsia="Arial" w:hAnsi="Arial"/>
          <w:sz w:val="18"/>
          <w:szCs w:val="18"/>
          <w:b w:val="1"/>
          <w:bCs w:val="1"/>
          <w:i w:val="1"/>
          <w:iCs w:val="1"/>
          <w:color w:val="auto"/>
        </w:rPr>
        <w:t>GP Holdings LLC (Principal Accounting Officer)</w:t>
      </w:r>
    </w:p>
    <w:p>
      <w:pPr>
        <w:spacing w:after="0" w:line="319" w:lineRule="exact"/>
        <w:rPr>
          <w:sz w:val="20"/>
          <w:szCs w:val="20"/>
          <w:color w:val="auto"/>
        </w:rPr>
      </w:pPr>
    </w:p>
    <w:p>
      <w:pPr>
        <w:ind w:left="40"/>
        <w:spacing w:after="0"/>
        <w:rPr>
          <w:sz w:val="20"/>
          <w:szCs w:val="20"/>
          <w:color w:val="auto"/>
        </w:rPr>
      </w:pPr>
      <w:r>
        <w:rPr>
          <w:rFonts w:ascii="Arial" w:cs="Arial" w:eastAsia="Arial" w:hAnsi="Arial"/>
          <w:sz w:val="18"/>
          <w:szCs w:val="18"/>
          <w:color w:val="auto"/>
        </w:rPr>
        <w:t>August 8, 2018</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420"/>
          </w:cols>
          <w:pgMar w:left="240" w:top="125" w:right="239" w:bottom="1440" w:gutter="0" w:footer="0" w:header="0"/>
        </w:sectPr>
      </w:pPr>
    </w:p>
    <w:bookmarkStart w:id="68" w:name="page69"/>
    <w:bookmarkEnd w:id="68"/>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Greg L. Armstrong, certify that:</w:t>
      </w:r>
    </w:p>
    <w:p>
      <w:pPr>
        <w:spacing w:after="0" w:line="225" w:lineRule="exact"/>
        <w:rPr>
          <w:sz w:val="20"/>
          <w:szCs w:val="20"/>
          <w:color w:val="auto"/>
        </w:rPr>
      </w:pPr>
    </w:p>
    <w:p>
      <w:pPr>
        <w:ind w:left="880" w:hanging="224"/>
        <w:spacing w:after="0"/>
        <w:tabs>
          <w:tab w:leader="none" w:pos="8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Plains GP Holdings, L.P. (the “registrant”);</w:t>
      </w:r>
    </w:p>
    <w:p>
      <w:pPr>
        <w:spacing w:after="0" w:line="225" w:lineRule="exact"/>
        <w:rPr>
          <w:rFonts w:ascii="Arial" w:cs="Arial" w:eastAsia="Arial" w:hAnsi="Arial"/>
          <w:sz w:val="18"/>
          <w:szCs w:val="18"/>
          <w:color w:val="auto"/>
        </w:rPr>
      </w:pPr>
    </w:p>
    <w:p>
      <w:pPr>
        <w:ind w:right="60" w:firstLine="656"/>
        <w:spacing w:after="0" w:line="342" w:lineRule="auto"/>
        <w:tabs>
          <w:tab w:leader="none" w:pos="873" w:val="left"/>
        </w:tabs>
        <w:numPr>
          <w:ilvl w:val="0"/>
          <w:numId w:val="54"/>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40" w:firstLine="656"/>
        <w:spacing w:after="0" w:line="277" w:lineRule="auto"/>
        <w:tabs>
          <w:tab w:leader="none" w:pos="873" w:val="left"/>
        </w:tabs>
        <w:numPr>
          <w:ilvl w:val="0"/>
          <w:numId w:val="54"/>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ind w:right="80" w:firstLine="656"/>
        <w:spacing w:after="0" w:line="264" w:lineRule="auto"/>
        <w:tabs>
          <w:tab w:leader="none" w:pos="873"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sz w:val="20"/>
          <w:szCs w:val="20"/>
          <w:color w:val="auto"/>
        </w:rPr>
      </w:pPr>
    </w:p>
    <w:p>
      <w:pPr>
        <w:ind w:right="40" w:firstLine="656"/>
        <w:spacing w:after="0" w:line="264" w:lineRule="auto"/>
        <w:tabs>
          <w:tab w:leader="none" w:pos="1343" w:val="left"/>
        </w:tabs>
        <w:numPr>
          <w:ilvl w:val="0"/>
          <w:numId w:val="5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right="20" w:firstLine="656"/>
        <w:spacing w:after="0" w:line="264" w:lineRule="auto"/>
        <w:tabs>
          <w:tab w:leader="none" w:pos="1353" w:val="left"/>
        </w:tabs>
        <w:numPr>
          <w:ilvl w:val="0"/>
          <w:numId w:val="5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right="360" w:firstLine="656"/>
        <w:spacing w:after="0" w:line="308" w:lineRule="auto"/>
        <w:tabs>
          <w:tab w:leader="none" w:pos="1343" w:val="left"/>
        </w:tabs>
        <w:numPr>
          <w:ilvl w:val="0"/>
          <w:numId w:val="55"/>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ind w:right="320" w:firstLine="656"/>
        <w:spacing w:after="0" w:line="264" w:lineRule="auto"/>
        <w:tabs>
          <w:tab w:leader="none" w:pos="1353" w:val="left"/>
        </w:tabs>
        <w:numPr>
          <w:ilvl w:val="0"/>
          <w:numId w:val="5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sz w:val="20"/>
          <w:szCs w:val="20"/>
          <w:color w:val="auto"/>
        </w:rPr>
      </w:pPr>
    </w:p>
    <w:p>
      <w:pPr>
        <w:ind w:right="40" w:firstLine="656"/>
        <w:spacing w:after="0" w:line="308" w:lineRule="auto"/>
        <w:tabs>
          <w:tab w:leader="none" w:pos="873" w:val="left"/>
        </w:tabs>
        <w:numPr>
          <w:ilvl w:val="0"/>
          <w:numId w:val="56"/>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7" w:lineRule="exact"/>
        <w:rPr>
          <w:sz w:val="20"/>
          <w:szCs w:val="20"/>
          <w:color w:val="auto"/>
        </w:rPr>
      </w:pPr>
    </w:p>
    <w:p>
      <w:pPr>
        <w:ind w:right="580" w:firstLine="656"/>
        <w:spacing w:after="0" w:line="308" w:lineRule="auto"/>
        <w:tabs>
          <w:tab w:leader="none" w:pos="1343" w:val="left"/>
        </w:tabs>
        <w:numPr>
          <w:ilvl w:val="0"/>
          <w:numId w:val="57"/>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right="260" w:firstLine="656"/>
        <w:spacing w:after="0" w:line="277" w:lineRule="auto"/>
        <w:tabs>
          <w:tab w:leader="none" w:pos="1353" w:val="left"/>
        </w:tabs>
        <w:numPr>
          <w:ilvl w:val="0"/>
          <w:numId w:val="5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August 8, 2018</w:t>
      </w:r>
    </w:p>
    <w:p>
      <w:pPr>
        <w:spacing w:after="0" w:line="387"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Greg L. Armstrong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618865"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80">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Greg L. Armstrong</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420"/>
          </w:cols>
          <w:pgMar w:left="240" w:top="580" w:right="239" w:bottom="1440" w:gutter="0" w:footer="0" w:header="0"/>
        </w:sectPr>
      </w:pPr>
    </w:p>
    <w:bookmarkStart w:id="69" w:name="page70"/>
    <w:bookmarkEnd w:id="69"/>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Al Swanson, certify that:</w:t>
      </w:r>
    </w:p>
    <w:p>
      <w:pPr>
        <w:spacing w:after="0" w:line="225" w:lineRule="exact"/>
        <w:rPr>
          <w:sz w:val="20"/>
          <w:szCs w:val="20"/>
          <w:color w:val="auto"/>
        </w:rPr>
      </w:pPr>
    </w:p>
    <w:p>
      <w:pPr>
        <w:ind w:left="880" w:hanging="224"/>
        <w:spacing w:after="0"/>
        <w:tabs>
          <w:tab w:leader="none" w:pos="8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Plains GP Holdings, L.P. (the “registrant”);</w:t>
      </w:r>
    </w:p>
    <w:p>
      <w:pPr>
        <w:spacing w:after="0" w:line="225" w:lineRule="exact"/>
        <w:rPr>
          <w:rFonts w:ascii="Arial" w:cs="Arial" w:eastAsia="Arial" w:hAnsi="Arial"/>
          <w:sz w:val="18"/>
          <w:szCs w:val="18"/>
          <w:color w:val="auto"/>
        </w:rPr>
      </w:pPr>
    </w:p>
    <w:p>
      <w:pPr>
        <w:ind w:right="60" w:firstLine="656"/>
        <w:spacing w:after="0" w:line="342" w:lineRule="auto"/>
        <w:tabs>
          <w:tab w:leader="none" w:pos="873" w:val="left"/>
        </w:tabs>
        <w:numPr>
          <w:ilvl w:val="0"/>
          <w:numId w:val="58"/>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40" w:firstLine="656"/>
        <w:spacing w:after="0" w:line="277" w:lineRule="auto"/>
        <w:tabs>
          <w:tab w:leader="none" w:pos="873" w:val="left"/>
        </w:tabs>
        <w:numPr>
          <w:ilvl w:val="0"/>
          <w:numId w:val="5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ind w:right="80" w:firstLine="656"/>
        <w:spacing w:after="0" w:line="264" w:lineRule="auto"/>
        <w:tabs>
          <w:tab w:leader="none" w:pos="873"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sz w:val="20"/>
          <w:szCs w:val="20"/>
          <w:color w:val="auto"/>
        </w:rPr>
      </w:pPr>
    </w:p>
    <w:p>
      <w:pPr>
        <w:ind w:right="40" w:firstLine="656"/>
        <w:spacing w:after="0" w:line="264" w:lineRule="auto"/>
        <w:tabs>
          <w:tab w:leader="none" w:pos="1343" w:val="left"/>
        </w:tabs>
        <w:numPr>
          <w:ilvl w:val="0"/>
          <w:numId w:val="5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right="20" w:firstLine="656"/>
        <w:spacing w:after="0" w:line="264" w:lineRule="auto"/>
        <w:tabs>
          <w:tab w:leader="none" w:pos="1353" w:val="left"/>
        </w:tabs>
        <w:numPr>
          <w:ilvl w:val="0"/>
          <w:numId w:val="5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right="360" w:firstLine="656"/>
        <w:spacing w:after="0" w:line="308" w:lineRule="auto"/>
        <w:tabs>
          <w:tab w:leader="none" w:pos="1343" w:val="left"/>
        </w:tabs>
        <w:numPr>
          <w:ilvl w:val="0"/>
          <w:numId w:val="59"/>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ind w:right="320" w:firstLine="656"/>
        <w:spacing w:after="0" w:line="264" w:lineRule="auto"/>
        <w:tabs>
          <w:tab w:leader="none" w:pos="1353" w:val="left"/>
        </w:tabs>
        <w:numPr>
          <w:ilvl w:val="0"/>
          <w:numId w:val="5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sz w:val="20"/>
          <w:szCs w:val="20"/>
          <w:color w:val="auto"/>
        </w:rPr>
      </w:pPr>
    </w:p>
    <w:p>
      <w:pPr>
        <w:ind w:right="40" w:firstLine="656"/>
        <w:spacing w:after="0" w:line="308" w:lineRule="auto"/>
        <w:tabs>
          <w:tab w:leader="none" w:pos="873" w:val="left"/>
        </w:tabs>
        <w:numPr>
          <w:ilvl w:val="0"/>
          <w:numId w:val="60"/>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7" w:lineRule="exact"/>
        <w:rPr>
          <w:sz w:val="20"/>
          <w:szCs w:val="20"/>
          <w:color w:val="auto"/>
        </w:rPr>
      </w:pPr>
    </w:p>
    <w:p>
      <w:pPr>
        <w:ind w:right="580" w:firstLine="656"/>
        <w:spacing w:after="0" w:line="308" w:lineRule="auto"/>
        <w:tabs>
          <w:tab w:leader="none" w:pos="1343" w:val="left"/>
        </w:tabs>
        <w:numPr>
          <w:ilvl w:val="0"/>
          <w:numId w:val="61"/>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right="260" w:firstLine="656"/>
        <w:spacing w:after="0" w:line="277" w:lineRule="auto"/>
        <w:tabs>
          <w:tab w:leader="none" w:pos="1353" w:val="left"/>
        </w:tabs>
        <w:numPr>
          <w:ilvl w:val="0"/>
          <w:numId w:val="6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August 8, 2018</w:t>
      </w:r>
    </w:p>
    <w:p>
      <w:pPr>
        <w:spacing w:after="0" w:line="387"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Al Swanson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618865"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81">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Al Swanson</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420"/>
          </w:cols>
          <w:pgMar w:left="240" w:top="580" w:right="239" w:bottom="1440" w:gutter="0" w:footer="0" w:header="0"/>
        </w:sectPr>
      </w:pPr>
    </w:p>
    <w:bookmarkStart w:id="70" w:name="page71"/>
    <w:bookmarkEnd w:id="70"/>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CHIEF EXECUTIVE 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PLAINS GP HOLDINGS, L.P.</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1350</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Greg L. Armstrong, Chief Executive Officer of Plains GP Holdings, L.P. (the “Company”), hereby certify that:</w:t>
      </w:r>
    </w:p>
    <w:p>
      <w:pPr>
        <w:spacing w:after="0" w:line="225" w:lineRule="exact"/>
        <w:rPr>
          <w:sz w:val="20"/>
          <w:szCs w:val="20"/>
          <w:color w:val="auto"/>
        </w:rPr>
      </w:pPr>
    </w:p>
    <w:p>
      <w:pPr>
        <w:ind w:right="80" w:firstLine="656"/>
        <w:spacing w:after="0" w:line="264" w:lineRule="auto"/>
        <w:tabs>
          <w:tab w:leader="none" w:pos="1358"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accompanying report on Form 10-Q for the period ended June 30, 2018 and filed with the Securities and Exchange Commission on the date hereof (the “Report”) by the Company fully complies with the requirements of Section 13(a) or 15(d) of the Securities Exchange Act of 1934, as amended; and</w:t>
      </w:r>
    </w:p>
    <w:p>
      <w:pPr>
        <w:spacing w:after="0" w:line="181" w:lineRule="exact"/>
        <w:rPr>
          <w:rFonts w:ascii="Arial" w:cs="Arial" w:eastAsia="Arial" w:hAnsi="Arial"/>
          <w:sz w:val="18"/>
          <w:szCs w:val="18"/>
          <w:color w:val="auto"/>
        </w:rPr>
      </w:pPr>
    </w:p>
    <w:p>
      <w:pPr>
        <w:ind w:left="1380" w:hanging="724"/>
        <w:spacing w:after="0"/>
        <w:tabs>
          <w:tab w:leader="none" w:pos="1380" w:val="left"/>
        </w:tabs>
        <w:numPr>
          <w:ilvl w:val="0"/>
          <w:numId w:val="62"/>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Company.</w:t>
      </w:r>
    </w:p>
    <w:p>
      <w:pPr>
        <w:spacing w:after="0" w:line="37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/s/ Greg L. Armstrong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31750</wp:posOffset>
            </wp:positionV>
            <wp:extent cx="3618865"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82">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57"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Name: Greg L. Armstrong</w:t>
      </w:r>
    </w:p>
    <w:p>
      <w:pPr>
        <w:spacing w:after="0" w:line="6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Date: August 8, 2018</w:t>
      </w:r>
    </w:p>
    <w:p>
      <w:pPr>
        <w:sectPr>
          <w:pgSz w:w="11900" w:h="16838" w:orient="portrait"/>
          <w:cols w:equalWidth="0" w:num="1">
            <w:col w:w="11420"/>
          </w:cols>
          <w:pgMar w:left="240" w:top="580" w:right="239" w:bottom="1440" w:gutter="0" w:footer="0" w:header="0"/>
        </w:sectPr>
      </w:pPr>
    </w:p>
    <w:bookmarkStart w:id="71" w:name="page72"/>
    <w:bookmarkEnd w:id="71"/>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CHIEF FINANCIAL 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PLAINS GP HOLDINGS, L.P.</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1350</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Al Swanson, Chief Financial Officer of Plains GP Holdings, L.P. (the “Company”), hereby certify that:</w:t>
      </w:r>
    </w:p>
    <w:p>
      <w:pPr>
        <w:spacing w:after="0" w:line="225" w:lineRule="exact"/>
        <w:rPr>
          <w:sz w:val="20"/>
          <w:szCs w:val="20"/>
          <w:color w:val="auto"/>
        </w:rPr>
      </w:pPr>
    </w:p>
    <w:p>
      <w:pPr>
        <w:ind w:right="80" w:firstLine="656"/>
        <w:spacing w:after="0" w:line="264" w:lineRule="auto"/>
        <w:tabs>
          <w:tab w:leader="none" w:pos="1358"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accompanying report on Form 10-Q for the period ended June 30, 2018 and filed with the Securities and Exchange Commission on the date hereof (the “Report”) by the Company fully complies with the requirements of Section 13(a) or 15(d) of the Securities Exchange Act of 1934, as amended; and</w:t>
      </w:r>
    </w:p>
    <w:p>
      <w:pPr>
        <w:spacing w:after="0" w:line="181" w:lineRule="exact"/>
        <w:rPr>
          <w:rFonts w:ascii="Arial" w:cs="Arial" w:eastAsia="Arial" w:hAnsi="Arial"/>
          <w:sz w:val="18"/>
          <w:szCs w:val="18"/>
          <w:color w:val="auto"/>
        </w:rPr>
      </w:pPr>
    </w:p>
    <w:p>
      <w:pPr>
        <w:ind w:left="1380" w:hanging="724"/>
        <w:spacing w:after="0"/>
        <w:tabs>
          <w:tab w:leader="none" w:pos="1380" w:val="left"/>
        </w:tabs>
        <w:numPr>
          <w:ilvl w:val="0"/>
          <w:numId w:val="63"/>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Company.</w:t>
      </w:r>
    </w:p>
    <w:p>
      <w:pPr>
        <w:spacing w:after="0" w:line="37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/s/ Al Swanson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31750</wp:posOffset>
            </wp:positionV>
            <wp:extent cx="3618865"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83">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57"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Name: Al Swanson</w:t>
      </w:r>
    </w:p>
    <w:p>
      <w:pPr>
        <w:spacing w:after="0" w:line="6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Date: August 8, 2018</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CEAF087"/>
    <w:multiLevelType w:val="hybridMultilevel"/>
    <w:lvl w:ilvl="0">
      <w:lvlJc w:val="left"/>
      <w:lvlText w:val="☒"/>
      <w:numFmt w:val="bullet"/>
      <w:start w:val="1"/>
    </w:lvl>
  </w:abstractNum>
  <w:abstractNum w:abstractNumId="1">
    <w:nsid w:val="22221A70"/>
    <w:multiLevelType w:val="hybridMultilevel"/>
    <w:lvl w:ilvl="0">
      <w:lvlJc w:val="left"/>
      <w:lvlText w:val="o"/>
      <w:numFmt w:val="bullet"/>
      <w:start w:val="1"/>
    </w:lvl>
  </w:abstractNum>
  <w:abstractNum w:abstractNumId="2">
    <w:nsid w:val="4516DDE9"/>
    <w:multiLevelType w:val="hybridMultilevel"/>
    <w:lvl w:ilvl="0">
      <w:lvlJc w:val="left"/>
      <w:lvlText w:val="•"/>
      <w:numFmt w:val="bullet"/>
      <w:start w:val="1"/>
    </w:lvl>
  </w:abstractNum>
  <w:abstractNum w:abstractNumId="3">
    <w:nsid w:val="3006C83E"/>
    <w:multiLevelType w:val="hybridMultilevel"/>
    <w:lvl w:ilvl="0">
      <w:lvlJc w:val="left"/>
      <w:lvlText w:val="(%1)"/>
      <w:numFmt w:val="decimal"/>
      <w:start w:val="1"/>
    </w:lvl>
  </w:abstractNum>
  <w:abstractNum w:abstractNumId="4">
    <w:nsid w:val="614FD4A1"/>
    <w:multiLevelType w:val="hybridMultilevel"/>
    <w:lvl w:ilvl="0">
      <w:lvlJc w:val="left"/>
      <w:lvlText w:val="(%1)"/>
      <w:numFmt w:val="decimal"/>
      <w:start w:val="1"/>
    </w:lvl>
  </w:abstractNum>
  <w:abstractNum w:abstractNumId="5">
    <w:nsid w:val="419AC241"/>
    <w:multiLevelType w:val="hybridMultilevel"/>
    <w:lvl w:ilvl="0">
      <w:lvlJc w:val="left"/>
      <w:lvlText w:val="(%1)"/>
      <w:numFmt w:val="decimal"/>
      <w:start w:val="1"/>
    </w:lvl>
  </w:abstractNum>
  <w:abstractNum w:abstractNumId="6">
    <w:nsid w:val="5577F8E1"/>
    <w:multiLevelType w:val="hybridMultilevel"/>
    <w:lvl w:ilvl="0">
      <w:lvlJc w:val="left"/>
      <w:lvlText w:val="•"/>
      <w:numFmt w:val="bullet"/>
      <w:start w:val="1"/>
    </w:lvl>
  </w:abstractNum>
  <w:abstractNum w:abstractNumId="7">
    <w:nsid w:val="440BADFC"/>
    <w:multiLevelType w:val="hybridMultilevel"/>
    <w:lvl w:ilvl="0">
      <w:lvlJc w:val="left"/>
      <w:lvlText w:val="(%1)"/>
      <w:numFmt w:val="decimal"/>
      <w:start w:val="1"/>
    </w:lvl>
  </w:abstractNum>
  <w:abstractNum w:abstractNumId="8">
    <w:nsid w:val="5072367"/>
    <w:multiLevelType w:val="hybridMultilevel"/>
    <w:lvl w:ilvl="0">
      <w:lvlJc w:val="left"/>
      <w:lvlText w:val="\emdash "/>
      <w:numFmt w:val="bullet"/>
      <w:start w:val="1"/>
    </w:lvl>
  </w:abstractNum>
  <w:abstractNum w:abstractNumId="9">
    <w:nsid w:val="3804823E"/>
    <w:multiLevelType w:val="hybridMultilevel"/>
    <w:lvl w:ilvl="0">
      <w:lvlJc w:val="left"/>
      <w:lvlText w:val="(%1)"/>
      <w:numFmt w:val="decimal"/>
      <w:start w:val="1"/>
    </w:lvl>
  </w:abstractNum>
  <w:abstractNum w:abstractNumId="10">
    <w:nsid w:val="77465F01"/>
    <w:multiLevelType w:val="hybridMultilevel"/>
    <w:lvl w:ilvl="0">
      <w:lvlJc w:val="left"/>
      <w:lvlText w:val="(%1)"/>
      <w:numFmt w:val="decimal"/>
      <w:start w:val="4"/>
    </w:lvl>
  </w:abstractNum>
  <w:abstractNum w:abstractNumId="11">
    <w:nsid w:val="7724C67E"/>
    <w:multiLevelType w:val="hybridMultilevel"/>
    <w:lvl w:ilvl="0">
      <w:lvlJc w:val="left"/>
      <w:lvlText w:val="(%1)"/>
      <w:numFmt w:val="decimal"/>
      <w:start w:val="1"/>
    </w:lvl>
  </w:abstractNum>
  <w:abstractNum w:abstractNumId="12">
    <w:nsid w:val="5C482A97"/>
    <w:multiLevelType w:val="hybridMultilevel"/>
    <w:lvl w:ilvl="0">
      <w:lvlJc w:val="left"/>
      <w:lvlText w:val="(%1)"/>
      <w:numFmt w:val="decimal"/>
      <w:start w:val="1"/>
    </w:lvl>
  </w:abstractNum>
  <w:abstractNum w:abstractNumId="13">
    <w:nsid w:val="2463B9EA"/>
    <w:multiLevelType w:val="hybridMultilevel"/>
    <w:lvl w:ilvl="0">
      <w:lvlJc w:val="left"/>
      <w:lvlText w:val="(%1)"/>
      <w:numFmt w:val="decimal"/>
      <w:start w:val="1"/>
    </w:lvl>
  </w:abstractNum>
  <w:abstractNum w:abstractNumId="14">
    <w:nsid w:val="5E884ADC"/>
    <w:multiLevelType w:val="hybridMultilevel"/>
    <w:lvl w:ilvl="0">
      <w:lvlJc w:val="left"/>
      <w:lvlText w:val="(%1)"/>
      <w:numFmt w:val="decimal"/>
      <w:start w:val="1"/>
    </w:lvl>
  </w:abstractNum>
  <w:abstractNum w:abstractNumId="15">
    <w:nsid w:val="51EAD36B"/>
    <w:multiLevelType w:val="hybridMultilevel"/>
    <w:lvl w:ilvl="0">
      <w:lvlJc w:val="left"/>
      <w:lvlText w:val="(%1)"/>
      <w:numFmt w:val="decimal"/>
      <w:start w:val="1"/>
    </w:lvl>
  </w:abstractNum>
  <w:abstractNum w:abstractNumId="16">
    <w:nsid w:val="2D517796"/>
    <w:multiLevelType w:val="hybridMultilevel"/>
    <w:lvl w:ilvl="0">
      <w:lvlJc w:val="left"/>
      <w:lvlText w:val="•"/>
      <w:numFmt w:val="bullet"/>
      <w:start w:val="1"/>
    </w:lvl>
  </w:abstractNum>
  <w:abstractNum w:abstractNumId="17">
    <w:nsid w:val="580BD78F"/>
    <w:multiLevelType w:val="hybridMultilevel"/>
    <w:lvl w:ilvl="0">
      <w:lvlJc w:val="left"/>
      <w:lvlText w:val="•"/>
      <w:numFmt w:val="bullet"/>
      <w:start w:val="1"/>
    </w:lvl>
  </w:abstractNum>
  <w:abstractNum w:abstractNumId="18">
    <w:nsid w:val="153EA438"/>
    <w:multiLevelType w:val="hybridMultilevel"/>
    <w:lvl w:ilvl="0">
      <w:lvlJc w:val="left"/>
      <w:lvlText w:val="(%1)"/>
      <w:numFmt w:val="decimal"/>
      <w:start w:val="1"/>
    </w:lvl>
  </w:abstractNum>
  <w:abstractNum w:abstractNumId="19">
    <w:nsid w:val="3855585C"/>
    <w:multiLevelType w:val="hybridMultilevel"/>
    <w:lvl w:ilvl="0">
      <w:lvlJc w:val="left"/>
      <w:lvlText w:val="(%1)"/>
      <w:numFmt w:val="decimal"/>
      <w:start w:val="1"/>
    </w:lvl>
  </w:abstractNum>
  <w:abstractNum w:abstractNumId="20">
    <w:nsid w:val="70A64E2A"/>
    <w:multiLevelType w:val="hybridMultilevel"/>
    <w:lvl w:ilvl="0">
      <w:lvlJc w:val="left"/>
      <w:lvlText w:val="(%1)"/>
      <w:numFmt w:val="decimal"/>
      <w:start w:val="1"/>
    </w:lvl>
  </w:abstractNum>
  <w:abstractNum w:abstractNumId="21">
    <w:nsid w:val="6A2342EC"/>
    <w:multiLevelType w:val="hybridMultilevel"/>
    <w:lvl w:ilvl="0">
      <w:lvlJc w:val="left"/>
      <w:lvlText w:val="(%1)"/>
      <w:numFmt w:val="decimal"/>
      <w:start w:val="2"/>
    </w:lvl>
  </w:abstractNum>
  <w:abstractNum w:abstractNumId="22">
    <w:nsid w:val="2A487CB0"/>
    <w:multiLevelType w:val="hybridMultilevel"/>
    <w:lvl w:ilvl="0">
      <w:lvlJc w:val="left"/>
      <w:lvlText w:val="(%1)"/>
      <w:numFmt w:val="decimal"/>
      <w:start w:val="1"/>
    </w:lvl>
  </w:abstractNum>
  <w:abstractNum w:abstractNumId="23">
    <w:nsid w:val="1D4ED43B"/>
    <w:multiLevelType w:val="hybridMultilevel"/>
    <w:lvl w:ilvl="0">
      <w:lvlJc w:val="left"/>
      <w:lvlText w:val="(%1)"/>
      <w:numFmt w:val="decimal"/>
      <w:start w:val="5"/>
    </w:lvl>
  </w:abstractNum>
  <w:abstractNum w:abstractNumId="24">
    <w:nsid w:val="725A06FB"/>
    <w:multiLevelType w:val="hybridMultilevel"/>
    <w:lvl w:ilvl="0">
      <w:lvlJc w:val="left"/>
      <w:lvlText w:val="•"/>
      <w:numFmt w:val="bullet"/>
      <w:start w:val="1"/>
    </w:lvl>
  </w:abstractNum>
  <w:abstractNum w:abstractNumId="25">
    <w:nsid w:val="2CD89A32"/>
    <w:multiLevelType w:val="hybridMultilevel"/>
    <w:lvl w:ilvl="0">
      <w:lvlJc w:val="left"/>
      <w:lvlText w:val="•"/>
      <w:numFmt w:val="bullet"/>
      <w:start w:val="1"/>
    </w:lvl>
  </w:abstractNum>
  <w:abstractNum w:abstractNumId="26">
    <w:nsid w:val="57E4CCAF"/>
    <w:multiLevelType w:val="hybridMultilevel"/>
    <w:lvl w:ilvl="0">
      <w:lvlJc w:val="left"/>
      <w:lvlText w:val="(%1)"/>
      <w:numFmt w:val="decimal"/>
      <w:start w:val="1"/>
    </w:lvl>
  </w:abstractNum>
  <w:abstractNum w:abstractNumId="27">
    <w:nsid w:val="7A6D8D3C"/>
    <w:multiLevelType w:val="hybridMultilevel"/>
    <w:lvl w:ilvl="0">
      <w:lvlJc w:val="left"/>
      <w:lvlText w:val="(%1)"/>
      <w:numFmt w:val="decimal"/>
      <w:start w:val="1"/>
    </w:lvl>
  </w:abstractNum>
  <w:abstractNum w:abstractNumId="28">
    <w:nsid w:val="4B588F54"/>
    <w:multiLevelType w:val="hybridMultilevel"/>
    <w:lvl w:ilvl="0">
      <w:lvlJc w:val="left"/>
      <w:lvlText w:val="**"/>
      <w:numFmt w:val="bullet"/>
      <w:start w:val="1"/>
    </w:lvl>
  </w:abstractNum>
  <w:abstractNum w:abstractNumId="29">
    <w:nsid w:val="542289EC"/>
    <w:multiLevelType w:val="hybridMultilevel"/>
    <w:lvl w:ilvl="0">
      <w:lvlJc w:val="left"/>
      <w:lvlText w:val="(%1)"/>
      <w:numFmt w:val="decimal"/>
      <w:start w:val="1"/>
    </w:lvl>
  </w:abstractNum>
  <w:abstractNum w:abstractNumId="30">
    <w:nsid w:val="6DE91B18"/>
    <w:multiLevelType w:val="hybridMultilevel"/>
    <w:lvl w:ilvl="0">
      <w:lvlJc w:val="left"/>
      <w:lvlText w:val="**"/>
      <w:numFmt w:val="bullet"/>
      <w:start w:val="1"/>
    </w:lvl>
  </w:abstractNum>
  <w:abstractNum w:abstractNumId="31">
    <w:nsid w:val="38437FDB"/>
    <w:multiLevelType w:val="hybridMultilevel"/>
    <w:lvl w:ilvl="0">
      <w:lvlJc w:val="left"/>
      <w:lvlText w:val="(%1)"/>
      <w:numFmt w:val="decimal"/>
      <w:start w:val="1"/>
    </w:lvl>
  </w:abstractNum>
  <w:abstractNum w:abstractNumId="32">
    <w:nsid w:val="7644A45C"/>
    <w:multiLevelType w:val="hybridMultilevel"/>
    <w:lvl w:ilvl="0">
      <w:lvlJc w:val="left"/>
      <w:lvlText w:val="(%1)"/>
      <w:numFmt w:val="decimal"/>
      <w:start w:val="3"/>
    </w:lvl>
  </w:abstractNum>
  <w:abstractNum w:abstractNumId="33">
    <w:nsid w:val="32FFF902"/>
    <w:multiLevelType w:val="hybridMultilevel"/>
    <w:lvl w:ilvl="0">
      <w:lvlJc w:val="left"/>
      <w:lvlText w:val="**"/>
      <w:numFmt w:val="bullet"/>
      <w:start w:val="1"/>
    </w:lvl>
  </w:abstractNum>
  <w:abstractNum w:abstractNumId="34">
    <w:nsid w:val="684A481A"/>
    <w:multiLevelType w:val="hybridMultilevel"/>
    <w:lvl w:ilvl="0">
      <w:lvlJc w:val="left"/>
      <w:lvlText w:val="(%1)"/>
      <w:numFmt w:val="decimal"/>
      <w:start w:val="1"/>
    </w:lvl>
  </w:abstractNum>
  <w:abstractNum w:abstractNumId="35">
    <w:nsid w:val="579478FE"/>
    <w:multiLevelType w:val="hybridMultilevel"/>
    <w:lvl w:ilvl="0">
      <w:lvlJc w:val="left"/>
      <w:lvlText w:val="•"/>
      <w:numFmt w:val="bullet"/>
      <w:start w:val="1"/>
    </w:lvl>
  </w:abstractNum>
  <w:abstractNum w:abstractNumId="36">
    <w:nsid w:val="749ABB43"/>
    <w:multiLevelType w:val="hybridMultilevel"/>
    <w:lvl w:ilvl="0">
      <w:lvlJc w:val="left"/>
      <w:lvlText w:val="**"/>
      <w:numFmt w:val="bullet"/>
      <w:start w:val="1"/>
    </w:lvl>
  </w:abstractNum>
  <w:abstractNum w:abstractNumId="37">
    <w:nsid w:val="3DC240FB"/>
    <w:multiLevelType w:val="hybridMultilevel"/>
    <w:lvl w:ilvl="0">
      <w:lvlJc w:val="left"/>
      <w:lvlText w:val="(%1)"/>
      <w:numFmt w:val="decimal"/>
      <w:start w:val="1"/>
    </w:lvl>
  </w:abstractNum>
  <w:abstractNum w:abstractNumId="38">
    <w:nsid w:val="1BA026FA"/>
    <w:multiLevelType w:val="hybridMultilevel"/>
    <w:lvl w:ilvl="0">
      <w:lvlJc w:val="left"/>
      <w:lvlText w:val="•"/>
      <w:numFmt w:val="bullet"/>
      <w:start w:val="1"/>
    </w:lvl>
  </w:abstractNum>
  <w:abstractNum w:abstractNumId="39">
    <w:nsid w:val="79A1DEAA"/>
    <w:multiLevelType w:val="hybridMultilevel"/>
    <w:lvl w:ilvl="0">
      <w:lvlJc w:val="left"/>
      <w:lvlText w:val="**"/>
      <w:numFmt w:val="bullet"/>
      <w:start w:val="1"/>
    </w:lvl>
  </w:abstractNum>
  <w:abstractNum w:abstractNumId="40">
    <w:nsid w:val="75C6C33A"/>
    <w:multiLevelType w:val="hybridMultilevel"/>
    <w:lvl w:ilvl="0">
      <w:lvlJc w:val="left"/>
      <w:lvlText w:val="(%1)"/>
      <w:numFmt w:val="decimal"/>
      <w:start w:val="1"/>
    </w:lvl>
  </w:abstractNum>
  <w:abstractNum w:abstractNumId="41">
    <w:nsid w:val="12E685FB"/>
    <w:multiLevelType w:val="hybridMultilevel"/>
    <w:lvl w:ilvl="0">
      <w:lvlJc w:val="left"/>
      <w:lvlText w:val="•"/>
      <w:numFmt w:val="bullet"/>
      <w:start w:val="1"/>
    </w:lvl>
  </w:abstractNum>
  <w:abstractNum w:abstractNumId="42">
    <w:nsid w:val="70C6A529"/>
    <w:multiLevelType w:val="hybridMultilevel"/>
    <w:lvl w:ilvl="0">
      <w:lvlJc w:val="left"/>
      <w:lvlText w:val="•"/>
      <w:numFmt w:val="bullet"/>
      <w:start w:val="1"/>
    </w:lvl>
  </w:abstractNum>
  <w:abstractNum w:abstractNumId="43">
    <w:nsid w:val="520EEDD1"/>
    <w:multiLevelType w:val="hybridMultilevel"/>
    <w:lvl w:ilvl="0">
      <w:lvlJc w:val="left"/>
      <w:lvlText w:val="(%1)"/>
      <w:numFmt w:val="decimal"/>
      <w:start w:val="1"/>
    </w:lvl>
  </w:abstractNum>
  <w:abstractNum w:abstractNumId="44">
    <w:nsid w:val="374A3FE6"/>
    <w:multiLevelType w:val="hybridMultilevel"/>
    <w:lvl w:ilvl="0">
      <w:lvlJc w:val="left"/>
      <w:lvlText w:val="(%1)"/>
      <w:numFmt w:val="decimal"/>
      <w:start w:val="1"/>
    </w:lvl>
  </w:abstractNum>
  <w:abstractNum w:abstractNumId="45">
    <w:nsid w:val="4F4EF005"/>
    <w:multiLevelType w:val="hybridMultilevel"/>
    <w:lvl w:ilvl="0">
      <w:lvlJc w:val="left"/>
      <w:lvlText w:val="(%1)"/>
      <w:numFmt w:val="decimal"/>
      <w:start w:val="1"/>
    </w:lvl>
  </w:abstractNum>
  <w:abstractNum w:abstractNumId="46">
    <w:nsid w:val="23F9C13C"/>
    <w:multiLevelType w:val="hybridMultilevel"/>
    <w:lvl w:ilvl="0">
      <w:lvlJc w:val="left"/>
      <w:lvlText w:val="(%1)"/>
      <w:numFmt w:val="decimal"/>
      <w:start w:val="3"/>
    </w:lvl>
  </w:abstractNum>
  <w:abstractNum w:abstractNumId="47">
    <w:nsid w:val="649BB77C"/>
    <w:multiLevelType w:val="hybridMultilevel"/>
    <w:lvl w:ilvl="0">
      <w:lvlJc w:val="left"/>
      <w:lvlText w:val="•"/>
      <w:numFmt w:val="bullet"/>
      <w:start w:val="1"/>
    </w:lvl>
  </w:abstractNum>
  <w:abstractNum w:abstractNumId="48">
    <w:nsid w:val="275AC794"/>
    <w:multiLevelType w:val="hybridMultilevel"/>
    <w:lvl w:ilvl="0">
      <w:lvlJc w:val="left"/>
      <w:lvlText w:val="•"/>
      <w:numFmt w:val="bullet"/>
      <w:start w:val="1"/>
    </w:lvl>
  </w:abstractNum>
  <w:abstractNum w:abstractNumId="49">
    <w:nsid w:val="39386575"/>
    <w:multiLevelType w:val="hybridMultilevel"/>
    <w:lvl w:ilvl="0">
      <w:lvlJc w:val="left"/>
      <w:lvlText w:val="•"/>
      <w:numFmt w:val="bullet"/>
      <w:start w:val="1"/>
    </w:lvl>
  </w:abstractNum>
  <w:abstractNum w:abstractNumId="50">
    <w:nsid w:val="1CF10FD8"/>
    <w:multiLevelType w:val="hybridMultilevel"/>
    <w:lvl w:ilvl="0">
      <w:lvlJc w:val="left"/>
      <w:lvlText w:val="•"/>
      <w:numFmt w:val="bullet"/>
      <w:start w:val="1"/>
    </w:lvl>
  </w:abstractNum>
  <w:abstractNum w:abstractNumId="51">
    <w:nsid w:val="180115BE"/>
    <w:multiLevelType w:val="hybridMultilevel"/>
    <w:lvl w:ilvl="0">
      <w:lvlJc w:val="left"/>
      <w:lvlText w:val="(%1)"/>
      <w:numFmt w:val="lowerRoman"/>
      <w:start w:val="2"/>
    </w:lvl>
  </w:abstractNum>
  <w:abstractNum w:abstractNumId="52">
    <w:nsid w:val="235BA861"/>
    <w:multiLevelType w:val="hybridMultilevel"/>
    <w:lvl w:ilvl="0">
      <w:lvlJc w:val="left"/>
      <w:lvlText w:val="*"/>
      <w:numFmt w:val="bullet"/>
      <w:start w:val="1"/>
    </w:lvl>
  </w:abstractNum>
  <w:abstractNum w:abstractNumId="53">
    <w:nsid w:val="47398C89"/>
    <w:multiLevelType w:val="hybridMultilevel"/>
    <w:lvl w:ilvl="0">
      <w:lvlJc w:val="left"/>
      <w:lvlText w:val="%1."/>
      <w:numFmt w:val="decimal"/>
      <w:start w:val="1"/>
    </w:lvl>
  </w:abstractNum>
  <w:abstractNum w:abstractNumId="54">
    <w:nsid w:val="354FE9F9"/>
    <w:multiLevelType w:val="hybridMultilevel"/>
    <w:lvl w:ilvl="0">
      <w:lvlJc w:val="left"/>
      <w:lvlText w:val="(%1)"/>
      <w:numFmt w:val="lowerLetter"/>
      <w:start w:val="1"/>
    </w:lvl>
  </w:abstractNum>
  <w:abstractNum w:abstractNumId="55">
    <w:nsid w:val="15B5AF5C"/>
    <w:multiLevelType w:val="hybridMultilevel"/>
    <w:lvl w:ilvl="0">
      <w:lvlJc w:val="left"/>
      <w:lvlText w:val="%1."/>
      <w:numFmt w:val="decimal"/>
      <w:start w:val="5"/>
    </w:lvl>
  </w:abstractNum>
  <w:abstractNum w:abstractNumId="56">
    <w:nsid w:val="741226BB"/>
    <w:multiLevelType w:val="hybridMultilevel"/>
    <w:lvl w:ilvl="0">
      <w:lvlJc w:val="left"/>
      <w:lvlText w:val="(%1)"/>
      <w:numFmt w:val="lowerLetter"/>
      <w:start w:val="1"/>
    </w:lvl>
  </w:abstractNum>
  <w:abstractNum w:abstractNumId="57">
    <w:nsid w:val="D34B6A8"/>
    <w:multiLevelType w:val="hybridMultilevel"/>
    <w:lvl w:ilvl="0">
      <w:lvlJc w:val="left"/>
      <w:lvlText w:val="%1."/>
      <w:numFmt w:val="decimal"/>
      <w:start w:val="1"/>
    </w:lvl>
  </w:abstractNum>
  <w:abstractNum w:abstractNumId="58">
    <w:nsid w:val="10233C99"/>
    <w:multiLevelType w:val="hybridMultilevel"/>
    <w:lvl w:ilvl="0">
      <w:lvlJc w:val="left"/>
      <w:lvlText w:val="(%1)"/>
      <w:numFmt w:val="lowerLetter"/>
      <w:start w:val="1"/>
    </w:lvl>
  </w:abstractNum>
  <w:abstractNum w:abstractNumId="59">
    <w:nsid w:val="3F6AB60F"/>
    <w:multiLevelType w:val="hybridMultilevel"/>
    <w:lvl w:ilvl="0">
      <w:lvlJc w:val="left"/>
      <w:lvlText w:val="%1."/>
      <w:numFmt w:val="decimal"/>
      <w:start w:val="5"/>
    </w:lvl>
  </w:abstractNum>
  <w:abstractNum w:abstractNumId="60">
    <w:nsid w:val="61574095"/>
    <w:multiLevelType w:val="hybridMultilevel"/>
    <w:lvl w:ilvl="0">
      <w:lvlJc w:val="left"/>
      <w:lvlText w:val="(%1)"/>
      <w:numFmt w:val="lowerLetter"/>
      <w:start w:val="1"/>
    </w:lvl>
  </w:abstractNum>
  <w:abstractNum w:abstractNumId="61">
    <w:nsid w:val="7E0C57B1"/>
    <w:multiLevelType w:val="hybridMultilevel"/>
    <w:lvl w:ilvl="0">
      <w:lvlJc w:val="left"/>
      <w:lvlText w:val="(%1)"/>
      <w:numFmt w:val="lowerRoman"/>
      <w:start w:val="1"/>
    </w:lvl>
  </w:abstractNum>
  <w:abstractNum w:abstractNumId="62">
    <w:nsid w:val="77AE35E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78" Type="http://schemas.openxmlformats.org/officeDocument/2006/relationships/image" Target="media/image41.png"/><Relationship Id="rId79" Type="http://schemas.openxmlformats.org/officeDocument/2006/relationships/image" Target="media/image42.png"/><Relationship Id="rId80" Type="http://schemas.openxmlformats.org/officeDocument/2006/relationships/image" Target="media/image43.png"/><Relationship Id="rId81" Type="http://schemas.openxmlformats.org/officeDocument/2006/relationships/image" Target="media/image44.png"/><Relationship Id="rId82" Type="http://schemas.openxmlformats.org/officeDocument/2006/relationships/image" Target="media/image45.png"/><Relationship Id="rId83" Type="http://schemas.openxmlformats.org/officeDocument/2006/relationships/image" Target="media/image46.png"/><Relationship Id="rId48" Type="http://schemas.openxmlformats.org/officeDocument/2006/relationships/hyperlink" Target="http://www.sec.gov/Archives/edgar/data/1581990/000104746913007875/a2216069zex-3_1.htm" TargetMode="External"/><Relationship Id="rId49" Type="http://schemas.openxmlformats.org/officeDocument/2006/relationships/hyperlink" Target="http://www.sec.gov/Archives/edgar/data/1581990/000110465916158356/a16-21845_1ex3d2.htm" TargetMode="External"/><Relationship Id="rId50" Type="http://schemas.openxmlformats.org/officeDocument/2006/relationships/hyperlink" Target="http://www.sec.gov/Archives/edgar/data/1581990/000104746913007875/a2216069zex-3_3.htm" TargetMode="External"/><Relationship Id="rId51" Type="http://schemas.openxmlformats.org/officeDocument/2006/relationships/hyperlink" Target="http://www.sec.gov/Archives/edgar/data/1581990/000110465917010602/a17-6893_1ex3d1.htm" TargetMode="External"/><Relationship Id="rId52" Type="http://schemas.openxmlformats.org/officeDocument/2006/relationships/hyperlink" Target="http://www.sec.gov/Archives/edgar/data/1070423/000110465917061889/a17-22685_5ex3d1.htm" TargetMode="External"/><Relationship Id="rId53" Type="http://schemas.openxmlformats.org/officeDocument/2006/relationships/hyperlink" Target="http://www.sec.gov/Archives/edgar/data/1581990/000110465916158356/a16-21845_1ex3d3.htm" TargetMode="External"/><Relationship Id="rId54" Type="http://schemas.openxmlformats.org/officeDocument/2006/relationships/hyperlink" Target="http://www.sec.gov/Archives/edgar/data/1581990/000110465916158356/a16-21845_1ex3d4.htm" TargetMode="External"/><Relationship Id="rId55" Type="http://schemas.openxmlformats.org/officeDocument/2006/relationships/hyperlink" Target="http://www.sec.gov/Archives/edgar/data/1070423/000095012908000071/h52770exv3w3.htm" TargetMode="External"/><Relationship Id="rId56" Type="http://schemas.openxmlformats.org/officeDocument/2006/relationships/hyperlink" Target="http://www.sec.gov/Archives/edgar/data/1070423/000089924302002834/dex41.txt" TargetMode="External"/><Relationship Id="rId57" Type="http://schemas.openxmlformats.org/officeDocument/2006/relationships/hyperlink" Target="http://www.sec.gov/Archives/edgar/data/1070423/000110465906034368/a06-11663_1ex4d1.htm" TargetMode="External"/><Relationship Id="rId58" Type="http://schemas.openxmlformats.org/officeDocument/2006/relationships/hyperlink" Target="http://www.sec.gov/Archives/edgar/data/1070423/000095012906009235/h40667exv4w2.htm" TargetMode="External"/><Relationship Id="rId59" Type="http://schemas.openxmlformats.org/officeDocument/2006/relationships/hyperlink" Target="http://www.sec.gov/Archives/edgar/data/1070423/000095012309041075/h67912exv4w1.htm" TargetMode="External"/><Relationship Id="rId60" Type="http://schemas.openxmlformats.org/officeDocument/2006/relationships/hyperlink" Target="http://www.sec.gov/Archives/edgar/data/1070423/000095012311002051/h78739exv4w1.htm" TargetMode="External"/><Relationship Id="rId61" Type="http://schemas.openxmlformats.org/officeDocument/2006/relationships/hyperlink" Target="http://www.sec.gov/Archives/edgar/data/1070423/000119312512132295/d321017dex41.htm" TargetMode="External"/><Relationship Id="rId62" Type="http://schemas.openxmlformats.org/officeDocument/2006/relationships/hyperlink" Target="http://www.sec.gov/Archives/edgar/data/1070423/000119312512132295/d321017dex43.htm" TargetMode="External"/><Relationship Id="rId63" Type="http://schemas.openxmlformats.org/officeDocument/2006/relationships/hyperlink" Target="http://www.sec.gov/Archives/edgar/data/1070423/000119312512499932/d453762dex41.htm" TargetMode="External"/><Relationship Id="rId64" Type="http://schemas.openxmlformats.org/officeDocument/2006/relationships/hyperlink" Target="http://www.sec.gov/Archives/edgar/data/1070423/000119312512499932/d453762dex43.htm" TargetMode="External"/><Relationship Id="rId65" Type="http://schemas.openxmlformats.org/officeDocument/2006/relationships/hyperlink" Target="http://www.sec.gov/Archives/edgar/data/1070423/000119312513336066/d581734dex41.htm" TargetMode="External"/><Relationship Id="rId66" Type="http://schemas.openxmlformats.org/officeDocument/2006/relationships/hyperlink" Target="http://www.sec.gov/Archives/edgar/data/1581990/000119312514164185/d717953dex41.htm" TargetMode="External"/><Relationship Id="rId67" Type="http://schemas.openxmlformats.org/officeDocument/2006/relationships/hyperlink" Target="http://www.sec.gov/Archives/edgar/data/1581990/000119312514338295/d787197dex41.htm" TargetMode="External"/><Relationship Id="rId68" Type="http://schemas.openxmlformats.org/officeDocument/2006/relationships/hyperlink" Target="http://www.sec.gov/Archives/edgar/data/1581990/000119312514440012/d835488dex41.htm" TargetMode="External"/><Relationship Id="rId69" Type="http://schemas.openxmlformats.org/officeDocument/2006/relationships/hyperlink" Target="http://www.sec.gov/Archives/edgar/data/1581990/000119312514440012/d835488dex43.htm" TargetMode="External"/><Relationship Id="rId70" Type="http://schemas.openxmlformats.org/officeDocument/2006/relationships/hyperlink" Target="http://www.sec.gov/Archives/edgar/data/1070423/000119312515302829/d45393dex41.htm" TargetMode="External"/><Relationship Id="rId71" Type="http://schemas.openxmlformats.org/officeDocument/2006/relationships/hyperlink" Target="http://www.sec.gov/Archives/edgar/data/1070423/000110465916159593/a16-22232_1ex4d1.htm" TargetMode="External"/><Relationship Id="rId72" Type="http://schemas.openxmlformats.org/officeDocument/2006/relationships/hyperlink" Target="http://www.sec.gov/Archives/edgar/data/1581990/000110465913078057/a13-22338_2ex4d1.htm" TargetMode="External"/><Relationship Id="rId73" Type="http://schemas.openxmlformats.org/officeDocument/2006/relationships/hyperlink" Target="http://www.sec.gov/Archives/edgar/data/1581990/000158199018000008/pagpq12018exhibit101.htm" TargetMode="External"/><Relationship Id="rId74" Type="http://schemas.openxmlformats.org/officeDocument/2006/relationships/hyperlink" Target="http://www.sec.gov/Archives/edgar/data/1581990/000158199018000008/pagpq12018exhibit102.htm" TargetMode="External"/><Relationship Id="rId75" Type="http://schemas.openxmlformats.org/officeDocument/2006/relationships/hyperlink" Target="http://www.sec.gov/Archives/edgar/data/1581990/000158199018000008/pagpq12018exhibit103.htm" TargetMode="External"/><Relationship Id="rId76" Type="http://schemas.openxmlformats.org/officeDocument/2006/relationships/hyperlink" Target="http://www.sec.gov/Archives/edgar/data/1581990/000158199018000008/pagpq12018exhibit104.htm" TargetMode="External"/><Relationship Id="rId77" Type="http://schemas.openxmlformats.org/officeDocument/2006/relationships/hyperlink" Target="http://www.sec.gov/Archives/edgar/data/1581990/000158199018000008/pagpq12018exhibit105.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2020-01-13T07:29:10Z</dcterms:created>
  <dcterms:modified xsi:type="dcterms:W3CDTF">2020-01-13T07:29:10Z</dcterms:modified>
</cp:coreProperties>
</file>