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3, 2015</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240" w:space="720"/>
            <w:col w:w="2680" w:space="720"/>
            <w:col w:w="2940"/>
          </w:cols>
          <w:pgMar w:left="240" w:top="544" w:right="35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44" w:right="359" w:bottom="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November 3, 2015, the Registrant issued a press release reporting its third-quarter 2015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November 3, 2015.</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November 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bookmarkStart w:id="1" w:name="page2"/>
    <w:bookmarkEnd w:id="1"/>
    <w:p>
      <w:pPr>
        <w:ind w:left="5080"/>
        <w:spacing w:after="0"/>
        <w:tabs>
          <w:tab w:leader="none" w:pos="5780" w:val="left"/>
        </w:tabs>
        <w:rPr>
          <w:sz w:val="20"/>
          <w:szCs w:val="20"/>
          <w:color w:val="auto"/>
        </w:rPr>
      </w:pPr>
      <w:r>
        <w:rPr>
          <w:rFonts w:ascii="Arial" w:cs="Arial" w:eastAsia="Arial" w:hAnsi="Arial"/>
          <w:sz w:val="18"/>
          <w:szCs w:val="18"/>
          <w:color w:val="auto"/>
        </w:rPr>
        <w:t>Name:</w:t>
        <w:tab/>
        <w:t>Al Swanson</w:t>
      </w:r>
    </w:p>
    <w:p>
      <w:pPr>
        <w:spacing w:after="0" w:line="23" w:lineRule="exact"/>
        <w:rPr>
          <w:sz w:val="20"/>
          <w:szCs w:val="20"/>
          <w:color w:val="auto"/>
        </w:rPr>
      </w:pPr>
    </w:p>
    <w:p>
      <w:pPr>
        <w:ind w:left="5080"/>
        <w:spacing w:after="0"/>
        <w:tabs>
          <w:tab w:leader="none" w:pos="57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40"/>
          </w:cols>
          <w:pgMar w:left="1440" w:top="125" w:right="81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2015 Results</w:t>
      </w:r>
    </w:p>
    <w:p>
      <w:pPr>
        <w:spacing w:after="0" w:line="229" w:lineRule="exact"/>
        <w:rPr>
          <w:sz w:val="20"/>
          <w:szCs w:val="20"/>
          <w:color w:val="auto"/>
        </w:rPr>
      </w:pPr>
    </w:p>
    <w:p>
      <w:pPr>
        <w:ind w:right="300" w:firstLine="689"/>
        <w:spacing w:after="0" w:line="277" w:lineRule="auto"/>
        <w:rPr>
          <w:sz w:val="20"/>
          <w:szCs w:val="20"/>
          <w:color w:val="auto"/>
        </w:rPr>
      </w:pPr>
      <w:r>
        <w:rPr>
          <w:rFonts w:ascii="Arial" w:cs="Arial" w:eastAsia="Arial" w:hAnsi="Arial"/>
          <w:sz w:val="18"/>
          <w:szCs w:val="18"/>
          <w:color w:val="auto"/>
        </w:rPr>
        <w:t>(Houston — November 3, 2015) Plains All American Pipeline, L.P. (NYSE: PAA) and Plains GP Holdings (NYSE: PAGP) today reported third-quarter 2015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Pr>
          <w:p>
            <w:pPr>
              <w:spacing w:after="0"/>
              <w:rPr>
                <w:sz w:val="12"/>
                <w:szCs w:val="12"/>
                <w:color w:val="auto"/>
              </w:rPr>
            </w:pP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0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Pr>
          <w:p>
            <w:pPr>
              <w:spacing w:after="0"/>
              <w:rPr>
                <w:sz w:val="12"/>
                <w:szCs w:val="12"/>
                <w:color w:val="auto"/>
              </w:rPr>
            </w:pP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0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Distribution per limited partner unit declared for the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0.660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tabs>
          <w:tab w:leader="none" w:pos="64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reported third quarter results with adjusted EBITDA of $497 million, which was $17 million above the mid-point of our quarterly guidance range,” said Greg Armstrong, Chairman and CEO of Plains All American. “PAA will pay a quarterly distribution of $0.70 per limited partner unit next week, which is the equivalent of $2.80 per unit on an annualized basis, while PAGP will pay a quarterly distribution of $0.231 per Class A share, or $0.924 per share on an annualized basis. These distributions represent a 6.1% and 21.1% increase over comparative distributions paid in the same quarter of 2014,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remain constructive on the intermediate to long-term outlook for crude oil prices, activity levels, and PAA’s growth prospects. In the near term we remain cautious due to the impacts of excess capacity and related competitive pressures, and our fourth quarter guidance reflects our most current view of the near term environment,” said Armstrong. “PAA has a solid financial position with over $3 billion of liquidity and numerous capital projects scheduled to come on line or ramp up activity levels over the next 18 months that will contribute meaningfully to our cash flow. Accordingly, we believe PAA is well positioned to manage through the near term challenges and prosper over the intermediate to long term.”</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selected PAA financial information by segment for the third quarter and nine months ending September 30,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900" w:orient="portrait"/>
          <w:cols w:equalWidth="0" w:num="1">
            <w:col w:w="11420"/>
          </w:cols>
          <w:pgMar w:left="240" w:top="121" w:right="239" w:bottom="0" w:gutter="0" w:footer="0" w:header="0"/>
        </w:sectPr>
      </w:pPr>
    </w:p>
    <w:p>
      <w:pPr>
        <w:spacing w:after="0" w:line="188"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4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Three Months Ended</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7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2014</w:t>
            </w:r>
          </w:p>
        </w:tc>
      </w:tr>
    </w:tbl>
    <w:p>
      <w:pPr>
        <w:spacing w:after="0" w:line="20" w:lineRule="exact"/>
        <w:rPr>
          <w:sz w:val="20"/>
          <w:szCs w:val="20"/>
          <w:color w:val="auto"/>
        </w:rPr>
      </w:pPr>
    </w:p>
    <w:p>
      <w:pPr>
        <w:sectPr>
          <w:pgSz w:w="11900" w:h="16900" w:orient="portrait"/>
          <w:cols w:equalWidth="0" w:num="1">
            <w:col w:w="11420"/>
          </w:cols>
          <w:pgMar w:left="240" w:top="12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380"/>
              <w:spacing w:after="0" w:line="126" w:lineRule="exact"/>
              <w:rPr>
                <w:sz w:val="20"/>
                <w:szCs w:val="20"/>
                <w:color w:val="auto"/>
              </w:rPr>
            </w:pPr>
            <w:r>
              <w:rPr>
                <w:rFonts w:ascii="Arial" w:cs="Arial" w:eastAsia="Arial" w:hAnsi="Arial"/>
                <w:sz w:val="14"/>
                <w:szCs w:val="14"/>
                <w:b w:val="1"/>
                <w:bCs w:val="1"/>
                <w:color w:val="auto"/>
                <w:w w:val="99"/>
              </w:rPr>
              <w:t>Transportation</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w w:val="96"/>
              </w:rPr>
              <w:t>Facilities</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6"/>
              <w:spacing w:after="0" w:line="126" w:lineRule="exact"/>
              <w:rPr>
                <w:sz w:val="20"/>
                <w:szCs w:val="20"/>
                <w:color w:val="auto"/>
              </w:rPr>
            </w:pPr>
            <w:r>
              <w:rPr>
                <w:rFonts w:ascii="Arial" w:cs="Arial" w:eastAsia="Arial" w:hAnsi="Arial"/>
                <w:sz w:val="14"/>
                <w:szCs w:val="14"/>
                <w:b w:val="1"/>
                <w:bCs w:val="1"/>
                <w:color w:val="auto"/>
                <w:w w:val="92"/>
              </w:rPr>
              <w:t>Supply and</w:t>
            </w: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w w:val="99"/>
              </w:rPr>
              <w:t>Transportation</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Facilities</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8"/>
              <w:spacing w:after="0" w:line="126" w:lineRule="exact"/>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Selected items impacting comparability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253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i w:val="1"/>
                <w:iCs w:val="1"/>
                <w:color w:val="auto"/>
              </w:rPr>
              <w:t>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95</w:t>
            </w:r>
          </w:p>
        </w:tc>
        <w:tc>
          <w:tcPr>
            <w:tcW w:w="38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Percentage change in adjusted segment</w:t>
            </w:r>
          </w:p>
        </w:tc>
        <w:tc>
          <w:tcPr>
            <w:tcW w:w="1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(1)%</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(33)%</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ind w:left="10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ind w:left="1100"/>
              <w:spacing w:after="0"/>
              <w:rPr>
                <w:sz w:val="20"/>
                <w:szCs w:val="20"/>
                <w:color w:val="auto"/>
              </w:rPr>
            </w:pPr>
            <w:r>
              <w:rPr>
                <w:rFonts w:ascii="Arial" w:cs="Arial" w:eastAsia="Arial" w:hAnsi="Arial"/>
                <w:sz w:val="14"/>
                <w:szCs w:val="14"/>
                <w:b w:val="1"/>
                <w:bCs w:val="1"/>
                <w:color w:val="auto"/>
              </w:rPr>
              <w:t>September 30,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Transportation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Facilities</w:t>
            </w:r>
          </w:p>
        </w:tc>
        <w:tc>
          <w:tcPr>
            <w:tcW w:w="140" w:type="dxa"/>
            <w:vAlign w:val="bottom"/>
          </w:tcPr>
          <w:p>
            <w:pPr>
              <w:spacing w:after="0"/>
              <w:rPr>
                <w:sz w:val="10"/>
                <w:szCs w:val="10"/>
                <w:color w:val="auto"/>
              </w:rPr>
            </w:pPr>
          </w:p>
        </w:tc>
        <w:tc>
          <w:tcPr>
            <w:tcW w:w="90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9"/>
              </w:rPr>
              <w:t>Supply and</w:t>
            </w: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Selected items impacting comparability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755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i w:val="1"/>
                <w:iCs w:val="1"/>
                <w:color w:val="auto"/>
              </w:rPr>
              <w:t>439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i w:val="1"/>
                <w:iCs w:val="1"/>
                <w:color w:val="auto"/>
              </w:rPr>
              <w:t>410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680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446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Percentage change in adjusted segment</w:t>
            </w:r>
          </w:p>
        </w:tc>
        <w:tc>
          <w:tcPr>
            <w:tcW w:w="1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(2)%</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(14)%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54" w:lineRule="auto"/>
        <w:rPr>
          <w:sz w:val="20"/>
          <w:szCs w:val="20"/>
          <w:color w:val="auto"/>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00" w:lineRule="exact"/>
        <w:rPr>
          <w:sz w:val="20"/>
          <w:szCs w:val="20"/>
          <w:color w:val="auto"/>
        </w:rPr>
      </w:pPr>
    </w:p>
    <w:p>
      <w:pPr>
        <w:sectPr>
          <w:pgSz w:w="11900" w:h="16838" w:orient="portrait"/>
          <w:cols w:equalWidth="0" w:num="2">
            <w:col w:w="140" w:space="500"/>
            <w:col w:w="10780"/>
          </w:cols>
          <w:pgMar w:left="240" w:top="120" w:right="239" w:bottom="0" w:gutter="0" w:footer="0" w:header="0"/>
          <w:type w:val="continuous"/>
        </w:sectPr>
      </w:pPr>
    </w:p>
    <w:p>
      <w:pPr>
        <w:spacing w:after="0" w:line="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Third-quarter 2015 Transportation adjusted segment profit increased by 7% over comparable 2014 results. This increase was driven by higher crude oil pipeline volumes associated with our Cactus pipeline and other recently completed organic growth projects primarily within the Permian Basin and Eagle Ford producing regions, earnings from our 50% interest in the BridgeTex pipeline and lower field operating costs. These increases were partially offset by lost revenues associated with the shutdown of our All American system in California, lower pipeline loss allowance revenues and the impact of a weaker Canadian dollar.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Third-quarter 2015 Facilities adjusted segment profit decreased by 1% versus comparable 2014 results. This decrease was primarily due to a less favorable Canadian dollar and a less favorable environment for both our rail and natural gas storage activities, which was partially offset by lower field operating costs.</w:t>
      </w:r>
    </w:p>
    <w:p>
      <w:pPr>
        <w:spacing w:after="0" w:line="18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Third-quarter 2015 Supply and Logistics adjusted segment profit exceeded the high end of our quarterly guidance range but decreased by 33% compared to 2014 results. This decrease was primarily driven by lower margins and volumes associated with our crude oil lease gathering activities due to less favorable crude oil market conditions, partially offset by higher margins in our NGL sales activities, which benefitted from a stronger US dollar.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Q3 2015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Q2 2015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Q3 2014</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0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0.231</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0.227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0.19075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Q3 2015 distribution percentage growth from prior periods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r>
      <w:tr>
        <w:trPr>
          <w:trHeight w:val="20"/>
        </w:trPr>
        <w:tc>
          <w:tcPr>
            <w:tcW w:w="5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PAA and PAGP will hold a conference call on November 4, 2015 (see details below). Prior to this conference call, PAA will furnish a current report on Form 8-K, which will include material in this news release as well as PAA’s financial and operational guidance for the fourth quarter and full year of 2015.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EST on Wednesday, November 4, 2015 to discuss the following items:</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PAA’s third-quarter 2015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of major organic growth projects;</w:t>
      </w:r>
    </w:p>
    <w:p>
      <w:pPr>
        <w:sectPr>
          <w:pgSz w:w="11900" w:h="16838" w:orient="portrait"/>
          <w:cols w:equalWidth="0" w:num="1">
            <w:col w:w="11420"/>
          </w:cols>
          <w:pgMar w:left="240" w:top="120" w:right="239" w:bottom="0" w:gutter="0" w:footer="0" w:header="0"/>
          <w:type w:val="continuous"/>
        </w:sectPr>
      </w:pPr>
    </w:p>
    <w:bookmarkStart w:id="4" w:name="page5"/>
    <w:bookmarkEnd w:id="4"/>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guidance for the fourth quarter and full year of 2015;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To access the Internet webcast of the conference call, please go to www.plainsallamerican.com, navigate to “Investor Relations,” select “PAA” or “PAGP,” then “News &amp; Events,” and then “Quarterly Earnings.” Following the live webcast, the call will be archived for a period of sixty (60) days on the website.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230-1059. International callers should dial (612) 234-9959. No password is required. The slide presentation accompanying the conference call will be available a few minutes prior to the call at the above referenced website.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365414. The replay will be available beginning Wednesday, November 4, 2015, at approximately 1:00 p.m. EST and will continue until 11:59 p.m. EST on December 4,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jc w:val="both"/>
        <w:ind w:right="12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w:t>
      </w:r>
    </w:p>
    <w:p>
      <w:pPr>
        <w:sectPr>
          <w:pgSz w:w="11900" w:h="16838" w:orient="portrait"/>
          <w:cols w:equalWidth="0" w:num="1">
            <w:col w:w="11400"/>
          </w:cols>
          <w:pgMar w:left="240" w:top="125" w:right="259" w:bottom="0" w:gutter="0" w:footer="0" w:header="0"/>
        </w:sectPr>
      </w:pPr>
    </w:p>
    <w:bookmarkStart w:id="5" w:name="page6"/>
    <w:bookmarkEnd w:id="5"/>
    <w:p>
      <w:pPr>
        <w:spacing w:after="0" w:line="6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maintenance of our credit rating and ability to receive open credit from our suppliers and trade counterparties;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increased costs, or lack of availability, of insurance; non-utilization of our assets and facilities;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inability to recognize current revenue attributable to deficiency payments received from customers who fail to ship or move more than minimum contracted volumes until the related credits expire or are used;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4.4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7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5,551</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18,156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10,166</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15,591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LIMITED PARTNERS</w:t>
            </w:r>
          </w:p>
        </w:tc>
        <w:tc>
          <w:tcPr>
            <w:tcW w:w="1340" w:type="dxa"/>
            <w:vAlign w:val="bottom"/>
          </w:tcPr>
          <w:p>
            <w:pPr>
              <w:spacing w:after="0"/>
              <w:rPr>
                <w:sz w:val="22"/>
                <w:szCs w:val="22"/>
                <w:color w:val="auto"/>
              </w:rPr>
            </w:pP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bottom w:val="single" w:sz="8" w:color="CCEEFF"/>
            </w:tcBorders>
            <w:gridSpan w:val="2"/>
            <w:shd w:val="clear" w:color="auto" w:fill="CCEEFF"/>
          </w:tcPr>
          <w:p>
            <w:pPr>
              <w:ind w:left="180"/>
              <w:spacing w:after="0" w:line="195" w:lineRule="exact"/>
              <w:rPr>
                <w:sz w:val="20"/>
                <w:szCs w:val="20"/>
                <w:color w:val="auto"/>
              </w:rPr>
            </w:pPr>
            <w:r>
              <w:rPr>
                <w:rFonts w:ascii="Arial" w:cs="Arial" w:eastAsia="Arial" w:hAnsi="Arial"/>
                <w:sz w:val="18"/>
                <w:szCs w:val="18"/>
                <w:b w:val="1"/>
                <w:bCs w:val="1"/>
                <w:color w:val="auto"/>
              </w:rPr>
              <w:t>GENERAL PARTNER</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BASIC NET INCOME PER LIMITED PARTNER UNIT</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DILUTED NET INCOME PER LIMITED PARTNER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7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7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vMerge w:val="restart"/>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1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2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6"/>
              </w:rPr>
              <w:t>September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w w:val="90"/>
              </w:rPr>
              <w:t>– more –</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gridSpan w:val="7"/>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20" w:type="dxa"/>
            <w:vAlign w:val="bottom"/>
          </w:tcPr>
          <w:p>
            <w:pPr>
              <w:ind w:left="500"/>
              <w:spacing w:after="0"/>
              <w:rPr>
                <w:sz w:val="20"/>
                <w:szCs w:val="20"/>
                <w:color w:val="auto"/>
              </w:rPr>
            </w:pPr>
            <w:r>
              <w:rPr>
                <w:rFonts w:ascii="Arial" w:cs="Arial" w:eastAsia="Arial" w:hAnsi="Arial"/>
                <w:sz w:val="18"/>
                <w:szCs w:val="18"/>
                <w:b w:val="1"/>
                <w:bCs w:val="1"/>
                <w:color w:val="auto"/>
              </w:rPr>
              <w:t>333 Clay Street, Suite 1600</w:t>
            </w:r>
          </w:p>
        </w:tc>
        <w:tc>
          <w:tcPr>
            <w:tcW w:w="2120" w:type="dxa"/>
            <w:vAlign w:val="bottom"/>
            <w:gridSpan w:val="2"/>
          </w:tcPr>
          <w:p>
            <w:pPr>
              <w:jc w:val="right"/>
              <w:ind w:right="286"/>
              <w:spacing w:after="0"/>
              <w:rPr>
                <w:sz w:val="20"/>
                <w:szCs w:val="20"/>
                <w:color w:val="auto"/>
              </w:rPr>
            </w:pPr>
            <w:r>
              <w:rPr>
                <w:rFonts w:ascii="Arial" w:cs="Arial" w:eastAsia="Arial" w:hAnsi="Arial"/>
                <w:sz w:val="18"/>
                <w:szCs w:val="18"/>
                <w:b w:val="1"/>
                <w:bCs w:val="1"/>
                <w:color w:val="auto"/>
                <w:w w:val="92"/>
              </w:rPr>
              <w:t>Houston, Texas 77002</w:t>
            </w:r>
          </w:p>
        </w:tc>
        <w:tc>
          <w:tcPr>
            <w:tcW w:w="2340" w:type="dxa"/>
            <w:vAlign w:val="bottom"/>
            <w:gridSpan w:val="7"/>
          </w:tcPr>
          <w:p>
            <w:pPr>
              <w:jc w:val="right"/>
              <w:spacing w:after="0"/>
              <w:rPr>
                <w:sz w:val="20"/>
                <w:szCs w:val="20"/>
                <w:color w:val="auto"/>
              </w:rPr>
            </w:pPr>
            <w:r>
              <w:rPr>
                <w:rFonts w:ascii="Arial" w:cs="Arial" w:eastAsia="Arial" w:hAnsi="Arial"/>
                <w:sz w:val="18"/>
                <w:szCs w:val="18"/>
                <w:b w:val="1"/>
                <w:bCs w:val="1"/>
                <w:color w:val="auto"/>
                <w:w w:val="94"/>
              </w:rPr>
              <w:t>713-646-4100 / 866-809-1291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13,350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2,417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8,158</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partners’ capital</w:t>
            </w:r>
          </w:p>
        </w:tc>
        <w:tc>
          <w:tcPr>
            <w:tcW w:w="2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60" w:type="dxa"/>
            <w:vAlign w:val="bottom"/>
            <w:gridSpan w:val="3"/>
            <w:vMerge w:val="continue"/>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9,970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40"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7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Partners’ capital</w:t>
            </w: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8,216</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2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vMerge w:val="continue"/>
          </w:tcPr>
          <w:p>
            <w:pPr>
              <w:spacing w:after="0"/>
              <w:rPr>
                <w:sz w:val="20"/>
                <w:szCs w:val="20"/>
                <w:color w:val="auto"/>
              </w:rPr>
            </w:pPr>
          </w:p>
        </w:tc>
        <w:tc>
          <w:tcPr>
            <w:tcW w:w="226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18,867</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18,240</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3700" w:type="dxa"/>
            <w:vAlign w:val="bottom"/>
          </w:tcPr>
          <w:p>
            <w:pPr>
              <w:jc w:val="right"/>
              <w:ind w:right="550"/>
              <w:spacing w:after="0"/>
              <w:rPr>
                <w:sz w:val="20"/>
                <w:szCs w:val="20"/>
                <w:color w:val="auto"/>
              </w:rPr>
            </w:pPr>
            <w:r>
              <w:rPr>
                <w:rFonts w:ascii="Arial" w:cs="Arial" w:eastAsia="Arial" w:hAnsi="Arial"/>
                <w:sz w:val="18"/>
                <w:szCs w:val="18"/>
                <w:color w:val="auto"/>
              </w:rPr>
              <w:t>55%</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r>
      <w:tr>
        <w:trPr>
          <w:trHeight w:val="432"/>
        </w:trPr>
        <w:tc>
          <w:tcPr>
            <w:tcW w:w="474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Arial" w:cs="Arial" w:eastAsia="Arial" w:hAnsi="Arial"/>
                <w:sz w:val="18"/>
                <w:szCs w:val="18"/>
                <w:color w:val="auto"/>
              </w:rPr>
              <w:t>– more –</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700" w:type="dxa"/>
            <w:vAlign w:val="bottom"/>
          </w:tcPr>
          <w:p>
            <w:pPr>
              <w:jc w:val="right"/>
              <w:ind w:right="1210"/>
              <w:spacing w:after="0"/>
              <w:rPr>
                <w:sz w:val="20"/>
                <w:szCs w:val="20"/>
                <w:color w:val="auto"/>
              </w:rPr>
            </w:pPr>
            <w:r>
              <w:rPr>
                <w:rFonts w:ascii="Arial" w:cs="Arial" w:eastAsia="Arial" w:hAnsi="Arial"/>
                <w:sz w:val="18"/>
                <w:szCs w:val="18"/>
                <w:b w:val="1"/>
                <w:bCs w:val="1"/>
                <w:color w:val="auto"/>
                <w:w w:val="99"/>
              </w:rPr>
              <w:t>713-646-4100 / 866-809-1291</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0"/>
        </w:trPr>
        <w:tc>
          <w:tcPr>
            <w:tcW w:w="47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Facilities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(expense)/benefit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(expense)/benefit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Facilities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(16,553)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(expense)/benefit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(expense)/benefit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460" w:right="80" w:hanging="452"/>
        <w:spacing w:after="0" w:line="219" w:lineRule="auto"/>
        <w:tabs>
          <w:tab w:leader="none" w:pos="453"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460" w:right="180" w:hanging="452"/>
        <w:spacing w:after="0" w:line="243" w:lineRule="auto"/>
        <w:tabs>
          <w:tab w:leader="none" w:pos="45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460" w:hanging="452"/>
        <w:spacing w:after="0" w:line="196" w:lineRule="auto"/>
        <w:tabs>
          <w:tab w:leader="none" w:pos="4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56" w:right="199" w:bottom="374"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0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 of barrels per</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138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(2)</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Basin / Mesa / Sunrise</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815</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BridgeTex</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Cactus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(2)</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Manito</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Permian Basin Area Systems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860</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Rangeland</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(2)</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777</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Tariff activities total</w:t>
            </w: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4,433</w:t>
            </w: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4,095</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segment total</w:t>
            </w:r>
          </w:p>
        </w:tc>
        <w:tc>
          <w:tcPr>
            <w:tcW w:w="7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4,545</w:t>
            </w:r>
          </w:p>
        </w:tc>
        <w:tc>
          <w:tcPr>
            <w:tcW w:w="2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4,226</w:t>
            </w:r>
          </w:p>
        </w:tc>
        <w:tc>
          <w:tcPr>
            <w:tcW w:w="2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2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66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w w:val="94"/>
              </w:rPr>
              <w:t>Rail load / unload volumes (average volumes in thousands of barrels per day)</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w:t>
            </w:r>
          </w:p>
        </w:tc>
        <w:tc>
          <w:tcPr>
            <w:tcW w:w="2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w:t>
            </w:r>
          </w:p>
        </w:tc>
        <w:tc>
          <w:tcPr>
            <w:tcW w:w="24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Natural gas storage (average monthly working capacity in billions of cubic</w:t>
            </w:r>
          </w:p>
        </w:tc>
        <w:tc>
          <w:tcPr>
            <w:tcW w:w="7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feet)</w:t>
            </w:r>
          </w:p>
        </w:tc>
        <w:tc>
          <w:tcPr>
            <w:tcW w:w="66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w:t>
            </w:r>
          </w:p>
        </w:tc>
        <w:tc>
          <w:tcPr>
            <w:tcW w:w="2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bottom w:val="single" w:sz="8" w:color="CCEEFF"/>
            </w:tcBorders>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Facilities segment total (average monthly volumes in millions of barrels) </w:t>
            </w:r>
            <w:r>
              <w:rPr>
                <w:rFonts w:ascii="Arial" w:cs="Arial" w:eastAsia="Arial" w:hAnsi="Arial"/>
                <w:sz w:val="22"/>
                <w:szCs w:val="22"/>
                <w:color w:val="auto"/>
                <w:vertAlign w:val="superscript"/>
              </w:rPr>
              <w:t>(3)</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927</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Waterborne cargos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Supply and Logistics segment total</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240" w:hanging="452"/>
        <w:spacing w:after="0" w:line="227" w:lineRule="auto"/>
        <w:tabs>
          <w:tab w:leader="none" w:pos="453"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or months we employed the assets divided by the number of days or months in the period.</w:t>
      </w:r>
    </w:p>
    <w:p>
      <w:pPr>
        <w:ind w:left="460" w:hanging="452"/>
        <w:spacing w:after="0" w:line="196" w:lineRule="auto"/>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Area systems include volumes (attributable to our interest) from our investments in unconsolidated entities.</w:t>
      </w:r>
    </w:p>
    <w:p>
      <w:pPr>
        <w:spacing w:after="0" w:line="1" w:lineRule="exact"/>
        <w:rPr>
          <w:rFonts w:ascii="Arial" w:cs="Arial" w:eastAsia="Arial" w:hAnsi="Arial"/>
          <w:sz w:val="23"/>
          <w:szCs w:val="23"/>
          <w:color w:val="auto"/>
          <w:vertAlign w:val="superscript"/>
        </w:rPr>
      </w:pPr>
    </w:p>
    <w:p>
      <w:pPr>
        <w:ind w:left="460" w:right="200" w:hanging="452"/>
        <w:spacing w:after="0" w:line="267" w:lineRule="auto"/>
        <w:tabs>
          <w:tab w:leader="none" w:pos="45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9" w:name="page10"/>
    <w:bookmarkEnd w:id="9"/>
    <w:p>
      <w:pPr>
        <w:spacing w:after="0" w:line="45" w:lineRule="exact"/>
        <w:rPr>
          <w:sz w:val="20"/>
          <w:szCs w:val="20"/>
          <w:color w:val="auto"/>
        </w:rPr>
      </w:pPr>
    </w:p>
    <w:p>
      <w:pPr>
        <w:ind w:right="40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limited partners</w:t>
            </w: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8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7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attributable to limited partners in accordance with application of the</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80" w:type="dxa"/>
            <w:vAlign w:val="bottom"/>
            <w:vMerge w:val="restart"/>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4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limited partners</w:t>
            </w: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8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7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attributable to limited partners in accordance with application of the</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80" w:type="dxa"/>
            <w:vAlign w:val="bottom"/>
            <w:vMerge w:val="restart"/>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4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40" w:hanging="452"/>
        <w:spacing w:after="0" w:line="238" w:lineRule="auto"/>
        <w:tabs>
          <w:tab w:leader="none" w:pos="453"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ind w:left="460" w:right="120" w:hanging="452"/>
        <w:spacing w:after="0" w:line="234" w:lineRule="auto"/>
        <w:tabs>
          <w:tab w:leader="none" w:pos="453"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4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6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Line 901 incident</w:t>
            </w:r>
          </w:p>
        </w:tc>
        <w:tc>
          <w:tcPr>
            <w:tcW w:w="6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Deferred income tax expense </w:t>
            </w:r>
            <w:r>
              <w:rPr>
                <w:rFonts w:ascii="Arial" w:cs="Arial" w:eastAsia="Arial" w:hAnsi="Arial"/>
                <w:sz w:val="23"/>
                <w:szCs w:val="23"/>
                <w:color w:val="auto"/>
                <w:vertAlign w:val="superscript"/>
              </w:rPr>
              <w:t>(5)</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(0.03)</w:t>
            </w:r>
          </w:p>
        </w:tc>
        <w:tc>
          <w:tcPr>
            <w:tcW w:w="7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(0.01)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vMerge w:val="continue"/>
          </w:tcPr>
          <w:p>
            <w:pPr>
              <w:spacing w:after="0"/>
              <w:rPr>
                <w:sz w:val="17"/>
                <w:szCs w:val="17"/>
                <w:color w:val="auto"/>
              </w:rPr>
            </w:pPr>
          </w:p>
        </w:tc>
        <w:tc>
          <w:tcPr>
            <w:tcW w:w="6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(0.04</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2"/>
              </w:rPr>
              <w:t>(0.01</w:t>
            </w:r>
          </w:p>
        </w:tc>
        <w:tc>
          <w:tcPr>
            <w:tcW w:w="2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(0.58</w:t>
            </w:r>
          </w:p>
        </w:tc>
        <w:tc>
          <w:tcPr>
            <w:tcW w:w="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337" w:right="239" w:bottom="0" w:gutter="0" w:footer="0" w:header="0"/>
        </w:sectPr>
      </w:pPr>
    </w:p>
    <w:bookmarkStart w:id="10" w:name="page11"/>
    <w:bookmarkEnd w:id="10"/>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460" w:hanging="452"/>
        <w:spacing w:after="0"/>
        <w:tabs>
          <w:tab w:leader="none" w:pos="46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jc w:val="both"/>
        <w:ind w:left="460" w:right="160" w:hanging="452"/>
        <w:spacing w:after="0" w:line="228" w:lineRule="auto"/>
        <w:tabs>
          <w:tab w:leader="none" w:pos="453"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2" w:lineRule="exact"/>
        <w:rPr>
          <w:rFonts w:ascii="Arial" w:cs="Arial" w:eastAsia="Arial" w:hAnsi="Arial"/>
          <w:sz w:val="23"/>
          <w:szCs w:val="23"/>
          <w:color w:val="auto"/>
          <w:vertAlign w:val="superscript"/>
        </w:rPr>
      </w:pPr>
    </w:p>
    <w:p>
      <w:pPr>
        <w:ind w:left="460" w:right="240" w:hanging="452"/>
        <w:spacing w:after="0" w:line="252" w:lineRule="auto"/>
        <w:tabs>
          <w:tab w:leader="none" w:pos="453"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See Note 5 to our Consolidated Financial Statements included in Part IV of our 2014 Annual Report on Form 10-K for a complete discussion of our long-term inventory.</w:t>
      </w:r>
    </w:p>
    <w:p>
      <w:pPr>
        <w:spacing w:after="0" w:line="4" w:lineRule="exact"/>
        <w:rPr>
          <w:rFonts w:ascii="Arial" w:cs="Arial" w:eastAsia="Arial" w:hAnsi="Arial"/>
          <w:sz w:val="22"/>
          <w:szCs w:val="22"/>
          <w:color w:val="auto"/>
          <w:vertAlign w:val="superscript"/>
        </w:rPr>
      </w:pPr>
    </w:p>
    <w:p>
      <w:pPr>
        <w:ind w:left="460" w:right="560" w:hanging="452"/>
        <w:spacing w:after="0" w:line="243" w:lineRule="auto"/>
        <w:tabs>
          <w:tab w:leader="none" w:pos="45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w:t>
      </w:r>
    </w:p>
    <w:p>
      <w:pPr>
        <w:spacing w:after="0" w:line="1" w:lineRule="exact"/>
        <w:rPr>
          <w:rFonts w:ascii="Arial" w:cs="Arial" w:eastAsia="Arial" w:hAnsi="Arial"/>
          <w:sz w:val="21"/>
          <w:szCs w:val="21"/>
          <w:color w:val="auto"/>
          <w:vertAlign w:val="superscript"/>
        </w:rPr>
      </w:pPr>
    </w:p>
    <w:p>
      <w:pPr>
        <w:ind w:left="460" w:hanging="452"/>
        <w:spacing w:after="0" w:line="196" w:lineRule="auto"/>
        <w:tabs>
          <w:tab w:leader="none" w:pos="46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the recent change in Canadian tax legislation.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6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w w:val="93"/>
              </w:rPr>
              <w:t>September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net income attributable to limited partners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0.28</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0.53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net income attributable to limited partners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0.28</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0.53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460" w:right="260" w:hanging="452"/>
        <w:spacing w:after="0" w:line="233" w:lineRule="auto"/>
        <w:tabs>
          <w:tab w:leader="none" w:pos="45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ectPr>
          <w:pgSz w:w="11900" w:h="16847" w:orient="portrait"/>
          <w:cols w:equalWidth="0" w:num="1">
            <w:col w:w="11420"/>
          </w:cols>
          <w:pgMar w:left="240" w:top="537" w:right="239" w:bottom="0" w:gutter="0" w:footer="0" w:header="0"/>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5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w:t>
            </w: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 and Excluding Selected Items Impacting Comparability</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 Reconciliations</w:t>
            </w: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324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EBITDA</w:t>
            </w:r>
          </w:p>
        </w:tc>
        <w:tc>
          <w:tcPr>
            <w:tcW w:w="680" w:type="dxa"/>
            <w:vAlign w:val="bottom"/>
            <w:tcBorders>
              <w:top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526</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527</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 Reconciliation</w:t>
            </w: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527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1,605</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1,606</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65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(2)</w:t>
            </w: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369</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 w:lineRule="exact"/>
        <w:rPr>
          <w:rFonts w:ascii="Arial" w:cs="Arial" w:eastAsia="Arial" w:hAnsi="Arial"/>
          <w:sz w:val="23"/>
          <w:szCs w:val="23"/>
          <w:color w:val="auto"/>
          <w:vertAlign w:val="superscript"/>
        </w:rPr>
      </w:pPr>
    </w:p>
    <w:p>
      <w:pPr>
        <w:ind w:left="460" w:right="300" w:hanging="452"/>
        <w:spacing w:after="0" w:line="219" w:lineRule="auto"/>
        <w:tabs>
          <w:tab w:leader="none" w:pos="453"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Including costs of $65 million related to our Line 901 incident that occurred during May 2015, Implied DCF would have been $1,023 million for the nine months ended September 30,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Net Cash Provided by Operating Activities Reconciliation</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EBITDA</w:t>
            </w:r>
          </w:p>
        </w:tc>
        <w:tc>
          <w:tcPr>
            <w:tcW w:w="19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1,364</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assets and liabilities, net of acquisitions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expense/(benefit)</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vMerge w:val="restart"/>
          </w:tcPr>
          <w:p>
            <w:pPr>
              <w:ind w:left="780"/>
              <w:spacing w:after="0"/>
              <w:rPr>
                <w:sz w:val="20"/>
                <w:szCs w:val="20"/>
                <w:color w:val="auto"/>
              </w:rPr>
            </w:pPr>
            <w:r>
              <w:rPr>
                <w:rFonts w:ascii="Arial" w:cs="Arial" w:eastAsia="Arial" w:hAnsi="Arial"/>
                <w:sz w:val="18"/>
                <w:szCs w:val="18"/>
                <w:color w:val="auto"/>
              </w:rPr>
              <w:t>– more –</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00" w:type="dxa"/>
            <w:vAlign w:val="bottom"/>
          </w:tcPr>
          <w:p>
            <w:pPr>
              <w:ind w:left="200"/>
              <w:spacing w:after="0"/>
              <w:rPr>
                <w:sz w:val="20"/>
                <w:szCs w:val="20"/>
                <w:color w:val="auto"/>
              </w:rPr>
            </w:pPr>
            <w:r>
              <w:rPr>
                <w:rFonts w:ascii="Arial" w:cs="Arial" w:eastAsia="Arial" w:hAnsi="Arial"/>
                <w:sz w:val="18"/>
                <w:szCs w:val="18"/>
                <w:b w:val="1"/>
                <w:bCs w:val="1"/>
                <w:color w:val="auto"/>
                <w:w w:val="88"/>
              </w:rPr>
              <w:t>Houston, Texas 77002</w:t>
            </w:r>
          </w:p>
        </w:tc>
        <w:tc>
          <w:tcPr>
            <w:tcW w:w="240" w:type="dxa"/>
            <w:vAlign w:val="bottom"/>
          </w:tcPr>
          <w:p>
            <w:pPr>
              <w:spacing w:after="0"/>
              <w:rPr>
                <w:sz w:val="20"/>
                <w:szCs w:val="20"/>
                <w:color w:val="auto"/>
              </w:rPr>
            </w:pPr>
          </w:p>
        </w:tc>
        <w:tc>
          <w:tcPr>
            <w:tcW w:w="2520" w:type="dxa"/>
            <w:vAlign w:val="bottom"/>
            <w:gridSpan w:val="7"/>
          </w:tcPr>
          <w:p>
            <w:pPr>
              <w:jc w:val="right"/>
              <w:ind w:right="85"/>
              <w:spacing w:after="0"/>
              <w:rPr>
                <w:sz w:val="20"/>
                <w:szCs w:val="20"/>
                <w:color w:val="auto"/>
              </w:rPr>
            </w:pPr>
            <w:r>
              <w:rPr>
                <w:rFonts w:ascii="Arial" w:cs="Arial" w:eastAsia="Arial" w:hAnsi="Arial"/>
                <w:sz w:val="18"/>
                <w:szCs w:val="18"/>
                <w:b w:val="1"/>
                <w:bCs w:val="1"/>
                <w:color w:val="auto"/>
                <w:w w:val="97"/>
              </w:rPr>
              <w:t>713-646-4100 / 866-809-1291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 2014</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6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4,701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10,166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7"/>
              </w:rPr>
              <w:t>General and administrative expenses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404</w:t>
            </w:r>
          </w:p>
        </w:tc>
        <w:tc>
          <w:tcPr>
            <w:tcW w:w="4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earnings in unconsolidated entities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vMerge w:val="restart"/>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5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right w:val="single" w:sz="8" w:color="auto"/>
            </w:tcBorders>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323</w:t>
            </w:r>
          </w:p>
        </w:tc>
        <w:tc>
          <w:tcPr>
            <w:tcW w:w="460" w:type="dxa"/>
            <w:vAlign w:val="bottom"/>
            <w:vMerge w:val="restart"/>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00" w:type="dxa"/>
            <w:vAlign w:val="bottom"/>
            <w:gridSpan w:val="9"/>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2014</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40"/>
              <w:spacing w:after="0" w:line="172"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18,156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18,156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15,591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15,591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17,248</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7"/>
              </w:rPr>
              <w:t>Equity earnings in unconsolidated entities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180"/>
              <w:spacing w:after="0" w:line="201" w:lineRule="exact"/>
              <w:rPr>
                <w:sz w:val="20"/>
                <w:szCs w:val="20"/>
                <w:color w:val="auto"/>
              </w:rPr>
            </w:pPr>
            <w:r>
              <w:rPr>
                <w:rFonts w:ascii="Arial" w:cs="Arial" w:eastAsia="Arial" w:hAnsi="Arial"/>
                <w:sz w:val="18"/>
                <w:szCs w:val="18"/>
                <w:color w:val="auto"/>
                <w:w w:val="94"/>
              </w:rPr>
              <w:t>Net income attributable to noncontrolling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30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80" w:type="dxa"/>
            <w:vAlign w:val="bottom"/>
            <w:tcBorders>
              <w:right w:val="single" w:sz="8" w:color="auto"/>
            </w:tcBorders>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WEIGHTED AVERAGE CLASS A SHARES</w:t>
            </w:r>
          </w:p>
        </w:tc>
        <w:tc>
          <w:tcPr>
            <w:tcW w:w="4160" w:type="dxa"/>
            <w:vAlign w:val="bottom"/>
            <w:gridSpan w:val="2"/>
            <w:shd w:val="clear" w:color="auto" w:fill="CCEEFF"/>
          </w:tcPr>
          <w:p>
            <w:pPr>
              <w:jc w:val="right"/>
              <w:ind w:right="3140"/>
              <w:spacing w:after="0"/>
              <w:rPr>
                <w:sz w:val="20"/>
                <w:szCs w:val="20"/>
                <w:color w:val="auto"/>
              </w:rPr>
            </w:pPr>
            <w:r>
              <w:rPr>
                <w:rFonts w:ascii="Arial" w:cs="Arial" w:eastAsia="Arial" w:hAnsi="Arial"/>
                <w:sz w:val="18"/>
                <w:szCs w:val="18"/>
                <w:color w:val="auto"/>
              </w:rPr>
              <w:t>220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21"/>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1020" w:type="dxa"/>
            <w:vAlign w:val="bottom"/>
            <w:tcBorders>
              <w:bottom w:val="single" w:sz="8" w:color="auto"/>
            </w:tcBorders>
            <w:shd w:val="clear" w:color="auto" w:fill="CCEEFF"/>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right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2,961</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2,417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24,088</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3,480</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discount</w:t>
            </w: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9,757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9"/>
              </w:rPr>
              <w:t>Other long-term liabilities and deferred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credits</w:t>
            </w: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1,797</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7,729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60"/>
              <w:spacing w:after="0" w:line="182" w:lineRule="exact"/>
              <w:rPr>
                <w:sz w:val="20"/>
                <w:szCs w:val="20"/>
                <w:color w:val="auto"/>
              </w:rPr>
            </w:pPr>
            <w:r>
              <w:rPr>
                <w:rFonts w:ascii="Arial" w:cs="Arial" w:eastAsia="Arial" w:hAnsi="Arial"/>
                <w:sz w:val="18"/>
                <w:szCs w:val="18"/>
                <w:color w:val="auto"/>
              </w:rPr>
              <w:t>Total liabilities and partners’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22,217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Pr>
          <w:p>
            <w:pPr>
              <w:spacing w:after="0"/>
              <w:rPr>
                <w:sz w:val="15"/>
                <w:szCs w:val="15"/>
                <w:color w:val="auto"/>
              </w:rPr>
            </w:pP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24,088</w:t>
            </w:r>
          </w:p>
        </w:tc>
        <w:tc>
          <w:tcPr>
            <w:tcW w:w="46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22,256</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1,727</w:t>
            </w: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23,983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Pr>
          <w:p>
            <w:pPr>
              <w:ind w:left="540"/>
              <w:spacing w:after="0"/>
              <w:rPr>
                <w:sz w:val="20"/>
                <w:szCs w:val="20"/>
                <w:color w:val="auto"/>
              </w:rPr>
            </w:pPr>
            <w:r>
              <w:rPr>
                <w:rFonts w:ascii="Arial" w:cs="Arial" w:eastAsia="Arial" w:hAnsi="Arial"/>
                <w:sz w:val="18"/>
                <w:szCs w:val="18"/>
                <w:color w:val="auto"/>
              </w:rPr>
              <w:t>capital</w:t>
            </w:r>
          </w:p>
        </w:tc>
        <w:tc>
          <w:tcPr>
            <w:tcW w:w="2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60" w:type="dxa"/>
            <w:vAlign w:val="bottom"/>
            <w:tcBorders>
              <w:right w:val="single" w:sz="8" w:color="auto"/>
            </w:tcBorders>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2015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Q3 2015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10/30/15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9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Plus: Projected Cash Available</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Direct AAP Owners &amp; AAP Management (65% economic interest)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PAGP (35% economic interest)</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distributions to AAP Partners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Distribution to PAGP Investors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Class A Shares Outstanding at 10/30/15</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PAGP Distribution/Class A Share</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(1)</w:t>
            </w:r>
          </w:p>
        </w:tc>
        <w:tc>
          <w:tcPr>
            <w:tcW w:w="4220" w:type="dxa"/>
            <w:vAlign w:val="bottom"/>
          </w:tcPr>
          <w:p>
            <w:pPr>
              <w:ind w:left="160"/>
              <w:spacing w:after="0"/>
              <w:rPr>
                <w:sz w:val="20"/>
                <w:szCs w:val="20"/>
                <w:color w:val="auto"/>
              </w:rPr>
            </w:pPr>
            <w:r>
              <w:rPr>
                <w:rFonts w:ascii="Arial" w:cs="Arial" w:eastAsia="Arial" w:hAnsi="Arial"/>
                <w:sz w:val="18"/>
                <w:szCs w:val="18"/>
                <w:color w:val="auto"/>
              </w:rPr>
              <w:t>Amounts may not recalculate due to rounding.</w:t>
            </w:r>
          </w:p>
        </w:tc>
      </w:tr>
      <w:tr>
        <w:trPr>
          <w:trHeight w:val="230"/>
        </w:trPr>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(2)</w:t>
            </w:r>
          </w:p>
        </w:tc>
        <w:tc>
          <w:tcPr>
            <w:tcW w:w="4220" w:type="dxa"/>
            <w:vAlign w:val="bottom"/>
          </w:tcPr>
          <w:p>
            <w:pPr>
              <w:ind w:left="160"/>
              <w:spacing w:after="0"/>
              <w:rPr>
                <w:sz w:val="20"/>
                <w:szCs w:val="20"/>
                <w:color w:val="auto"/>
              </w:rPr>
            </w:pPr>
            <w:r>
              <w:rPr>
                <w:rFonts w:ascii="Arial" w:cs="Arial" w:eastAsia="Arial" w:hAnsi="Arial"/>
                <w:sz w:val="18"/>
                <w:szCs w:val="18"/>
                <w:color w:val="auto"/>
                <w:w w:val="92"/>
              </w:rPr>
              <w:t>Plains AAP, L.P. (“AAP”) is the general partner of PAA.</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PAGP</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Basic and diluted weighted average Class A shares outstanding</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 and diluted net income per Class A share</w:t>
            </w:r>
          </w:p>
        </w:tc>
        <w:tc>
          <w:tcPr>
            <w:tcW w:w="2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Contacts:</w:t>
            </w:r>
          </w:p>
        </w:tc>
        <w:tc>
          <w:tcPr>
            <w:tcW w:w="1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78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080" w:type="dxa"/>
            <w:vAlign w:val="bottom"/>
            <w:gridSpan w:val="2"/>
          </w:tcPr>
          <w:p>
            <w:pPr>
              <w:ind w:left="940"/>
              <w:spacing w:after="0"/>
              <w:rPr>
                <w:sz w:val="20"/>
                <w:szCs w:val="20"/>
                <w:color w:val="auto"/>
              </w:rPr>
            </w:pPr>
            <w:r>
              <w:rPr>
                <w:rFonts w:ascii="Arial" w:cs="Arial" w:eastAsia="Arial" w:hAnsi="Arial"/>
                <w:sz w:val="18"/>
                <w:szCs w:val="18"/>
                <w:color w:val="auto"/>
              </w:rPr>
              <w:t>Al Swanson</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3360" w:type="dxa"/>
            <w:vAlign w:val="bottom"/>
            <w:gridSpan w:val="6"/>
          </w:tcPr>
          <w:p>
            <w:pPr>
              <w:ind w:left="940"/>
              <w:spacing w:after="0"/>
              <w:rPr>
                <w:sz w:val="20"/>
                <w:szCs w:val="20"/>
                <w:color w:val="auto"/>
              </w:rPr>
            </w:pPr>
            <w:r>
              <w:rPr>
                <w:rFonts w:ascii="Arial" w:cs="Arial" w:eastAsia="Arial" w:hAnsi="Arial"/>
                <w:sz w:val="18"/>
                <w:szCs w:val="18"/>
                <w:color w:val="auto"/>
                <w:w w:val="97"/>
              </w:rPr>
              <w:t>Executive Vice President, CFO</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080" w:type="dxa"/>
            <w:vAlign w:val="bottom"/>
            <w:gridSpan w:val="2"/>
          </w:tcPr>
          <w:p>
            <w:pPr>
              <w:ind w:left="940"/>
              <w:spacing w:after="0"/>
              <w:rPr>
                <w:sz w:val="20"/>
                <w:szCs w:val="20"/>
                <w:color w:val="auto"/>
              </w:rPr>
            </w:pPr>
            <w:r>
              <w:rPr>
                <w:rFonts w:ascii="Arial" w:cs="Arial" w:eastAsia="Arial" w:hAnsi="Arial"/>
                <w:sz w:val="18"/>
                <w:szCs w:val="18"/>
                <w:color w:val="auto"/>
                <w:w w:val="90"/>
              </w:rPr>
              <w:t>(800) 564-3036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42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14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Houston, Texas 77002</w:t>
            </w:r>
          </w:p>
        </w:tc>
        <w:tc>
          <w:tcPr>
            <w:tcW w:w="2420" w:type="dxa"/>
            <w:vAlign w:val="bottom"/>
            <w:gridSpan w:val="7"/>
          </w:tcPr>
          <w:p>
            <w:pPr>
              <w:jc w:val="right"/>
              <w:ind w:right="85"/>
              <w:spacing w:after="0"/>
              <w:rPr>
                <w:sz w:val="20"/>
                <w:szCs w:val="20"/>
                <w:color w:val="auto"/>
              </w:rPr>
            </w:pPr>
            <w:r>
              <w:rPr>
                <w:rFonts w:ascii="Arial" w:cs="Arial" w:eastAsia="Arial" w:hAnsi="Arial"/>
                <w:sz w:val="18"/>
                <w:szCs w:val="18"/>
                <w:b w:val="1"/>
                <w:bCs w:val="1"/>
                <w:color w:val="auto"/>
                <w:w w:val="93"/>
              </w:rPr>
              <w:t>713-646-4100 / 866-809-1291</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2020-01-25T00:22:10Z</dcterms:created>
  <dcterms:modified xsi:type="dcterms:W3CDTF">2020-01-25T00:22:10Z</dcterms:modified>
</cp:coreProperties>
</file>