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 </w:t>
      </w:r>
      <w:r>
        <w:rPr>
          <w:rFonts w:ascii="Arial" w:cs="Arial" w:eastAsia="Arial" w:hAnsi="Arial"/>
          <w:sz w:val="18"/>
          <w:szCs w:val="18"/>
          <w:b w:val="1"/>
          <w:bCs w:val="1"/>
          <w:color w:val="auto"/>
        </w:rPr>
        <w:t>August 19, 2021</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Plains GP Holdings, L.P.</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760" w:right="339" w:bottom="1440" w:gutter="0" w:footer="0" w:header="0"/>
        </w:sectPr>
      </w:pPr>
    </w:p>
    <w:p>
      <w:pPr>
        <w:spacing w:after="0" w:line="205" w:lineRule="exact"/>
        <w:rPr>
          <w:sz w:val="24"/>
          <w:szCs w:val="24"/>
          <w:color w:val="auto"/>
        </w:rPr>
      </w:pPr>
    </w:p>
    <w:p>
      <w:pPr>
        <w:ind w:left="15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300"/>
        <w:spacing w:after="0"/>
        <w:rPr>
          <w:sz w:val="20"/>
          <w:szCs w:val="20"/>
          <w:color w:val="auto"/>
        </w:rPr>
      </w:pPr>
      <w:r>
        <w:rPr>
          <w:rFonts w:ascii="Arial" w:cs="Arial" w:eastAsia="Arial" w:hAnsi="Arial"/>
          <w:sz w:val="16"/>
          <w:szCs w:val="16"/>
          <w:b w:val="1"/>
          <w:bCs w:val="1"/>
          <w:color w:val="auto"/>
        </w:rPr>
        <w:t>1-36132</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90-1005472</w:t>
      </w:r>
    </w:p>
    <w:p>
      <w:pPr>
        <w:spacing w:after="0" w:line="50" w:lineRule="exact"/>
        <w:rPr>
          <w:sz w:val="24"/>
          <w:szCs w:val="24"/>
          <w:color w:val="auto"/>
        </w:rPr>
      </w:pPr>
    </w:p>
    <w:p>
      <w:pPr>
        <w:sectPr>
          <w:pgSz w:w="11900" w:h="16838" w:orient="portrait"/>
          <w:cols w:equalWidth="0" w:num="3">
            <w:col w:w="4620" w:space="720"/>
            <w:col w:w="2900" w:space="720"/>
            <w:col w:w="2280"/>
          </w:cols>
          <w:pgMar w:left="320" w:top="760" w:right="339" w:bottom="1440" w:gutter="0" w:footer="0" w:header="0"/>
          <w:type w:val="continuous"/>
        </w:sect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46" w:lineRule="exact"/>
        <w:rPr>
          <w:sz w:val="24"/>
          <w:szCs w:val="24"/>
          <w:color w:val="auto"/>
        </w:rPr>
      </w:pPr>
    </w:p>
    <w:p>
      <w:pPr>
        <w:ind w:left="126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ind w:left="100"/>
        <w:spacing w:after="0"/>
        <w:rPr>
          <w:sz w:val="20"/>
          <w:szCs w:val="20"/>
          <w:color w:val="auto"/>
        </w:rPr>
      </w:pPr>
      <w:r>
        <w:rPr>
          <w:rFonts w:ascii="Arial" w:cs="Arial" w:eastAsia="Arial" w:hAnsi="Arial"/>
          <w:sz w:val="18"/>
          <w:szCs w:val="18"/>
          <w:color w:val="auto"/>
        </w:rPr>
        <w:t>(IRS Employer</w:t>
      </w:r>
    </w:p>
    <w:p>
      <w:pPr>
        <w:spacing w:after="0" w:line="23"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360" w:space="720"/>
            <w:col w:w="2520"/>
          </w:cols>
          <w:pgMar w:left="320" w:top="760" w:right="339" w:bottom="1440" w:gutter="0" w:footer="0" w:header="0"/>
          <w:type w:val="continuous"/>
        </w:sectPr>
      </w:pPr>
    </w:p>
    <w:p>
      <w:pPr>
        <w:spacing w:after="0" w:line="20" w:lineRule="exact"/>
        <w:rPr>
          <w:sz w:val="24"/>
          <w:szCs w:val="24"/>
          <w:color w:val="auto"/>
        </w:rPr>
      </w:pPr>
    </w:p>
    <w:p>
      <w:pPr>
        <w:ind w:left="3720"/>
        <w:spacing w:after="0"/>
        <w:rPr>
          <w:sz w:val="20"/>
          <w:szCs w:val="20"/>
          <w:color w:val="auto"/>
        </w:rPr>
      </w:pPr>
      <w:r>
        <w:rPr>
          <w:rFonts w:ascii="Arial" w:cs="Arial" w:eastAsia="Arial" w:hAnsi="Arial"/>
          <w:sz w:val="17"/>
          <w:szCs w:val="17"/>
          <w:b w:val="1"/>
          <w:bCs w:val="1"/>
          <w:color w:val="auto"/>
        </w:rPr>
        <w:t>333 Clay Street, Suite 1600, Houston, Texas 77002</w:t>
      </w:r>
    </w:p>
    <w:p>
      <w:pPr>
        <w:spacing w:after="0" w:line="39"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(Former name or former address, if changed since last report)</w:t>
      </w:r>
    </w:p>
    <w:p>
      <w:pPr>
        <w:sectPr>
          <w:pgSz w:w="11900" w:h="16838" w:orient="portrait"/>
          <w:cols w:equalWidth="0" w:num="1">
            <w:col w:w="11240"/>
          </w:cols>
          <w:pgMar w:left="320" w:top="760" w:right="339" w:bottom="1440" w:gutter="0" w:footer="0" w:header="0"/>
          <w:type w:val="continuous"/>
        </w:sectPr>
      </w:pPr>
    </w:p>
    <w:p>
      <w:pPr>
        <w:spacing w:after="0" w:line="248"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498" w:lineRule="auto"/>
        <w:tabs>
          <w:tab w:leader="none" w:pos="3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w:t>
            </w:r>
          </w:p>
        </w:tc>
      </w:t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6"/>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Symbol(s)</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7"/>
              </w:rPr>
              <w:t>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8"/>
              </w:rPr>
              <w:t>Class A Shares</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7"/>
              </w:rPr>
              <w:t>PAGP</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6"/>
              </w:rPr>
              <w:t>Nasdaq</w:t>
            </w:r>
          </w:p>
        </w:tc>
      </w:tr>
    </w:tbl>
    <w:p>
      <w:pPr>
        <w:spacing w:after="0" w:line="201" w:lineRule="exact"/>
        <w:rPr>
          <w:sz w:val="24"/>
          <w:szCs w:val="24"/>
          <w:color w:val="auto"/>
        </w:rPr>
      </w:pPr>
    </w:p>
    <w:p>
      <w:pPr>
        <w:ind w:right="28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596265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type w:val="continuous"/>
        </w:sectPr>
      </w:pPr>
    </w:p>
    <w:bookmarkStart w:id="1" w:name="page2"/>
    <w:bookmarkEnd w:id="1"/>
    <w:p>
      <w:pPr>
        <w:ind w:left="1140" w:right="140" w:hanging="1133"/>
        <w:spacing w:after="0" w:line="282" w:lineRule="auto"/>
        <w:tabs>
          <w:tab w:leader="none" w:pos="112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firstLine="583"/>
        <w:spacing w:after="0" w:line="271" w:lineRule="auto"/>
        <w:rPr>
          <w:sz w:val="20"/>
          <w:szCs w:val="20"/>
          <w:color w:val="auto"/>
        </w:rPr>
      </w:pPr>
      <w:r>
        <w:rPr>
          <w:rFonts w:ascii="Arial" w:cs="Arial" w:eastAsia="Arial" w:hAnsi="Arial"/>
          <w:sz w:val="17"/>
          <w:szCs w:val="17"/>
          <w:color w:val="auto"/>
        </w:rPr>
        <w:t>On and effective as of August 19, 2021, the Board of Directors (the “Board”) of PAA GP Holdings LLC (“GP Holdings”) approved and adopted Amendment No. 5 (the “Amendment”) to GP Holdings’ Third AmDended and Restated Limited Liability Company Agreement (“LLC Agreement”). The Amendment eliminates all previously negotiated “director designation” rights and requires that all directors be subject to public election. The Amendment, which was consented to by Kayne Anderson Capital Advisors, L.P. (“Kayne Anderson”), eliminates Kayne Anderson’s legacy contractual right to designate an individual to serve on the Board without being subject to public election. The Amendment also eliminates all previously negotiated rights, including Kayne Anderson’s right to appoint a Board observer under certain circumstances. The Amendment does not impact the provisions of the LLC Agreement relating to the right of holders of Plains All American Pipeline, L.P.’s (“PAA”) Series A Convertible Preferred Units to appoint a director in the event of a default with respect to the payment of distributions on such securities.</w:t>
      </w:r>
    </w:p>
    <w:p>
      <w:pPr>
        <w:spacing w:after="0" w:line="178" w:lineRule="exact"/>
        <w:rPr>
          <w:sz w:val="20"/>
          <w:szCs w:val="20"/>
          <w:color w:val="auto"/>
        </w:rPr>
      </w:pPr>
    </w:p>
    <w:p>
      <w:pPr>
        <w:ind w:right="140" w:firstLine="583"/>
        <w:spacing w:after="0" w:line="255" w:lineRule="auto"/>
        <w:rPr>
          <w:sz w:val="20"/>
          <w:szCs w:val="20"/>
          <w:color w:val="auto"/>
        </w:rPr>
      </w:pPr>
      <w:r>
        <w:rPr>
          <w:rFonts w:ascii="Arial" w:cs="Arial" w:eastAsia="Arial" w:hAnsi="Arial"/>
          <w:sz w:val="18"/>
          <w:szCs w:val="18"/>
          <w:color w:val="auto"/>
        </w:rPr>
        <w:t>The Board also approved the appointment of Kevin McCarthy, Kayne Anderson’s previously designated director to the Board, to serve as a Director until the Plains GP Holdings, L.P. (“PAGP”) Annual Meeting of Shareholders to be held in May 2022, and the nomination of Mr. McCarthy to stand for election at such Annual Meeting. As a result of this change, together with the amendment of the LLC Agreement in February of this year to require public election of all directors who are current or former members of management, all of the GP Holdings Board Members are now subject to public election. In addition, going forward, Mr. McCarthy will serve as a Director on the same basis as all other non-management directors in terms of the rights, duties, and obligations of Directors.</w:t>
      </w:r>
    </w:p>
    <w:p>
      <w:pPr>
        <w:spacing w:after="0" w:line="192" w:lineRule="exact"/>
        <w:rPr>
          <w:sz w:val="20"/>
          <w:szCs w:val="20"/>
          <w:color w:val="auto"/>
        </w:rPr>
      </w:pPr>
    </w:p>
    <w:p>
      <w:pPr>
        <w:ind w:left="600"/>
        <w:spacing w:after="0"/>
        <w:rPr>
          <w:sz w:val="20"/>
          <w:szCs w:val="20"/>
          <w:color w:val="auto"/>
        </w:rPr>
      </w:pPr>
      <w:r>
        <w:rPr>
          <w:rFonts w:ascii="Arial" w:cs="Arial" w:eastAsia="Arial" w:hAnsi="Arial"/>
          <w:sz w:val="18"/>
          <w:szCs w:val="18"/>
          <w:color w:val="auto"/>
        </w:rPr>
        <w:t>For additional information regarding Mr. McCarthy, please see PAGP’s definitive proxy statement dated April 12, 2021.</w:t>
      </w:r>
    </w:p>
    <w:p>
      <w:pPr>
        <w:spacing w:after="0" w:line="22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5.03</w:t>
      </w:r>
      <w:r>
        <w:rPr>
          <w:sz w:val="20"/>
          <w:szCs w:val="20"/>
          <w:color w:val="auto"/>
        </w:rPr>
        <w:tab/>
      </w:r>
      <w:r>
        <w:rPr>
          <w:rFonts w:ascii="Arial" w:cs="Arial" w:eastAsia="Arial" w:hAnsi="Arial"/>
          <w:sz w:val="16"/>
          <w:szCs w:val="16"/>
          <w:b w:val="1"/>
          <w:bCs w:val="1"/>
          <w:color w:val="auto"/>
        </w:rPr>
        <w:t>Amendments to Articles of Incorporation or Bylaws; Change in Fiscal Year.</w:t>
      </w:r>
    </w:p>
    <w:p>
      <w:pPr>
        <w:spacing w:after="0" w:line="229" w:lineRule="exact"/>
        <w:rPr>
          <w:sz w:val="20"/>
          <w:szCs w:val="20"/>
          <w:color w:val="auto"/>
        </w:rPr>
      </w:pPr>
    </w:p>
    <w:p>
      <w:pPr>
        <w:ind w:right="260" w:firstLine="583"/>
        <w:spacing w:after="0" w:line="263" w:lineRule="auto"/>
        <w:rPr>
          <w:sz w:val="20"/>
          <w:szCs w:val="20"/>
          <w:color w:val="auto"/>
        </w:rPr>
      </w:pPr>
      <w:r>
        <w:rPr>
          <w:rFonts w:ascii="Arial" w:cs="Arial" w:eastAsia="Arial" w:hAnsi="Arial"/>
          <w:sz w:val="18"/>
          <w:szCs w:val="18"/>
          <w:color w:val="auto"/>
        </w:rPr>
        <w:t>The description of the Amendment included under Item 5.02 above is hereby incorporated by reference under this Item 5.03. Such description is qualified in its entirety by reference to the full text of such Amendment, a copy of which is filed herewith as Exhibit 3.1 and incorporated herein by reference.</w:t>
      </w:r>
    </w:p>
    <w:p>
      <w:pPr>
        <w:spacing w:after="0" w:line="18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0"/>
          <w:szCs w:val="20"/>
          <w:color w:val="auto"/>
        </w:rPr>
      </w:pPr>
    </w:p>
    <w:p>
      <w:pPr>
        <w:ind w:right="100" w:firstLine="583"/>
        <w:spacing w:after="0" w:line="311" w:lineRule="auto"/>
        <w:rPr>
          <w:sz w:val="20"/>
          <w:szCs w:val="20"/>
          <w:color w:val="auto"/>
        </w:rPr>
      </w:pPr>
      <w:r>
        <w:rPr>
          <w:rFonts w:ascii="Arial" w:cs="Arial" w:eastAsia="Arial" w:hAnsi="Arial"/>
          <w:sz w:val="16"/>
          <w:szCs w:val="16"/>
          <w:color w:val="auto"/>
        </w:rPr>
        <w:t>In accordance with General Instruction B.2 of Form 8-K, the information presented herein under Item 7.01 shall not be deemed “filed” for the purpose of Section 18 of the Securities Exchange Act of 1934, as amended, or otherwise subject to the liabilities of that section, nor shall such information be deemed incorporated by reference into any filing under the Securities Act of 1933 or the Securities Exchange Act of 1934, each as amended.</w:t>
      </w:r>
    </w:p>
    <w:p>
      <w:pPr>
        <w:spacing w:after="0" w:line="149" w:lineRule="exact"/>
        <w:rPr>
          <w:sz w:val="20"/>
          <w:szCs w:val="20"/>
          <w:color w:val="auto"/>
        </w:rPr>
      </w:pPr>
    </w:p>
    <w:p>
      <w:pPr>
        <w:ind w:right="100" w:firstLine="583"/>
        <w:spacing w:after="0" w:line="277" w:lineRule="auto"/>
        <w:rPr>
          <w:sz w:val="20"/>
          <w:szCs w:val="20"/>
          <w:color w:val="auto"/>
        </w:rPr>
      </w:pPr>
      <w:r>
        <w:rPr>
          <w:rFonts w:ascii="Arial" w:cs="Arial" w:eastAsia="Arial" w:hAnsi="Arial"/>
          <w:sz w:val="18"/>
          <w:szCs w:val="18"/>
          <w:color w:val="auto"/>
        </w:rPr>
        <w:t>On August 24, 2021, PAA and PAGP issued a press release announcing the changes described under Item 5.02 and Item 5.03 above. A copy of the press release is furnished as Exhibit 99.1 hereto.</w:t>
      </w:r>
    </w:p>
    <w:p>
      <w:pPr>
        <w:spacing w:after="0" w:line="16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5" w:lineRule="exact"/>
        <w:rPr>
          <w:sz w:val="20"/>
          <w:szCs w:val="20"/>
          <w:color w:val="auto"/>
        </w:rPr>
      </w:pPr>
    </w:p>
    <w:p>
      <w:pPr>
        <w:ind w:left="600"/>
        <w:spacing w:after="0"/>
        <w:rPr>
          <w:sz w:val="20"/>
          <w:szCs w:val="20"/>
          <w:color w:val="auto"/>
        </w:rPr>
      </w:pPr>
      <w:r>
        <w:rPr>
          <w:rFonts w:ascii="Arial" w:cs="Arial" w:eastAsia="Arial" w:hAnsi="Arial"/>
          <w:sz w:val="18"/>
          <w:szCs w:val="18"/>
          <w:b w:val="1"/>
          <w:bCs w:val="1"/>
          <w:color w:val="auto"/>
        </w:rPr>
        <w:t>(d)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8"/>
                <w:szCs w:val="18"/>
                <w:color w:val="auto"/>
              </w:rPr>
            </w:pPr>
          </w:p>
        </w:tc>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9"/>
              </w:rPr>
              <w:t>Exhibit</w:t>
            </w:r>
          </w:p>
        </w:tc>
        <w:tc>
          <w:tcPr>
            <w:tcW w:w="920" w:type="dxa"/>
            <w:vAlign w:val="bottom"/>
            <w:gridSpan w:val="2"/>
          </w:tcPr>
          <w:p>
            <w:pPr>
              <w:spacing w:after="0"/>
              <w:rPr>
                <w:sz w:val="18"/>
                <w:szCs w:val="18"/>
                <w:color w:val="auto"/>
              </w:rPr>
            </w:pPr>
          </w:p>
        </w:tc>
        <w:tc>
          <w:tcPr>
            <w:tcW w:w="9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8"/>
              </w:rPr>
              <w:t>Description</w:t>
            </w:r>
          </w:p>
        </w:tc>
        <w:tc>
          <w:tcPr>
            <w:tcW w:w="8660" w:type="dxa"/>
            <w:vAlign w:val="bottom"/>
            <w:gridSpan w:val="4"/>
          </w:tcPr>
          <w:p>
            <w:pPr>
              <w:spacing w:after="0"/>
              <w:rPr>
                <w:sz w:val="18"/>
                <w:szCs w:val="18"/>
                <w:color w:val="auto"/>
              </w:rPr>
            </w:pPr>
          </w:p>
        </w:tc>
      </w:tr>
      <w:tr>
        <w:trPr>
          <w:trHeight w:val="196"/>
        </w:trPr>
        <w:tc>
          <w:tcPr>
            <w:tcW w:w="120" w:type="dxa"/>
            <w:vAlign w:val="bottom"/>
          </w:tcPr>
          <w:p>
            <w:pPr>
              <w:spacing w:after="0"/>
              <w:rPr>
                <w:sz w:val="17"/>
                <w:szCs w:val="17"/>
                <w:color w:val="auto"/>
              </w:rPr>
            </w:pPr>
          </w:p>
        </w:tc>
        <w:tc>
          <w:tcPr>
            <w:tcW w:w="1560" w:type="dxa"/>
            <w:vAlign w:val="bottom"/>
            <w:gridSpan w:val="3"/>
          </w:tcPr>
          <w:p>
            <w:pPr>
              <w:spacing w:after="0" w:line="196" w:lineRule="exact"/>
              <w:rPr>
                <w:sz w:val="20"/>
                <w:szCs w:val="20"/>
                <w:color w:val="auto"/>
              </w:rPr>
            </w:pPr>
            <w:r>
              <w:rPr>
                <w:rFonts w:ascii="Arial" w:cs="Arial" w:eastAsia="Arial" w:hAnsi="Arial"/>
                <w:sz w:val="18"/>
                <w:szCs w:val="18"/>
                <w:b w:val="1"/>
                <w:bCs w:val="1"/>
                <w:color w:val="auto"/>
              </w:rPr>
              <w:t>Number</w:t>
            </w:r>
          </w:p>
        </w:tc>
        <w:tc>
          <w:tcPr>
            <w:tcW w:w="9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06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69"/>
        </w:trPr>
        <w:tc>
          <w:tcPr>
            <w:tcW w:w="760" w:type="dxa"/>
            <w:vAlign w:val="bottom"/>
            <w:gridSpan w:val="2"/>
          </w:tcPr>
          <w:p>
            <w:pPr>
              <w:spacing w:after="0"/>
              <w:rPr>
                <w:sz w:val="14"/>
                <w:szCs w:val="14"/>
                <w:color w:val="auto"/>
              </w:rPr>
            </w:pPr>
          </w:p>
        </w:tc>
        <w:tc>
          <w:tcPr>
            <w:tcW w:w="260" w:type="dxa"/>
            <w:vAlign w:val="bottom"/>
            <w:tcBorders>
              <w:bottom w:val="single" w:sz="8" w:color="0000EE"/>
            </w:tcBorders>
          </w:tcPr>
          <w:p>
            <w:pPr>
              <w:jc w:val="center"/>
              <w:spacing w:after="0" w:line="169" w:lineRule="exact"/>
              <w:rPr>
                <w:rFonts w:ascii="Arial" w:cs="Arial" w:eastAsia="Arial" w:hAnsi="Arial"/>
                <w:sz w:val="18"/>
                <w:szCs w:val="18"/>
                <w:color w:val="0000EE"/>
                <w:w w:val="71"/>
              </w:rPr>
            </w:pPr>
            <w:hyperlink w:anchor="page4">
              <w:r>
                <w:rPr>
                  <w:rFonts w:ascii="Arial" w:cs="Arial" w:eastAsia="Arial" w:hAnsi="Arial"/>
                  <w:sz w:val="18"/>
                  <w:szCs w:val="18"/>
                  <w:color w:val="0000EE"/>
                  <w:w w:val="71"/>
                </w:rPr>
                <w:t>3.</w:t>
              </w:r>
              <w:r>
                <w:rPr>
                  <w:rFonts w:ascii="Arial" w:cs="Arial" w:eastAsia="Arial" w:hAnsi="Arial"/>
                  <w:sz w:val="18"/>
                  <w:szCs w:val="18"/>
                  <w:u w:val="single" w:color="auto"/>
                  <w:color w:val="0000EE"/>
                  <w:w w:val="71"/>
                </w:rPr>
                <w:t>1</w:t>
              </w:r>
            </w:hyperlink>
          </w:p>
        </w:tc>
        <w:tc>
          <w:tcPr>
            <w:tcW w:w="660" w:type="dxa"/>
            <w:vAlign w:val="bottom"/>
          </w:tcPr>
          <w:p>
            <w:pPr>
              <w:spacing w:after="0"/>
              <w:rPr>
                <w:sz w:val="14"/>
                <w:szCs w:val="14"/>
                <w:color w:val="auto"/>
              </w:rPr>
            </w:pPr>
          </w:p>
        </w:tc>
        <w:tc>
          <w:tcPr>
            <w:tcW w:w="9360" w:type="dxa"/>
            <w:vAlign w:val="bottom"/>
            <w:tcBorders>
              <w:bottom w:val="single" w:sz="8" w:color="0000EE"/>
            </w:tcBorders>
            <w:gridSpan w:val="4"/>
          </w:tcPr>
          <w:p>
            <w:pPr>
              <w:spacing w:after="0" w:line="169" w:lineRule="exact"/>
              <w:rPr>
                <w:rFonts w:ascii="Arial" w:cs="Arial" w:eastAsia="Arial" w:hAnsi="Arial"/>
                <w:sz w:val="18"/>
                <w:szCs w:val="18"/>
                <w:color w:val="0000EE"/>
                <w:w w:val="91"/>
              </w:rPr>
            </w:pPr>
            <w:hyperlink w:anchor="page4">
              <w:r>
                <w:rPr>
                  <w:rFonts w:ascii="Arial" w:cs="Arial" w:eastAsia="Arial" w:hAnsi="Arial"/>
                  <w:sz w:val="18"/>
                  <w:szCs w:val="18"/>
                  <w:color w:val="0000EE"/>
                  <w:w w:val="91"/>
                </w:rPr>
                <w:t>Amendment No. 5 dated August 19, 2021 to the Third Amended and Restated Limited Liability Company Agreement of PAA GP</w:t>
              </w:r>
            </w:hyperlink>
          </w:p>
        </w:tc>
        <w:tc>
          <w:tcPr>
            <w:tcW w:w="200" w:type="dxa"/>
            <w:vAlign w:val="bottom"/>
          </w:tcPr>
          <w:p>
            <w:pPr>
              <w:spacing w:after="0"/>
              <w:rPr>
                <w:sz w:val="14"/>
                <w:szCs w:val="14"/>
                <w:color w:val="auto"/>
              </w:rPr>
            </w:pPr>
          </w:p>
        </w:tc>
      </w:tr>
      <w:tr>
        <w:trPr>
          <w:trHeight w:val="196"/>
        </w:trPr>
        <w:tc>
          <w:tcPr>
            <w:tcW w:w="1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560" w:type="dxa"/>
            <w:vAlign w:val="bottom"/>
            <w:gridSpan w:val="5"/>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Holdings LLC dated as of February 17, 2017.</w:t>
              </w:r>
            </w:hyperlink>
          </w:p>
        </w:tc>
      </w:tr>
      <w:tr>
        <w:trPr>
          <w:trHeight w:val="20"/>
        </w:trPr>
        <w:tc>
          <w:tcPr>
            <w:tcW w:w="1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top w:val="single" w:sz="8" w:color="0000EE"/>
              <w:bottom w:val="single" w:sz="8" w:color="auto"/>
            </w:tcBorders>
          </w:tcPr>
          <w:p>
            <w:pPr>
              <w:spacing w:after="0" w:line="20" w:lineRule="exact"/>
              <w:rPr>
                <w:sz w:val="1"/>
                <w:szCs w:val="1"/>
                <w:color w:val="auto"/>
              </w:rPr>
            </w:pPr>
          </w:p>
        </w:tc>
        <w:tc>
          <w:tcPr>
            <w:tcW w:w="1860" w:type="dxa"/>
            <w:vAlign w:val="bottom"/>
            <w:tcBorders>
              <w:top w:val="single" w:sz="8" w:color="0000EE"/>
              <w:bottom w:val="single" w:sz="8" w:color="auto"/>
            </w:tcBorders>
          </w:tcPr>
          <w:p>
            <w:pPr>
              <w:spacing w:after="0" w:line="20" w:lineRule="exact"/>
              <w:rPr>
                <w:sz w:val="1"/>
                <w:szCs w:val="1"/>
                <w:color w:val="auto"/>
              </w:rPr>
            </w:pPr>
          </w:p>
        </w:tc>
        <w:tc>
          <w:tcPr>
            <w:tcW w:w="540" w:type="dxa"/>
            <w:vAlign w:val="bottom"/>
            <w:tcBorders>
              <w:top w:val="single" w:sz="8" w:color="0000EE"/>
              <w:bottom w:val="single" w:sz="8" w:color="auto"/>
            </w:tcBorders>
          </w:tcPr>
          <w:p>
            <w:pPr>
              <w:spacing w:after="0" w:line="20" w:lineRule="exact"/>
              <w:rPr>
                <w:sz w:val="1"/>
                <w:szCs w:val="1"/>
                <w:color w:val="auto"/>
              </w:rPr>
            </w:pPr>
          </w:p>
        </w:tc>
        <w:tc>
          <w:tcPr>
            <w:tcW w:w="606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r>
      <w:tr>
        <w:trPr>
          <w:trHeight w:val="169"/>
        </w:trPr>
        <w:tc>
          <w:tcPr>
            <w:tcW w:w="1020" w:type="dxa"/>
            <w:vAlign w:val="bottom"/>
            <w:gridSpan w:val="3"/>
          </w:tcPr>
          <w:p>
            <w:pPr>
              <w:jc w:val="cente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660" w:type="dxa"/>
            <w:vAlign w:val="bottom"/>
          </w:tcPr>
          <w:p>
            <w:pPr>
              <w:spacing w:after="0"/>
              <w:rPr>
                <w:sz w:val="14"/>
                <w:szCs w:val="14"/>
                <w:color w:val="auto"/>
              </w:rPr>
            </w:pPr>
          </w:p>
        </w:tc>
        <w:tc>
          <w:tcPr>
            <w:tcW w:w="9560" w:type="dxa"/>
            <w:vAlign w:val="bottom"/>
            <w:gridSpan w:val="5"/>
          </w:tcPr>
          <w:p>
            <w:pPr>
              <w:spacing w:after="0" w:line="169" w:lineRule="exact"/>
              <w:rPr>
                <w:rFonts w:ascii="Arial" w:cs="Arial" w:eastAsia="Arial" w:hAnsi="Arial"/>
                <w:sz w:val="18"/>
                <w:szCs w:val="18"/>
                <w:color w:val="0000EE"/>
              </w:rPr>
            </w:pPr>
            <w:hyperlink w:anchor="page6">
              <w:r>
                <w:rPr>
                  <w:rFonts w:ascii="Arial" w:cs="Arial" w:eastAsia="Arial" w:hAnsi="Arial"/>
                  <w:sz w:val="18"/>
                  <w:szCs w:val="18"/>
                  <w:color w:val="0000EE"/>
                </w:rPr>
                <w:t>Press Release Dated August 24, 2021.</w:t>
              </w:r>
            </w:hyperlink>
          </w:p>
        </w:tc>
      </w:tr>
      <w:tr>
        <w:trPr>
          <w:trHeight w:val="20"/>
        </w:trPr>
        <w:tc>
          <w:tcPr>
            <w:tcW w:w="120" w:type="dxa"/>
            <w:vAlign w:val="bottom"/>
          </w:tcPr>
          <w:p>
            <w:pPr>
              <w:spacing w:after="0" w:line="20" w:lineRule="exact"/>
              <w:rPr>
                <w:sz w:val="1"/>
                <w:szCs w:val="1"/>
                <w:color w:val="auto"/>
              </w:rPr>
            </w:pPr>
          </w:p>
        </w:tc>
        <w:tc>
          <w:tcPr>
            <w:tcW w:w="640" w:type="dxa"/>
            <w:vAlign w:val="bottom"/>
            <w:tcBorders>
              <w:right w:val="single" w:sz="8" w:color="0000EE"/>
            </w:tcBorders>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-693420</wp:posOffset>
            </wp:positionV>
            <wp:extent cx="7132320" cy="8655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65505"/>
                    </a:xfrm>
                    <a:prstGeom prst="rect">
                      <a:avLst/>
                    </a:prstGeom>
                    <a:noFill/>
                  </pic:spPr>
                </pic:pic>
              </a:graphicData>
            </a:graphic>
          </wp:anchor>
        </w:drawing>
      </w:r>
    </w:p>
    <w:p>
      <w:pPr>
        <w:spacing w:after="0" w:line="6" w:lineRule="exact"/>
        <w:rPr>
          <w:sz w:val="20"/>
          <w:szCs w:val="20"/>
          <w:color w:val="auto"/>
        </w:rPr>
      </w:pPr>
    </w:p>
    <w:p>
      <w:pPr>
        <w:ind w:left="5560" w:right="3040" w:hanging="4839"/>
        <w:spacing w:after="0" w:line="794" w:lineRule="auto"/>
        <w:tabs>
          <w:tab w:leader="none" w:pos="1692" w:val="left"/>
        </w:tabs>
        <w:numPr>
          <w:ilvl w:val="0"/>
          <w:numId w:val="2"/>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-302895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8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Date:  August 24, 2021</w:t>
      </w:r>
      <w:r>
        <w:rPr>
          <w:sz w:val="20"/>
          <w:szCs w:val="20"/>
          <w:color w:val="auto"/>
        </w:rPr>
        <w:tab/>
      </w:r>
      <w:r>
        <w:rPr>
          <w:rFonts w:ascii="Arial" w:cs="Arial" w:eastAsia="Arial" w:hAnsi="Arial"/>
          <w:sz w:val="17"/>
          <w:szCs w:val="17"/>
          <w:color w:val="auto"/>
        </w:rPr>
        <w:t>PLAINS GP HOLDINGS, L.P.</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PAA GP Holdings LLC, its general partner</w:t>
      </w:r>
    </w:p>
    <w:p>
      <w:pPr>
        <w:spacing w:after="0" w:line="200" w:lineRule="exact"/>
        <w:rPr>
          <w:sz w:val="20"/>
          <w:szCs w:val="20"/>
          <w:color w:val="auto"/>
        </w:rPr>
      </w:pPr>
    </w:p>
    <w:p>
      <w:pPr>
        <w:spacing w:after="0" w:line="241"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 /s/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14605</wp:posOffset>
            </wp:positionV>
            <wp:extent cx="33432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Name: Richard McGee</w:t>
      </w:r>
    </w:p>
    <w:p>
      <w:pPr>
        <w:spacing w:after="0" w:line="23" w:lineRule="exact"/>
        <w:rPr>
          <w:sz w:val="20"/>
          <w:szCs w:val="20"/>
          <w:color w:val="auto"/>
        </w:rPr>
      </w:pPr>
    </w:p>
    <w:p>
      <w:pPr>
        <w:ind w:left="5980"/>
        <w:spacing w:after="0"/>
        <w:tabs>
          <w:tab w:leader="none" w:pos="6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Executive Vice President, General Counsel &amp; Secretary</w:t>
      </w:r>
    </w:p>
    <w:p>
      <w:pPr>
        <w:spacing w:after="0" w:line="200" w:lineRule="exact"/>
        <w:rPr>
          <w:sz w:val="20"/>
          <w:szCs w:val="20"/>
          <w:color w:val="auto"/>
        </w:rPr>
      </w:pPr>
    </w:p>
    <w:p>
      <w:pPr>
        <w:spacing w:after="0" w:line="227"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920"/>
          </w:cols>
          <w:pgMar w:left="320" w:top="904" w:right="6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3.1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Execution Copy</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AMENDMENT NO. 5 TO THE</w:t>
      </w:r>
    </w:p>
    <w:p>
      <w:pPr>
        <w:spacing w:after="0" w:line="23" w:lineRule="exact"/>
        <w:rPr>
          <w:sz w:val="20"/>
          <w:szCs w:val="20"/>
          <w:color w:val="auto"/>
        </w:rPr>
      </w:pPr>
    </w:p>
    <w:p>
      <w:pPr>
        <w:ind w:left="4200"/>
        <w:spacing w:after="0"/>
        <w:rPr>
          <w:sz w:val="20"/>
          <w:szCs w:val="20"/>
          <w:color w:val="auto"/>
        </w:rPr>
      </w:pPr>
      <w:r>
        <w:rPr>
          <w:rFonts w:ascii="Arial" w:cs="Arial" w:eastAsia="Arial" w:hAnsi="Arial"/>
          <w:sz w:val="18"/>
          <w:szCs w:val="18"/>
          <w:color w:val="auto"/>
        </w:rPr>
        <w:t>THIRD AMENDED AND RESTATED</w:t>
      </w:r>
    </w:p>
    <w:p>
      <w:pPr>
        <w:spacing w:after="0" w:line="9" w:lineRule="exact"/>
        <w:rPr>
          <w:sz w:val="20"/>
          <w:szCs w:val="20"/>
          <w:color w:val="auto"/>
        </w:rPr>
      </w:pPr>
    </w:p>
    <w:p>
      <w:pPr>
        <w:ind w:left="3600"/>
        <w:spacing w:after="0"/>
        <w:rPr>
          <w:sz w:val="20"/>
          <w:szCs w:val="20"/>
          <w:color w:val="auto"/>
        </w:rPr>
      </w:pPr>
      <w:r>
        <w:rPr>
          <w:rFonts w:ascii="Arial" w:cs="Arial" w:eastAsia="Arial" w:hAnsi="Arial"/>
          <w:sz w:val="18"/>
          <w:szCs w:val="18"/>
          <w:color w:val="auto"/>
        </w:rPr>
        <w:t>LIMITED LIABILITY COMPANY AGREEMENT OF</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8"/>
          <w:szCs w:val="18"/>
          <w:color w:val="auto"/>
        </w:rPr>
        <w:t>PAA GP HOLDINGS LLC</w:t>
      </w:r>
    </w:p>
    <w:p>
      <w:pPr>
        <w:spacing w:after="0" w:line="21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This Amendment No. 5 (this “Amendment”) to the Third Amended and Restated Limited Liability Company Agreement of PAA GP Holdings LLC, a Delaware limited liability company (the “Company”), dated as of February 16, 2017 (the “LLC Agreement”), is hereby adopted on August 19, 2021. Capitalized terms used but not defined herein are used as defined in the LLC Agreement.</w:t>
      </w:r>
    </w:p>
    <w:p>
      <w:pPr>
        <w:spacing w:after="0" w:line="18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Section 12.2(a) of the LLC Agreement provides that the LLC Agreement shall not be altered, modified or changed except by an amendment approved by the Board of Directors of the Company;</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WHEREAS, Section 12.2(a) of the LLC Agreement also provides that certain amendments shall not be effective without the prior written consent of certain Members; and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Board of Directors of the Company has approved and does hereby amend the LLC Agreement as follows, and such amendments have been consented to by KAFU Holdings (QP), L.P.:</w:t>
      </w:r>
    </w:p>
    <w:p>
      <w:pPr>
        <w:spacing w:after="0" w:line="17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u w:val="single" w:color="auto"/>
          <w:color w:val="auto"/>
        </w:rPr>
        <w:t>Section 1</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Article 1 of the LLC Agreement is hereby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definition of Eligible Directors is amended and restated to read in full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 xml:space="preserve">“Eligible Directors” </w:t>
      </w:r>
      <w:r>
        <w:rPr>
          <w:rFonts w:ascii="Arial" w:cs="Arial" w:eastAsia="Arial" w:hAnsi="Arial"/>
          <w:sz w:val="18"/>
          <w:szCs w:val="18"/>
          <w:color w:val="auto"/>
        </w:rPr>
        <w:t>means any Director who is not a Series A Designated Director.</w:t>
      </w:r>
    </w:p>
    <w:p>
      <w:pPr>
        <w:spacing w:after="0" w:line="225" w:lineRule="exact"/>
        <w:rPr>
          <w:sz w:val="20"/>
          <w:szCs w:val="20"/>
          <w:color w:val="auto"/>
        </w:rPr>
      </w:pPr>
    </w:p>
    <w:p>
      <w:pPr>
        <w:ind w:left="9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following defined terms, and any references to such defined terms, are hereby deleted and removed: Designating Member, Designation Loss Event, Initial Designating Members, Qualifying Interest, Qualifying Interest Holder and Subsequent Designating Member.</w:t>
      </w:r>
    </w:p>
    <w:p>
      <w:pPr>
        <w:spacing w:after="0" w:line="124"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u w:val="single" w:color="auto"/>
          <w:color w:val="auto"/>
        </w:rPr>
        <w:t>Section 2</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Article 6 of the LLC Agreement is hereby amended as follows:</w:t>
      </w:r>
    </w:p>
    <w:p>
      <w:pPr>
        <w:spacing w:after="0" w:line="225" w:lineRule="exact"/>
        <w:rPr>
          <w:sz w:val="20"/>
          <w:szCs w:val="20"/>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second sentence of Section 6.1(a)(i), the first two sentences of Section 6.1(a)(ii) and the first sentence of Section 6.2(b) are hereby deleted.</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following sections are hereby deleted and reserved: Sections 6.1(a)(iii), (iv) and (v); Sections 6.1(b)(i), (ii), (iii), (iv), (v), (vi) and (vii); Sections 6.1(f) and (g); Section 6.2(c) and Section 6.11.</w:t>
      </w:r>
    </w:p>
    <w:p>
      <w:pPr>
        <w:spacing w:after="0" w:line="170" w:lineRule="exact"/>
        <w:rPr>
          <w:sz w:val="20"/>
          <w:szCs w:val="20"/>
          <w:color w:val="auto"/>
        </w:rPr>
      </w:pPr>
    </w:p>
    <w:p>
      <w:pPr>
        <w:ind w:left="340"/>
        <w:spacing w:after="0"/>
        <w:tabs>
          <w:tab w:leader="none" w:pos="1300" w:val="left"/>
        </w:tabs>
        <w:rPr>
          <w:sz w:val="20"/>
          <w:szCs w:val="20"/>
          <w:color w:val="auto"/>
        </w:rPr>
      </w:pPr>
      <w:r>
        <w:rPr>
          <w:rFonts w:ascii="Arial" w:cs="Arial" w:eastAsia="Arial" w:hAnsi="Arial"/>
          <w:sz w:val="18"/>
          <w:szCs w:val="18"/>
          <w:u w:val="single" w:color="auto"/>
          <w:color w:val="auto"/>
        </w:rPr>
        <w:t>Section 3</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Article 7 of the LLC Agreement is hereby amended as follows: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The third sentence of Section 7.1(a) is hereby deleted.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Section 4</w:t>
      </w:r>
      <w:r>
        <w:rPr>
          <w:rFonts w:ascii="Arial" w:cs="Arial" w:eastAsia="Arial" w:hAnsi="Arial"/>
          <w:sz w:val="18"/>
          <w:szCs w:val="18"/>
          <w:color w:val="auto"/>
        </w:rPr>
        <w:t>. The amendments reflected herein are intended to remove from the LLC Agreement the “designated director” concept and any related terms or provisions that reference such concept; accordingly, any terms or provisions of the LLC Agreement that reference such concept and which are not specifically addressed in the foregoing amendments shall be interpreted in such a manner, as the context requires, that is consistent with the intent of these amendments to remove or delete the designated director concept altogether. Except as hereby amended, the LLC Agreement shall remain in full force and effect.</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Section 5</w:t>
      </w:r>
      <w:r>
        <w:rPr>
          <w:rFonts w:ascii="Arial" w:cs="Arial" w:eastAsia="Arial" w:hAnsi="Arial"/>
          <w:sz w:val="18"/>
          <w:szCs w:val="18"/>
          <w:color w:val="auto"/>
        </w:rPr>
        <w:t>. This Amendment shall be governed by, and interpreted in accordance with, the laws of the State of Delaware, all rights and remedies being governed by such laws without regard to principles of conflicts of laws.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u w:val="single" w:color="auto"/>
          <w:color w:val="auto"/>
        </w:rPr>
        <w:t>Section 6</w:t>
      </w:r>
      <w:r>
        <w:rPr>
          <w:rFonts w:ascii="Arial" w:cs="Arial" w:eastAsia="Arial" w:hAnsi="Arial"/>
          <w:sz w:val="18"/>
          <w:szCs w:val="18"/>
          <w:color w:val="auto"/>
        </w:rPr>
        <w:t>. If any provision of this Amendment is or becomes invalid, illegal or unenforceable in any respect, the validity, legality and enforceability of the remaining provisions contained herein shall not be affected thereby.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340"/>
        <w:spacing w:after="0"/>
        <w:rPr>
          <w:sz w:val="20"/>
          <w:szCs w:val="20"/>
          <w:color w:val="auto"/>
        </w:rPr>
      </w:pPr>
      <w:r>
        <w:rPr>
          <w:rFonts w:ascii="Arial" w:cs="Arial" w:eastAsia="Arial" w:hAnsi="Arial"/>
          <w:sz w:val="18"/>
          <w:szCs w:val="18"/>
          <w:color w:val="auto"/>
        </w:rPr>
        <w:t>IN WITNESS WHEREOF, this Amendment has been executed effective as of August 19, 2021.</w:t>
      </w:r>
    </w:p>
    <w:p>
      <w:pPr>
        <w:spacing w:after="0" w:line="225"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PAA GP HOLDINGS LLC</w:t>
      </w:r>
    </w:p>
    <w:p>
      <w:pPr>
        <w:spacing w:after="0" w:line="225" w:lineRule="exact"/>
        <w:rPr>
          <w:sz w:val="20"/>
          <w:szCs w:val="20"/>
          <w:color w:val="auto"/>
        </w:rPr>
      </w:pPr>
    </w:p>
    <w:tbl>
      <w:tblPr>
        <w:tblLayout w:type="fixed"/>
        <w:tblInd w:w="586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By:</w:t>
            </w:r>
          </w:p>
        </w:tc>
        <w:tc>
          <w:tcPr>
            <w:tcW w:w="80" w:type="dxa"/>
            <w:vAlign w:val="bottom"/>
          </w:tcPr>
          <w:p>
            <w:pPr>
              <w:spacing w:after="0"/>
              <w:rPr>
                <w:sz w:val="20"/>
                <w:szCs w:val="20"/>
                <w:color w:val="auto"/>
              </w:rPr>
            </w:pPr>
          </w:p>
        </w:tc>
        <w:tc>
          <w:tcPr>
            <w:tcW w:w="482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/s/ Richard K. McGee</w:t>
            </w:r>
          </w:p>
        </w:tc>
      </w:tr>
      <w:tr>
        <w:trPr>
          <w:trHeight w:val="195"/>
        </w:trPr>
        <w:tc>
          <w:tcPr>
            <w:tcW w:w="56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482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480" w:type="dxa"/>
            <w:vAlign w:val="bottom"/>
          </w:tcPr>
          <w:p>
            <w:pPr>
              <w:spacing w:after="0"/>
              <w:rPr>
                <w:sz w:val="20"/>
                <w:szCs w:val="20"/>
                <w:color w:val="auto"/>
              </w:rPr>
            </w:pPr>
            <w:r>
              <w:rPr>
                <w:rFonts w:ascii="Arial" w:cs="Arial" w:eastAsia="Arial" w:hAnsi="Arial"/>
                <w:sz w:val="18"/>
                <w:szCs w:val="18"/>
                <w:color w:val="auto"/>
              </w:rPr>
              <w:t>Title:</w:t>
            </w:r>
          </w:p>
        </w:tc>
        <w:tc>
          <w:tcPr>
            <w:tcW w:w="4900" w:type="dxa"/>
            <w:vAlign w:val="bottom"/>
            <w:gridSpan w:val="2"/>
          </w:tcPr>
          <w:p>
            <w:pPr>
              <w:ind w:left="80"/>
              <w:spacing w:after="0"/>
              <w:rPr>
                <w:sz w:val="20"/>
                <w:szCs w:val="20"/>
                <w:color w:val="auto"/>
              </w:rPr>
            </w:pPr>
            <w:r>
              <w:rPr>
                <w:rFonts w:ascii="Arial" w:cs="Arial" w:eastAsia="Arial" w:hAnsi="Arial"/>
                <w:sz w:val="18"/>
                <w:szCs w:val="18"/>
                <w:color w:val="auto"/>
              </w:rPr>
              <w:t>Executive Vice President</w:t>
            </w:r>
          </w:p>
        </w:tc>
      </w:tr>
    </w:tbl>
    <w:p>
      <w:pPr>
        <w:spacing w:after="0" w:line="200" w:lineRule="exact"/>
        <w:rPr>
          <w:sz w:val="20"/>
          <w:szCs w:val="20"/>
          <w:color w:val="auto"/>
        </w:rPr>
      </w:pPr>
    </w:p>
    <w:p>
      <w:pPr>
        <w:spacing w:after="0" w:line="21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undersigned acknowledges and agrees to the foregoing Amendment, and confirms that its execution below shall constitute evidence of its prior written consent to such Amendment.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KAFU HOLDINGS (QP), 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as successor in interest to KAFU HOLDINGS, L.P.</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By:</w:t>
            </w:r>
          </w:p>
        </w:tc>
        <w:tc>
          <w:tcPr>
            <w:tcW w:w="260" w:type="dxa"/>
            <w:vAlign w:val="bottom"/>
            <w:tcBorders>
              <w:bottom w:val="single" w:sz="8" w:color="auto"/>
            </w:tcBorders>
          </w:tcPr>
          <w:p>
            <w:pPr>
              <w:spacing w:after="0"/>
              <w:rPr>
                <w:sz w:val="20"/>
                <w:szCs w:val="20"/>
                <w:color w:val="auto"/>
              </w:rPr>
            </w:pPr>
          </w:p>
        </w:tc>
        <w:tc>
          <w:tcPr>
            <w:tcW w:w="522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/s/ Michael O’Neil</w:t>
            </w:r>
          </w:p>
        </w:tc>
        <w:tc>
          <w:tcPr>
            <w:tcW w:w="5420" w:type="dxa"/>
            <w:vAlign w:val="bottom"/>
          </w:tcPr>
          <w:p>
            <w:pPr>
              <w:spacing w:after="0"/>
              <w:rPr>
                <w:sz w:val="20"/>
                <w:szCs w:val="20"/>
                <w:color w:val="auto"/>
              </w:rPr>
            </w:pPr>
          </w:p>
        </w:tc>
      </w:tr>
      <w:tr>
        <w:trPr>
          <w:trHeight w:val="195"/>
        </w:trPr>
        <w:tc>
          <w:tcPr>
            <w:tcW w:w="600" w:type="dxa"/>
            <w:vAlign w:val="bottom"/>
            <w:gridSpan w:val="2"/>
          </w:tcPr>
          <w:p>
            <w:pPr>
              <w:spacing w:after="0" w:line="195" w:lineRule="exact"/>
              <w:rPr>
                <w:sz w:val="20"/>
                <w:szCs w:val="20"/>
                <w:color w:val="auto"/>
              </w:rPr>
            </w:pPr>
            <w:r>
              <w:rPr>
                <w:rFonts w:ascii="Arial" w:cs="Arial" w:eastAsia="Arial" w:hAnsi="Arial"/>
                <w:sz w:val="18"/>
                <w:szCs w:val="18"/>
                <w:color w:val="auto"/>
              </w:rPr>
              <w:t>Name:</w:t>
            </w:r>
          </w:p>
        </w:tc>
        <w:tc>
          <w:tcPr>
            <w:tcW w:w="5220" w:type="dxa"/>
            <w:vAlign w:val="bottom"/>
          </w:tcPr>
          <w:p>
            <w:pPr>
              <w:ind w:left="120"/>
              <w:spacing w:after="0" w:line="195" w:lineRule="exact"/>
              <w:rPr>
                <w:sz w:val="20"/>
                <w:szCs w:val="20"/>
                <w:color w:val="auto"/>
              </w:rPr>
            </w:pPr>
            <w:r>
              <w:rPr>
                <w:rFonts w:ascii="Arial" w:cs="Arial" w:eastAsia="Arial" w:hAnsi="Arial"/>
                <w:sz w:val="18"/>
                <w:szCs w:val="18"/>
                <w:color w:val="auto"/>
              </w:rPr>
              <w:t>Michael O’Neil</w:t>
            </w:r>
          </w:p>
        </w:tc>
        <w:tc>
          <w:tcPr>
            <w:tcW w:w="5420" w:type="dxa"/>
            <w:vAlign w:val="bottom"/>
          </w:tcPr>
          <w:p>
            <w:pPr>
              <w:spacing w:after="0"/>
              <w:rPr>
                <w:sz w:val="16"/>
                <w:szCs w:val="16"/>
                <w:color w:val="auto"/>
              </w:rPr>
            </w:pPr>
          </w:p>
        </w:tc>
      </w:tr>
      <w:tr>
        <w:trPr>
          <w:trHeight w:val="230"/>
        </w:trPr>
        <w:tc>
          <w:tcPr>
            <w:tcW w:w="600" w:type="dxa"/>
            <w:vAlign w:val="bottom"/>
            <w:gridSpan w:val="2"/>
          </w:tcPr>
          <w:p>
            <w:pPr>
              <w:spacing w:after="0"/>
              <w:rPr>
                <w:sz w:val="20"/>
                <w:szCs w:val="20"/>
                <w:color w:val="auto"/>
              </w:rPr>
            </w:pPr>
            <w:r>
              <w:rPr>
                <w:rFonts w:ascii="Arial" w:cs="Arial" w:eastAsia="Arial" w:hAnsi="Arial"/>
                <w:sz w:val="18"/>
                <w:szCs w:val="18"/>
                <w:color w:val="auto"/>
              </w:rPr>
              <w:t>Title:</w:t>
            </w:r>
          </w:p>
        </w:tc>
        <w:tc>
          <w:tcPr>
            <w:tcW w:w="5220" w:type="dxa"/>
            <w:vAlign w:val="bottom"/>
          </w:tcPr>
          <w:p>
            <w:pPr>
              <w:ind w:left="120"/>
              <w:spacing w:after="0"/>
              <w:rPr>
                <w:sz w:val="20"/>
                <w:szCs w:val="20"/>
                <w:color w:val="auto"/>
              </w:rPr>
            </w:pPr>
            <w:r>
              <w:rPr>
                <w:rFonts w:ascii="Arial" w:cs="Arial" w:eastAsia="Arial" w:hAnsi="Arial"/>
                <w:sz w:val="18"/>
                <w:szCs w:val="18"/>
                <w:color w:val="auto"/>
                <w:w w:val="96"/>
              </w:rPr>
              <w:t>Chief Compliance Officer of Kayne Anderson Capital Advisors, LP</w:t>
            </w:r>
          </w:p>
        </w:tc>
        <w:tc>
          <w:tcPr>
            <w:tcW w:w="5420" w:type="dxa"/>
            <w:vAlign w:val="bottom"/>
          </w:tcPr>
          <w:p>
            <w:pPr>
              <w:spacing w:after="0"/>
              <w:rPr>
                <w:sz w:val="20"/>
                <w:szCs w:val="20"/>
                <w:color w:val="auto"/>
              </w:rPr>
            </w:pPr>
          </w:p>
        </w:tc>
      </w:tr>
      <w:tr>
        <w:trPr>
          <w:trHeight w:val="648"/>
        </w:trPr>
        <w:tc>
          <w:tcPr>
            <w:tcW w:w="3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2</w:t>
            </w:r>
          </w:p>
        </w:tc>
        <w:tc>
          <w:tcPr>
            <w:tcW w:w="5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8"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165100</wp:posOffset>
            </wp:positionV>
            <wp:extent cx="4894580" cy="7715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894580" cy="771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Plains All American Announces Governance Enhancement</w:t>
      </w:r>
    </w:p>
    <w:p>
      <w:pPr>
        <w:spacing w:after="0" w:line="229"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 xml:space="preserve">HOUSTON, August 24, 2021 (GLOBE NEWSWIRE) – Plains All American Pipeline, L.P. and Plains GP Holdings (Nasdaq: </w:t>
      </w:r>
      <w:r>
        <w:rPr>
          <w:rFonts w:ascii="Arial" w:cs="Arial" w:eastAsia="Arial" w:hAnsi="Arial"/>
          <w:sz w:val="17"/>
          <w:szCs w:val="17"/>
          <w:u w:val="single" w:color="auto"/>
          <w:color w:val="auto"/>
        </w:rPr>
        <w:t>PAA</w:t>
      </w:r>
      <w:r>
        <w:rPr>
          <w:rFonts w:ascii="Arial" w:cs="Arial" w:eastAsia="Arial" w:hAnsi="Arial"/>
          <w:sz w:val="17"/>
          <w:szCs w:val="17"/>
          <w:color w:val="auto"/>
        </w:rPr>
        <w:t xml:space="preserve"> &amp; </w:t>
      </w:r>
      <w:r>
        <w:rPr>
          <w:rFonts w:ascii="Arial" w:cs="Arial" w:eastAsia="Arial" w:hAnsi="Arial"/>
          <w:sz w:val="17"/>
          <w:szCs w:val="17"/>
          <w:u w:val="single" w:color="auto"/>
          <w:color w:val="auto"/>
        </w:rPr>
        <w:t>PAGP</w:t>
      </w:r>
      <w:r>
        <w:rPr>
          <w:rFonts w:ascii="Arial" w:cs="Arial" w:eastAsia="Arial" w:hAnsi="Arial"/>
          <w:sz w:val="17"/>
          <w:szCs w:val="17"/>
          <w:color w:val="auto"/>
        </w:rPr>
        <w:t>) (collectively, “Plains”) today announced that its Board of Directors has approved amendments to the underlying governance arrangements for Plains that eliminate all previously negotiated “director designation” rights and require that all Directors be subject to public election. The amendments, which have also been approved by Kayne Anderson Capital Advisors, L.P. (“Kayne Anderson”), became effective on August 19, 2021 and eliminate Kayne Anderson’s legacy contractual right to designate an individual to serve on the Plains Board without being subject to public election.</w:t>
      </w:r>
    </w:p>
    <w:p>
      <w:pPr>
        <w:spacing w:after="0" w:line="17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Plains Board has simultaneously approved the appointment of Kevin McCarthy, Kayne Anderson’s previously designated director to Plains’ Board, to serve as a Director until PAGP’s Annual Meeting of Shareholders to be held in May of 2022, and the nomination of Mr. McCarthy to stand for election at such Annual Meeting. As a result of this change, together with the amendment of Plains’ governance documents in February of this year to require public election for all Directors who are current or former members of management, all of Plains’ Board Members are now subject to public election. In addition, going forward, Mr. McCarthy will serve as a Director on the same basis as all other non-management Directors in terms of the rights, duties, and obligations of Directors.</w:t>
      </w:r>
    </w:p>
    <w:p>
      <w:pPr>
        <w:spacing w:after="0" w:line="192" w:lineRule="exact"/>
        <w:rPr>
          <w:sz w:val="20"/>
          <w:szCs w:val="20"/>
          <w:color w:val="auto"/>
        </w:rPr>
      </w:pPr>
    </w:p>
    <w:p>
      <w:pPr>
        <w:ind w:right="60"/>
        <w:spacing w:after="0" w:line="301" w:lineRule="auto"/>
        <w:rPr>
          <w:sz w:val="20"/>
          <w:szCs w:val="20"/>
          <w:color w:val="auto"/>
        </w:rPr>
      </w:pPr>
      <w:r>
        <w:rPr>
          <w:rFonts w:ascii="Arial" w:cs="Arial" w:eastAsia="Arial" w:hAnsi="Arial"/>
          <w:sz w:val="16"/>
          <w:szCs w:val="16"/>
          <w:color w:val="auto"/>
        </w:rPr>
        <w:t>“Today’s announcement reflects an additional positive enhancement to Plains’ governance structure,” stated Willie Chiang, Chairman and CEO of Plains. “We appreciate Kayne Anderson’s long-term support and shared commitment to driving the enhancement of our governance practices and long-term alignment with all of our investors. This step builds on numerous enhancements we have made to our governance structure and practices over the course of the five-year period following our 2016 simplification transaction. We also look forward to continuing to have Kevin’s insight and guidance on our board.”</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Plains</w:t>
      </w:r>
    </w:p>
    <w:p>
      <w:pPr>
        <w:spacing w:after="0" w:line="229" w:lineRule="exact"/>
        <w:rPr>
          <w:sz w:val="20"/>
          <w:szCs w:val="20"/>
          <w:color w:val="auto"/>
        </w:rPr>
      </w:pPr>
    </w:p>
    <w:p>
      <w:pPr>
        <w:ind w:right="280"/>
        <w:spacing w:after="0" w:line="279" w:lineRule="auto"/>
        <w:rPr>
          <w:sz w:val="20"/>
          <w:szCs w:val="20"/>
          <w:color w:val="auto"/>
        </w:rPr>
      </w:pPr>
      <w:r>
        <w:rPr>
          <w:rFonts w:ascii="Arial" w:cs="Arial" w:eastAsia="Arial" w:hAnsi="Arial"/>
          <w:sz w:val="17"/>
          <w:szCs w:val="17"/>
          <w:color w:val="auto"/>
        </w:rPr>
        <w:t>PAA is a publicly traded master limited partnership that owns and operates midstream energy infrastructure and provides logistics services for crude oil, natural gas liquids (NGL), and natural gas. PAA owns an extensive network of pipeline transportation, terminalling, storage, and gathering assets in key crude oil and NGL producing basins and transportation corridors and at major market hubs in the United States and Canada. On average, PAA handles more than 5 million barrels per day of crude oil and NGL in its Transportation segment.</w:t>
      </w:r>
    </w:p>
    <w:p>
      <w:pPr>
        <w:spacing w:after="0" w:line="171"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PAGP is a publicly traded entity that owns an indirect, non-economic controlling general partner interest in PAA and an indirect limited partner interest in PAA, one of the largest energy infrastructure and logistics companies in North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PAA and PAGP are headquartered in Houston, Texas. For more information, please visit </w:t>
      </w:r>
      <w:r>
        <w:rPr>
          <w:rFonts w:ascii="Arial" w:cs="Arial" w:eastAsia="Arial" w:hAnsi="Arial"/>
          <w:sz w:val="18"/>
          <w:szCs w:val="18"/>
          <w:u w:val="single" w:color="auto"/>
          <w:color w:val="auto"/>
        </w:rPr>
        <w:t>www.plainsallamerican.com.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Contact</w:t>
      </w:r>
      <w:r>
        <w:rPr>
          <w:rFonts w:ascii="Arial" w:cs="Arial" w:eastAsia="Arial" w:hAnsi="Arial"/>
          <w:sz w:val="18"/>
          <w:szCs w:val="18"/>
          <w:color w:val="auto"/>
        </w:rPr>
        <w: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Brett Magill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Director,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(866) 809-1291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5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04"/>
    </w:lvl>
  </w:abstractNum>
  <w:abstractNum w:abstractNumId="2">
    <w:nsid w:val="2AE8944A"/>
    <w:multiLevelType w:val="hybridMultilevel"/>
    <w:lvl w:ilvl="0">
      <w:lvlJc w:val="left"/>
      <w:lvlText w:val="(%1)"/>
      <w:numFmt w:val="lowerLetter"/>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2021-08-24T16:06:12Z</dcterms:created>
  <dcterms:modified xsi:type="dcterms:W3CDTF">2021-08-24T16:06:12Z</dcterms:modified>
</cp:coreProperties>
</file>