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42060b5e424b5.htm"/>
        <w:bookmarkStart w:id="1" w:name="ksh42060b5e424b5"/>
        <w:bookmarkEnd w:id="0"/>
        <w:bookmarkEnd w:id="1"/>
        <w:r>
          <w:rPr>
            <w:rStyle w:val="InternetLink"/>
          </w:rPr>
          <w:t>Table of Contents</w:t>
        </w:r>
      </w:hyperlink>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Filed Pursuant to Rule 424(b)(5)</w:t>
      </w:r>
      <w:r>
        <w:rPr>
          <w:rFonts w:ascii="Times New Roman;Times" w:hAnsi="Times New Roman;Times"/>
          <w:color w:val="000000"/>
          <w:sz w:val="17"/>
          <w:highlight w:val="white"/>
        </w:rPr>
        <w:t xml:space="preserve"> </w:t>
      </w:r>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Registration No. 333-126447</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PROSPECTUS SUPPLEMENT</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(To Prospectus Dated July 22, 2005)</w:t>
      </w:r>
      <w:r>
        <w:rPr>
          <w:rFonts w:ascii="Times New Roman;Times" w:hAnsi="Times New Roman;Times"/>
          <w:color w:val="000000"/>
          <w:sz w:val="17"/>
          <w:highlight w:val="white"/>
        </w:rPr>
        <w:t xml:space="preserve"> </w:t>
      </w:r>
    </w:p>
    <w:p>
      <w:pPr>
        <w:pStyle w:val="TextBody"/>
        <w:spacing w:before="360" w:after="283"/>
        <w:rPr/>
      </w:pPr>
      <w:r>
        <w:rPr/>
        <w:t> </w:t>
      </w:r>
    </w:p>
    <w:p>
      <w:pPr>
        <w:pStyle w:val="TextBody"/>
        <w:spacing w:before="0" w:after="0"/>
        <w:jc w:val="center"/>
        <w:rPr>
          <w:color w:val="000000"/>
          <w:highlight w:val="white"/>
        </w:rPr>
      </w:pPr>
      <w:r>
        <w:rPr>
          <w:color w:val="000000"/>
          <w:highlight w:val="white"/>
        </w:rPr>
        <w:drawing>
          <wp:inline distT="0" distB="0" distL="0" distR="0">
            <wp:extent cx="18859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590550"/>
                    </a:xfrm>
                    <a:prstGeom prst="rect">
                      <a:avLst/>
                    </a:prstGeom>
                  </pic:spPr>
                </pic:pic>
              </a:graphicData>
            </a:graphic>
          </wp:inline>
        </w:drawing>
      </w:r>
      <w:r>
        <w:rPr>
          <w:color w:val="000000"/>
          <w:highlight w:val="white"/>
        </w:rPr>
        <w:t xml:space="preserve"> </w:t>
      </w:r>
    </w:p>
    <w:p>
      <w:pPr>
        <w:pStyle w:val="TextBody"/>
        <w:spacing w:before="240" w:after="283"/>
        <w:rPr/>
      </w:pPr>
      <w:r>
        <w:rPr/>
        <w:t> </w:t>
      </w:r>
    </w:p>
    <w:p>
      <w:pPr>
        <w:pStyle w:val="TextBody"/>
        <w:spacing w:before="0" w:after="0"/>
        <w:jc w:val="center"/>
        <w:rPr>
          <w:rFonts w:ascii="Times New Roman;Times" w:hAnsi="Times New Roman;Times"/>
          <w:color w:val="000000"/>
          <w:sz w:val="23"/>
          <w:highlight w:val="white"/>
        </w:rPr>
      </w:pPr>
      <w:r>
        <w:rPr>
          <w:rFonts w:ascii="Times New Roman;Times" w:hAnsi="Times New Roman;Times"/>
          <w:color w:val="000000"/>
          <w:sz w:val="23"/>
          <w:highlight w:val="white"/>
        </w:rPr>
        <w:t xml:space="preserve">6,163,960 Common Units </w:t>
      </w:r>
    </w:p>
    <w:p>
      <w:pPr>
        <w:pStyle w:val="TextBody"/>
        <w:spacing w:before="60" w:after="283"/>
        <w:rPr/>
      </w:pPr>
      <w:r>
        <w:rPr/>
        <w:t> </w:t>
      </w:r>
    </w:p>
    <w:p>
      <w:pPr>
        <w:pStyle w:val="TextBody"/>
        <w:spacing w:before="0" w:after="0"/>
        <w:jc w:val="center"/>
        <w:rPr>
          <w:rFonts w:ascii="Times New Roman;Times" w:hAnsi="Times New Roman;Times"/>
          <w:color w:val="000000"/>
          <w:sz w:val="23"/>
          <w:highlight w:val="white"/>
        </w:rPr>
      </w:pPr>
      <w:r>
        <w:rPr>
          <w:rFonts w:ascii="Times New Roman;Times" w:hAnsi="Times New Roman;Times"/>
          <w:color w:val="000000"/>
          <w:sz w:val="23"/>
          <w:highlight w:val="white"/>
        </w:rPr>
        <w:t xml:space="preserve">Representing Limited Partner Interests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offering 6,163,960 common units directly to certain purchasers (the Purchasers) in a privately negotiated transaction at a price of $48.67 per unit. We expect to receive net proceeds of approximately $306 million, including our general partners proportionate capital contribution after deducting offering expenses, from this sale of our common units.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common units are listed on The New York Stock Exchange under the symbol PAA. The last reported sale price of our common units on the New York Stock Exchange on December 12, 2006 was $51.40 per share.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Investing in our common units involves risks. See Risk Factors beginning on page S-1 of this prospectus supplement and on page 5 of the accompanying prospectus.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 w:hAnsi="Times New Roman;Times"/>
          <w:color w:val="000000"/>
          <w:sz w:val="17"/>
          <w:highlight w:val="white"/>
        </w:rPr>
        <w:t xml:space="preserve"> </w:t>
      </w:r>
    </w:p>
    <w:p>
      <w:pPr>
        <w:pStyle w:val="TextBody"/>
        <w:spacing w:before="6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The date of this prospectus supplement is December 14, 2006.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 If the description of the offering varies between the prospectus supplement and the base prospectus, you should rely on the information in the prospectus supplement.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contained in or incorporated by reference in this prospectus. We have not authorized anyone to provide you with different information. We are not making an offer of the common units in any jurisdiction where the offer is not permitted. You should not assume that the information contained in this prospectus or in the documents incorporated by reference in this prospectus is accurate as of any date other than the date on the front of those documents.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information in this prospectus supplement is not complete. You should review carefully all of the detailed information appearing in this prospectus supplement, the accompanying prospectus and the documents we have incorporated by reference before making any investment decision.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60" w:after="283"/>
        <w:rPr/>
      </w:pPr>
      <w:bookmarkStart w:id="2" w:name="tocpage"/>
      <w:bookmarkEnd w:id="2"/>
      <w:r>
        <w:rPr/>
        <w:t> </w:t>
      </w:r>
    </w:p>
    <w:tbl>
      <w:tblPr>
        <w:tblW w:w="5000" w:type="pct"/>
        <w:jc w:val="center"/>
        <w:tblInd w:w="0" w:type="dxa"/>
        <w:shd w:fill="FFFFFF" w:val="clear"/>
        <w:tblCellMar>
          <w:top w:w="0" w:type="dxa"/>
          <w:left w:w="0" w:type="dxa"/>
          <w:bottom w:w="0" w:type="dxa"/>
          <w:right w:w="0" w:type="dxa"/>
        </w:tblCellMar>
      </w:tblPr>
      <w:tblGrid>
        <w:gridCol w:w="9545"/>
        <w:gridCol w:w="196"/>
        <w:gridCol w:w="98"/>
        <w:gridCol w:w="305"/>
        <w:gridCol w:w="61"/>
      </w:tblGrid>
      <w:tr>
        <w:trPr/>
        <w:tc>
          <w:tcPr>
            <w:tcW w:w="9545" w:type="dxa"/>
            <w:tcBorders/>
            <w:shd w:fill="FFFFFF" w:val="clear"/>
            <w:vAlign w:val="bottom"/>
          </w:tcPr>
          <w:p>
            <w:pPr>
              <w:pStyle w:val="TableContents"/>
              <w:spacing w:before="0" w:after="283"/>
              <w:rPr/>
            </w:pPr>
            <w:r>
              <w:rPr/>
              <w:t> </w:t>
            </w:r>
          </w:p>
        </w:tc>
        <w:tc>
          <w:tcPr>
            <w:tcW w:w="196"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r>
      <w:tr>
        <w:trPr/>
        <w:tc>
          <w:tcPr>
            <w:tcW w:w="10205" w:type="dxa"/>
            <w:gridSpan w:val="5"/>
            <w:tcBorders/>
            <w:shd w:fill="FFFFFF" w:val="clear"/>
            <w:vAlign w:val="bottom"/>
          </w:tcPr>
          <w:p>
            <w:pPr>
              <w:pStyle w:val="TableContents"/>
              <w:spacing w:before="0" w:after="0"/>
              <w:ind w:left="200" w:right="0" w:hanging="200"/>
              <w:jc w:val="center"/>
              <w:rPr/>
            </w:pPr>
            <w:r>
              <w:rPr>
                <w:b/>
                <w:sz w:val="17"/>
              </w:rPr>
              <w:t>Prospectus Supplement</w:t>
            </w:r>
            <w:r>
              <w:rPr/>
              <w:t xml:space="preserve"> </w:t>
            </w:r>
          </w:p>
        </w:tc>
      </w:tr>
      <w:tr>
        <w:trPr/>
        <w:tc>
          <w:tcPr>
            <w:tcW w:w="9545" w:type="dxa"/>
            <w:tcBorders/>
            <w:shd w:fill="FFFFFF" w:val="clear"/>
            <w:vAlign w:val="bottom"/>
          </w:tcPr>
          <w:p>
            <w:pPr>
              <w:pStyle w:val="TableContents"/>
              <w:spacing w:before="0" w:after="0"/>
              <w:ind w:left="200" w:right="0" w:hanging="200"/>
              <w:jc w:val="left"/>
              <w:rPr/>
            </w:pPr>
            <w:hyperlink w:anchor="101">
              <w:r>
                <w:rPr>
                  <w:rStyle w:val="InternetLink"/>
                  <w:sz w:val="17"/>
                </w:rPr>
                <w:t>Plains All American Pipeline, L.P. </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2">
              <w:r>
                <w:rPr>
                  <w:rStyle w:val="InternetLink"/>
                  <w:sz w:val="17"/>
                </w:rPr>
                <w:t>Risk Factors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3">
              <w:r>
                <w:rPr>
                  <w:rStyle w:val="InternetLink"/>
                  <w:sz w:val="17"/>
                </w:rPr>
                <w:t>Use of Proceeds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4">
              <w:r>
                <w:rPr>
                  <w:rStyle w:val="InternetLink"/>
                  <w:sz w:val="17"/>
                </w:rPr>
                <w:t>Price Range of Common Units and Distributions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5">
              <w:r>
                <w:rPr>
                  <w:rStyle w:val="InternetLink"/>
                  <w:sz w:val="17"/>
                </w:rPr>
                <w:t>Plan of Distribution</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S-4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6">
              <w:r>
                <w:rPr>
                  <w:rStyle w:val="InternetLink"/>
                  <w:sz w:val="17"/>
                </w:rPr>
                <w:t>Where You Can Find More Information</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S-5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7">
              <w:r>
                <w:rPr>
                  <w:rStyle w:val="InternetLink"/>
                  <w:sz w:val="17"/>
                </w:rPr>
                <w:t>Forward-Looking Statements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S-7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08">
              <w:r>
                <w:rPr>
                  <w:rStyle w:val="InternetLink"/>
                  <w:sz w:val="17"/>
                </w:rPr>
                <w:t>Experts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S-8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10205" w:type="dxa"/>
            <w:gridSpan w:val="5"/>
            <w:tcBorders/>
            <w:shd w:fill="FFFFFF" w:val="clear"/>
            <w:vAlign w:val="bottom"/>
          </w:tcPr>
          <w:p>
            <w:pPr>
              <w:pStyle w:val="TableContents"/>
              <w:spacing w:before="0" w:after="283"/>
              <w:rPr/>
            </w:pPr>
            <w:r>
              <w:rPr/>
              <w:t xml:space="preserve">  </w:t>
            </w:r>
          </w:p>
        </w:tc>
      </w:tr>
      <w:tr>
        <w:trPr/>
        <w:tc>
          <w:tcPr>
            <w:tcW w:w="10205" w:type="dxa"/>
            <w:gridSpan w:val="5"/>
            <w:tcBorders/>
            <w:shd w:fill="FFFFFF" w:val="clear"/>
            <w:vAlign w:val="bottom"/>
          </w:tcPr>
          <w:p>
            <w:pPr>
              <w:pStyle w:val="TableContents"/>
              <w:spacing w:before="0" w:after="0"/>
              <w:ind w:left="200" w:right="0" w:hanging="200"/>
              <w:jc w:val="center"/>
              <w:rPr/>
            </w:pPr>
            <w:r>
              <w:rPr>
                <w:b/>
                <w:sz w:val="17"/>
              </w:rPr>
              <w:t>Prospectus</w:t>
            </w:r>
            <w:r>
              <w:rPr/>
              <w:t xml:space="preserve"> </w:t>
            </w:r>
          </w:p>
        </w:tc>
      </w:tr>
      <w:tr>
        <w:trPr/>
        <w:tc>
          <w:tcPr>
            <w:tcW w:w="9545" w:type="dxa"/>
            <w:tcBorders/>
            <w:shd w:fill="FFFFFF" w:val="clear"/>
            <w:vAlign w:val="bottom"/>
          </w:tcPr>
          <w:p>
            <w:pPr>
              <w:pStyle w:val="TableContents"/>
              <w:spacing w:before="0" w:after="0"/>
              <w:ind w:left="200" w:right="0" w:hanging="200"/>
              <w:jc w:val="left"/>
              <w:rPr/>
            </w:pPr>
            <w:hyperlink w:anchor="109">
              <w:r>
                <w:rPr>
                  <w:rStyle w:val="InternetLink"/>
                  <w:sz w:val="17"/>
                </w:rPr>
                <w:t>About this Prospectus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i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0">
              <w:r>
                <w:rPr>
                  <w:rStyle w:val="InternetLink"/>
                  <w:sz w:val="17"/>
                </w:rPr>
                <w:t>Where You Can Find More Information</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1">
              <w:r>
                <w:rPr>
                  <w:rStyle w:val="InternetLink"/>
                  <w:sz w:val="17"/>
                </w:rPr>
                <w:t>Forward-Looking Statements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2">
              <w:r>
                <w:rPr>
                  <w:rStyle w:val="InternetLink"/>
                  <w:sz w:val="17"/>
                </w:rPr>
                <w:t>Who We Are</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3">
              <w:r>
                <w:rPr>
                  <w:rStyle w:val="InternetLink"/>
                  <w:sz w:val="17"/>
                </w:rPr>
                <w:t>Risk Factors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5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4">
              <w:r>
                <w:rPr>
                  <w:rStyle w:val="InternetLink"/>
                  <w:sz w:val="17"/>
                </w:rPr>
                <w:t>Use of Proceeds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5">
              <w:r>
                <w:rPr>
                  <w:rStyle w:val="InternetLink"/>
                  <w:sz w:val="17"/>
                </w:rPr>
                <w:t>Ratio of Earnings to Fixed Charges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6">
              <w:r>
                <w:rPr>
                  <w:rStyle w:val="InternetLink"/>
                  <w:sz w:val="17"/>
                </w:rPr>
                <w:t>Description of Our Debt Securities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7">
              <w:r>
                <w:rPr>
                  <w:rStyle w:val="InternetLink"/>
                  <w:sz w:val="17"/>
                </w:rPr>
                <w:t>Description of Our Common Units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8">
              <w:r>
                <w:rPr>
                  <w:rStyle w:val="InternetLink"/>
                  <w:sz w:val="17"/>
                </w:rPr>
                <w:t>Cash Distribution Policy</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19">
              <w:r>
                <w:rPr>
                  <w:rStyle w:val="InternetLink"/>
                  <w:sz w:val="17"/>
                </w:rPr>
                <w:t>Description of Our Partnership Agreement</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26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20">
              <w:r>
                <w:rPr>
                  <w:rStyle w:val="InternetLink"/>
                  <w:sz w:val="17"/>
                </w:rPr>
                <w:t>Tax Considerations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29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21">
              <w:r>
                <w:rPr>
                  <w:rStyle w:val="InternetLink"/>
                  <w:sz w:val="17"/>
                </w:rPr>
                <w:t>Plan of Distribution</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42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22">
              <w:r>
                <w:rPr>
                  <w:rStyle w:val="InternetLink"/>
                  <w:sz w:val="17"/>
                </w:rPr>
                <w:t>Legal Matters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43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45" w:type="dxa"/>
            <w:tcBorders/>
            <w:shd w:fill="FFFFFF" w:val="clear"/>
            <w:vAlign w:val="bottom"/>
          </w:tcPr>
          <w:p>
            <w:pPr>
              <w:pStyle w:val="TableContents"/>
              <w:spacing w:before="0" w:after="0"/>
              <w:ind w:left="200" w:right="0" w:hanging="200"/>
              <w:jc w:val="left"/>
              <w:rPr/>
            </w:pPr>
            <w:hyperlink w:anchor="123">
              <w:r>
                <w:rPr>
                  <w:rStyle w:val="InternetLink"/>
                  <w:sz w:val="17"/>
                </w:rPr>
                <w:t>Experts</w:t>
              </w:r>
            </w:hyperlink>
            <w:r>
              <w:rPr/>
              <w:t xml:space="preserve"> </w:t>
            </w:r>
          </w:p>
        </w:tc>
        <w:tc>
          <w:tcPr>
            <w:tcW w:w="196"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bottom"/>
          </w:tcPr>
          <w:p>
            <w:pPr>
              <w:pStyle w:val="TableContents"/>
              <w:spacing w:before="0" w:after="283"/>
              <w:jc w:val="right"/>
              <w:rPr>
                <w:sz w:val="17"/>
              </w:rPr>
            </w:pPr>
            <w:r>
              <w:rPr>
                <w:sz w:val="17"/>
              </w:rPr>
              <w:t xml:space="preserve">43 </w:t>
            </w:r>
          </w:p>
        </w:tc>
        <w:tc>
          <w:tcPr>
            <w:tcW w:w="61" w:type="dxa"/>
            <w:tcBorders/>
            <w:shd w:fill="FFFFFF" w:val="clear"/>
            <w:vAlign w:val="bottom"/>
          </w:tcPr>
          <w:p>
            <w:pPr>
              <w:pStyle w:val="TableContents"/>
              <w:spacing w:before="0" w:after="283"/>
              <w:rPr>
                <w:sz w:val="4"/>
                <w:szCs w:val="4"/>
              </w:rPr>
            </w:pPr>
            <w:r>
              <w:rPr>
                <w:sz w:val="4"/>
                <w:szCs w:val="4"/>
              </w:rPr>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3" w:name="101"/>
      <w:bookmarkEnd w:id="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a Delaware limited partnership formed in September 1998. Our operations are conducted directly and indirectly through our primary operating subsidiaries, Plains Marketing, L.P., Plains Pipeline, L.P. and Plains Marketing Canada, L.P. Giving effect to the Pacific Merger (defined below), we also operate through Pacific Energy Group LLC and PEG Canada L.P. We are engaged in the transportation, storage, terminalling and marketing of crude oil, refined products and liquefied petroleum gas and other natural gas related petroleum products. We own an extensive network of pipeline transportation, terminalling, storage and gathering assets in key oil producing basins, transportation corridors and at major market hubs in the United States and Canada. In addition, through our 50% equity ownership in PAA/Vulcan Gas Storage, LLC, we develop and operate natural gas storage facilities.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November 15, 2006, we completed our acquisition of Pacific Energy Partners, L.P. (Pacific Energy) pursuant to an Agreement and Plan of Merger dated June 11, 2006 (the Pacific Merger).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executive offices are located at 333 Clay Street, Suite 1600, Houston, Texas 77002 and our telephone number is (713) 646-4100. </w:t>
      </w:r>
    </w:p>
    <w:p>
      <w:pPr>
        <w:pStyle w:val="TextBody"/>
        <w:spacing w:before="360" w:after="283"/>
        <w:rPr/>
      </w:pPr>
      <w:bookmarkStart w:id="4" w:name="102"/>
      <w:bookmarkEnd w:id="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RISK FACTORS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carefully consider the risk factors discussed in our 2005 annual report on Form 10-K and our quarterly reports on Form 10-Q for the quarters ended June 30, 2006 and September 30, 2006, as amended, together with all of the other information included in this prospectus supplement, the accompanying prospectus and the documents we have incorporated by reference into this prospectus in evaluating an investment in our common units. If any of the described risks actually were to occur, our business, financial condition or results of operations could be materially adversely affected.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5" w:name="103"/>
      <w:bookmarkEnd w:id="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USE OF PROCEEDS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net proceeds of this offering will be approximately $306 million, including our general partners proportionate capital contribution after deducting estimated offering expenses. We intend to use the net proceeds of this offering (i) to repay indebtedness; (ii) to fund capital expenditures; and (iii) for general corporate purposes.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Indebtedness under our senior unsecured credit facility was approximately $473 million as of December 11, 2006, and had an annual interest rate of 5.5% and a final maturity in July 2011. Substantially all of the outstanding indebtedness under the facility was incurred to fund acquisitions (including the Pacific Merger), capital expansion projects, working capital requirements and the purchase of hedged inventory.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6" w:name="104"/>
      <w:bookmarkEnd w:id="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PRICE RANGE OF COMMON UNITS AND DISTRIBUTIONS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12, 2006, we had 103,241,218 common units outstanding, held by approximately 450 holders of record. Our common units are traded on the New York Stock Exchange under the symbol PAA.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for the periods indicated, the high and low sales prices for the common units, as reported on the New York Stock Exchange Composite Transactions Tape, and quarterly cash distributions declared per common unit and subordinated unit. The last reported sale price of common units on the New York Stock Exchange on December 12, 2006 was $51.40 per common unit.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846"/>
        <w:gridCol w:w="166"/>
        <w:gridCol w:w="226"/>
        <w:gridCol w:w="755"/>
        <w:gridCol w:w="159"/>
        <w:gridCol w:w="224"/>
        <w:gridCol w:w="226"/>
        <w:gridCol w:w="755"/>
        <w:gridCol w:w="159"/>
        <w:gridCol w:w="224"/>
        <w:gridCol w:w="357"/>
        <w:gridCol w:w="1747"/>
        <w:gridCol w:w="361"/>
      </w:tblGrid>
      <w:tr>
        <w:trPr/>
        <w:tc>
          <w:tcPr>
            <w:tcW w:w="4846" w:type="dxa"/>
            <w:tcBorders/>
            <w:shd w:fill="FFFFFF" w:val="clear"/>
            <w:vAlign w:val="bottom"/>
          </w:tcPr>
          <w:p>
            <w:pPr>
              <w:pStyle w:val="TableContents"/>
              <w:spacing w:before="0" w:after="283"/>
              <w:rPr/>
            </w:pPr>
            <w:r>
              <w:rPr/>
              <w:t> </w:t>
            </w:r>
          </w:p>
        </w:tc>
        <w:tc>
          <w:tcPr>
            <w:tcW w:w="166"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right"/>
              <w:rPr/>
            </w:pPr>
            <w:r>
              <w:rPr/>
              <w:t> </w:t>
            </w:r>
          </w:p>
        </w:tc>
        <w:tc>
          <w:tcPr>
            <w:tcW w:w="755" w:type="dxa"/>
            <w:tcBorders/>
            <w:shd w:fill="FFFFFF" w:val="clear"/>
            <w:vAlign w:val="bottom"/>
          </w:tcPr>
          <w:p>
            <w:pPr>
              <w:pStyle w:val="TableContents"/>
              <w:spacing w:before="0" w:after="283"/>
              <w:jc w:val="right"/>
              <w:rPr/>
            </w:pPr>
            <w:r>
              <w:rPr/>
              <w:t> </w:t>
            </w:r>
          </w:p>
        </w:tc>
        <w:tc>
          <w:tcPr>
            <w:tcW w:w="159" w:type="dxa"/>
            <w:tcBorders/>
            <w:shd w:fill="FFFFFF" w:val="clear"/>
            <w:vAlign w:val="bottom"/>
          </w:tcPr>
          <w:p>
            <w:pPr>
              <w:pStyle w:val="TableContents"/>
              <w:spacing w:before="0" w:after="283"/>
              <w:jc w:val="left"/>
              <w:rPr/>
            </w:pPr>
            <w:r>
              <w:rPr/>
              <w:t> </w:t>
            </w:r>
          </w:p>
        </w:tc>
        <w:tc>
          <w:tcPr>
            <w:tcW w:w="224"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right"/>
              <w:rPr/>
            </w:pPr>
            <w:r>
              <w:rPr/>
              <w:t> </w:t>
            </w:r>
          </w:p>
        </w:tc>
        <w:tc>
          <w:tcPr>
            <w:tcW w:w="755" w:type="dxa"/>
            <w:tcBorders/>
            <w:shd w:fill="FFFFFF" w:val="clear"/>
            <w:vAlign w:val="bottom"/>
          </w:tcPr>
          <w:p>
            <w:pPr>
              <w:pStyle w:val="TableContents"/>
              <w:spacing w:before="0" w:after="283"/>
              <w:jc w:val="right"/>
              <w:rPr/>
            </w:pPr>
            <w:r>
              <w:rPr/>
              <w:t> </w:t>
            </w:r>
          </w:p>
        </w:tc>
        <w:tc>
          <w:tcPr>
            <w:tcW w:w="159" w:type="dxa"/>
            <w:tcBorders/>
            <w:shd w:fill="FFFFFF" w:val="clear"/>
            <w:vAlign w:val="bottom"/>
          </w:tcPr>
          <w:p>
            <w:pPr>
              <w:pStyle w:val="TableContents"/>
              <w:spacing w:before="0" w:after="283"/>
              <w:jc w:val="left"/>
              <w:rPr/>
            </w:pPr>
            <w:r>
              <w:rPr/>
              <w:t> </w:t>
            </w:r>
          </w:p>
        </w:tc>
        <w:tc>
          <w:tcPr>
            <w:tcW w:w="224" w:type="dxa"/>
            <w:tcBorders/>
            <w:shd w:fill="FFFFFF" w:val="clear"/>
            <w:vAlign w:val="bottom"/>
          </w:tcPr>
          <w:p>
            <w:pPr>
              <w:pStyle w:val="TableContents"/>
              <w:spacing w:before="0" w:after="283"/>
              <w:rPr/>
            </w:pPr>
            <w:r>
              <w:rPr/>
              <w:t> </w:t>
            </w:r>
          </w:p>
        </w:tc>
        <w:tc>
          <w:tcPr>
            <w:tcW w:w="357" w:type="dxa"/>
            <w:tcBorders/>
            <w:shd w:fill="FFFFFF" w:val="clear"/>
            <w:vAlign w:val="bottom"/>
          </w:tcPr>
          <w:p>
            <w:pPr>
              <w:pStyle w:val="TableContents"/>
              <w:spacing w:before="0" w:after="283"/>
              <w:jc w:val="right"/>
              <w:rPr/>
            </w:pPr>
            <w:r>
              <w:rPr/>
              <w:t> </w:t>
            </w:r>
          </w:p>
        </w:tc>
        <w:tc>
          <w:tcPr>
            <w:tcW w:w="1747" w:type="dxa"/>
            <w:tcBorders/>
            <w:shd w:fill="FFFFFF" w:val="clear"/>
            <w:vAlign w:val="bottom"/>
          </w:tcPr>
          <w:p>
            <w:pPr>
              <w:pStyle w:val="TableContents"/>
              <w:spacing w:before="0" w:after="283"/>
              <w:jc w:val="right"/>
              <w:rPr/>
            </w:pPr>
            <w:r>
              <w:rPr/>
              <w:t> </w:t>
            </w:r>
          </w:p>
        </w:tc>
        <w:tc>
          <w:tcPr>
            <w:tcW w:w="361" w:type="dxa"/>
            <w:tcBorders/>
            <w:shd w:fill="FFFFFF" w:val="clear"/>
            <w:vAlign w:val="bottom"/>
          </w:tcPr>
          <w:p>
            <w:pPr>
              <w:pStyle w:val="TableContents"/>
              <w:spacing w:before="0" w:after="283"/>
              <w:jc w:val="left"/>
              <w:rPr/>
            </w:pPr>
            <w:r>
              <w:rPr/>
              <w:t> </w:t>
            </w:r>
          </w:p>
        </w:tc>
      </w:tr>
      <w:tr>
        <w:trPr/>
        <w:tc>
          <w:tcPr>
            <w:tcW w:w="4846" w:type="dxa"/>
            <w:tcBorders/>
            <w:shd w:fill="FFFFFF" w:val="clear"/>
            <w:vAlign w:val="bottom"/>
          </w:tcPr>
          <w:p>
            <w:pPr>
              <w:pStyle w:val="TableContents"/>
              <w:spacing w:before="0" w:after="283"/>
              <w:jc w:val="center"/>
              <w:rPr/>
            </w:pPr>
            <w:r>
              <w:rPr/>
              <w:t xml:space="preserve">  </w:t>
            </w:r>
          </w:p>
        </w:tc>
        <w:tc>
          <w:tcPr>
            <w:tcW w:w="166" w:type="dxa"/>
            <w:tcBorders/>
            <w:shd w:fill="FFFFFF" w:val="clear"/>
            <w:vAlign w:val="bottom"/>
          </w:tcPr>
          <w:p>
            <w:pPr>
              <w:pStyle w:val="TableContents"/>
              <w:spacing w:before="0" w:after="283"/>
              <w:jc w:val="center"/>
              <w:rPr/>
            </w:pPr>
            <w:r>
              <w:rPr/>
              <w:t xml:space="preserve">  </w:t>
            </w:r>
          </w:p>
        </w:tc>
        <w:tc>
          <w:tcPr>
            <w:tcW w:w="234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Price Range</w:t>
            </w: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24" w:type="dxa"/>
            <w:tcBorders/>
            <w:shd w:fill="FFFFFF" w:val="clear"/>
            <w:vAlign w:val="bottom"/>
          </w:tcPr>
          <w:p>
            <w:pPr>
              <w:pStyle w:val="TableContents"/>
              <w:spacing w:before="0" w:after="283"/>
              <w:jc w:val="center"/>
              <w:rPr/>
            </w:pPr>
            <w:r>
              <w:rPr/>
              <w:t xml:space="preserve">  </w:t>
            </w:r>
          </w:p>
        </w:tc>
        <w:tc>
          <w:tcPr>
            <w:tcW w:w="2104" w:type="dxa"/>
            <w:gridSpan w:val="2"/>
            <w:tcBorders/>
            <w:shd w:fill="FFFFFF" w:val="clear"/>
            <w:vAlign w:val="bottom"/>
          </w:tcPr>
          <w:p>
            <w:pPr>
              <w:pStyle w:val="TableContents"/>
              <w:spacing w:before="0" w:after="283"/>
              <w:jc w:val="center"/>
              <w:rPr>
                <w:b/>
              </w:rPr>
            </w:pPr>
            <w:r>
              <w:rPr>
                <w:b/>
              </w:rPr>
              <w:t>Cash</w:t>
            </w:r>
          </w:p>
        </w:tc>
        <w:tc>
          <w:tcPr>
            <w:tcW w:w="361" w:type="dxa"/>
            <w:tcBorders/>
            <w:shd w:fill="FFFFFF" w:val="clear"/>
            <w:vAlign w:val="bottom"/>
          </w:tcPr>
          <w:p>
            <w:pPr>
              <w:pStyle w:val="TableContents"/>
              <w:spacing w:before="0" w:after="283"/>
              <w:jc w:val="center"/>
              <w:rPr/>
            </w:pPr>
            <w:r>
              <w:rPr/>
              <w:t xml:space="preserve">  </w:t>
            </w:r>
          </w:p>
        </w:tc>
      </w:tr>
      <w:tr>
        <w:trPr/>
        <w:tc>
          <w:tcPr>
            <w:tcW w:w="4846" w:type="dxa"/>
            <w:tcBorders/>
            <w:shd w:fill="FFFFFF" w:val="clear"/>
            <w:vAlign w:val="bottom"/>
          </w:tcPr>
          <w:p>
            <w:pPr>
              <w:pStyle w:val="TableContents"/>
              <w:spacing w:before="0" w:after="283"/>
              <w:jc w:val="center"/>
              <w:rPr/>
            </w:pPr>
            <w:r>
              <w:rPr/>
              <w:t xml:space="preserve">  </w:t>
            </w:r>
          </w:p>
        </w:tc>
        <w:tc>
          <w:tcPr>
            <w:tcW w:w="166" w:type="dxa"/>
            <w:tcBorders/>
            <w:shd w:fill="FFFFFF" w:val="clear"/>
            <w:vAlign w:val="bottom"/>
          </w:tcPr>
          <w:p>
            <w:pPr>
              <w:pStyle w:val="TableContents"/>
              <w:spacing w:before="0" w:after="283"/>
              <w:jc w:val="center"/>
              <w:rPr/>
            </w:pPr>
            <w:r>
              <w:rPr/>
              <w:t xml:space="preserve">  </w:t>
            </w:r>
          </w:p>
        </w:tc>
        <w:tc>
          <w:tcPr>
            <w:tcW w:w="98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High</w:t>
            </w: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24" w:type="dxa"/>
            <w:tcBorders/>
            <w:shd w:fill="FFFFFF" w:val="clear"/>
            <w:vAlign w:val="bottom"/>
          </w:tcPr>
          <w:p>
            <w:pPr>
              <w:pStyle w:val="TableContents"/>
              <w:spacing w:before="0" w:after="283"/>
              <w:jc w:val="center"/>
              <w:rPr/>
            </w:pPr>
            <w:r>
              <w:rPr/>
              <w:t xml:space="preserve">  </w:t>
            </w:r>
          </w:p>
        </w:tc>
        <w:tc>
          <w:tcPr>
            <w:tcW w:w="98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Low</w:t>
            </w: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24" w:type="dxa"/>
            <w:tcBorders/>
            <w:shd w:fill="FFFFFF" w:val="clear"/>
            <w:vAlign w:val="bottom"/>
          </w:tcPr>
          <w:p>
            <w:pPr>
              <w:pStyle w:val="TableContents"/>
              <w:spacing w:before="0" w:after="283"/>
              <w:jc w:val="center"/>
              <w:rPr/>
            </w:pPr>
            <w:r>
              <w:rPr/>
              <w:t xml:space="preserve">  </w:t>
            </w:r>
          </w:p>
        </w:tc>
        <w:tc>
          <w:tcPr>
            <w:tcW w:w="210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Distributions(1)</w:t>
            </w:r>
            <w:r>
              <w:rPr/>
              <w:t xml:space="preserve"> </w:t>
            </w:r>
          </w:p>
        </w:tc>
        <w:tc>
          <w:tcPr>
            <w:tcW w:w="361" w:type="dxa"/>
            <w:tcBorders/>
            <w:shd w:fill="FFFFFF" w:val="clear"/>
            <w:vAlign w:val="bottom"/>
          </w:tcPr>
          <w:p>
            <w:pPr>
              <w:pStyle w:val="TableContents"/>
              <w:spacing w:before="0" w:after="283"/>
              <w:jc w:val="center"/>
              <w:rPr/>
            </w:pPr>
            <w:r>
              <w:rPr/>
              <w:t xml:space="preserve">  </w:t>
            </w:r>
          </w:p>
        </w:tc>
      </w:tr>
      <w:tr>
        <w:trPr/>
        <w:tc>
          <w:tcPr>
            <w:tcW w:w="4846" w:type="dxa"/>
            <w:tcBorders/>
            <w:shd w:fill="FFFFFF" w:val="clear"/>
            <w:vAlign w:val="center"/>
          </w:tcPr>
          <w:p>
            <w:pPr>
              <w:pStyle w:val="TableContents"/>
              <w:spacing w:before="0" w:after="283"/>
              <w:rPr/>
            </w:pPr>
            <w:r>
              <w:rPr/>
              <w:t xml:space="preserve">  </w:t>
            </w:r>
          </w:p>
        </w:tc>
        <w:tc>
          <w:tcPr>
            <w:tcW w:w="5359" w:type="dxa"/>
            <w:gridSpan w:val="12"/>
            <w:tcBorders/>
            <w:shd w:fill="FFFFFF" w:val="clear"/>
          </w:tcPr>
          <w:p>
            <w:pPr>
              <w:pStyle w:val="TableContents"/>
              <w:spacing w:before="0" w:after="283"/>
              <w:rPr>
                <w:sz w:val="4"/>
                <w:szCs w:val="4"/>
              </w:rPr>
            </w:pPr>
            <w:r>
              <w:rPr>
                <w:sz w:val="4"/>
                <w:szCs w:val="4"/>
              </w:rPr>
            </w:r>
          </w:p>
        </w:tc>
      </w:tr>
      <w:tr>
        <w:trPr/>
        <w:tc>
          <w:tcPr>
            <w:tcW w:w="4846" w:type="dxa"/>
            <w:tcBorders/>
            <w:shd w:fill="CCEEFF" w:val="clear"/>
            <w:vAlign w:val="bottom"/>
          </w:tcPr>
          <w:p>
            <w:pPr>
              <w:pStyle w:val="TableContents"/>
              <w:spacing w:before="0" w:after="0"/>
              <w:ind w:left="200" w:right="0" w:hanging="200"/>
              <w:jc w:val="left"/>
              <w:rPr/>
            </w:pPr>
            <w:r>
              <w:rPr>
                <w:b/>
                <w:sz w:val="17"/>
              </w:rPr>
              <w:t>2004</w:t>
            </w:r>
            <w:r>
              <w:rPr/>
              <w:t xml:space="preserve">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First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35.23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31.18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0.5625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Second Quarter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36.13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27.25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0.5775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Third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35.98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31.63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0.6000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Fourth Quarter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37.99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34.51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0.6125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pPr>
            <w:r>
              <w:rPr>
                <w:b/>
                <w:sz w:val="17"/>
              </w:rPr>
              <w:t>2005</w:t>
            </w:r>
            <w:r>
              <w:rPr/>
              <w:t xml:space="preserve">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First Quarter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40.98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36.50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0.6375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Second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45.08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38.00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0.6500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Third Quarter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48.20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42.01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0.6750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Fourth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42.82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38.51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0.6875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pPr>
            <w:r>
              <w:rPr>
                <w:b/>
                <w:sz w:val="17"/>
              </w:rPr>
              <w:t>2006</w:t>
            </w:r>
            <w:r>
              <w:rPr/>
              <w:t xml:space="preserve">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First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47.00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39.81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0.7075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Second Quarter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48.92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42.81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jc w:val="right"/>
              <w:rPr/>
            </w:pPr>
            <w:r>
              <w:rPr/>
              <w:t xml:space="preserve">0.7250 </w:t>
            </w:r>
          </w:p>
        </w:tc>
        <w:tc>
          <w:tcPr>
            <w:tcW w:w="361" w:type="dxa"/>
            <w:tcBorders/>
            <w:shd w:fill="CCEEFF" w:val="clear"/>
            <w:vAlign w:val="bottom"/>
          </w:tcPr>
          <w:p>
            <w:pPr>
              <w:pStyle w:val="TableContents"/>
              <w:spacing w:before="0" w:after="283"/>
              <w:jc w:val="left"/>
              <w:rPr/>
            </w:pPr>
            <w:r>
              <w:rPr/>
              <w:t xml:space="preserve">  </w:t>
            </w:r>
          </w:p>
        </w:tc>
      </w:tr>
      <w:tr>
        <w:trPr/>
        <w:tc>
          <w:tcPr>
            <w:tcW w:w="4846" w:type="dxa"/>
            <w:tcBorders/>
            <w:shd w:fill="FFFFFF" w:val="clear"/>
            <w:vAlign w:val="bottom"/>
          </w:tcPr>
          <w:p>
            <w:pPr>
              <w:pStyle w:val="TableContents"/>
              <w:spacing w:before="0" w:after="0"/>
              <w:ind w:left="200" w:right="0" w:hanging="200"/>
              <w:jc w:val="left"/>
              <w:rPr>
                <w:sz w:val="17"/>
              </w:rPr>
            </w:pPr>
            <w:r>
              <w:rPr>
                <w:sz w:val="17"/>
              </w:rPr>
              <w:t xml:space="preserve">Third Quarter </w:t>
            </w:r>
          </w:p>
        </w:tc>
        <w:tc>
          <w:tcPr>
            <w:tcW w:w="16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47.35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43.21 </w:t>
            </w:r>
          </w:p>
        </w:tc>
        <w:tc>
          <w:tcPr>
            <w:tcW w:w="159"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357" w:type="dxa"/>
            <w:tcBorders/>
            <w:shd w:fill="FFFFFF" w:val="clear"/>
            <w:vAlign w:val="bottom"/>
          </w:tcPr>
          <w:p>
            <w:pPr>
              <w:pStyle w:val="TableContents"/>
              <w:spacing w:before="0" w:after="283"/>
              <w:jc w:val="left"/>
              <w:rPr/>
            </w:pPr>
            <w:r>
              <w:rPr/>
              <w:t xml:space="preserve">  </w:t>
            </w:r>
          </w:p>
        </w:tc>
        <w:tc>
          <w:tcPr>
            <w:tcW w:w="1747" w:type="dxa"/>
            <w:tcBorders/>
            <w:shd w:fill="FFFFFF" w:val="clear"/>
            <w:vAlign w:val="bottom"/>
          </w:tcPr>
          <w:p>
            <w:pPr>
              <w:pStyle w:val="TableContents"/>
              <w:spacing w:before="0" w:after="283"/>
              <w:jc w:val="right"/>
              <w:rPr/>
            </w:pPr>
            <w:r>
              <w:rPr/>
              <w:t xml:space="preserve">0.7500 </w:t>
            </w:r>
          </w:p>
        </w:tc>
        <w:tc>
          <w:tcPr>
            <w:tcW w:w="361" w:type="dxa"/>
            <w:tcBorders/>
            <w:shd w:fill="FFFFFF" w:val="clear"/>
            <w:vAlign w:val="bottom"/>
          </w:tcPr>
          <w:p>
            <w:pPr>
              <w:pStyle w:val="TableContents"/>
              <w:spacing w:before="0" w:after="283"/>
              <w:jc w:val="left"/>
              <w:rPr/>
            </w:pPr>
            <w:r>
              <w:rPr/>
              <w:t xml:space="preserve">  </w:t>
            </w:r>
          </w:p>
        </w:tc>
      </w:tr>
      <w:tr>
        <w:trPr/>
        <w:tc>
          <w:tcPr>
            <w:tcW w:w="4846" w:type="dxa"/>
            <w:tcBorders/>
            <w:shd w:fill="CCEEFF" w:val="clear"/>
            <w:vAlign w:val="bottom"/>
          </w:tcPr>
          <w:p>
            <w:pPr>
              <w:pStyle w:val="TableContents"/>
              <w:spacing w:before="0" w:after="0"/>
              <w:ind w:left="200" w:right="0" w:hanging="200"/>
              <w:jc w:val="left"/>
              <w:rPr>
                <w:sz w:val="17"/>
              </w:rPr>
            </w:pPr>
            <w:r>
              <w:rPr>
                <w:sz w:val="17"/>
              </w:rPr>
              <w:t xml:space="preserve">Fourth Quarter (through December 12, 2006) </w:t>
            </w:r>
          </w:p>
        </w:tc>
        <w:tc>
          <w:tcPr>
            <w:tcW w:w="16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53.23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45.20 </w:t>
            </w:r>
          </w:p>
        </w:tc>
        <w:tc>
          <w:tcPr>
            <w:tcW w:w="159"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357" w:type="dxa"/>
            <w:tcBorders/>
            <w:shd w:fill="CCEEFF" w:val="clear"/>
            <w:vAlign w:val="bottom"/>
          </w:tcPr>
          <w:p>
            <w:pPr>
              <w:pStyle w:val="TableContents"/>
              <w:spacing w:before="0" w:after="283"/>
              <w:jc w:val="left"/>
              <w:rPr/>
            </w:pPr>
            <w:r>
              <w:rPr/>
              <w:t xml:space="preserve">  </w:t>
            </w:r>
          </w:p>
        </w:tc>
        <w:tc>
          <w:tcPr>
            <w:tcW w:w="1747" w:type="dxa"/>
            <w:tcBorders/>
            <w:shd w:fill="CCEEFF" w:val="clear"/>
            <w:vAlign w:val="bottom"/>
          </w:tcPr>
          <w:p>
            <w:pPr>
              <w:pStyle w:val="TableContents"/>
              <w:spacing w:before="0" w:after="283"/>
              <w:rPr>
                <w:sz w:val="4"/>
                <w:szCs w:val="4"/>
              </w:rPr>
            </w:pPr>
            <w:r>
              <w:rPr>
                <w:sz w:val="4"/>
                <w:szCs w:val="4"/>
              </w:rPr>
            </w:r>
          </w:p>
        </w:tc>
        <w:tc>
          <w:tcPr>
            <w:tcW w:w="361" w:type="dxa"/>
            <w:tcBorders/>
            <w:shd w:fill="CCEEFF" w:val="clear"/>
            <w:vAlign w:val="bottom"/>
          </w:tcPr>
          <w:p>
            <w:pPr>
              <w:pStyle w:val="TableContents"/>
              <w:spacing w:before="0" w:after="283"/>
              <w:jc w:val="left"/>
              <w:rPr/>
            </w:pPr>
            <w:r>
              <w:rPr/>
              <w:t xml:space="preserve">(2)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Represents cash distributions per common unit declared with respect to the quarter and paid in the following quarter.</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The distribution attributable to the fourth quarter of 2006 has not yet been declared or paid. Following completion of the Pacific Merger, Plains management announced its intention to recommend that the board of directors of Plains general partner increase the annual distribution rate to $3.20 effective with Plains next distribution in February 2007.</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7" w:name="105"/>
      <w:bookmarkEnd w:id="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PLAN OF DISTRIBUTION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selling the common units offered pursuant to this prospectus directly to the following purchasers in a privately negotiated transaction in which no party is acting as an underwriter: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089"/>
        <w:gridCol w:w="200"/>
        <w:gridCol w:w="170"/>
        <w:gridCol w:w="1596"/>
        <w:gridCol w:w="150"/>
      </w:tblGrid>
      <w:tr>
        <w:trPr/>
        <w:tc>
          <w:tcPr>
            <w:tcW w:w="8089"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jc w:val="right"/>
              <w:rPr/>
            </w:pPr>
            <w:r>
              <w:rPr/>
              <w:t> </w:t>
            </w:r>
          </w:p>
        </w:tc>
        <w:tc>
          <w:tcPr>
            <w:tcW w:w="159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r>
      <w:tr>
        <w:trPr/>
        <w:tc>
          <w:tcPr>
            <w:tcW w:w="8089" w:type="dxa"/>
            <w:tcBorders/>
            <w:shd w:fill="FFFFFF" w:val="clear"/>
            <w:vAlign w:val="bottom"/>
          </w:tcPr>
          <w:p>
            <w:pPr>
              <w:pStyle w:val="TableContents"/>
              <w:spacing w:before="0" w:after="0"/>
              <w:jc w:val="left"/>
              <w:rPr>
                <w:bdr w:val="single" w:sz="2" w:space="1" w:color="000000"/>
              </w:rPr>
            </w:pPr>
            <w:r>
              <w:rPr>
                <w:b/>
                <w:bdr w:val="single" w:sz="2" w:space="1" w:color="000000"/>
              </w:rPr>
              <w:t>Purchaser</w:t>
            </w:r>
            <w:r>
              <w:rPr>
                <w:bdr w:val="single" w:sz="2" w:space="1" w:color="000000"/>
              </w:rPr>
              <w:t xml:space="preserve"> </w:t>
            </w:r>
          </w:p>
        </w:tc>
        <w:tc>
          <w:tcPr>
            <w:tcW w:w="200" w:type="dxa"/>
            <w:tcBorders/>
            <w:shd w:fill="FFFFFF" w:val="clear"/>
            <w:vAlign w:val="bottom"/>
          </w:tcPr>
          <w:p>
            <w:pPr>
              <w:pStyle w:val="TableContents"/>
              <w:spacing w:before="0" w:after="283"/>
              <w:jc w:val="center"/>
              <w:rPr/>
            </w:pPr>
            <w:r>
              <w:rPr/>
              <w:t xml:space="preserve">  </w:t>
            </w:r>
          </w:p>
        </w:tc>
        <w:tc>
          <w:tcPr>
            <w:tcW w:w="176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Common Units</w:t>
            </w:r>
            <w:r>
              <w:rPr/>
              <w:t xml:space="preserve"> </w:t>
            </w:r>
          </w:p>
        </w:tc>
        <w:tc>
          <w:tcPr>
            <w:tcW w:w="150" w:type="dxa"/>
            <w:tcBorders/>
            <w:shd w:fill="FFFFFF" w:val="clear"/>
            <w:vAlign w:val="bottom"/>
          </w:tcPr>
          <w:p>
            <w:pPr>
              <w:pStyle w:val="TableContents"/>
              <w:spacing w:before="0" w:after="283"/>
              <w:jc w:val="center"/>
              <w:rPr/>
            </w:pPr>
            <w:r>
              <w:rPr/>
              <w:t xml:space="preserve">  </w:t>
            </w:r>
          </w:p>
        </w:tc>
      </w:tr>
      <w:tr>
        <w:trPr/>
        <w:tc>
          <w:tcPr>
            <w:tcW w:w="8089" w:type="dxa"/>
            <w:tcBorders/>
            <w:shd w:fill="FFFFFF" w:val="clear"/>
            <w:vAlign w:val="center"/>
          </w:tcPr>
          <w:p>
            <w:pPr>
              <w:pStyle w:val="TableContents"/>
              <w:spacing w:before="0" w:after="283"/>
              <w:rPr/>
            </w:pPr>
            <w:r>
              <w:rPr/>
              <w:t xml:space="preserve">  </w:t>
            </w:r>
          </w:p>
        </w:tc>
        <w:tc>
          <w:tcPr>
            <w:tcW w:w="2116" w:type="dxa"/>
            <w:gridSpan w:val="4"/>
            <w:tcBorders/>
            <w:shd w:fill="FFFFFF" w:val="clear"/>
          </w:tcPr>
          <w:p>
            <w:pPr>
              <w:pStyle w:val="TableContents"/>
              <w:spacing w:before="0" w:after="283"/>
              <w:rPr>
                <w:sz w:val="4"/>
                <w:szCs w:val="4"/>
              </w:rPr>
            </w:pPr>
            <w:r>
              <w:rPr>
                <w:sz w:val="4"/>
                <w:szCs w:val="4"/>
              </w:rPr>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Royal Bank of Canada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1,314,979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The Cushing MLP Opportunities Fund I,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565,030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Kayne Anderson MLP Investment Company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565,030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E-Holdings III,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499,281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Structured Finance Americas, LLC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410,931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GPS Income Fund (Cayman) Ltd.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378,056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Lehman Brothers MLP Partners,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308,198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ZLP Fund,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246,558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GPS Income Fund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244,504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Swank MLP Convergence Fund,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164,372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Hugo Neu Corporation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164,372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Fiduciary/Claymore MLP Opportunity Fund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164,372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Hartz Capital MLP, LLC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164,372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HFR RVA GPS Master Trust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147,935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Alerian Capital Partners,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128,416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E-Holdings V,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117,115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Stadium Plaza Shopping Center LLC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102,733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Tetrad Corporation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92,459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Tortoise Energy Capital Corp.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82,186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RCH Energy MLP Fund,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80,131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Eagle Income Appreciation Partners,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78,077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GPS High Yield Equities Fund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71,913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Kayne Anderson Energy Development Company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51,366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Alerian Focus Partners,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15,410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Eagle Income Appreciation II,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4,109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0"/>
              <w:ind w:left="200" w:right="0" w:hanging="200"/>
              <w:jc w:val="left"/>
              <w:rPr>
                <w:sz w:val="17"/>
              </w:rPr>
            </w:pPr>
            <w:r>
              <w:rPr>
                <w:sz w:val="17"/>
              </w:rPr>
              <w:t xml:space="preserve">RCH Energy MLP Fund A, L.P.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2,055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c>
          <w:tcPr>
            <w:tcW w:w="1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9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r>
      <w:tr>
        <w:trPr/>
        <w:tc>
          <w:tcPr>
            <w:tcW w:w="8089" w:type="dxa"/>
            <w:tcBorders/>
            <w:shd w:fill="FFFFFF" w:val="clear"/>
            <w:vAlign w:val="bottom"/>
          </w:tcPr>
          <w:p>
            <w:pPr>
              <w:pStyle w:val="TableContents"/>
              <w:spacing w:before="0" w:after="0"/>
              <w:ind w:left="400" w:right="0" w:hanging="200"/>
              <w:jc w:val="left"/>
              <w:rPr>
                <w:sz w:val="17"/>
              </w:rPr>
            </w:pPr>
            <w:r>
              <w:rPr>
                <w:sz w:val="17"/>
              </w:rPr>
              <w:t xml:space="preserve">Total </w:t>
            </w:r>
          </w:p>
        </w:tc>
        <w:tc>
          <w:tcPr>
            <w:tcW w:w="200" w:type="dxa"/>
            <w:tcBorders/>
            <w:shd w:fill="FFFFFF" w:val="cle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596" w:type="dxa"/>
            <w:tcBorders/>
            <w:shd w:fill="FFFFFF" w:val="clear"/>
            <w:vAlign w:val="bottom"/>
          </w:tcPr>
          <w:p>
            <w:pPr>
              <w:pStyle w:val="TableContents"/>
              <w:spacing w:before="0" w:after="283"/>
              <w:jc w:val="right"/>
              <w:rPr/>
            </w:pPr>
            <w:r>
              <w:rPr/>
              <w:t xml:space="preserve">6,163,960 </w:t>
            </w:r>
          </w:p>
        </w:tc>
        <w:tc>
          <w:tcPr>
            <w:tcW w:w="150" w:type="dxa"/>
            <w:tcBorders/>
            <w:shd w:fill="FFFFFF" w:val="clear"/>
            <w:vAlign w:val="bottom"/>
          </w:tcPr>
          <w:p>
            <w:pPr>
              <w:pStyle w:val="TableContents"/>
              <w:spacing w:before="0" w:after="283"/>
              <w:jc w:val="left"/>
              <w:rPr/>
            </w:pPr>
            <w:r>
              <w:rPr/>
              <w:t xml:space="preserve">  </w:t>
            </w:r>
          </w:p>
        </w:tc>
      </w:tr>
      <w:tr>
        <w:trPr/>
        <w:tc>
          <w:tcPr>
            <w:tcW w:w="8089"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c>
          <w:tcPr>
            <w:tcW w:w="17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9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the terms of a purchase agreement dated December 13, 2006, the purchasers have agreed to purchase, and we have agreed to sell to the purchasers, 6,163,960 common units at a price of $48.67 per unit. We determined the per unit price through negotiations with the purchasers.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purchasers have agreed not to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Securities and Exchange Commission (the SEC) in respect of, or establish or increase a put equivalent position or liquidate or decrease a call equivalent position within the meaning of Section 16 of the Securities Exchange Act of 1934, as amended, with respect to the purchased common units for a period of 90 days after the closing date of this transaction without our prior written consent; </w:t>
      </w:r>
      <w:r>
        <w:rPr>
          <w:rFonts w:ascii="Times New Roman;Times" w:hAnsi="Times New Roman;Times"/>
          <w:i/>
          <w:color w:val="000000"/>
          <w:sz w:val="17"/>
          <w:highlight w:val="white"/>
        </w:rPr>
        <w:t>however</w:t>
      </w:r>
      <w:r>
        <w:rPr>
          <w:rFonts w:ascii="Times New Roman;Times" w:hAnsi="Times New Roman;Times"/>
          <w:color w:val="000000"/>
          <w:sz w:val="17"/>
          <w:highlight w:val="white"/>
        </w:rPr>
        <w:t xml:space="preserve">, a purchaser may enter into a total return swap or similar transaction as long as the swap counterparty agrees to be bound by the terms of the lock-up.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expect to deliver the units through the book entry facilities of The Depository Trust Company against payment of the aggregate purchase price for the units purchased on or about December 19, 2006; </w:t>
      </w:r>
      <w:r>
        <w:rPr>
          <w:rFonts w:ascii="Times New Roman;Times" w:hAnsi="Times New Roman;Times"/>
          <w:i/>
          <w:color w:val="000000"/>
          <w:sz w:val="17"/>
          <w:highlight w:val="white"/>
        </w:rPr>
        <w:t xml:space="preserve">provided, however, </w:t>
      </w:r>
      <w:r>
        <w:rPr>
          <w:rFonts w:ascii="Times New Roman;Times" w:hAnsi="Times New Roman;Times"/>
          <w:color w:val="000000"/>
          <w:sz w:val="17"/>
          <w:highlight w:val="white"/>
        </w:rPr>
        <w:t xml:space="preserve">that we and certain of the purchasers may agree to close the offering with respect to the common units being offered to such purchaser on a later date as mutually agreed upon by us and such purchaser in accordance with the purchase agreement.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8" w:name="106"/>
      <w:bookmarkEnd w:id="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WHERE YOU CAN FIND MORE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SEC allows us to incorporate by reference information we file with it. This procedure means that we can disclose important information to you by referring you to documents filed with the SEC. The information we incorporate by reference (excluding any information furnished and not filed with the SEC) is part of this prospectus supplement and later information that we file with the SEC (excluding any information furnished and not filed with the SEC) will automatically update and supersede this information. We incorporate by reference the documents listed below: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Annual Report on Form 10-K for the year ended December 31, 2005;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Quarterly Report on Form 10-Q for the quarter ended March 31, 2006;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Quarterly Report on Form 10-Q for the quarter ended June 30, 2006, as amended;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Quarterly Report on Form 10-Q for the quarter ended September 30, 2006;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March 16, 2006 (announcement of Andrews acquisition);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(other than Item 7.01, which was furnished) with the SEC on March 21, 2006 (entry into direct placement unit purchase agreement);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March 21, 2006 (audited balance sheet of Plains AAP, L.P. as of December 31, 2005);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May 9, 2006 (announcement of private placement offering of $250 million of notes);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(other than Item 7.01, which was furnished) with the SEC on May 12, 2006 (entry into note purchase agreement, registration rights agreement and supplemental indentures);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May 15, 2006 (amendment to PAA/Vulcan limited liability company agreement);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June 12, 2006 (entry into Pacific merger agreement and purchase agreement with LB Pacific);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June 30, 2006 (unaudited balance sheet of Plains AAP, L.P. as of March 31, 2006);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July 14, 2006 (pro forma financial statements);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July 20, 2006 (amendment to Pacific merger agreement);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(other than Item 7.01, which was furnished) with the SEC on July 25, 2006 (entry into direct placement unit purchase agreement);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August 4, 2006 (entry into amended and restated credit agreement and bridge loan agreement);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August 23, 2006 (LTIP grants to audit committee members);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August 24, 2006 (pro forma financial statements);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August 25, 2006 (execution of eighth supplemental indenture);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August 28, 2006 (unaudited balance sheet of Plains AAP, L.P. as of June 30, 2006);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October 23, 2006 (announcement of private placement offering of $1.0 billion of senior notes);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October 27, 2006 (entry into note purchase agreement);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October 30, 2006 (entry into registration rights agreements and ninth and tenth supplemental indentures);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November 13, 2006 (announcement of unitholder approval of Pacific merger);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(other than Item 7.01, which was furnished) with the SEC on November 21, 2006 (completion of Pacific Merger, entry into supplemental indentures, amendment to partnership agreement and pro forma and historical financial statements);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November 29, 2006 (unaudited consolidated balance sheet of Plains AAP, L.P. as of September 30, 2006);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December 11, 2006 (announcement of potential fine at Pyramid Lake);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December 14, 2006 (announcement of extension of offer to exchange 6.70% Senior Notes due 2036).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request a copy of these filings at no cost by making written or telephone requests for copies to: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Plains All American Pipeline, L.P.</w:t>
        <w:br/>
        <w:t>333 Clay Street, Suite 1600</w:t>
        <w:br/>
        <w:t>Houston, Texas 77002</w:t>
        <w:br/>
        <w:t>Attention: Tim Moore</w:t>
        <w:br/>
        <w:t xml:space="preserve">Telephone: (713) 646-4100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Times" w:hAnsi="Times New Roman;Times"/>
          <w:i/>
          <w:color w:val="000000"/>
          <w:sz w:val="17"/>
          <w:highlight w:val="white"/>
        </w:rPr>
        <w:t>www.sec.gov.</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incorporated by reference or provided in this prospectus supplement and the accompanying base prospectus. We have not authorized anyone else to provide you with any information. You should not assume that the information incorporated by reference or provided in this prospectus supplement or the accompanying base prospectus is accurate as of any date other than its date.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9" w:name="107"/>
      <w:bookmarkEnd w:id="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FORWARD-LOOKING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included or incorporated by reference in this prospectus or any prospectus supplement,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 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our failure to successfully integrate the respective business operations of Pacific Energy or our failure to successfully integrate any future acquisitions;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failure to realize the anticipated cost savings, synergies and other benefits of the merger with Pacific Energy;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success of our risk management activities;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environmental liabilities or events that are not covered by an indemnity, insurance or existing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abrupt or severe declines or interruptions in outer continental shelf production located offshore California and transported on our pipeline system;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declines in volumes shipped on the Basin Pipeline, Capline Pipeline and our other pipelines by us and third party shippers;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adequate third party production volumes for transportation and marketing in the areas in which we operate;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demand for natural gas or various grades of crude oil and resulting changes in pricing conditions or transmission throughput requirements;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refinery capacity in areas supplied by our main lines;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and our ability to consummate, acquisition or combination opportunities;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our access to capital to fund additional acquisitions and our ability to obtain debt or equity financing on satisfactory terms;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successful integration and future performance of acquired assets or businesses and the risks associated with operating in lines of business that are distinct and separate from our historical operations;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unanticipated changes in crude oil market structure and volatility (or lack thereof);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impact of current and future laws, rulings and governmental regulations;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effects of competition;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continued creditworthiness of, and performance by, our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interruptions in service and fluctuations in tariffs or volumes on third party pipelines;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increased costs or lack of availability of insurance;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currency exchange rate of the Canadian dollar;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shortages or cost increases of power supplies, materials or labor;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weather interference with business operations or project construction;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general economic, market or business conditions;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60" w:after="283"/>
        <w:rPr/>
      </w:pPr>
      <w:r>
        <w:rPr/>
        <w:t> </w:t>
      </w:r>
    </w:p>
    <w:tbl>
      <w:tblPr>
        <w:tblW w:w="5000" w:type="pct"/>
        <w:jc w:val="left"/>
        <w:tblInd w:w="0" w:type="dxa"/>
        <w:tblCellMar>
          <w:top w:w="0" w:type="dxa"/>
          <w:left w:w="0" w:type="dxa"/>
          <w:bottom w:w="0" w:type="dxa"/>
          <w:right w:w="0" w:type="dxa"/>
        </w:tblCellMar>
      </w:tblPr>
      <w:tblGrid>
        <w:gridCol w:w="406"/>
        <w:gridCol w:w="262"/>
        <w:gridCol w:w="9537"/>
      </w:tblGrid>
      <w:tr>
        <w:trPr/>
        <w:tc>
          <w:tcPr>
            <w:tcW w:w="40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risks related to the development and operation of natural gas storage facilities;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other factors and uncertainties inherent in the marketing, transportation, terminalling, gathering and storage of crude oil and liquefied petroleum gas.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factors described herein or incorporated by reference, or factors that are unknown or unpredictable, could also have a material adverse effect on future results. Please read Risk Factors beginning on page S-1 of this prospectus, in Item 1A. Risk Factors in our annual report on Form 10-K for the year ended December 31, 2005 and in Item 1A. Risk Factors in our quarterly reports on Form 10-Q for the quarters ended June 30, 2006 and September 30, 2006, as amended. Except as required by securities laws applicable to the documents incorporated by reference, we do not intend to update these forward-looking statements and information. </w:t>
      </w:r>
    </w:p>
    <w:p>
      <w:pPr>
        <w:pStyle w:val="TextBody"/>
        <w:spacing w:before="180" w:after="283"/>
        <w:rPr/>
      </w:pPr>
      <w:r>
        <w:rPr/>
        <w:t> </w:t>
      </w:r>
    </w:p>
    <w:p>
      <w:pPr>
        <w:pStyle w:val="TextBody"/>
        <w:spacing w:before="0" w:after="0"/>
        <w:jc w:val="center"/>
        <w:rPr>
          <w:rFonts w:ascii="Arial;Helvetica" w:hAnsi="Arial;Helvetica"/>
          <w:color w:val="000000"/>
          <w:sz w:val="17"/>
          <w:highlight w:val="white"/>
        </w:rPr>
      </w:pPr>
      <w:bookmarkStart w:id="10" w:name="108"/>
      <w:bookmarkEnd w:id="10"/>
      <w:r>
        <w:rPr>
          <w:rFonts w:ascii="Times New Roman;Times" w:hAnsi="Times New Roman;Times"/>
          <w:b/>
          <w:color w:val="000000"/>
          <w:sz w:val="17"/>
          <w:highlight w:val="white"/>
        </w:rPr>
        <w:t>EXPERTS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of Plains All American Pipeline, L.P. for the year ended December 31, 2005 have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balance sheet of Plains AAP, L.P. incorporated in this prospectus supplement by reference to Plains All American Pipeline, L.P.s Current Report on Form 8-K filed on March 21, 2006 has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consolidated financial statements of Pacific Energy Partners, L.P. as of December 31, 2005 and 2004, and for each of the years in the three-year period ended December 31, 2005 and managements assessment of the effectiveness of internal control over financial reporting as of December 31, 2005, have been incorporated by reference herein in reliance upon the reports of KPMG LLP, an independent registered public accounting firm, and upon the authority of said firm as experts in accounting and auditing.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S-8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PROSPECTUS</w:t>
      </w:r>
      <w:r>
        <w:rPr>
          <w:rFonts w:ascii="Arial;Helvetica" w:hAnsi="Arial;Helvetica"/>
          <w:color w:val="000000"/>
          <w:sz w:val="17"/>
          <w:highlight w:val="white"/>
        </w:rPr>
        <w:t xml:space="preserve"> </w:t>
      </w:r>
    </w:p>
    <w:p>
      <w:pPr>
        <w:pStyle w:val="TextBody"/>
        <w:spacing w:before="360" w:after="283"/>
        <w:rPr/>
      </w:pPr>
      <w:r>
        <w:rPr/>
        <w:t> </w:t>
      </w:r>
    </w:p>
    <w:p>
      <w:pPr>
        <w:pStyle w:val="TextBody"/>
        <w:spacing w:before="0" w:after="0"/>
        <w:jc w:val="center"/>
        <w:rPr>
          <w:rFonts w:ascii="Arial;Helvetica" w:hAnsi="Arial;Helvetica"/>
          <w:color w:val="000000"/>
          <w:sz w:val="23"/>
          <w:highlight w:val="white"/>
        </w:rPr>
      </w:pPr>
      <w:r>
        <w:rPr>
          <w:rFonts w:ascii="Times New Roman;Times" w:hAnsi="Times New Roman;Times"/>
          <w:b/>
          <w:color w:val="000000"/>
          <w:sz w:val="23"/>
          <w:highlight w:val="white"/>
        </w:rPr>
        <w:t>$2,000,000,000</w:t>
      </w:r>
      <w:r>
        <w:rPr>
          <w:rFonts w:ascii="Arial;Helvetica" w:hAnsi="Arial;Helvetica"/>
          <w:color w:val="000000"/>
          <w:sz w:val="23"/>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40"/>
          <w:highlight w:val="white"/>
        </w:rPr>
        <w:t>Plains All American Pipeline, 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40"/>
          <w:highlight w:val="white"/>
        </w:rPr>
        <w:t>PAA Finance Corp.</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Common Units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Debt Securities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from time to time offer the following securities under this prospectus: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common units representing limited partner interests in Plains All American Pipeline, L.P.;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debt securities of Plains All American Pipeline, L.P.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PAA Finance Corp. may act as co-issuer of the debt securities, and all other subsidiaries of Plains All American Pipeline, L.P., other than minor subsidiaries as such item is interpreted in securities regulations governing financial reporting for guarantors, may guarantee the debt securities.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common units are traded on the New York Stock Exchange under the symbol PAA.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time we sell securities we will provide a prospectus supplement that will contain specific information about the terms of that offering. The prospectus supplement may also add, update or change information contained in this prospectus. You should read this prospectus and any prospectus supplement carefully before you invest. You should also read the documents we have referred you to in the Where You Can Find More Information section of this prospectus for information on us and for our financial statements.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20"/>
          <w:highlight w:val="white"/>
        </w:rPr>
        <w:t>Limited partnerships are inherently different from corporations. You should consider each of the factors described under Risk Factors, which begin on page 5, in deciding whether or not to buy any of our securities.</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Neither the Securities and Exchange Commission nor any state securities commission has approved or disapproved of our securities or determined if this prospectus is truthful or complete. Any representation to the contrary is a criminal offense.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The date of this prospectus is July 22, 2005.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9604"/>
        <w:gridCol w:w="197"/>
        <w:gridCol w:w="98"/>
        <w:gridCol w:w="245"/>
        <w:gridCol w:w="61"/>
      </w:tblGrid>
      <w:tr>
        <w:trPr/>
        <w:tc>
          <w:tcPr>
            <w:tcW w:w="9604"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r>
      <w:tr>
        <w:trPr/>
        <w:tc>
          <w:tcPr>
            <w:tcW w:w="9604" w:type="dxa"/>
            <w:tcBorders/>
            <w:shd w:fill="FFFFFF" w:val="clear"/>
          </w:tcPr>
          <w:p>
            <w:pPr>
              <w:pStyle w:val="TableContents"/>
              <w:spacing w:before="0" w:after="0"/>
              <w:ind w:left="200" w:right="0" w:hanging="200"/>
              <w:jc w:val="left"/>
              <w:rPr>
                <w:sz w:val="17"/>
              </w:rPr>
            </w:pPr>
            <w:r>
              <w:rPr>
                <w:sz w:val="17"/>
              </w:rPr>
              <w:t xml:space="preserve">ABOUT THIS PROSPECTUS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i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WHERE YOU CAN FIND MORE INFORMATION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FORWARD-LOOKING STATEMENTS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WHO WE ARE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RISK FACTORS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5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USE OF PROCEEDS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RATIO OF EARNINGS TO FIXED CHARGES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DESCRIPTION OF OUR DEBT SECURITIES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13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DESCRIPTION OF OUR COMMON UNITS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CASH DISTRIBUTION POLICY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DESCRIPTION OF OUR PARTNERSHIP AGREEMENT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26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TAX CONSIDERATIONS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29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PLAN OF DISTRIBUTION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42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LEGAL MATTERS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43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604" w:type="dxa"/>
            <w:tcBorders/>
            <w:shd w:fill="FFFFFF" w:val="clear"/>
          </w:tcPr>
          <w:p>
            <w:pPr>
              <w:pStyle w:val="TableContents"/>
              <w:spacing w:before="0" w:after="0"/>
              <w:ind w:left="200" w:right="0" w:hanging="200"/>
              <w:jc w:val="left"/>
              <w:rPr>
                <w:sz w:val="17"/>
              </w:rPr>
            </w:pPr>
            <w:r>
              <w:rPr>
                <w:sz w:val="17"/>
              </w:rPr>
              <w:t xml:space="preserve">EXPERTS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45" w:type="dxa"/>
            <w:tcBorders/>
            <w:shd w:fill="FFFFFF" w:val="clear"/>
            <w:vAlign w:val="bottom"/>
          </w:tcPr>
          <w:p>
            <w:pPr>
              <w:pStyle w:val="TableContents"/>
              <w:spacing w:before="0" w:after="283"/>
              <w:jc w:val="right"/>
              <w:rPr>
                <w:sz w:val="17"/>
              </w:rPr>
            </w:pPr>
            <w:r>
              <w:rPr>
                <w:sz w:val="17"/>
              </w:rPr>
              <w:t xml:space="preserve">43 </w:t>
            </w:r>
          </w:p>
        </w:tc>
        <w:tc>
          <w:tcPr>
            <w:tcW w:w="61" w:type="dxa"/>
            <w:tcBorders/>
            <w:shd w:fill="FFFFFF" w:val="clear"/>
            <w:vAlign w:val="bottom"/>
          </w:tcPr>
          <w:p>
            <w:pPr>
              <w:pStyle w:val="TableContents"/>
              <w:spacing w:before="0" w:after="283"/>
              <w:rPr>
                <w:sz w:val="4"/>
                <w:szCs w:val="4"/>
              </w:rPr>
            </w:pPr>
            <w:r>
              <w:rPr>
                <w:sz w:val="4"/>
                <w:szCs w:val="4"/>
              </w:rPr>
            </w:r>
          </w:p>
        </w:tc>
      </w:tr>
    </w:tbl>
    <w:p>
      <w:pPr>
        <w:pStyle w:val="TextBody"/>
        <w:spacing w:before="360" w:after="283"/>
        <w:rPr/>
      </w:pPr>
      <w:bookmarkStart w:id="11" w:name="109"/>
      <w:bookmarkEnd w:id="1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ABOUT THIS PROSPECTUS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is part of a registration statement on Form S-3 that we filed with the Securities and Exchange Commission, or SEC, using a shelf  registration process. Under this shelf process, we may offer from time to time up to $2,000,000,000 of our securities. Each time we offer securities, we will provide you with a prospectus supplement that will describe, among other things, the specific amounts and prices of the securities being offered and the terms of the offering, including, in the case of debt securities, the specific terms of the securities. The prospectus supplement may also add, update or change information contained in this prospectus. Therefore, before you invest in our securities, you should read this prospectus and any attached prospectus supplements.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this registration statement, the terms we, our, ours, and us refer to Plains All American Pipeline, L.P. and its subsidiaries, unless otherwise indicated or the context requires otherwise.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2" w:name="110"/>
      <w:bookmarkEnd w:id="1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WHERE YOU CAN FIND MORE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Annual Report on Form 10-K for the year ended December 31, 2004;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Quarterly Report on Form 10-Q for the quarter ended March 31, 2005;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Current Reports on Forms 8-K filed on January 26, 2005; February 23, 2005; March 8, 2005; April 1, 2005; April 8, 2005; April 21, 2005; April 25, 2005; May 12, 2005; May 25, 2005; and May 31, 2005;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the description of our common units contained in our Form 8-A/A dated November 3, 1998.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request a copy of these filings at no cost by making written or telephone requests for copies to: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333 Clay Street, Suite 1600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Texas 77002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Tim Moore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(713) 646-4100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Additionally, you may read and copy any materials that we have filed with the SEC at the SECs Public Reference Room at 450 Fifth Street, N.W.,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Times" w:hAnsi="Times New Roman;Times"/>
          <w:i/>
          <w:color w:val="000000"/>
          <w:sz w:val="17"/>
          <w:highlight w:val="white"/>
        </w:rPr>
        <w:t>www.sec.gov.</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3" w:name="111"/>
      <w:bookmarkEnd w:id="1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FORWARD-LOOKING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other than statements of historical fact, included or incorporated by reference in this prospectus or the accompanying prospectus supplement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abrupt or severe production declines or production interruptions in outer continental shelf production located offshore California and transported on our pipeline system;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success of our risk management activities;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and our ability to consummate, acquisition or combination opportunities;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our access to capital to fund additional acquisitions and our ability to obtain debt or equity financing on satisfactory terms;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successful integration and future performance of acquired assets or businesses;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environmental liabilities or events that are not covered by an indemnity, insurance or existing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declines in volumes shipped on the Basin Pipeline, Capline Pipeline and our other pipelines by third party shippers;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adequate third party production volumes for transportation and marketing in the areas in which we operate;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successful third party drilling efforts in areas in which we operate pipelines or gather crude oil;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demand for various grades of crude oil and resulting changes in pricing conditions or transmission throughput requirements;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refinery capacity in areas supplied by our transmission lines;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effects of competition;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continued creditworthiness of, and performance by,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impact of crude oil price fluctuations;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impact of current and future laws, rulings and governmental regulations;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shortages or cost increases of power supplies, materials or labor;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weather interference with business operations or project construction;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currency exchange rate of the Canadian dollar;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the debt and equity markets, including the price of our units at the time of vesting under our Long-Term Incentive Plan;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general economic, market or business conditions.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factors described herein or incorporated by reference, or factors that are unknown or unpredictable, could also have a material adverse effect on future results. Please read Risk Factors beginning on page 5 of this prospectus. Except as required by securities laws applicable to the documents incorporated by reference, we do not intend to update these forward-looking statements and information.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4" w:name="112"/>
      <w:bookmarkEnd w:id="1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WHO WE ARE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 crude oil pipeline transportation operations and gathering, marketing, terminalling and storage operations.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principal business strategy is to efficiently and competitively provide services to our customers, while capitalizing on the regional crude oil supply and demand imbalances that exist in the United States and Canada by combining the strategic location and distinctive capabilities of our transportation and terminalling assets with our extensive marketing and distribution expertise to generate sustainable earnings and cash flow.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execute our business strategy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increasing and optimizing throughput on our existing pipeline and gathering assets and realizing cost efficiencies through operational improvements;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utilizing our Cushing Terminal and our other assets to service the needs of refiners and to profit from merchant activities that take advantage of crude oil pricing and quality differentials;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utilizing assets we have recently acquired along the Gulf Coast and our Cushing Terminal to increase our presence in the importation of foreign crude through Gulf of Mexico receipt facilities to U.S. refiners;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selectively pursuing strategic and accretive acquisitions of crude oil transportation assets, including pipelines, gathering systems, terminalling and storage facilities and other assets that complement our existing asset base and distribution capabilities;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optimizing and expanding our Canadian operations and our presence in certain areas of the U.S. to take advantage of anticipated increases in the volume and qualities of crude oil produced in these areas as well as increased foreign crude import activities in the Gulf Coast area;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prudently and economically leveraging our asset base, knowledge base and skill sets to participate in energy businesses that are closely related to, or significantly intertwined with, the crude oil business.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a lesser degree, we also engage in a similar business strategy with respect to the wholesale marketing and storage of LPG, which we began as a result of an acquisition in mid-2001.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is a Delaware limited partnership.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Plains AAP, L.P., a Delaware limited partnership, serves as our general partner. Plains All American GP LLC is the general partner of Plains AAP, L.P. Our U.S. operations are conducted through, and our operating assets are owned by, Plains Marketing, L.P., a Delaware limited partnership, and Plains Pipeline, L.P., a Texas limited partnership. Our Canadian operations are conducted through, and our Canadian operating assets are owned by, Plains Marketing Canada, L.P., a Canadian limited partnership.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principal executive offices are located at 333 Clay Street, Suite 1600, Houston, Texas 77002, and our phone number is (713) 646-4100.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Recent Developments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Capital Expenditures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estimate that capital expenditures for expansion projects will be approximately $180 million during 2005, an $80 million increase over the estimate provided in our Annual Report on Form 10-K for the year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ended December 31, 2004. This increase results primarily from additional organic growth projects, including the recently announced construction of a St. James, Louisiana crude oil storage facility. We estimate the total project cost for the St. James facility will be approximately $70 million, of which approximately $21 million will be spent in 2005.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5" w:name="113"/>
      <w:bookmarkEnd w:id="1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RISK FACTORS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You should carefully consider the following risk factors together with all of the other information included or incorporated by reference in this prospectus in evaluating an investment in Plains All American Pipeline. If any of the following risks were actually to occur, our business, financial condition or results of operations could be materially adversely affected. When we offer and sell any securities pursuant to a prospectus supplement, we may include additional risk factors relevant to such securities in the prospectus supplement.</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Related to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level of our profitability is dependent upon an adequate supply of crude oil from fields located offshore and onshore California. Production from these offshore fields has experienced substantial production declines since 1995.</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$3.2 million. In addition, any significant production disruption from the Santa Ynez field due to production problems, transportation problems or other reasons could have a material adverse effect on our business.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trading policies cannot eliminate all price risks.  In addition, any non-compliance with our trading policies could result in significant financial losses.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and over the 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Moreover, we are exposed to some risks that are not hedged, including certain basis risks and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If we do not make acquisitions on economically acceptable terms our future growth may be limited.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ability to grow is substantially dependent on our ability to make acquisitions that result in an increase in adjusted operating surplus per unit. If we are unable to make such accretive acquisitions either because (i) we are unable to identify attractive acquisition candidates or negotiate acceptable purchase contracts with them, (ii) we are unable to raise financing for such acquisitions on economically acceptable terms or (iii) we are outbid by competitors, our future growth will be limited.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particular, competition for midstream assets and businesses has intensified substantially and as a result such assets and businesses have become more costly. As a result, we may not be able to complete the number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or size of acquisitions that we have targeted internally or to continue to grow as quickly as we have historically.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acquisition strategy requires access to new capital. Tightened capital markets or other factors which increase our cost of capital could impair our ability to grow.</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business strategy is substantially dependent on acquiring additional assets or operations. 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impact our cost of capital as well as our ability to execute our acquisition strategy.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acquisition strategy involves risks that may adversely affect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acquisition involves potential risks,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performance from the acquired assets and businesses that is below the forecasts we used in evaluating the acquisition;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 significant increase in our indebtedness and working capital requirements;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inability to timely and effectively integrate the operations of recently acquired businesses or assets;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incurrence of substantial unforeseen environmental and other liabilities arising out of the acquired businesses or assets, including liabilities arising from the operation of the acquired businesses or assets prior to our acquisition;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customer or key employee loss from the acquired businesses;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diversion of managements attention from other business concerns.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of these factors could adversely affect our ability to achieve anticipated levels of cash flows from our acquisitions, realize other anticipated benefits and our ability to pay distributions or meet our debt service requirements.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nature of our assets and business could expose us to significant compliance costs and liabilities.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operations involving the storage, treatment, processing, and transportation of liquid hydrocarbons including crude oil are subject to stringent federal, state, and local laws and regulations governing the discharge of materials into the environment, and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liability to private parties for personal injury or property damage.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profitability of our pipeline operations depends on the volume of crude oil shipped.</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Third party shippers generally do not have long term contractual commitments to ship crude oil on our pipelines. A decision by a shipper to substantially reduce or cease to ship volumes of crude oil on our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$1.7 million. In addition, we estimate that an average 10,000 barrel per day variance on the Capline Pipeline System, equivalent to an approximate 7% volume variance on that system, would change annualized segment profit by approximately $1.5 million.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success of our business strategy to increase and optimize throughput on our pipeline and gathering assets is dependent upon our securing additional supplies of crude oil.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operations are dependent upon demand for crude oil by refiners in the Midwest and on the Gulf Coast. Any decrease in this demand could adversely affect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 and any decrease in this demand could adversely affect our business.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face intense competition in our gathering, marketing, terminalling and storage activities.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We estimate that a $0.01 variance in the average segment profit per barrel would have an approximate $2.5 million annual effect on segment profit.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profitability of our gathering and marketing activities is generally dependent on the volumes of crude oil we purchase and gather.</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maintain the volumes of crude oil we purchase,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there are existing relationships between producers and other gatherers and purchasers of crude oil. We estimate that a 15,000 barrel per day decrease in barrels gathered by us would have an approximate $2.8 million per year negative impact on segment profit. This impact is based on a reasonable margin throughout various market conditions. Actual margins vary based on the location of the crude oil, the strength or weakness of the market and the grade or quality of crude oil.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Loss of credit rating or the ability to receive open credit could negatively affect our ability to capitalize on a volatile market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are exposed to the credit risk of our customers in the ordinary course of our gathering and marketing activities.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can be no assurance that we have adequately assessed the credit worthiness of our existing or future counterparties or that there will not be an unanticipated deterioration in their credit worthiness, which could have an adverse impact on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pipeline assets are subject to federal, state and provincial regulation.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domestic interstate common carrier pipelines are subject to regulation by the Federal Energy Regulatory Commission (FERC) under the Interstate Commerce Act. The Interstate Commerce Act requires that tariff rates for petroleum pipelines be just and reasonable and non-discriminatory. We are also subject to the Pipeline Safety Regulations of the U.S. Department of Transportation. Our intrastate pipeline transportation activities are subject to various state laws and regulations as well as orders of regulatory bodies.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Canadian pipeline assets are subject to regulation by the National Energy Board and by provincial agencies. With respect to a pipeline over which it has jurisdiction, each of these Canadian agencies has the power to determine the rates we are allowed to charge for transportation on such pipeline. The extent to which regulatory agencies can override existing transportation contracts has not been fully decided.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pipeline systems are dependent upon their interconnections with other crude oil pipelines to reach end markets.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Reduced throughput on these interconnecting pipelines as a result of testing, line repair, reduced operating pressures or other causes could result in reduced throughput on our pipeline systems that would adversely affect our profitability.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Fluctuations in demand can negatively affect our operating results.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terms of our indebtedness may limit our ability to borrow additional funds or capitalize on business opportunities.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March 31, 2005, our total outstanding long-term debt was approximately $930 million. Various limitations in our indebtedness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Changes in currency exchange rates could adversely affect our operating results.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we conduct operations in Canada, we are exposed to currency fluctuations and exchange rate risks that may adversely affect our results of operations.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Cash distributions are not guaranteed and may fluctuate with our performance and the establishment of financial reserves.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Inherent in an Investment in Plains All American Pipeline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Cost reimbursements due to our general partner may be substantial and will reduce our cash available for distribution to you.</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Prior to making any distribution on the common units, we will reimburse our general partner and its affiliates, including officers and directors of the general partner, for all expenses incurred on our behalf.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 may not be able to remove our general partner even if you wish to do so.</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manages and operates Plains All American Pipeline. Unlike the holders of common stock in a corporation, you will have only limited voting rights on matters affecting our business. You will have no right to elect the general partner or the directors of the general partner on an annual or other continuing basis.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the following provisions of our partnership agreement may discourage a person or group from attempting to remove our general partner or otherwise change our management: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generally, if a person acquires 20% or more of any class of units then outstanding other than from our general partner or its affiliates, the units owned by such person cannot be voted on any matter;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limitations upon the ability of unitholders to call meetings or to acquire information about our operations, as well as other limitations upon the unitholders ability to influence the manner or direction of management.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a result of these provisions, the price at which the common units will trade may be lower because of the absence or reduction of a takeover premium in the trading price.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may issue additional common units without your approval, which would dilute your existing ownership interests.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may cause us to issue an unlimited number of common units, without your approval. We may also issue at any time an unlimited number of equity securities ranking junior or senior to the common units without your approval. The issuance of additional common units or other equity securities of equal or senior rank will have the following effects: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your proportionate ownership interest in Plains All American Pipeline will decrease;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amount of cash available for distribution on each unit may decrease;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1"/>
        <w:gridCol w:w="9541"/>
      </w:tblGrid>
      <w:tr>
        <w:trPr/>
        <w:tc>
          <w:tcPr>
            <w:tcW w:w="40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the relative voting strength of each previously outstanding unit may be diminished;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the market price of the common units may decline.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general partner has a limited call right that may require you to sell your units at an undesirable time or price.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you may be required to sell your common units at a time when you may not desire to sell them or at a price that is less than the price you would like to receive. You may also incur a tax liability upon a sale of your common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 may not have limited liability if a court finds that unitholder actions constitute control of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Delaware law, you could be held liable for our obligations to the same extent as a general partner if a court determined that the right of unitholders to remove our general partner or to take other action under our partnership agreement constituted participation in the control of our business.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generally has unlimited liability for our obligations, such as our debts and environmental liabilities, except for those contractual obligations that are expressly made without recourse to our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Section 17-607 of the Delaware Revised Uniform Limited Partnership Act provides that under some circumstances, a unitholder may be liable to us for the amount of a distribution for a period of three years from the date of the distribution.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Conflicts of interest could arise among our general partner and us or the unitholders.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These conflicts may include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we do not have any employees and we rely solely on employees of the general partner or, in the case of Plains Marketing Canada, employees of PMC (Nova Scotia) Company;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under our partnership agreement, we reimburse the general partner for the costs of managing and for operating the partnership;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amount of cash expenditures, borrowings and reserves in any quarter may affect available cash to pay quarterly distributions to unitholders;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the result of arms length negotiations;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general partner would not breach our partnership agreement by exercising its call rights to purchase limited partnership interests or by assigning its call rights to one of its affiliates or to us.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Related to the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have a holding company structure in which our subsidiaries conduct our operations and own our operating assets.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a holding company structure, and our subsidiaries conduct all of our operations and own all of our operating assets. We have no significant assets other than the ownership interests in our subsidiaries. As a result, our ability to make required payments on the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the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do not have the same flexibility as other types of organizations to accumulate cash, which may limit cash available to service the debt securities or to repay them at maturity.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3"/>
        <w:gridCol w:w="9526"/>
      </w:tblGrid>
      <w:tr>
        <w:trPr/>
        <w:tc>
          <w:tcPr>
            <w:tcW w:w="4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to provide for the proper conduct of our business and the businesses of our operating partnerships (including reserves for future capital expenditures and for our anticipated future credit needs),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to provide funds for distributions to our unitholders and the general partner for any one or more of the next four calendar quarters,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to comply with applicable law or any of our loan or other agreements.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Risks to Common Unitholders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read Tax Considerations for a more complete discussion of the following expected material federal income tax consequences of owning and disposing of common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IRS could treat us as a corporation for tax purposes, which would substantially reduce the cash available for distribution to you.</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anticipated after-tax benefit of an investment in the common units depends largely on our being treated as a partnership for federal income tax purposes. We have not requested, and do not plan to request, a ruling from the IRS on this or any other matter affecting us.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were classified as a corporation for federal income tax purposes, we would pay federal income tax on our income at the corporate tax rate, which is currently a maximum of 35%. Distributions to you would generally be taxed again to you as corporate distributions, and no income, gains, losses, deductions or credits would flow through to you. Because a tax would be imposed upon us as a corporation, the cash available for distribution to you would be substantially reduced. Treatment of us as a corporation would result in a material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reduction in the after-tax return to the unitholders, likely causing a substantial reduction in the value of the common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Current law may change so as to cause us to be taxed as a corporation for federal income tax purposes or otherwise subject us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us as an entity, the cash available for distribution to you would be reduced. Our partnership agreement provides that, if a law is enacted or existing law is modified or interpreted in a manner that subjects us to taxation as a corporation or otherwise subjects us to entity-level taxation for federal, state or local income tax purposes, then the minimum quarterly distribution and the target distribution levels will be decreased to reflect that impact on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 successful IRS contest of the federal income tax positions we take may adversely impact the market for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not requested a ruling from the IRS with respect to any matter affecting us. The IRS may adopt positions that differ from the conclusions of our counsel expressed in this registration statement or from the positions we take. It may be necessary to resort to administrative or court proceedings to sustain our counsels conclusions or the positions we take. A court may not concur with our counsels conclusions or the positions we take. Any contest with the IRS may materially and adversely impact the market for common units and the price at which they trade. In addition, the costs of any contest with the IRS, principally legal, accounting and related fees, will be borne by us and directly or indirectly by the unitholders and the general partner.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 may be required to pay taxes even if you do not receive any cash distributions.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will be required to pay federal income taxes and, in some cases, state and local income taxes on your share of our taxable income even if you do not receive any cash distributions from us. You may not receive cash distributions from us equal to your share of our taxable income or even equal to the actual tax liability that results from your share of our taxable income.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Tax gain or loss on disposition of common units could be different than expected.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sell your common units, you will recognize gain or loss equal to the difference between the amount realized and your tax basis in those common units. Prior distributions in excess of the total net taxable income you were allocated for a common unit, which decreased your tax basis in that common unit, will, in effect, become taxable income to you if the common unit is sold at a price greater than your tax basis in that common unit, even if the price you receive is less than your original cost. A substantial portion of the amount realized, whether or not representing gain, may be ordinary income to you. Should the IRS successfully contest some positions we take, you could recognize more gain on the sale of units than would be the case under those positions, without the benefit of decreased income in prior years. Also, if you sell your units, you may incur a tax liability in excess of the amount of cash you receive from the sale.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If you are a tax-exempt entity, a regulated investment company or an individual not residing in the United States, you may have adverse tax consequences from owning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Investment in common units by tax-exempt entities, regulated investment companies or mutual funds and foreign persons raises issues unique to them. For example, virtually all of our income allocated to organizations exempt from federal income tax, including individual retirement accounts and other retirement plans, will be unrelated business taxable income and will be taxable to them. Recent legislation treats net income derived from the ownership of certain publicly traded partnerships (including us) as qualifying income to a regulated investment company. However, this legislation is only effective for taxable years beginning after October 22, 2004, the date of enactment. For taxable years beginning on or before the date of enactment, very little of our income will be qualifying income to a regulated investment company. Distributions to foreign persons will be reduced by withholding taxes at the highest effective U.S. federal income tax rate for individuals, and foreign persons will be required to file federal income tax returns and pay tax on their share of our taxable income.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treat a purchaser of units as having the same tax benefits without regard to the units purchased. The IRS may challenge this treatment, which could adversely affect the value of the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we cannot match transferors and transferees of common units, we have adopted depreciation and amortization positions that do not conform with all aspects of the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the common units or result in audit adjustments to your tax returns. Please read Tax Considerations  Uniformity of Units in this prospectus for further discussion of the effect of the depreciation and amortization positions we have adopted.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 will likely be subject to foreign, state and local taxes in jurisdictions where you do not live as a result of an investment in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federal income taxes, you will likely be subject to other taxes, including foreign taxes, state and local taxes, unincorporated business taxes and estate, inheritance or intangible taxes that are imposed by the various jurisdictions in which we do business or own property and in which you do not reside. We own property and conduct business in Canada and in most states in the United States. You may be required to file Canadian federal income tax returns and to pay Canadian federal and provincial income taxes and to file state and local income tax returns and pay state and local income taxes in many or all of the jurisdictions in which we do business or own property. Further, you may be subject to penalties for failure to comply with those requirements. It is your responsibility to file all federal, state, local and foreign tax returns. Our counsel has not rendered an opinion on the foreign, state or local tax consequences of an investment in the common units. </w:t>
      </w:r>
    </w:p>
    <w:p>
      <w:pPr>
        <w:pStyle w:val="TextBody"/>
        <w:spacing w:before="360" w:after="283"/>
        <w:rPr/>
      </w:pPr>
      <w:bookmarkStart w:id="16" w:name="114"/>
      <w:bookmarkEnd w:id="1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USE OF PROCEEDS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 </w:t>
      </w:r>
    </w:p>
    <w:p>
      <w:pPr>
        <w:pStyle w:val="TextBody"/>
        <w:spacing w:before="360" w:after="283"/>
        <w:rPr/>
      </w:pPr>
      <w:bookmarkStart w:id="17" w:name="115"/>
      <w:bookmarkEnd w:id="1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RATIO OF EARNINGS TO FIXED CHARGES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153"/>
        <w:gridCol w:w="148"/>
        <w:gridCol w:w="305"/>
        <w:gridCol w:w="1407"/>
        <w:gridCol w:w="155"/>
        <w:gridCol w:w="194"/>
        <w:gridCol w:w="155"/>
        <w:gridCol w:w="500"/>
        <w:gridCol w:w="155"/>
        <w:gridCol w:w="194"/>
        <w:gridCol w:w="155"/>
        <w:gridCol w:w="499"/>
        <w:gridCol w:w="155"/>
        <w:gridCol w:w="194"/>
        <w:gridCol w:w="155"/>
        <w:gridCol w:w="500"/>
        <w:gridCol w:w="155"/>
        <w:gridCol w:w="194"/>
        <w:gridCol w:w="155"/>
        <w:gridCol w:w="500"/>
        <w:gridCol w:w="155"/>
        <w:gridCol w:w="193"/>
        <w:gridCol w:w="155"/>
        <w:gridCol w:w="500"/>
        <w:gridCol w:w="174"/>
      </w:tblGrid>
      <w:tr>
        <w:trPr/>
        <w:tc>
          <w:tcPr>
            <w:tcW w:w="3153"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jc w:val="right"/>
              <w:rPr/>
            </w:pPr>
            <w:r>
              <w:rPr/>
              <w:t> </w:t>
            </w:r>
          </w:p>
        </w:tc>
        <w:tc>
          <w:tcPr>
            <w:tcW w:w="1407"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50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499"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50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50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193"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500"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jc w:val="left"/>
              <w:rPr/>
            </w:pPr>
            <w:r>
              <w:rPr/>
              <w:t> </w:t>
            </w:r>
          </w:p>
        </w:tc>
      </w:tr>
      <w:tr>
        <w:trPr/>
        <w:tc>
          <w:tcPr>
            <w:tcW w:w="3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712" w:type="dxa"/>
            <w:gridSpan w:val="2"/>
            <w:tcBorders/>
            <w:shd w:fill="FFFFFF" w:val="clear"/>
            <w:vAlign w:val="bottom"/>
          </w:tcPr>
          <w:p>
            <w:pPr>
              <w:pStyle w:val="TableContents"/>
              <w:spacing w:before="0" w:after="283"/>
              <w:jc w:val="center"/>
              <w:rPr>
                <w:b/>
              </w:rPr>
            </w:pPr>
            <w:r>
              <w:rPr>
                <w:b/>
              </w:rPr>
              <w:t>Three Months</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4"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3"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3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712" w:type="dxa"/>
            <w:gridSpan w:val="2"/>
            <w:tcBorders/>
            <w:shd w:fill="FFFFFF" w:val="clear"/>
            <w:vAlign w:val="bottom"/>
          </w:tcPr>
          <w:p>
            <w:pPr>
              <w:pStyle w:val="TableContents"/>
              <w:spacing w:before="0" w:after="283"/>
              <w:jc w:val="center"/>
              <w:rPr>
                <w:b/>
              </w:rPr>
            </w:pPr>
            <w:r>
              <w:rPr>
                <w:b/>
              </w:rPr>
              <w:t>Ended</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4"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3" w:type="dxa"/>
            <w:tcBorders/>
            <w:shd w:fill="FFFFFF" w:val="clear"/>
            <w:vAlign w:val="bottom"/>
          </w:tcPr>
          <w:p>
            <w:pPr>
              <w:pStyle w:val="TableContents"/>
              <w:spacing w:before="0" w:after="283"/>
              <w:jc w:val="center"/>
              <w:rPr/>
            </w:pPr>
            <w:r>
              <w:rPr/>
              <w:t xml:space="preserve">  </w:t>
            </w:r>
          </w:p>
        </w:tc>
        <w:tc>
          <w:tcPr>
            <w:tcW w:w="655" w:type="dxa"/>
            <w:gridSpan w:val="2"/>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3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712" w:type="dxa"/>
            <w:gridSpan w:val="2"/>
            <w:tcBorders/>
            <w:shd w:fill="FFFFFF" w:val="clear"/>
            <w:vAlign w:val="bottom"/>
          </w:tcPr>
          <w:p>
            <w:pPr>
              <w:pStyle w:val="TableContents"/>
              <w:spacing w:before="0" w:after="283"/>
              <w:jc w:val="center"/>
              <w:rPr>
                <w:b/>
              </w:rPr>
            </w:pPr>
            <w:r>
              <w:rPr>
                <w:b/>
              </w:rPr>
              <w:t>March 31,</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4669" w:type="dxa"/>
            <w:gridSpan w:val="18"/>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3153"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71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2003</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2002</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6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2001</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93" w:type="dxa"/>
            <w:tcBorders/>
            <w:shd w:fill="FFFFFF" w:val="clear"/>
            <w:vAlign w:val="bottom"/>
          </w:tcPr>
          <w:p>
            <w:pPr>
              <w:pStyle w:val="TableContents"/>
              <w:spacing w:before="0" w:after="283"/>
              <w:jc w:val="center"/>
              <w:rPr/>
            </w:pPr>
            <w:r>
              <w:rPr/>
              <w:t xml:space="preserve">  </w:t>
            </w:r>
          </w:p>
        </w:tc>
        <w:tc>
          <w:tcPr>
            <w:tcW w:w="6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2000</w:t>
            </w: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3153" w:type="dxa"/>
            <w:tcBorders/>
            <w:shd w:fill="FFFFFF" w:val="clear"/>
            <w:vAlign w:val="center"/>
          </w:tcPr>
          <w:p>
            <w:pPr>
              <w:pStyle w:val="TableContents"/>
              <w:spacing w:before="0" w:after="283"/>
              <w:rPr/>
            </w:pPr>
            <w:r>
              <w:rPr/>
              <w:t xml:space="preserve">  </w:t>
            </w:r>
          </w:p>
        </w:tc>
        <w:tc>
          <w:tcPr>
            <w:tcW w:w="7052" w:type="dxa"/>
            <w:gridSpan w:val="24"/>
            <w:tcBorders/>
            <w:shd w:fill="FFFFFF" w:val="clear"/>
          </w:tcPr>
          <w:p>
            <w:pPr>
              <w:pStyle w:val="TableContents"/>
              <w:spacing w:before="0" w:after="283"/>
              <w:rPr>
                <w:sz w:val="4"/>
                <w:szCs w:val="4"/>
              </w:rPr>
            </w:pPr>
            <w:r>
              <w:rPr>
                <w:sz w:val="4"/>
                <w:szCs w:val="4"/>
              </w:rPr>
            </w:r>
          </w:p>
        </w:tc>
      </w:tr>
      <w:tr>
        <w:trPr/>
        <w:tc>
          <w:tcPr>
            <w:tcW w:w="3153" w:type="dxa"/>
            <w:tcBorders/>
            <w:shd w:fill="FFFFFF" w:val="clear"/>
            <w:vAlign w:val="bottom"/>
          </w:tcPr>
          <w:p>
            <w:pPr>
              <w:pStyle w:val="TableContents"/>
              <w:spacing w:before="0" w:after="0"/>
              <w:ind w:left="200" w:right="0" w:hanging="200"/>
              <w:jc w:val="left"/>
              <w:rPr>
                <w:sz w:val="17"/>
              </w:rPr>
            </w:pPr>
            <w:r>
              <w:rPr>
                <w:sz w:val="17"/>
              </w:rPr>
              <w:t xml:space="preserve">Ratio of Earnings to Fixed Charges </w:t>
            </w:r>
          </w:p>
        </w:tc>
        <w:tc>
          <w:tcPr>
            <w:tcW w:w="148"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jc w:val="left"/>
              <w:rPr/>
            </w:pPr>
            <w:r>
              <w:rPr/>
              <w:t xml:space="preserve">  </w:t>
            </w:r>
          </w:p>
        </w:tc>
        <w:tc>
          <w:tcPr>
            <w:tcW w:w="1407" w:type="dxa"/>
            <w:tcBorders/>
            <w:shd w:fill="FFFFFF" w:val="clear"/>
            <w:vAlign w:val="bottom"/>
          </w:tcPr>
          <w:p>
            <w:pPr>
              <w:pStyle w:val="TableContents"/>
              <w:spacing w:before="0" w:after="283"/>
              <w:jc w:val="right"/>
              <w:rPr/>
            </w:pPr>
            <w:r>
              <w:rPr/>
              <w:t xml:space="preserve">2.93 </w:t>
            </w:r>
          </w:p>
        </w:tc>
        <w:tc>
          <w:tcPr>
            <w:tcW w:w="155" w:type="dxa"/>
            <w:tcBorders/>
            <w:shd w:fill="FFFFFF" w:val="clear"/>
            <w:vAlign w:val="bottom"/>
          </w:tcPr>
          <w:p>
            <w:pPr>
              <w:pStyle w:val="TableContents"/>
              <w:spacing w:before="0" w:after="283"/>
              <w:jc w:val="left"/>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500" w:type="dxa"/>
            <w:tcBorders/>
            <w:shd w:fill="FFFFFF" w:val="clear"/>
            <w:vAlign w:val="bottom"/>
          </w:tcPr>
          <w:p>
            <w:pPr>
              <w:pStyle w:val="TableContents"/>
              <w:spacing w:before="0" w:after="283"/>
              <w:jc w:val="right"/>
              <w:rPr/>
            </w:pPr>
            <w:r>
              <w:rPr/>
              <w:t xml:space="preserve">3.46 </w:t>
            </w:r>
          </w:p>
        </w:tc>
        <w:tc>
          <w:tcPr>
            <w:tcW w:w="155" w:type="dxa"/>
            <w:tcBorders/>
            <w:shd w:fill="FFFFFF" w:val="clear"/>
            <w:vAlign w:val="bottom"/>
          </w:tcPr>
          <w:p>
            <w:pPr>
              <w:pStyle w:val="TableContents"/>
              <w:spacing w:before="0" w:after="283"/>
              <w:jc w:val="left"/>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499" w:type="dxa"/>
            <w:tcBorders/>
            <w:shd w:fill="FFFFFF" w:val="clear"/>
            <w:vAlign w:val="bottom"/>
          </w:tcPr>
          <w:p>
            <w:pPr>
              <w:pStyle w:val="TableContents"/>
              <w:spacing w:before="0" w:after="283"/>
              <w:jc w:val="right"/>
              <w:rPr/>
            </w:pPr>
            <w:r>
              <w:rPr/>
              <w:t xml:space="preserve">2.39 </w:t>
            </w:r>
          </w:p>
        </w:tc>
        <w:tc>
          <w:tcPr>
            <w:tcW w:w="155" w:type="dxa"/>
            <w:tcBorders/>
            <w:shd w:fill="FFFFFF" w:val="clear"/>
            <w:vAlign w:val="bottom"/>
          </w:tcPr>
          <w:p>
            <w:pPr>
              <w:pStyle w:val="TableContents"/>
              <w:spacing w:before="0" w:after="283"/>
              <w:jc w:val="left"/>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500" w:type="dxa"/>
            <w:tcBorders/>
            <w:shd w:fill="FFFFFF" w:val="clear"/>
            <w:vAlign w:val="bottom"/>
          </w:tcPr>
          <w:p>
            <w:pPr>
              <w:pStyle w:val="TableContents"/>
              <w:spacing w:before="0" w:after="283"/>
              <w:jc w:val="right"/>
              <w:rPr/>
            </w:pPr>
            <w:r>
              <w:rPr/>
              <w:t xml:space="preserve">2.77 </w:t>
            </w:r>
          </w:p>
        </w:tc>
        <w:tc>
          <w:tcPr>
            <w:tcW w:w="155" w:type="dxa"/>
            <w:tcBorders/>
            <w:shd w:fill="FFFFFF" w:val="clear"/>
            <w:vAlign w:val="bottom"/>
          </w:tcPr>
          <w:p>
            <w:pPr>
              <w:pStyle w:val="TableContents"/>
              <w:spacing w:before="0" w:after="283"/>
              <w:jc w:val="left"/>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500" w:type="dxa"/>
            <w:tcBorders/>
            <w:shd w:fill="FFFFFF" w:val="clear"/>
            <w:vAlign w:val="bottom"/>
          </w:tcPr>
          <w:p>
            <w:pPr>
              <w:pStyle w:val="TableContents"/>
              <w:spacing w:before="0" w:after="283"/>
              <w:jc w:val="right"/>
              <w:rPr/>
            </w:pPr>
            <w:r>
              <w:rPr/>
              <w:t xml:space="preserve">2.26 </w:t>
            </w:r>
          </w:p>
        </w:tc>
        <w:tc>
          <w:tcPr>
            <w:tcW w:w="155" w:type="dxa"/>
            <w:tcBorders/>
            <w:shd w:fill="FFFFFF" w:val="clear"/>
            <w:vAlign w:val="bottom"/>
          </w:tcPr>
          <w:p>
            <w:pPr>
              <w:pStyle w:val="TableContents"/>
              <w:spacing w:before="0" w:after="283"/>
              <w:jc w:val="left"/>
              <w:rPr/>
            </w:pPr>
            <w:r>
              <w:rPr/>
              <w:t xml:space="preserve">  </w:t>
            </w:r>
          </w:p>
        </w:tc>
        <w:tc>
          <w:tcPr>
            <w:tcW w:w="193"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500" w:type="dxa"/>
            <w:tcBorders/>
            <w:shd w:fill="FFFFFF" w:val="clear"/>
            <w:vAlign w:val="bottom"/>
          </w:tcPr>
          <w:p>
            <w:pPr>
              <w:pStyle w:val="TableContents"/>
              <w:spacing w:before="0" w:after="283"/>
              <w:jc w:val="right"/>
              <w:rPr/>
            </w:pPr>
            <w:r>
              <w:rPr/>
              <w:t xml:space="preserve">3.33 </w:t>
            </w:r>
          </w:p>
        </w:tc>
        <w:tc>
          <w:tcPr>
            <w:tcW w:w="174" w:type="dxa"/>
            <w:tcBorders/>
            <w:shd w:fill="FFFFFF" w:val="clear"/>
            <w:vAlign w:val="bottom"/>
          </w:tcPr>
          <w:p>
            <w:pPr>
              <w:pStyle w:val="TableContents"/>
              <w:spacing w:before="0" w:after="283"/>
              <w:jc w:val="left"/>
              <w:rPr/>
            </w:pPr>
            <w:r>
              <w:rPr/>
              <w:t xml:space="preserve">  </w:t>
            </w:r>
          </w:p>
        </w:tc>
      </w:tr>
      <w:tr>
        <w:trPr/>
        <w:tc>
          <w:tcPr>
            <w:tcW w:w="3153"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0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9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93" w:type="dxa"/>
            <w:tcBorders/>
            <w:shd w:fill="FFFFFF" w:val="clear"/>
            <w:vAlign w:val="bottom"/>
          </w:tcPr>
          <w:p>
            <w:pPr>
              <w:pStyle w:val="TableContents"/>
              <w:spacing w:before="0" w:after="283"/>
              <w:rPr/>
            </w:pPr>
            <w:r>
              <w:rPr/>
              <w:t xml:space="preserve">  </w:t>
            </w:r>
          </w:p>
        </w:tc>
        <w:tc>
          <w:tcPr>
            <w:tcW w:w="1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bl>
    <w:p>
      <w:pPr>
        <w:pStyle w:val="TextBody"/>
        <w:spacing w:before="360" w:after="283"/>
        <w:rPr/>
      </w:pPr>
      <w:bookmarkStart w:id="18" w:name="116"/>
      <w:bookmarkEnd w:id="1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OUR DEBT SECURITIES</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General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debt securities will be: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our direct general obligations;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either senior debt securities or subordinated debt securities;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issued under separate indentures (which may be existing indentures) among us and Wachovia Bank, N.A., as Trustee.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may issue debt securities in one or more series, and PAA Finance may be a co-issuer of one or more series of debt securities. PAA Finance was incorporated under the laws of the State of Delaware in February 2001, is indirectly wholly owned by Plains All American Pipeline, and has no material assets or any liabilities other than as a co-issuer of debt securities. Its activities will be limited to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Specific Terms of Each Series of Debt Securities in the Prospectus Supplement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6"/>
        <w:gridCol w:w="9535"/>
      </w:tblGrid>
      <w:tr>
        <w:trPr/>
        <w:tc>
          <w:tcPr>
            <w:tcW w:w="40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5"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whether PAA Finance will be a co-issuer of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guarantors of the debt securities, if any;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whether the debt securities are senior or subordinated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title of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total principal amount of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assets, if any, that are pledged as security for the payment of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whether we will issue the debt securities in individual certificates to each holder in registered form, or in the form of temporary or permanent global securities held by a depository on behalf of holders;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prices at which we will issue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portion of the principal amount that will be payable if the maturity of the debt securities is accelerated;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currency or currency unit in which the debt securities will be payable, if not U.S. dollars;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dates on which the principal of the debt securities will be payable;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the interest rate that the debt securities will bear and the interest payment dates for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conversion or exchange provisions;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optional redemption provisions;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sinking fund or other provisions that would obligate us to repurchase or otherwise redeem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changes to or additional events of default or covenants;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any other terms of the debt securities.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Guarantees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subsidiaries other than minor subsidiaries as such term is interpreted in securities regulation governing financial reporting for guarantors. The prospectus supplement will describe any limitation on the maximum amount of any particular guarantee and the conditions under which guarantees may be released.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Consolidation, Merger or Asset Sale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remaining or acquiring entity must assume the issuers obligations under the indenture;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immediately after giving effect to the transaction, no Default or Event of Default (as defined under  Events of Default and Remedies below) may exist.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Protection in the Event of a Change of Control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Modification of Indentures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supplemented or amended without the consent of each holder affected. Without the consent of each outstanding debt security affected, no modification of the indenture or waiver may: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reduce the principal amount of debt securities whose holders must consent to an amendment, supplement or waiver;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reduce the principal of or change the fixed maturity of any debt security;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reduce or waive the premium payable upon redemption or alter or waive the provisions with respect to the redemption of the debt securities (except as may be permitted in the case of a particular series of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reduce the rate of or change the time for payment of interest on any debt security;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except as otherwise permitted under the indenture, release any security that may have been granted with respect to the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make any debt security payable in currency other than that stated in the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in the case of any subordinated debt security, make any change in the subordination provisions that adversely affects the rights of any holder under those provisions;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make any change in the provisions of the indenture relating to waivers of past Defaults or the rights of holders of debt securities to receive payments of principal of or premium, if any, or interest on the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waive a redemption payment with respect to any debt security (except as may be permitted in the case of a particular series of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except as otherwise permitted in the indenture, release any guarantor from its obligations under its guarantee or the indenture or change any guarantee in any manner that would adversely affect the rights of holders;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make any change in the preceding amendment, supplement and waiver provisions (except to increase any percentage set forth therein).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supplement or amend an indenture without the consent of any holders of the debt securities in certain circumstances,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establish the form of terms of any series of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cure any ambiguity, defect or inconsistency;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provide for uncertificated notes in addition to or in place of certified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provide for the assumption of an issuers or guarantors obligations to holders of debt securities in the case of a merger or consolidation or disposition of all or substantially all of such issuers or guarantors assets;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in the case of any subordinated debt security, to make any change in the subordination provisions that limits or terminates the benefits applicable to any holder of Senior Indebtedness of Plains All American Pipeline;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add or release guarantors pursuant to the terms of the indenture;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comply with requirements of the SEC in order to effect or maintain the qualification of the Indenture under the Trust Indenture Act;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evidence or provide for the acceptance of appointment under the indenture of a successor Trustee;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add any additional Events of Default;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secure the debt securities and/or the guarantees.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Events of Default and Remedies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Event of Default, when used in an indenture, will mean any of the following with respect to the debt securities of any series: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5"/>
        <w:gridCol w:w="9540"/>
      </w:tblGrid>
      <w:tr>
        <w:trPr/>
        <w:tc>
          <w:tcPr>
            <w:tcW w:w="40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pay when due the principal of or any premium on any debt security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pay, within 60 days of the due date, interest on any debt security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pay when due any sinking fund payment with respect to any debt securities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on the part of the issuers to comply with the covenant described under  Consolidation, Merger or Asset Sale;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perform any other covenant in the indenture that continues for 30 days after written notice is given to the issuers;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certain events of bankruptcy, insolvency or reorganization of an issuer; or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any other Event of Default provided under the terms of the debt securities of that series.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Limit on Amount of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indenture will not limit the amount of debt securities that we may issue, unless we indicate otherwise in a prospectus supplement. The indenture will allow us to issue debt securities of any series up to the aggregate principal amount that we authorize.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Registration of Notes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issue debt securities of a series only in registered form, without coupons, unless otherwise indicated in the prospectus supplement.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Minimum Denominations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the prospectus supplement states otherwise, the debt securities will be issued only in principal amounts of $1,000 each or integral multiples of $1,000.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Personal Liability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the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Payment and Transfer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Exchange, Registration and Transfer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be required: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to register the transfer of or exchange any debt security called for redemption or repurchase, except the unredeemed portion of any debt security we are redeeming or repurchasing in part.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Provisions Relating only to the Senior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Provisions Relating only to the Subordinated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Subordinated Debt Securities Subordinated to Senior Indebtedness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Payment Blockages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subordinated indenture will provide that no payment of principal, interest and any premium on the subordinated debt securities may be made in the event: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0"/>
        <w:gridCol w:w="9539"/>
      </w:tblGrid>
      <w:tr>
        <w:trPr/>
        <w:tc>
          <w:tcPr>
            <w:tcW w:w="40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we or our property is involved in any voluntary or involuntary liquidation or bankruptcy;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No Limitation on Amount of Senior Debt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subordinated indenture will not limit the amount of Senior Indebtedness that Plains All American Pipeline may incur, unless otherwise indicated in the prospectus supplement.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Book Entry, Delivery and Form</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Beneficial interests in global debt securities will be shown on, and transfers of global debt securities will be made only through, records maintained by DTC and its participants.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DTC is owned by a number of its Direct Participants and by the New York Stock Exchange, Inc., The American Stock Exchange, Inc. and the National Association of Securities Dealers, Inc.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Debt securities represented by a global debt security will be exchangeable for certificated debt securities with the same terms in authorized denominations only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6"/>
        <w:gridCol w:w="9521"/>
      </w:tblGrid>
      <w:tr>
        <w:trPr/>
        <w:tc>
          <w:tcPr>
            <w:tcW w:w="40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6" w:type="dxa"/>
            <w:tcBorders/>
            <w:shd w:fill="FFFFFF" w:val="clear"/>
          </w:tcPr>
          <w:p>
            <w:pPr>
              <w:pStyle w:val="TableContents"/>
              <w:spacing w:before="0" w:after="283"/>
              <w:rPr/>
            </w:pPr>
            <w:r>
              <w:rPr/>
              <w:t xml:space="preserve">  </w:t>
            </w:r>
          </w:p>
        </w:tc>
        <w:tc>
          <w:tcPr>
            <w:tcW w:w="9521" w:type="dxa"/>
            <w:tcBorders/>
            <w:shd w:fill="FFFFFF" w:val="clear"/>
          </w:tcPr>
          <w:p>
            <w:pPr>
              <w:pStyle w:val="TableContents"/>
              <w:spacing w:before="0" w:after="283"/>
              <w:jc w:val="left"/>
              <w:rPr/>
            </w:pPr>
            <w:r>
              <w:rPr/>
              <w:t xml:space="preserve">DTC notifies us that it is unwilling or unable to continue as depositary or if DTC ceases to be a clearing agency registered under applicable law and in either event a successor depositary is not appointed by us within 90 days;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6" w:type="dxa"/>
            <w:tcBorders/>
            <w:shd w:fill="FFFFFF" w:val="clear"/>
          </w:tcPr>
          <w:p>
            <w:pPr>
              <w:pStyle w:val="TableContents"/>
              <w:spacing w:before="0" w:after="283"/>
              <w:rPr/>
            </w:pPr>
            <w:r>
              <w:rPr/>
              <w:t xml:space="preserve">  </w:t>
            </w:r>
          </w:p>
        </w:tc>
        <w:tc>
          <w:tcPr>
            <w:tcW w:w="9521" w:type="dxa"/>
            <w:tcBorders/>
            <w:shd w:fill="FFFFFF" w:val="clear"/>
          </w:tcPr>
          <w:p>
            <w:pPr>
              <w:pStyle w:val="TableContents"/>
              <w:spacing w:before="0" w:after="283"/>
              <w:jc w:val="left"/>
              <w:rPr/>
            </w:pPr>
            <w:r>
              <w:rPr/>
              <w:t xml:space="preserve">we determine not to require all of the debt securities of a series to be represented by a global debt security.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Satisfaction and Discharge; Defeasance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will be discharged and will cease to be of further effect as to all outstanding debt securities of any series issued thereunder, when: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either: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we have paid or caused to be paid all other sums payable by us under the indenture;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we have delivered an officers certificate and an opinion of counsel to the Trustee stating that all conditions precedent to satisfaction and discharge have been satisfied.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debt securities of a particular series will be subject to legal or covenant defeasance to the extent, and upon the terms and conditions, set forth in the prospectus supplement.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The Trustee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Wachovia Bank N.A. will be the initial Trustee under each indenture. We maintain a banking relation in the ordinary course of business with Wachovia Bank N.A. and some of its affiliates.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Trustee if it is a Creditor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will limit the right of the Trustee thereunder, in the event that it becomes a creditor of an issuer or guarantor, to obtain payment of claims in certain cases, or to realize on certain property received in respect of any such claim as security or otherwise.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Certificates and Opinions to be Furnished to Trustee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Governing Law</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indenture and all of the debt securities will be governed by the laws of the State of New York. </w:t>
      </w:r>
    </w:p>
    <w:p>
      <w:pPr>
        <w:pStyle w:val="TextBody"/>
        <w:spacing w:before="360" w:after="283"/>
        <w:rPr/>
      </w:pPr>
      <w:bookmarkStart w:id="19" w:name="117"/>
      <w:bookmarkEnd w:id="1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OUR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outstanding common units are listed on the NYSE under the symbol PAA. Any additional common units we issue will also be listed on the NYSE.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transfer agent and registrar for our common units is American Stock Transfer &amp; Trust Company.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Meetings/Voting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holder of common units is entitled to one vote for each common unit on all matters submitted to a vote of the unitholders.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Status as Limited Partner or Assignee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described below under  Limited Liability, the common units will be fully paid, and unitholders will not be required to make additional capital contributions to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Limited Liability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Reports and Records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limited partner can, for a purpose reasonably related to the limited partners interest as a limited partner, upon reasonable demand and at his own expense, have furnished to him: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 current list of the name and last known address of each partner;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 copy of our tax returns;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information as to the amount of cash and a description and statement of the agreed value of any other property or services, contributed or to be contributed by each partner and the date on which each became a partner;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copies of our partnership agreement, our certificate of limited partnership, amendments to either of them and powers of attorney which have been executed under our partnership agreement;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information regarding the status of our business and financial condition;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any other information regarding our affairs as is just and reasonable.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20" w:name="118"/>
      <w:bookmarkEnd w:id="20"/>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CASH DISTRIBUTION POLICY</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Distributions of Available Cash</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We will distribute to our unitholders, on a quarterly basis, all of our available cash in the manner described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Definition of Available Cash.</w:t>
      </w:r>
      <w:r>
        <w:rPr>
          <w:rFonts w:ascii="Times New Roman;Times" w:hAnsi="Times New Roman;Times"/>
          <w:color w:val="000000"/>
          <w:sz w:val="17"/>
          <w:highlight w:val="white"/>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provide for the proper conduct of our business;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comply with applicable law or any partnership debt instrument or other agreement;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provide funds for distributions to unitholders and the general partner in respect of any one or more of the next four quarters.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Operating Surplus and Capital Surplus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Definition of Operating Surplus.</w:t>
      </w:r>
      <w:r>
        <w:rPr>
          <w:rFonts w:ascii="Times New Roman;Times" w:hAnsi="Times New Roman;Times"/>
          <w:color w:val="000000"/>
          <w:sz w:val="17"/>
          <w:highlight w:val="white"/>
        </w:rPr>
        <w:t xml:space="preserve">  Operating surplus refers generally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our cash balances on the closing date of our initial public offering; plus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$25 million; plus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all of our cash receipts from operations, excluding cash that is capital surplus; less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Definition of Capital Surplus.</w:t>
      </w:r>
      <w:r>
        <w:rPr>
          <w:rFonts w:ascii="Times New Roman;Times" w:hAnsi="Times New Roman;Times"/>
          <w:color w:val="000000"/>
          <w:sz w:val="17"/>
          <w:highlight w:val="white"/>
        </w:rPr>
        <w:t xml:space="preserve">  Capital surplus will generally be generated only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borrowings other than working capital borrowings;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sales of debt and equity securities;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sales or other dispositions of assets for cash, other than inventory, accounts receivable and other assets in the ordinary course of business.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Incentive Distribution Rights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Effect of Issuance of Additional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Quarterly Distributions of Available Cash</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Distributions From Operating Surplus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make distributions of available cash from operating surplus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4"/>
        <w:gridCol w:w="9537"/>
      </w:tblGrid>
      <w:tr>
        <w:trPr/>
        <w:tc>
          <w:tcPr>
            <w:tcW w:w="40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First, 98% to all unitholders, pro rata, and 2% to the general partner, until we distribute for each unit an amount equal to the minimum quarterly distribution for that quarter;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Thereafter, in the manner described in  Incentive Distributions below.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Incentive Distribution Rights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2"/>
        <w:gridCol w:w="9537"/>
      </w:tblGrid>
      <w:tr>
        <w:trPr/>
        <w:tc>
          <w:tcPr>
            <w:tcW w:w="40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First, 85% to all unitholders, pro rata, and 15% to the general partner, until each unitholder receives a total of $0.495 for that quarter for each outstanding unit (the first target distribution);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Second, 75% to all unitholders, pro rata, and 25% to the general partner, until each unitholder receives a total of $0.675 for that quarter for each outstanding unit (the second target distribution);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Thereafter, 50% to all unitholders, pro rata, and 50% to the general partner.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Distributions from Capital Surplus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How Distributions from Capital Surplus Will Be Made.</w:t>
      </w:r>
      <w:r>
        <w:rPr>
          <w:rFonts w:ascii="Times New Roman;Times" w:hAnsi="Times New Roman;Times"/>
          <w:color w:val="000000"/>
          <w:sz w:val="17"/>
          <w:highlight w:val="white"/>
        </w:rPr>
        <w:t xml:space="preserve">  We will make distributions of available cash from capital surplus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Thereafter, we will make all distributions of available cash from capital surplus as if they were from operating surplus.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Effect of a Distribution from Capital Surplus.</w:t>
      </w:r>
      <w:r>
        <w:rPr>
          <w:rFonts w:ascii="Times New Roman;Times" w:hAnsi="Times New Roman;Times"/>
          <w:color w:val="000000"/>
          <w:sz w:val="17"/>
          <w:highlight w:val="white"/>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When Payback Occurs.</w:t>
      </w:r>
      <w:r>
        <w:rPr>
          <w:rFonts w:ascii="Times New Roman;Times" w:hAnsi="Times New Roman;Times"/>
          <w:color w:val="000000"/>
          <w:sz w:val="17"/>
          <w:highlight w:val="white"/>
        </w:rPr>
        <w:t xml:space="preserve">  When payback of the reduced initial unit price has occurred, i.e., when the unrecovered capital of the common units is zero, then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 minimum quarterly distribution and the target distribution levels will be reduced to zero for subsequent quarters;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all distributions of available cash will be treated as operating surplus;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 general partner will be entitled to receive 50% of distributions of available cash in its capacities as general partner and as holder of the incentive distribution rights.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Distributions of available cash from capital surplus will not reduce the minimum quarterly distribution or target distribution levels for the quarter in which they are distributed.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Adjustment to the Minimum Quarterly Distribution and Target Distribution Levels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How We Adjust the Minimum Quarterly Distribution and Target Distribution Levels.</w:t>
      </w:r>
      <w:r>
        <w:rPr>
          <w:rFonts w:ascii="Times New Roman;Times" w:hAnsi="Times New Roman;Times"/>
          <w:color w:val="000000"/>
          <w:sz w:val="17"/>
          <w:highlight w:val="white"/>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minimum quarterly distribution;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target distribution levels;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unrecovered capital; and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other amounts calculated on a per unit basis.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If We Became Subject to Taxation.</w:t>
      </w:r>
      <w:r>
        <w:rPr>
          <w:rFonts w:ascii="Times New Roman;Times" w:hAnsi="Times New Roman;Times"/>
          <w:color w:val="000000"/>
          <w:sz w:val="17"/>
          <w:highlight w:val="white"/>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 of Cash Upon Liquidation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If we dissolve and liquidate, we will sell our assets or otherwise dispose of our assets and we will adjust the partners capital account balances to show any resulting gain or loss. We will first apply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Manner of Adjustment.</w:t>
      </w:r>
      <w:r>
        <w:rPr>
          <w:rFonts w:ascii="Times New Roman;Times" w:hAnsi="Times New Roman;Times"/>
          <w:color w:val="000000"/>
          <w:sz w:val="17"/>
          <w:highlight w:val="white"/>
        </w:rPr>
        <w:t xml:space="preserve">  If we liquidate, we would allocate any loss to the general partner and each unitholder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2"/>
        <w:gridCol w:w="9525"/>
      </w:tblGrid>
      <w:tr>
        <w:trPr/>
        <w:tc>
          <w:tcPr>
            <w:tcW w:w="4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Thereafter, 100% to the general partner.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Interim Adjustments to Capital Accounts.</w:t>
      </w:r>
      <w:r>
        <w:rPr>
          <w:rFonts w:ascii="Times New Roman;Times" w:hAnsi="Times New Roman;Times"/>
          <w:color w:val="000000"/>
          <w:sz w:val="17"/>
          <w:highlight w:val="white"/>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360" w:after="283"/>
        <w:rPr/>
      </w:pPr>
      <w:bookmarkStart w:id="21" w:name="119"/>
      <w:bookmarkEnd w:id="2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OUR PARTNERSHIP AGREEMENT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is a summary of the material provisions of our partnership agreement. The following provisions of our partnership agreement are summarized elsewhere in this prospectus: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1"/>
        <w:gridCol w:w="270"/>
        <w:gridCol w:w="9534"/>
      </w:tblGrid>
      <w:tr>
        <w:trPr/>
        <w:tc>
          <w:tcPr>
            <w:tcW w:w="40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distributions of our available cash are described under Cash Distribution Policy;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allocations of taxable income and other tax matters are described under Tax Considerations; and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rights of holders of common units are described under Description of Our Common Units.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Purpose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Power of Attorney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Reimbursements of Our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Issuance of Additional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Amendments to Our Partnership Agreement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Withdrawal or Removal of Our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Liquidation and Distribution of Proceeds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9"/>
        <w:gridCol w:w="9531"/>
      </w:tblGrid>
      <w:tr>
        <w:trPr/>
        <w:tc>
          <w:tcPr>
            <w:tcW w:w="40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first, towards the payment of all of our creditors and the creation of a reserve for contingent liabilities;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then, to all partners in accordance with the positive balance in the respective capital accounts.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Change of Management Provisions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partnership agreement contains the following specific provisions that are intended to discourage a person or group from attempting to remove our general partner or otherwise change management: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generally, if a person acquires 20% or more of any class of units then outstanding other than from our general partner or its affiliates, the units owned by such person cannot be voted on any matter;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Limited Call Right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Indemnification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Registration Rights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360" w:after="283"/>
        <w:rPr/>
      </w:pPr>
      <w:bookmarkStart w:id="22" w:name="120"/>
      <w:bookmarkEnd w:id="2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TAX CONSIDERATIONS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section is a summary of the material tax considerations that may be relevant to prospective unitholders who are individual citizens or residents of the United States and, unless otherwise noted in the following discussion, expresses the opinion of Vinson &amp; Elkins L.L.P., counsel to the general partner and us, insofar as it relates to matters of United States federal income tax law and legal conclusions with respect to those matters.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attempt has been made in the following discussion to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recommend that each prospective unitholder consult, and depend on, his own tax advisor in analyzing the federal, state, local and foreign tax consequences particular to him of the ownership or disposition of common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as to matters of law and legal conclusions, but not as to factual matters, contained in this section, unless otherwise noted, are the opinion of counsel and are based on the accuracy of the factual representations made by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ruling has been or will be requested from the IRS regarding any matter affecting us or prospective unitholders. An opinion of counsel represents only that counsels best legal judgment and does not bind the IRS or the courts. Accordingly, the opinions and statements made here may not be sustained by a court if contested by the IRS. Any contest of this sort with the IRS may materially and adversely impact the market for the common units and the prices at which common units trade. In addition, the costs of any contest with the IRS will be borne directly or indirectly by the unitholders and the general partner. Furthermore, the treatment of us, or an investment in us, may be significantly modified by future legislative or administrative changes or court decisions. Any modifications may or may not be retroactively applied.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the reasons described below, counsel has not rendered an opinion with respect to the following specific federal income tax issues: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the treatment of a unitholder whose common units are loaned to a short seller to cover a short sale of common units (please read  Tax Consequences of Unit Ownership  Treatment of Short Sales);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whether our monthly convention for allocating taxable income and losses is permitted by existing Treasury Regulations (please read  Disposition of Common Units  Allocations Between Transferors and Transferees); and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whether our method for depreciating Section 743 adjustments is sustainable (please read  Tax Consequences of Unit Ownership  Section 754 Election).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Partnership Status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unless the amount of cash distributed is in excess of the partners adjusted basis in his partnership interest.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ruling has been or will be sought from the IRS and the IRS has made no determination as to our status or the status of the operating partnerships as partnerships for federal income tax purposes or whether our operations generate qualifying income under Section 7704 of the Code. Instead, we will rely on the opinion of counsel that, based upon the Internal Revenue Code, its regulations, published revenue rulings and court decisions and the representations described below, we and the operating partnerships will be classified as a partnership for federal income tax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rendering its opinion, counsel has relied on factual representations made by us and the general partner. The representations made by us and our general partner upon which counsel has relied are: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neither we nor the operating partnerships will elect to be treated as a corporation;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for each taxable year, more than 90% of our gross income will be income from sources that our counsel has opined or will opine is qualifying income within the meaning of Section 7704(d) of the Internal Revenue Code.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assets held for the production of income that otherwise constitutes qualifying income. We estimate that less than 3% of our current income is not qualifying income; however, this estimate could change from time to time. Based upon and subject to this estimate, the factual representations made by us and the general partner and a review of the applicable legal authorities, counsel is of the opinion that at least 90% of our current gross income constitutes qualifying income.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fail to meet the Qualifying Income Exception, other than a failure which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were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has been reduced to zero. Accordingly, taxation as a corporation would result in a material reduction in a unitholders cash flow and after-tax return and thus would likely result in a substantial reduction of the value of the units.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discussion below is based on the conclusion that we will be classified as a partnership for federal income tax purposes.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Limited Partner Status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Unitholders who have become limited partners of Plains All American Pipeline will be treated as partners of Plains All American Pipeline for federal income tax purposes. Also: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1"/>
        <w:gridCol w:w="9528"/>
      </w:tblGrid>
      <w:tr>
        <w:trPr/>
        <w:tc>
          <w:tcPr>
            <w:tcW w:w="4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assignees who have executed and delivered transfer applications, and are awaiting admission as limited partners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will be treated as partners of Plains All American Pipeline for federal income tax purposes. As there is no direct authority addressing assignees of common units who are entitled to execute and deliver transfer applications and become entitled to direct the exercise of attendant rights, but who fail to execute and deliver transfer applications, counsels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beneficial owner of common units whose units have been transferred to a short seller to complete a short sale would appear to lose his status as a partner with respect to those units for federal income tax purposes. Please read  Tax Consequences of Unit Ownership  Treatment of Short Sales.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should consult their own tax advisors with respect to their status as partners in Plains All American Pipeline for federal income tax purposes.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Consequences of Unit Ownership</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Flow-through of Taxable Income.</w:t>
      </w:r>
      <w:r>
        <w:rPr>
          <w:rFonts w:ascii="Times New Roman;Times" w:hAnsi="Times New Roman;Times"/>
          <w:color w:val="000000"/>
          <w:sz w:val="17"/>
          <w:highlight w:val="white"/>
        </w:rPr>
        <w:t xml:space="preserve">  We will not pay any federal income tax. Instead, each unitholder will be required to report on his income tax return his share of our income, gains, losses and deductions without regard to whether corresponding cash distributions are received by that unitholder. Consequently, we may allocate income to a unitholder even if he has not received a cash distribution. Each unitholder will be required to include in income his share of our income, gains, losses and deductions for our taxable year ending with or within his taxable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Treatment of Distributions.</w:t>
      </w:r>
      <w:r>
        <w:rPr>
          <w:rFonts w:ascii="Times New Roman;Times" w:hAnsi="Times New Roman;Times"/>
          <w:color w:val="000000"/>
          <w:sz w:val="17"/>
          <w:highlight w:val="white"/>
        </w:rPr>
        <w:t xml:space="preserve">  Distributions by us to a unitholder generally will not be taxable to the unitholder for federal income tax purposes to the extent of his tax basis in his common units immediately before the distribution. Our cash distributions in excess of a unitholders tax basis generally will be considered to be gain from the sale or exchange of the common units, taxable in accordance with the rules described under 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 Limitations on Deductibility of Losses.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decrease in a unitholders percentage interest in us because of our issuance of additional common units will decrease his share of our nonrecourse liabilities, and thus will result in a corresponding deemed distribution of cash. A non-pro rata distribution of money or property may result in ordinary income to a unitholder, regardless of his tax basis in his common units, if the distribution reduces the unitholders share of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Basis of Common Units.</w:t>
      </w:r>
      <w:r>
        <w:rPr>
          <w:rFonts w:ascii="Times New Roman;Times" w:hAnsi="Times New Roman;Times"/>
          <w:color w:val="000000"/>
          <w:sz w:val="17"/>
          <w:highlight w:val="white"/>
        </w:rPr>
        <w:t xml:space="preserve">  A unitholders initial tax basis for his common units will be the amount he paid for the common units plus 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limited partner will have no share of our debt which is recourse to the general partner, but will have a share, generally based on his share of profits, of our nonrecourse liabilities. Please read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Limitations on Deductibility of Losses.</w:t>
      </w:r>
      <w:r>
        <w:rPr>
          <w:rFonts w:ascii="Times New Roman;Times" w:hAnsi="Times New Roman;Times"/>
          <w:color w:val="000000"/>
          <w:sz w:val="17"/>
          <w:highlight w:val="white"/>
        </w:rPr>
        <w:t xml:space="preserve">  The deduction by a unitholder of his share of our losses will be limited to the tax basis in his units and, in the case of an individual unitholder or a corporate unitholder, if more than 50% of the value of its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will no longer utilizable.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unitholders share of our net income may be offset by any suspended passive losses, but it may not be offset by any other current or carryover losses from other passive activities, including those attributable to other publicly-traded partnerships.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Limitations on Interest Deductions.</w:t>
      </w:r>
      <w:r>
        <w:rPr>
          <w:rFonts w:ascii="Times New Roman;Times" w:hAnsi="Times New Roman;Times"/>
          <w:color w:val="000000"/>
          <w:sz w:val="17"/>
          <w:highlight w:val="white"/>
        </w:rPr>
        <w:t xml:space="preserve">  The deductibility of a non-corporate taxpayers investment interest expense is generally limited to the amount of that taxpayers net investment income. Investment interest expense includes: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interest on indebtedness properly allocable to property held for investment;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our interest expense attributed to portfolio income;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the portion of interest expense incurred to purchase or carry an interest in a passive activity to the extent attributable to portfolio income.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from a publicly-traded partnership will be treated as investment income for purposes of the limitations on the deductibility of investment interest. In addition, the unitholders share of our portfolio income will be treated as investment income.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Entity-Level Collections.</w:t>
      </w:r>
      <w:r>
        <w:rPr>
          <w:rFonts w:ascii="Times New Roman;Times" w:hAnsi="Times New Roman;Times"/>
          <w:color w:val="000000"/>
          <w:sz w:val="17"/>
          <w:highlight w:val="white"/>
        </w:rPr>
        <w:t xml:space="preserve">  If we are required or elect under applicable law to pay any federal, state or local income tax on behalf of any unitholder or the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Allocation of Income, Gain, Loss and Deduction.</w:t>
      </w:r>
      <w:r>
        <w:rPr>
          <w:rFonts w:ascii="Times New Roman;Times" w:hAnsi="Times New Roman;Times"/>
          <w:color w:val="000000"/>
          <w:sz w:val="17"/>
          <w:highlight w:val="white"/>
        </w:rPr>
        <w:t xml:space="preserve">  In general, if we have a net profit, our items of income, gain, loss and deduction will be allocated among the general partner and the unitholders in accordance with their percentage 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the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Specified items of our income, gain, loss and deduction will be allocated to account for the difference between the tax basis and fair market value of property contributed to us by the general partner, referred to in this discussion as Contributed Property, and to account for the difference between the fair market value of our assets and their carrying value on our books at the time of an offering. The effect of these allocations to a unitholder purchasing common units in an offering will be essentially the same as if the tax basis of our assets were equal to their fair market value at the time of the offering.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to eliminate the negative balance as quickly as possible.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Counsel is of the opinion that, with the exception of the issues described in  Tax Consequences of Unit Ownership  Section 754 Election and  Disposition of Common Units  Allocations Between Transferors and Transferees, respectively, allocations under our partnership agreement will be given effect for federal income tax purposes in determining a partners share of an item of income, gain, loss or deduction.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Treatment of Short Sales.</w:t>
      </w:r>
      <w:r>
        <w:rPr>
          <w:rFonts w:ascii="Times New Roman;Times" w:hAnsi="Times New Roman;Times"/>
          <w:color w:val="000000"/>
          <w:sz w:val="17"/>
          <w:highlight w:val="white"/>
        </w:rPr>
        <w:t xml:space="preserve">  A unitholder whose units are loaned to a short seller to cover a short sale of units may be considered as having disposed of those units. If so, he would no longer be a partner with respect to those units during the period of the loan and may recognize gain or loss from the disposition. As a result, during this period: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any of our income, gain, loss or deduction with respect to those units would not be reportable by the unitholder;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any cash distributions received by the unitholder for those units would be fully taxable;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all of these distributions would appear to be ordinary income.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Counsel has not rendered an opinion regarding the treatment of a unitholder where common units are loaned to a short seller to cover a short sale of common units; therefore, unitholders desiring to ensure their status as partners and avoid the risk of gain recognition from a loan to a short seller should modify any applicable brokerage account agreements to prohibit their brokers from borrowing their units. The IRS has announced that it is actively studying issues relating to the tax treatment of short sales of partnership interests. Please read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Alternative Minimum Tax.</w:t>
      </w:r>
      <w:r>
        <w:rPr>
          <w:rFonts w:ascii="Times New Roman;Times" w:hAnsi="Times New Roman;Times"/>
          <w:color w:val="000000"/>
          <w:sz w:val="17"/>
          <w:highlight w:val="white"/>
        </w:rPr>
        <w:t xml:space="preserve">  Although it is not expected that we will generate significant tax preference items or adjustments,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should consult with their tax advisors as to the impact of an investment in units on their liability for the alternative minimum tax.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Tax Rates.</w:t>
      </w:r>
      <w:r>
        <w:rPr>
          <w:rFonts w:ascii="Times New Roman;Times" w:hAnsi="Times New Roman;Times"/>
          <w:color w:val="000000"/>
          <w:sz w:val="17"/>
          <w:highlight w:val="white"/>
        </w:rPr>
        <w:t xml:space="preserve">  In general the highest effective United States federal income tax rate for individuals currently is 35% and the maximum United States federal income tax rate for net capital gains of an individual currently is 15% if the asset disposed of was held for more than 12 months at the time of disposition.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Section 754 Election.</w:t>
      </w:r>
      <w:r>
        <w:rPr>
          <w:rFonts w:ascii="Times New Roman;Times" w:hAnsi="Times New Roman;Times"/>
          <w:color w:val="000000"/>
          <w:sz w:val="17"/>
          <w:highlight w:val="white"/>
        </w:rPr>
        <w:t xml:space="preserve">  We have made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partners. For purposes of this discussion, a partners inside basis in our assets will be considered to have two components: (1) his share of our tax basis in our assets (common basis) and (2) his Section 743(b) adjustment to that basis.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Treasury regulations under Section 743 of the Internal Revenue Code require, if the remedial allocation method is adopted (which we have adopted), a portion of the Section 743(b) adjustment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the general partner is authorized to take a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position to preserve the uniformity of units even if that position is not consistent with these Treasury Regulations. Please read  Tax Treatment of Operations and  Uniformity of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counsel is unable to opine as to the validity of this approach because there is no clear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regulations under Section 743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a smaller share of any gain or loss on a sale of our assets.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Treatment of Operations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Accounting Method and Taxable Year.</w:t>
      </w:r>
      <w:r>
        <w:rPr>
          <w:rFonts w:ascii="Times New Roman;Times" w:hAnsi="Times New Roman;Times"/>
          <w:color w:val="000000"/>
          <w:sz w:val="17"/>
          <w:highlight w:val="white"/>
        </w:rPr>
        <w:t xml:space="preserve">  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 Disposition of Common Units  Allocations Between Transferors and Transferees.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Initial Tax Basis, Depreciation and Amortization.</w:t>
      </w:r>
      <w:r>
        <w:rPr>
          <w:rFonts w:ascii="Times New Roman;Times" w:hAnsi="Times New Roman;Times"/>
          <w:color w:val="000000"/>
          <w:sz w:val="17"/>
          <w:highlight w:val="white"/>
        </w:rPr>
        <w:t xml:space="preserve">  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this offering will be borne by partners holding interests in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us prior to this offering. Please read  Tax Consequences of Unit Ownership  Allocation of Income, Gain, Loss and Deduction.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we own will likely be required to recapture some or all of those deductions as ordinary income upon a sale of his interest in us. Please read  Tax Consequences of Unit Ownership  Allocation of Income, Gain, Loss and Deduction and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Valuation and Tax Basis of Our Properties.</w:t>
      </w:r>
      <w:r>
        <w:rPr>
          <w:rFonts w:ascii="Times New Roman;Times" w:hAnsi="Times New Roman;Times"/>
          <w:color w:val="000000"/>
          <w:sz w:val="17"/>
          <w:highlight w:val="white"/>
        </w:rPr>
        <w:t xml:space="preserve">  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Disposition of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Recognition of Gain or Loss.</w:t>
      </w:r>
      <w:r>
        <w:rPr>
          <w:rFonts w:ascii="Times New Roman;Times" w:hAnsi="Times New Roman;Times"/>
          <w:color w:val="000000"/>
          <w:sz w:val="17"/>
          <w:highlight w:val="white"/>
        </w:rPr>
        <w:t xml:space="preserve">  Gain or loss will be recognized on a sale of units equal to the difference between the amount realized and the unitholders tax basis for the units sold. A unitholders amount realized will be measured by the sum of the cash or the fair market value of other property received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is less than his original cost.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12 months will generally be taxed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income and a capital loss upon a sale of units. Capital losses may offset capital gains and no more than $3,000 of ordinary income in the case of individuals, and may only be used to offset capital gains in the case of corporations.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should consult his tax advisor as to the possible consequences of this ruling and application of the regulations.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 short sale;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 futures or forward contract with respect to the partnership interest or substantially identical property.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Allocations Between Transferors and Transferees.</w:t>
      </w:r>
      <w:r>
        <w:rPr>
          <w:rFonts w:ascii="Times New Roman;Times" w:hAnsi="Times New Roman;Times"/>
          <w:color w:val="000000"/>
          <w:sz w:val="17"/>
          <w:highlight w:val="white"/>
        </w:rPr>
        <w:t xml:space="preserve">  In general, our taxable income and losses will be determined annually, will be prorated on a monthly basis and will be subsequently apportioned among the unitholders in proportion to 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use of this method may not be permitted under existing Treasury regulations. Accordingly, counsel is unable to opine on the validity of this method of allocating income and deductions between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unitholders to conform to a method permitted under future Treasury Regulations.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Notification Requirements.</w:t>
      </w:r>
      <w:r>
        <w:rPr>
          <w:rFonts w:ascii="Times New Roman;Times" w:hAnsi="Times New Roman;Times"/>
          <w:color w:val="000000"/>
          <w:sz w:val="17"/>
          <w:highlight w:val="white"/>
        </w:rPr>
        <w:t xml:space="preserve">  A unitholder who sells or exchanges units, other than through a broker, generally is required to notify us in writing of that sale or exchange within 30 days after the sale or exchange (or, if earlier, January 15 of the year following the sale). A unitholder who acquires units generally is required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notify us in writing of that acquisition within 30 days of that purchase, unless a broker or nominee will satisfy such requirement. We are required to notify the IRS of any such transfers and to furnish specified information to the transferor and transferee. Failure to satisfy these reporting obligations may, in some cases, lead to the imposition of penalties.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Constructive Termination.</w:t>
      </w:r>
      <w:r>
        <w:rPr>
          <w:rFonts w:ascii="Times New Roman;Times" w:hAnsi="Times New Roman;Times"/>
          <w:color w:val="000000"/>
          <w:sz w:val="17"/>
          <w:highlight w:val="white"/>
        </w:rPr>
        <w:t xml:space="preserve">  We will be considered to have been terminated for tax purposes if there is a sale or exchange of 50% or more of the total interests in our capital and profits within a 12-month period. A constructive termination results in the closing of our taxable year for all unitholders. In the case of a unitholder reporting on a taxable year other than a fiscal year ending December 31, the closing of our taxable year may result in more than 12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Uniformity of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read  Tax Consequences of Unit Ownership  Section 754 Election.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portion may be inconsistent with Treasury Regulation Section 1.167(c)-1(a)(6), which is not expected to directly apply to a material portion of our assets. Please read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 Disposition of Common Units  Recognition of Gain or Loss.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Tax-Exempt Organizations and Other Investors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plans and most other organizations exempt from federal income tax, including individual retirement accounts and other retirement plans, are subject to federal income tax on unrelated business taxable income. Virtually all of our income allocated to a unitholder which is a tax-exempt organization will be unrelated business taxable income and will be taxable to the unitholder.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tax years beginning on or prior to October 22, 2004, a regulated investment company or mutual fund is required to derive 90% or more of its gross income from interest, dividends and gains from the sale of stocks or securities or foreign currency or specified related sources. It is not anticipated that any significant amount of our gross income will include that type of income. Recent legislation adds net income derived from the ownership of an interest in a qualified publicly traded partnership to the categories of qualified income for a regulated investment company. We expect that we will meet the definition of a qualified publicly traded partnership. However, this legislation is only effective for taxable years beginning after October 22, 2004.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income or gain. And, under rules applicable to publicly traded partnerships, we will withhold tax at the highest effective applicable rate from cash distributions made quarterly to foreign unitholders. Each foreign unitholder must obtain a taxpayer identification number from the IRS and submit that number to our transfer agent on a Form W-8 BEN or applicable substitute form in order to obtain credit for these withholding taxes.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because a foreign corporation that owns units will be treated as engaged in a United States trade or business, that corporation may be subject to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a ruling of the IRS, a foreign unitholder who sells or otherwise disposes of a unit will be subject to federal income tax on gain realized on the disposition of that unit to the extent that this gain is effectively connected with a United States trade or business of the foreign unitholder. Apart from the ruling, a foreign unitholder will not be taxed or subject to withholding upon the disposition of a unit if he has owned less than 5% in value of the units during the five-year period ending on the date of the disposition and if the units are regularly traded on an established securities market at the time of the disposition.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Administrative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Information Returns and Audit Procedures.</w:t>
      </w:r>
      <w:r>
        <w:rPr>
          <w:rFonts w:ascii="Times New Roman;Times" w:hAnsi="Times New Roman;Times"/>
          <w:color w:val="000000"/>
          <w:sz w:val="17"/>
          <w:highlight w:val="white"/>
        </w:rPr>
        <w:t xml:space="preserve">  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the unitholders share of income, gain, loss and deduction. We cannot assure you that those positions will yield a result that conforms to the requirements of the Internal Revenue Code, regulations or administrative interpretations of the IRS. Neither we nor counsel can assure prospective unitholders that the IRS will not successfully contend in court that those positions are impermissible. Any challenge by the IRS could negatively affect the value of the units.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IRS may audit our federal income tax information returns. Adjustments resulting from an IRS audit may require each unitholder to adjust a prior years tax liability, and possibly may result in an audit of that unitholders own return. Any audit of a unitholders return could result in adjustments not related to our returns as well as those related to our returns.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The partnership agreement appoints the general partner as our Tax Matters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However, if we elect to be treated as a large partnership, a unitholder will not have the right to participate in settlement conferences with the IRS or to seek a refund.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 must file a statement with the IRS identifying the treatment of any item on his federal income tax return that is not consistent with the treatment of the item on our return. Intentional or negligent disregard of the consistency requirement may subject a unitholder to substantial penalties. However, if we elect to be treated as a large partnership, the unitholders would be required to treat all partnership items in a manner consistent with our return.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Nominee Reporting.</w:t>
      </w:r>
      <w:r>
        <w:rPr>
          <w:rFonts w:ascii="Times New Roman;Times" w:hAnsi="Times New Roman;Times"/>
          <w:color w:val="000000"/>
          <w:sz w:val="17"/>
          <w:highlight w:val="white"/>
        </w:rPr>
        <w:t xml:space="preserve">  Persons who hold an interest in us as a nominee for another person are required to furnish to us: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4"/>
        <w:gridCol w:w="9537"/>
      </w:tblGrid>
      <w:tr>
        <w:trPr/>
        <w:tc>
          <w:tcPr>
            <w:tcW w:w="40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name, address and taxpayer identification number of the beneficial owner and the nominee;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whether the beneficial owner is a person that is not a United States person,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 foreign government, an international organization or any wholly owned agency or instrumentality of either of the foregoing, or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 tax-exempt entity;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amount and description of units held, acquired or transferred for the beneficial owner;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specific information including the dates of acquisitions and transfers, means of acquisitions and transfers, and acquisition cost for purchases, as well as the amount of net proceeds from sales.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Accuracy-related Penalties.</w:t>
      </w:r>
      <w:r>
        <w:rPr>
          <w:rFonts w:ascii="Times New Roman;Times" w:hAnsi="Times New Roman;Times"/>
          <w:color w:val="000000"/>
          <w:sz w:val="17"/>
          <w:highlight w:val="white"/>
        </w:rPr>
        <w:t xml:space="preserve">  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substantial understatement of income tax in any taxable year exists if the amount of the understatement exceeds the greater of 10% of the tax required to be shown on the return for the taxable year or $5,000.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amount of any understatement subject to penalty generally is reduced if any portion is attributable to a position adopted on the return: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6"/>
        <w:gridCol w:w="9531"/>
      </w:tblGrid>
      <w:tr>
        <w:trPr/>
        <w:tc>
          <w:tcPr>
            <w:tcW w:w="40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for which there is, or was, substantial authority,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as to which there is a reasonable basis and the pertinent facts of that position are disclosed on the return.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to avoid liability for this penalty. More stringent rules apply to tax shelters, which we do not believe includes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If the valuation claimed on a return is 400% or more than the correct valuation, the penalty imposed increases to 40%.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Reportable Transactions.</w:t>
      </w:r>
      <w:r>
        <w:rPr>
          <w:rFonts w:ascii="Times New Roman;Times" w:hAnsi="Times New Roman;Times"/>
          <w:color w:val="000000"/>
          <w:sz w:val="17"/>
          <w:highlight w:val="white"/>
        </w:rPr>
        <w:t xml:space="preserve">  If we were to engage in a reportable transaction, we (and possibly you and others) would be required to 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 Information Returns and Audit Procedures above.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6"/>
        <w:gridCol w:w="262"/>
        <w:gridCol w:w="9547"/>
      </w:tblGrid>
      <w:tr>
        <w:trPr/>
        <w:tc>
          <w:tcPr>
            <w:tcW w:w="39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47" w:type="dxa"/>
            <w:tcBorders/>
            <w:shd w:fill="auto" w:val="clear"/>
            <w:vAlign w:val="cente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accuracy-related penalties with a broader scope, significantly narrower exceptions, and potentially greater amounts than described above at  Accuracy-related Penalties,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for those persons otherwise entitled to deduct interest on federal tax deficiencies, nondeductibility of interest on any resulting tax liability and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in the case of a listed transaction, an extended statute of limitations.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do not expect to engage in any reportable transactions.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State, Local and Other Tax Considerations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federal income taxes, you may be subject to other taxes, such as state and local and Canadian federal and provincial taxes, unincorporated business taxes, and estate, inheritance or intangible taxes that may be imposed by the various jurisdictions in which we do business or own property. Although an analysis of those various taxes is not presented herein, each prospective unitholder should consider their potential impact on his investment in us. We will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of the states may require us to withhold a percentage of income from amounts to be distributed to a unitholder who is not a resident of the state. Withholding, the amount of which may be greater or less than a particular unitholders income tax liability to the state, generally does not relieve the non-resident unitholder from the obligation to file an income tax return. Amounts withheld may be treated as if distributed to unitholders for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purposes of determining the amount distributed by us. Please read  Tax Consequences of Unit Ownership. We may also own additional property or do business in other states in the future.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Consequences of Ownership of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description of the material federal income tax consequences of the acquisition, ownership and disposition of debt securities will be set forth in the prospectus supplement relating to the offering of debt securities.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Counsel has not rendered an opinion on the Canadian federal, Canadian provincial, state or local tax consequences of an investment in us.</w:t>
      </w:r>
      <w:r>
        <w:rPr>
          <w:rFonts w:ascii="Times New Roman;Times" w:hAnsi="Times New Roman;Times"/>
          <w:color w:val="000000"/>
          <w:sz w:val="17"/>
          <w:highlight w:val="white"/>
        </w:rPr>
        <w:t xml:space="preserve"> </w:t>
      </w:r>
    </w:p>
    <w:p>
      <w:pPr>
        <w:pStyle w:val="TextBody"/>
        <w:spacing w:before="360" w:after="283"/>
        <w:rPr/>
      </w:pPr>
      <w:bookmarkStart w:id="23" w:name="121"/>
      <w:bookmarkEnd w:id="2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PLAN OF DISTRIBUTION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this prospectus, we intend to offer our securities to the public: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1"/>
        <w:gridCol w:w="9541"/>
      </w:tblGrid>
      <w:tr>
        <w:trPr/>
        <w:tc>
          <w:tcPr>
            <w:tcW w:w="40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through one or more broker-dealers;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through underwriters;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directly to investors.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fix a price or prices of our securities at: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2"/>
        <w:gridCol w:w="9525"/>
      </w:tblGrid>
      <w:tr>
        <w:trPr/>
        <w:tc>
          <w:tcPr>
            <w:tcW w:w="4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at market prices prevailing at the time of any sale under this registration statement;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prices related to market prices;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negotiated prices.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change the price of the securities offered from time to time.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7"/>
        <w:gridCol w:w="9536"/>
      </w:tblGrid>
      <w:tr>
        <w:trPr/>
        <w:tc>
          <w:tcPr>
            <w:tcW w:w="40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or through one or more transactions (which may involve crosses and block transactions) or distributions;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on the New York Stock Exchange;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the over-the-counter market; 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private transactions.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the extent required, this prospectus may be amended or supplemented from time to time to describe a specific plan of distribution.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spacing w:before="360" w:after="283"/>
        <w:rPr/>
      </w:pPr>
      <w:bookmarkStart w:id="24" w:name="122"/>
      <w:bookmarkEnd w:id="2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LEGAL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Vinson &amp; Elkins L.L.P., Houston, Texas, will pass upon the validity of the securities offered in this registration statement. </w:t>
      </w:r>
    </w:p>
    <w:p>
      <w:pPr>
        <w:pStyle w:val="TextBody"/>
        <w:spacing w:before="360" w:after="283"/>
        <w:rPr/>
      </w:pPr>
      <w:bookmarkStart w:id="25" w:name="123"/>
      <w:bookmarkEnd w:id="2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EXPERTS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balance sheet as of December 31, 2004 of Plains AAP, L.P. incorporated in this Prospectus by reference to Plains All American Pipeline, L.P.s Current Report on Form 8-K filed April 8, 2005 has been so incorporated in reliance on the report of PricewaterhouseCoopers LLP, an independent registered public accounting firm, given on the authority of said firm as experts in auditing and accounting. </w:t>
      </w:r>
    </w:p>
    <w:p>
      <w:pPr>
        <w:pStyle w:val="TextBody"/>
        <w:shd w:fill="FFFFFF" w:val="clear"/>
        <w:spacing w:before="0" w:after="283"/>
        <w:jc w:val="center"/>
        <w:rPr>
          <w:rFonts w:ascii="Times New Roman;Times" w:hAnsi="Times New Roman;Times"/>
          <w:color w:val="000000"/>
          <w:sz w:val="17"/>
        </w:rPr>
      </w:pPr>
      <w:r>
        <w:rPr>
          <w:rFonts w:ascii="Times New Roman;Times" w:hAnsi="Times New Roman;Times"/>
          <w:color w:val="000000"/>
          <w:sz w:val="17"/>
        </w:rPr>
        <w:br/>
        <w:t xml:space="preserve">43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55</Pages>
  <Words>31086</Words>
  <CharactersWithSpaces>193018</CharactersWithSpaces>
  <Paragraphs>2634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e424b5</dc:title>
</cp:coreProperties>
</file>