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6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August 3, 2021</w:t>
      </w:r>
    </w:p>
    <w:p>
      <w:pPr>
        <w:spacing w:after="0" w:line="24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Plains All American Pipeline, L.P.</w:t>
      </w:r>
    </w:p>
    <w:p>
      <w:pPr>
        <w:spacing w:after="0" w:line="3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20"/>
          </w:cols>
          <w:pgMar w:left="320" w:top="1421" w:right="359" w:bottom="1440" w:gutter="0" w:footer="0" w:header="0"/>
        </w:sectPr>
      </w:pPr>
    </w:p>
    <w:p>
      <w:pPr>
        <w:spacing w:after="0" w:line="30" w:lineRule="exact"/>
        <w:rPr>
          <w:sz w:val="24"/>
          <w:szCs w:val="24"/>
          <w:color w:val="auto"/>
        </w:rPr>
      </w:pPr>
    </w:p>
    <w:p>
      <w:pPr>
        <w:jc w:val="center"/>
        <w:ind w:left="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left="36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88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880"/>
        <w:spacing w:after="0"/>
        <w:rPr>
          <w:sz w:val="20"/>
          <w:szCs w:val="20"/>
          <w:color w:val="auto"/>
        </w:rPr>
      </w:pPr>
      <w:r>
        <w:rPr>
          <w:rFonts w:ascii="Arial" w:cs="Arial" w:eastAsia="Arial" w:hAnsi="Arial"/>
          <w:sz w:val="17"/>
          <w:szCs w:val="17"/>
          <w:color w:val="auto"/>
        </w:rPr>
        <w:t>(IRS Employer Identification No.)</w:t>
      </w:r>
    </w:p>
    <w:p>
      <w:pPr>
        <w:spacing w:after="0" w:line="3" w:lineRule="exact"/>
        <w:rPr>
          <w:sz w:val="24"/>
          <w:szCs w:val="24"/>
          <w:color w:val="auto"/>
        </w:rPr>
      </w:pPr>
    </w:p>
    <w:p>
      <w:pPr>
        <w:sectPr>
          <w:pgSz w:w="11900" w:h="16838" w:orient="portrait"/>
          <w:cols w:equalWidth="0" w:num="3">
            <w:col w:w="3900" w:space="720"/>
            <w:col w:w="2520" w:space="720"/>
            <w:col w:w="3360"/>
          </w:cols>
          <w:pgMar w:left="320" w:top="1421" w:right="359" w:bottom="1440" w:gutter="0" w:footer="0" w:header="0"/>
          <w:type w:val="continuous"/>
        </w:sectPr>
      </w:pPr>
    </w:p>
    <w:p>
      <w:pPr>
        <w:ind w:left="1620"/>
        <w:spacing w:after="0"/>
        <w:rPr>
          <w:sz w:val="20"/>
          <w:szCs w:val="20"/>
          <w:color w:val="auto"/>
        </w:rPr>
      </w:pPr>
      <w:r>
        <w:rPr>
          <w:rFonts w:ascii="Arial" w:cs="Arial" w:eastAsia="Arial" w:hAnsi="Arial"/>
          <w:sz w:val="18"/>
          <w:szCs w:val="18"/>
          <w:color w:val="auto"/>
        </w:rPr>
        <w:t>incorporation)</w:t>
      </w:r>
    </w:p>
    <w:p>
      <w:pPr>
        <w:spacing w:after="0" w:line="319" w:lineRule="exact"/>
        <w:rPr>
          <w:sz w:val="24"/>
          <w:szCs w:val="24"/>
          <w:color w:val="auto"/>
        </w:rPr>
      </w:pPr>
    </w:p>
    <w:p>
      <w:pPr>
        <w:ind w:left="372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780"/>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220"/>
          </w:cols>
          <w:pgMar w:left="320" w:top="1421" w:right="359" w:bottom="1440" w:gutter="0" w:footer="0" w:header="0"/>
          <w:type w:val="continuous"/>
        </w:sectPr>
      </w:pP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960" w:firstLine="8"/>
        <w:spacing w:after="0" w:line="553" w:lineRule="auto"/>
        <w:tabs>
          <w:tab w:leader="none" w:pos="21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3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3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Trading Symbol(s)</w:t>
            </w:r>
          </w:p>
        </w:tc>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Common Units</w:t>
            </w:r>
          </w:p>
        </w:tc>
        <w:tc>
          <w:tcPr>
            <w:tcW w:w="120" w:type="dxa"/>
            <w:vAlign w:val="bottom"/>
          </w:tcPr>
          <w:p>
            <w:pPr>
              <w:spacing w:after="0"/>
              <w:rPr>
                <w:sz w:val="19"/>
                <w:szCs w:val="19"/>
                <w:color w:val="auto"/>
              </w:rPr>
            </w:pP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PAA</w:t>
            </w:r>
          </w:p>
        </w:tc>
        <w:tc>
          <w:tcPr>
            <w:tcW w:w="120" w:type="dxa"/>
            <w:vAlign w:val="bottom"/>
          </w:tcPr>
          <w:p>
            <w:pPr>
              <w:spacing w:after="0"/>
              <w:rPr>
                <w:sz w:val="19"/>
                <w:szCs w:val="19"/>
                <w:color w:val="auto"/>
              </w:rPr>
            </w:pPr>
          </w:p>
        </w:tc>
        <w:tc>
          <w:tcPr>
            <w:tcW w:w="4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309"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91" w:lineRule="exact"/>
        <w:rPr>
          <w:sz w:val="24"/>
          <w:szCs w:val="24"/>
          <w:color w:val="auto"/>
        </w:rPr>
      </w:pPr>
    </w:p>
    <w:p>
      <w:pPr>
        <w:ind w:right="220"/>
        <w:spacing w:after="0" w:line="22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840740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64770</wp:posOffset>
            </wp:positionV>
            <wp:extent cx="70891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4445</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and Item 7.01. Results of Operations and Financial Condition; Regulation FD Disclosure.</w:t>
      </w:r>
    </w:p>
    <w:p>
      <w:pPr>
        <w:spacing w:after="0" w:line="256" w:lineRule="exact"/>
        <w:rPr>
          <w:sz w:val="20"/>
          <w:szCs w:val="20"/>
          <w:color w:val="auto"/>
        </w:rPr>
      </w:pPr>
    </w:p>
    <w:p>
      <w:pPr>
        <w:ind w:firstLine="180"/>
        <w:spacing w:after="0" w:line="257" w:lineRule="auto"/>
        <w:rPr>
          <w:sz w:val="20"/>
          <w:szCs w:val="20"/>
          <w:color w:val="auto"/>
        </w:rPr>
      </w:pPr>
      <w:r>
        <w:rPr>
          <w:rFonts w:ascii="Arial" w:cs="Arial" w:eastAsia="Arial" w:hAnsi="Arial"/>
          <w:sz w:val="18"/>
          <w:szCs w:val="18"/>
          <w:color w:val="auto"/>
        </w:rPr>
        <w:t>On August 3, 2021, the Registrant issued a press release reporting its second-quarter 2021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 Exhibits.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0" w:type="dxa"/>
            <w:vAlign w:val="bottom"/>
          </w:tcPr>
          <w:p>
            <w:pPr>
              <w:spacing w:after="0"/>
              <w:rPr>
                <w:sz w:val="16"/>
                <w:szCs w:val="16"/>
                <w:color w:val="auto"/>
              </w:rPr>
            </w:pPr>
          </w:p>
        </w:tc>
        <w:tc>
          <w:tcPr>
            <w:tcW w:w="1280" w:type="dxa"/>
            <w:vAlign w:val="bottom"/>
            <w:gridSpan w:val="2"/>
          </w:tcPr>
          <w:p>
            <w:pPr>
              <w:ind w:left="660"/>
              <w:spacing w:after="0"/>
              <w:rPr>
                <w:sz w:val="20"/>
                <w:szCs w:val="20"/>
                <w:color w:val="auto"/>
              </w:rPr>
            </w:pPr>
            <w:r>
              <w:rPr>
                <w:rFonts w:ascii="Arial" w:cs="Arial" w:eastAsia="Arial" w:hAnsi="Arial"/>
                <w:sz w:val="16"/>
                <w:szCs w:val="16"/>
                <w:b w:val="1"/>
                <w:bCs w:val="1"/>
                <w:color w:val="auto"/>
              </w:rPr>
              <w:t>Exhibit</w:t>
            </w:r>
          </w:p>
        </w:tc>
        <w:tc>
          <w:tcPr>
            <w:tcW w:w="6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6060" w:type="dxa"/>
            <w:vAlign w:val="bottom"/>
            <w:gridSpan w:val="2"/>
            <w:vMerge w:val="restart"/>
          </w:tcPr>
          <w:p>
            <w:pPr>
              <w:ind w:left="36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13"/>
        </w:trPr>
        <w:tc>
          <w:tcPr>
            <w:tcW w:w="660" w:type="dxa"/>
            <w:vAlign w:val="bottom"/>
          </w:tcPr>
          <w:p>
            <w:pPr>
              <w:spacing w:after="0"/>
              <w:rPr>
                <w:sz w:val="18"/>
                <w:szCs w:val="18"/>
                <w:color w:val="auto"/>
              </w:rPr>
            </w:pPr>
          </w:p>
        </w:tc>
        <w:tc>
          <w:tcPr>
            <w:tcW w:w="1280" w:type="dxa"/>
            <w:vAlign w:val="bottom"/>
            <w:gridSpan w:val="2"/>
          </w:tcPr>
          <w:p>
            <w:pPr>
              <w:ind w:left="300"/>
              <w:spacing w:after="0"/>
              <w:rPr>
                <w:sz w:val="20"/>
                <w:szCs w:val="20"/>
                <w:color w:val="auto"/>
              </w:rPr>
            </w:pPr>
            <w:r>
              <w:rPr>
                <w:rFonts w:ascii="Arial" w:cs="Arial" w:eastAsia="Arial" w:hAnsi="Arial"/>
                <w:sz w:val="16"/>
                <w:szCs w:val="16"/>
                <w:b w:val="1"/>
                <w:bCs w:val="1"/>
                <w:color w:val="auto"/>
              </w:rPr>
              <w:t>Number</w:t>
            </w: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660" w:type="dxa"/>
            <w:vAlign w:val="bottom"/>
          </w:tcPr>
          <w:p>
            <w:pPr>
              <w:spacing w:after="0"/>
              <w:rPr>
                <w:sz w:val="16"/>
                <w:szCs w:val="16"/>
                <w:color w:val="auto"/>
              </w:rPr>
            </w:pPr>
          </w:p>
        </w:tc>
        <w:tc>
          <w:tcPr>
            <w:tcW w:w="1200" w:type="dxa"/>
            <w:vAlign w:val="bottom"/>
            <w:tcBorders>
              <w:top w:val="single" w:sz="8" w:color="auto"/>
            </w:tcBorders>
          </w:tcPr>
          <w:p>
            <w:pPr>
              <w:jc w:val="right"/>
              <w:ind w:right="36"/>
              <w:spacing w:after="0" w:line="185" w:lineRule="exact"/>
              <w:rPr>
                <w:sz w:val="20"/>
                <w:szCs w:val="20"/>
                <w:color w:val="auto"/>
              </w:rPr>
            </w:pPr>
            <w:r>
              <w:rPr>
                <w:rFonts w:ascii="Arial" w:cs="Arial" w:eastAsia="Arial" w:hAnsi="Arial"/>
                <w:sz w:val="18"/>
                <w:szCs w:val="18"/>
                <w:color w:val="auto"/>
              </w:rPr>
              <w:t>99.1</w:t>
            </w:r>
          </w:p>
        </w:tc>
        <w:tc>
          <w:tcPr>
            <w:tcW w:w="8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580" w:type="dxa"/>
            <w:vAlign w:val="bottom"/>
            <w:tcBorders>
              <w:top w:val="single" w:sz="8" w:color="auto"/>
              <w:bottom w:val="single" w:sz="8" w:color="0000FF"/>
            </w:tcBorders>
          </w:tcPr>
          <w:p>
            <w:pPr>
              <w:spacing w:after="0" w:line="185" w:lineRule="exact"/>
              <w:rPr>
                <w:rFonts w:ascii="Arial" w:cs="Arial" w:eastAsia="Arial" w:hAnsi="Arial"/>
                <w:sz w:val="18"/>
                <w:szCs w:val="18"/>
                <w:color w:val="0000FF"/>
                <w:w w:val="87"/>
              </w:rPr>
            </w:pPr>
            <w:hyperlink w:anchor="page4">
              <w:r>
                <w:rPr>
                  <w:rFonts w:ascii="Arial" w:cs="Arial" w:eastAsia="Arial" w:hAnsi="Arial"/>
                  <w:sz w:val="18"/>
                  <w:szCs w:val="18"/>
                  <w:color w:val="0000FF"/>
                  <w:w w:val="87"/>
                </w:rPr>
                <w:t>Press Release dated August 3, 2021</w:t>
              </w:r>
            </w:hyperlink>
          </w:p>
        </w:tc>
        <w:tc>
          <w:tcPr>
            <w:tcW w:w="4100" w:type="dxa"/>
            <w:vAlign w:val="bottom"/>
            <w:tcBorders>
              <w:top w:val="single" w:sz="8" w:color="auto"/>
            </w:tcBorders>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860" w:type="dxa"/>
            <w:vAlign w:val="bottom"/>
            <w:gridSpan w:val="2"/>
          </w:tcPr>
          <w:p>
            <w:pPr>
              <w:jc w:val="right"/>
              <w:ind w:right="56"/>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107"/>
        </w:trPr>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340" w:type="dxa"/>
            <w:vAlign w:val="bottom"/>
            <w:gridSpan w:val="3"/>
          </w:tcPr>
          <w:p>
            <w:pPr>
              <w:jc w:val="right"/>
              <w:ind w:right="3539"/>
              <w:spacing w:after="0"/>
              <w:rPr>
                <w:sz w:val="20"/>
                <w:szCs w:val="20"/>
                <w:color w:val="auto"/>
              </w:rPr>
            </w:pPr>
            <w:r>
              <w:rPr>
                <w:rFonts w:ascii="Arial" w:cs="Arial" w:eastAsia="Arial" w:hAnsi="Arial"/>
                <w:sz w:val="18"/>
                <w:szCs w:val="18"/>
                <w:color w:val="auto"/>
              </w:rPr>
              <w:t>2</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410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ind w:right="700" w:firstLine="180"/>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p>
        </w:tc>
        <w:tc>
          <w:tcPr>
            <w:tcW w:w="8160" w:type="dxa"/>
            <w:vAlign w:val="bottom"/>
            <w:gridSpan w:val="3"/>
          </w:tcPr>
          <w:p>
            <w:pPr>
              <w:ind w:left="1480"/>
              <w:spacing w:after="0"/>
              <w:rPr>
                <w:sz w:val="20"/>
                <w:szCs w:val="20"/>
                <w:color w:val="auto"/>
              </w:rPr>
            </w:pPr>
            <w:r>
              <w:rPr>
                <w:rFonts w:ascii="Arial" w:cs="Arial" w:eastAsia="Arial" w:hAnsi="Arial"/>
                <w:sz w:val="18"/>
                <w:szCs w:val="18"/>
                <w:color w:val="auto"/>
              </w:rPr>
              <w:t>PLAINS ALL AMERICAN PIPELINE, L.P.</w:t>
            </w:r>
          </w:p>
        </w:tc>
      </w:tr>
      <w:tr>
        <w:trPr>
          <w:trHeight w:val="499"/>
        </w:trPr>
        <w:tc>
          <w:tcPr>
            <w:tcW w:w="3040" w:type="dxa"/>
            <w:vAlign w:val="bottom"/>
          </w:tcPr>
          <w:p>
            <w:pPr>
              <w:spacing w:after="0"/>
              <w:rPr>
                <w:sz w:val="24"/>
                <w:szCs w:val="24"/>
                <w:color w:val="auto"/>
              </w:rPr>
            </w:pPr>
          </w:p>
        </w:tc>
        <w:tc>
          <w:tcPr>
            <w:tcW w:w="8160" w:type="dxa"/>
            <w:vAlign w:val="bottom"/>
            <w:gridSpan w:val="3"/>
          </w:tcPr>
          <w:p>
            <w:pPr>
              <w:ind w:left="1480"/>
              <w:spacing w:after="0"/>
              <w:rPr>
                <w:sz w:val="20"/>
                <w:szCs w:val="20"/>
                <w:color w:val="auto"/>
              </w:rPr>
            </w:pPr>
            <w:r>
              <w:rPr>
                <w:rFonts w:ascii="Arial" w:cs="Arial" w:eastAsia="Arial" w:hAnsi="Arial"/>
                <w:sz w:val="18"/>
                <w:szCs w:val="18"/>
                <w:color w:val="auto"/>
              </w:rPr>
              <w:t>By:  PAA GP LLC, its general partner</w:t>
            </w:r>
          </w:p>
        </w:tc>
      </w:tr>
      <w:tr>
        <w:trPr>
          <w:trHeight w:val="500"/>
        </w:trPr>
        <w:tc>
          <w:tcPr>
            <w:tcW w:w="3040" w:type="dxa"/>
            <w:vAlign w:val="bottom"/>
          </w:tcPr>
          <w:p>
            <w:pPr>
              <w:spacing w:after="0"/>
              <w:rPr>
                <w:sz w:val="24"/>
                <w:szCs w:val="24"/>
                <w:color w:val="auto"/>
              </w:rPr>
            </w:pPr>
          </w:p>
        </w:tc>
        <w:tc>
          <w:tcPr>
            <w:tcW w:w="8160" w:type="dxa"/>
            <w:vAlign w:val="bottom"/>
            <w:gridSpan w:val="3"/>
          </w:tcPr>
          <w:p>
            <w:pPr>
              <w:ind w:left="1480"/>
              <w:spacing w:after="0"/>
              <w:rPr>
                <w:sz w:val="20"/>
                <w:szCs w:val="20"/>
                <w:color w:val="auto"/>
              </w:rPr>
            </w:pPr>
            <w:r>
              <w:rPr>
                <w:rFonts w:ascii="Arial" w:cs="Arial" w:eastAsia="Arial" w:hAnsi="Arial"/>
                <w:sz w:val="18"/>
                <w:szCs w:val="18"/>
                <w:color w:val="auto"/>
              </w:rPr>
              <w:t>By:  Plains AAP, L.P., its sole member</w:t>
            </w:r>
          </w:p>
        </w:tc>
      </w:tr>
      <w:tr>
        <w:trPr>
          <w:trHeight w:val="499"/>
        </w:trPr>
        <w:tc>
          <w:tcPr>
            <w:tcW w:w="3040" w:type="dxa"/>
            <w:vAlign w:val="bottom"/>
          </w:tcPr>
          <w:p>
            <w:pPr>
              <w:spacing w:after="0"/>
              <w:rPr>
                <w:sz w:val="24"/>
                <w:szCs w:val="24"/>
                <w:color w:val="auto"/>
              </w:rPr>
            </w:pPr>
          </w:p>
        </w:tc>
        <w:tc>
          <w:tcPr>
            <w:tcW w:w="8160" w:type="dxa"/>
            <w:vAlign w:val="bottom"/>
            <w:gridSpan w:val="3"/>
          </w:tcPr>
          <w:p>
            <w:pPr>
              <w:ind w:left="1480"/>
              <w:spacing w:after="0"/>
              <w:rPr>
                <w:sz w:val="20"/>
                <w:szCs w:val="20"/>
                <w:color w:val="auto"/>
              </w:rPr>
            </w:pPr>
            <w:r>
              <w:rPr>
                <w:rFonts w:ascii="Arial" w:cs="Arial" w:eastAsia="Arial" w:hAnsi="Arial"/>
                <w:sz w:val="18"/>
                <w:szCs w:val="18"/>
                <w:color w:val="auto"/>
              </w:rPr>
              <w:t>By:  Plains All American GP LLC, its general partner</w:t>
            </w:r>
          </w:p>
        </w:tc>
      </w:tr>
      <w:tr>
        <w:trPr>
          <w:trHeight w:val="499"/>
        </w:trPr>
        <w:tc>
          <w:tcPr>
            <w:tcW w:w="3040" w:type="dxa"/>
            <w:vAlign w:val="bottom"/>
          </w:tcPr>
          <w:p>
            <w:pPr>
              <w:spacing w:after="0"/>
              <w:rPr>
                <w:sz w:val="20"/>
                <w:szCs w:val="20"/>
                <w:color w:val="auto"/>
              </w:rPr>
            </w:pPr>
            <w:r>
              <w:rPr>
                <w:rFonts w:ascii="Arial" w:cs="Arial" w:eastAsia="Arial" w:hAnsi="Arial"/>
                <w:sz w:val="18"/>
                <w:szCs w:val="18"/>
                <w:color w:val="auto"/>
              </w:rPr>
              <w:t>Date: August 3, 2021</w:t>
            </w:r>
          </w:p>
        </w:tc>
        <w:tc>
          <w:tcPr>
            <w:tcW w:w="8160" w:type="dxa"/>
            <w:vAlign w:val="bottom"/>
            <w:gridSpan w:val="3"/>
          </w:tcPr>
          <w:p>
            <w:pPr>
              <w:ind w:left="1480"/>
              <w:spacing w:after="0"/>
              <w:rPr>
                <w:sz w:val="20"/>
                <w:szCs w:val="20"/>
                <w:color w:val="auto"/>
              </w:rPr>
            </w:pPr>
            <w:r>
              <w:rPr>
                <w:rFonts w:ascii="Arial" w:cs="Arial" w:eastAsia="Arial" w:hAnsi="Arial"/>
                <w:sz w:val="18"/>
                <w:szCs w:val="18"/>
                <w:color w:val="auto"/>
              </w:rPr>
              <w:t>By:  /s/ Sharon Spurlin</w:t>
            </w:r>
          </w:p>
        </w:tc>
      </w:tr>
      <w:tr>
        <w:trPr>
          <w:trHeight w:val="222"/>
        </w:trPr>
        <w:tc>
          <w:tcPr>
            <w:tcW w:w="30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55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Sharon Spurlin</w:t>
            </w:r>
          </w:p>
        </w:tc>
      </w:tr>
      <w:tr>
        <w:trPr>
          <w:trHeight w:val="230"/>
        </w:trPr>
        <w:tc>
          <w:tcPr>
            <w:tcW w:w="30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Title:</w:t>
            </w:r>
          </w:p>
        </w:tc>
        <w:tc>
          <w:tcPr>
            <w:tcW w:w="5580" w:type="dxa"/>
            <w:vAlign w:val="bottom"/>
          </w:tcPr>
          <w:p>
            <w:pPr>
              <w:ind w:left="160"/>
              <w:spacing w:after="0"/>
              <w:rPr>
                <w:sz w:val="20"/>
                <w:szCs w:val="20"/>
                <w:color w:val="auto"/>
              </w:rPr>
            </w:pPr>
            <w:r>
              <w:rPr>
                <w:rFonts w:ascii="Arial" w:cs="Arial" w:eastAsia="Arial" w:hAnsi="Arial"/>
                <w:sz w:val="18"/>
                <w:szCs w:val="18"/>
                <w:i w:val="1"/>
                <w:iCs w:val="1"/>
                <w:color w:val="auto"/>
              </w:rPr>
              <w:t>Senior Vice President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985"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445770</wp:posOffset>
            </wp:positionV>
            <wp:extent cx="4946015" cy="7797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46015"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Plains All American Reports Second-Quarter 2021 Results</w:t>
      </w:r>
    </w:p>
    <w:p>
      <w:pPr>
        <w:spacing w:after="0" w:line="249"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Houston, TX – August 3, 2021– Plains All American Pipeline, L.P. (Nasdaq: PAA) and Plains GP Holdings (Nasdaq: PAGP) today reported second-quarter 2021 results and provided various other updates.</w:t>
      </w:r>
    </w:p>
    <w:p>
      <w:pPr>
        <w:spacing w:after="0" w:line="217" w:lineRule="exact"/>
        <w:rPr>
          <w:sz w:val="20"/>
          <w:szCs w:val="20"/>
          <w:color w:val="auto"/>
        </w:rPr>
      </w:pPr>
    </w:p>
    <w:p>
      <w:pPr>
        <w:jc w:val="both"/>
        <w:ind w:left="660" w:right="100" w:hanging="328"/>
        <w:spacing w:after="0" w:line="230" w:lineRule="auto"/>
        <w:tabs>
          <w:tab w:leader="none" w:pos="655" w:val="left"/>
        </w:tabs>
        <w:numPr>
          <w:ilvl w:val="1"/>
          <w:numId w:val="2"/>
        </w:numPr>
        <w:rPr>
          <w:rFonts w:ascii="Arial" w:cs="Arial" w:eastAsia="Arial" w:hAnsi="Arial"/>
          <w:sz w:val="22"/>
          <w:szCs w:val="22"/>
          <w:b w:val="1"/>
          <w:bCs w:val="1"/>
          <w:color w:val="auto"/>
        </w:rPr>
      </w:pPr>
      <w:r>
        <w:rPr>
          <w:rFonts w:ascii="Arial" w:cs="Arial" w:eastAsia="Arial" w:hAnsi="Arial"/>
          <w:sz w:val="20"/>
          <w:szCs w:val="20"/>
          <w:color w:val="auto"/>
        </w:rPr>
        <w:t>Completed the sale of Plains’ natural gas storage assets (transaction announced June 8</w:t>
      </w:r>
      <w:r>
        <w:rPr>
          <w:rFonts w:ascii="Arial" w:cs="Arial" w:eastAsia="Arial" w:hAnsi="Arial"/>
          <w:sz w:val="23"/>
          <w:szCs w:val="23"/>
          <w:color w:val="auto"/>
          <w:vertAlign w:val="superscript"/>
        </w:rPr>
        <w:t>th</w:t>
      </w:r>
      <w:r>
        <w:rPr>
          <w:rFonts w:ascii="Arial" w:cs="Arial" w:eastAsia="Arial" w:hAnsi="Arial"/>
          <w:sz w:val="20"/>
          <w:szCs w:val="20"/>
          <w:color w:val="auto"/>
        </w:rPr>
        <w:t xml:space="preserve"> and closed August 2</w:t>
      </w:r>
      <w:r>
        <w:rPr>
          <w:rFonts w:ascii="Arial" w:cs="Arial" w:eastAsia="Arial" w:hAnsi="Arial"/>
          <w:sz w:val="23"/>
          <w:szCs w:val="23"/>
          <w:color w:val="auto"/>
          <w:vertAlign w:val="superscript"/>
        </w:rPr>
        <w:t>nd</w:t>
      </w:r>
      <w:r>
        <w:rPr>
          <w:rFonts w:ascii="Arial" w:cs="Arial" w:eastAsia="Arial" w:hAnsi="Arial"/>
          <w:sz w:val="20"/>
          <w:szCs w:val="20"/>
          <w:color w:val="auto"/>
        </w:rPr>
        <w:t>) resulting in net sales proceeds of approximately $850 million, a corresponding non-cash impairment charge of approximately $475 million, and a net loss for the second-quarter of $220 million</w:t>
      </w:r>
    </w:p>
    <w:p>
      <w:pPr>
        <w:spacing w:after="0" w:line="223" w:lineRule="exact"/>
        <w:rPr>
          <w:rFonts w:ascii="Arial" w:cs="Arial" w:eastAsia="Arial" w:hAnsi="Arial"/>
          <w:sz w:val="22"/>
          <w:szCs w:val="22"/>
          <w:b w:val="1"/>
          <w:bCs w:val="1"/>
          <w:color w:val="auto"/>
        </w:rPr>
      </w:pPr>
    </w:p>
    <w:p>
      <w:pPr>
        <w:ind w:left="660" w:right="80" w:hanging="328"/>
        <w:spacing w:after="0" w:line="225" w:lineRule="auto"/>
        <w:tabs>
          <w:tab w:leader="none" w:pos="655" w:val="left"/>
        </w:tabs>
        <w:numPr>
          <w:ilvl w:val="1"/>
          <w:numId w:val="2"/>
        </w:numPr>
        <w:rPr>
          <w:rFonts w:ascii="Arial" w:cs="Arial" w:eastAsia="Arial" w:hAnsi="Arial"/>
          <w:sz w:val="22"/>
          <w:szCs w:val="22"/>
          <w:color w:val="auto"/>
        </w:rPr>
      </w:pPr>
      <w:r>
        <w:rPr>
          <w:rFonts w:ascii="Arial" w:cs="Arial" w:eastAsia="Arial" w:hAnsi="Arial"/>
          <w:sz w:val="20"/>
          <w:szCs w:val="20"/>
          <w:color w:val="auto"/>
        </w:rPr>
        <w:t>Reported second-quarter Adjusted EBITDA of $579 million, increased full-year 2021 Adjusted EBITDA guidance by $25 million to +/- $2.175 billion, and reduced 2021 investment capital guidance by $50 million to +/- $325 million</w:t>
      </w:r>
    </w:p>
    <w:p>
      <w:pPr>
        <w:spacing w:after="0" w:line="222" w:lineRule="exact"/>
        <w:rPr>
          <w:rFonts w:ascii="Arial" w:cs="Arial" w:eastAsia="Arial" w:hAnsi="Arial"/>
          <w:sz w:val="22"/>
          <w:szCs w:val="22"/>
          <w:color w:val="auto"/>
        </w:rPr>
      </w:pPr>
    </w:p>
    <w:p>
      <w:pPr>
        <w:ind w:left="660" w:right="120" w:hanging="328"/>
        <w:spacing w:after="0" w:line="225" w:lineRule="auto"/>
        <w:tabs>
          <w:tab w:leader="none" w:pos="655" w:val="left"/>
        </w:tabs>
        <w:numPr>
          <w:ilvl w:val="1"/>
          <w:numId w:val="2"/>
        </w:numPr>
        <w:rPr>
          <w:rFonts w:ascii="Arial" w:cs="Arial" w:eastAsia="Arial" w:hAnsi="Arial"/>
          <w:sz w:val="22"/>
          <w:szCs w:val="22"/>
          <w:color w:val="auto"/>
        </w:rPr>
      </w:pPr>
      <w:r>
        <w:rPr>
          <w:rFonts w:ascii="Arial" w:cs="Arial" w:eastAsia="Arial" w:hAnsi="Arial"/>
          <w:sz w:val="20"/>
          <w:szCs w:val="20"/>
          <w:color w:val="auto"/>
        </w:rPr>
        <w:t>Increased forecasted 2021 Free Cash Flow after Distributions to +/- $1.35 billion, or +/- $450 million excluding proceeds from asset sales</w:t>
      </w:r>
    </w:p>
    <w:p>
      <w:pPr>
        <w:spacing w:after="0" w:line="222" w:lineRule="exact"/>
        <w:rPr>
          <w:rFonts w:ascii="Arial" w:cs="Arial" w:eastAsia="Arial" w:hAnsi="Arial"/>
          <w:sz w:val="22"/>
          <w:szCs w:val="22"/>
          <w:color w:val="auto"/>
        </w:rPr>
      </w:pPr>
    </w:p>
    <w:p>
      <w:pPr>
        <w:ind w:left="660" w:right="60" w:hanging="328"/>
        <w:spacing w:after="0" w:line="236" w:lineRule="auto"/>
        <w:tabs>
          <w:tab w:leader="none" w:pos="655" w:val="left"/>
        </w:tabs>
        <w:numPr>
          <w:ilvl w:val="1"/>
          <w:numId w:val="2"/>
        </w:numPr>
        <w:rPr>
          <w:rFonts w:ascii="Arial" w:cs="Arial" w:eastAsia="Arial" w:hAnsi="Arial"/>
          <w:sz w:val="21"/>
          <w:szCs w:val="21"/>
          <w:color w:val="auto"/>
        </w:rPr>
      </w:pPr>
      <w:r>
        <w:rPr>
          <w:rFonts w:ascii="Arial" w:cs="Arial" w:eastAsia="Arial" w:hAnsi="Arial"/>
          <w:sz w:val="19"/>
          <w:szCs w:val="19"/>
          <w:color w:val="auto"/>
        </w:rPr>
        <w:t>Announced definitive agreement to form strategic Permian Basin joint venture with Oryx Midstream – highly complementary assets, significant value for customers (cashless transaction, debt-free entity, near-term free-cash-flow accretive)</w:t>
      </w:r>
    </w:p>
    <w:p>
      <w:pPr>
        <w:spacing w:after="0" w:line="222" w:lineRule="exact"/>
        <w:rPr>
          <w:rFonts w:ascii="Arial" w:cs="Arial" w:eastAsia="Arial" w:hAnsi="Arial"/>
          <w:sz w:val="21"/>
          <w:szCs w:val="21"/>
          <w:color w:val="auto"/>
        </w:rPr>
      </w:pPr>
    </w:p>
    <w:p>
      <w:pPr>
        <w:ind w:left="660" w:right="420" w:hanging="328"/>
        <w:spacing w:after="0" w:line="236" w:lineRule="auto"/>
        <w:tabs>
          <w:tab w:leader="none" w:pos="655" w:val="left"/>
        </w:tabs>
        <w:numPr>
          <w:ilvl w:val="1"/>
          <w:numId w:val="2"/>
        </w:numPr>
        <w:rPr>
          <w:rFonts w:ascii="Arial" w:cs="Arial" w:eastAsia="Arial" w:hAnsi="Arial"/>
          <w:sz w:val="21"/>
          <w:szCs w:val="21"/>
          <w:color w:val="auto"/>
        </w:rPr>
      </w:pPr>
      <w:r>
        <w:rPr>
          <w:rFonts w:ascii="Arial" w:cs="Arial" w:eastAsia="Arial" w:hAnsi="Arial"/>
          <w:sz w:val="19"/>
          <w:szCs w:val="19"/>
          <w:color w:val="auto"/>
        </w:rPr>
        <w:t>Published 2020 Sustainability Report with enhanced data disclosure, including Scope 1 &amp; 2 GHG emissions data, and additional context on environmental, social, and governance factors relevant to Plains’ business and stakeholders</w:t>
      </w:r>
    </w:p>
    <w:p>
      <w:pPr>
        <w:spacing w:after="0" w:line="200" w:lineRule="exact"/>
        <w:rPr>
          <w:rFonts w:ascii="Arial" w:cs="Arial" w:eastAsia="Arial" w:hAnsi="Arial"/>
          <w:sz w:val="21"/>
          <w:szCs w:val="21"/>
          <w:color w:val="auto"/>
        </w:rPr>
      </w:pPr>
    </w:p>
    <w:p>
      <w:pPr>
        <w:spacing w:after="0" w:line="252"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18"/>
          <w:szCs w:val="18"/>
          <w:color w:val="auto"/>
        </w:rPr>
        <w:t>“We delivered second-quarter results that exceeded the high-end of our expectations, reflecting timing-related benefits in our Supply</w:t>
      </w:r>
    </w:p>
    <w:p>
      <w:pPr>
        <w:spacing w:after="0" w:line="38" w:lineRule="exact"/>
        <w:rPr>
          <w:rFonts w:ascii="Arial" w:cs="Arial" w:eastAsia="Arial" w:hAnsi="Arial"/>
          <w:sz w:val="21"/>
          <w:szCs w:val="21"/>
          <w:color w:val="auto"/>
        </w:rPr>
      </w:pPr>
    </w:p>
    <w:p>
      <w:pPr>
        <w:ind w:firstLine="8"/>
        <w:spacing w:after="0" w:line="266" w:lineRule="auto"/>
        <w:tabs>
          <w:tab w:leader="none" w:pos="203" w:val="left"/>
        </w:tabs>
        <w:numPr>
          <w:ilvl w:val="0"/>
          <w:numId w:val="2"/>
        </w:numPr>
        <w:rPr>
          <w:rFonts w:ascii="Arial" w:cs="Arial" w:eastAsia="Arial" w:hAnsi="Arial"/>
          <w:sz w:val="18"/>
          <w:szCs w:val="18"/>
          <w:color w:val="auto"/>
        </w:rPr>
      </w:pPr>
      <w:r>
        <w:rPr>
          <w:rFonts w:ascii="Arial" w:cs="Arial" w:eastAsia="Arial" w:hAnsi="Arial"/>
          <w:sz w:val="18"/>
          <w:szCs w:val="18"/>
          <w:color w:val="auto"/>
        </w:rPr>
        <w:t>Logistics segment and over performance in our Transportation segment,” stated Willie Chiang, Chairman and CEO of Plains. “Importantly, since our first-quarter earnings call in May, we have advanced several key initiatives that maximize free cash flow to strengthen our balance</w:t>
      </w:r>
    </w:p>
    <w:p>
      <w:pPr>
        <w:spacing w:after="0" w:line="200" w:lineRule="auto"/>
        <w:rPr>
          <w:sz w:val="20"/>
          <w:szCs w:val="20"/>
          <w:color w:val="auto"/>
        </w:rPr>
      </w:pPr>
      <w:r>
        <w:rPr>
          <w:rFonts w:ascii="Arial" w:cs="Arial" w:eastAsia="Arial" w:hAnsi="Arial"/>
          <w:sz w:val="20"/>
          <w:szCs w:val="20"/>
          <w:color w:val="auto"/>
        </w:rPr>
        <w:t>sheet and improve returns to equity holders.”</w:t>
      </w: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9"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Financial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5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18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GAAP Results</w:t>
            </w:r>
          </w:p>
        </w:tc>
        <w:tc>
          <w:tcPr>
            <w:tcW w:w="200" w:type="dxa"/>
            <w:vAlign w:val="bottom"/>
          </w:tcPr>
          <w:p>
            <w:pPr>
              <w:spacing w:after="0"/>
              <w:rPr>
                <w:sz w:val="15"/>
                <w:szCs w:val="15"/>
                <w:color w:val="auto"/>
              </w:rPr>
            </w:pPr>
          </w:p>
        </w:tc>
        <w:tc>
          <w:tcPr>
            <w:tcW w:w="680" w:type="dxa"/>
            <w:vAlign w:val="bottom"/>
          </w:tcPr>
          <w:p>
            <w:pPr>
              <w:jc w:val="right"/>
              <w:ind w:right="217"/>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1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920" w:type="dxa"/>
            <w:vAlign w:val="bottom"/>
          </w:tcPr>
          <w:p>
            <w:pPr>
              <w:jc w:val="right"/>
              <w:ind w:right="13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4"/>
        </w:trPr>
        <w:tc>
          <w:tcPr>
            <w:tcW w:w="508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Net income/(loss) attributable to PAA </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Diluted net income/(loss) per common unit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19"/>
                <w:szCs w:val="19"/>
                <w:color w:val="auto"/>
              </w:rPr>
            </w:pPr>
          </w:p>
        </w:tc>
        <w:tc>
          <w:tcPr>
            <w:tcW w:w="92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9"/>
                <w:szCs w:val="19"/>
                <w:color w:val="auto"/>
              </w:rPr>
            </w:pPr>
          </w:p>
        </w:tc>
        <w:tc>
          <w:tcPr>
            <w:tcW w:w="92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units outstanding</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180 %</w:t>
            </w:r>
          </w:p>
        </w:tc>
        <w:tc>
          <w:tcPr>
            <w:tcW w:w="12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1,026</w:t>
            </w:r>
          </w:p>
        </w:tc>
        <w:tc>
          <w:tcPr>
            <w:tcW w:w="10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974</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9"/>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Distribution per common unit declared for the period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2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24599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 Indicates that variance as a percentage is not meaningful.</w:t>
      </w:r>
    </w:p>
    <w:p>
      <w:pPr>
        <w:spacing w:after="0" w:line="117" w:lineRule="exact"/>
        <w:rPr>
          <w:sz w:val="20"/>
          <w:szCs w:val="20"/>
          <w:color w:val="auto"/>
        </w:rPr>
      </w:pPr>
    </w:p>
    <w:p>
      <w:pPr>
        <w:ind w:left="340" w:right="140" w:hanging="332"/>
        <w:spacing w:after="0" w:line="234" w:lineRule="auto"/>
        <w:tabs>
          <w:tab w:leader="none" w:pos="328"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Reported results for the three and six months ended June 30, 2021 include a non-cash impairment of approximately $475 million related to the sale of our gas storage assets. Reported results for the six months ended June 30, 2020 include aggregate non-cash goodwill and asset impairments totaling $3.2 billion, representing a net loss of $4.42 after tax per common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38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16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 xml:space="preserve">Non-GAAP Results </w:t>
            </w:r>
            <w:r>
              <w:rPr>
                <w:rFonts w:ascii="Arial" w:cs="Arial" w:eastAsia="Arial" w:hAnsi="Arial"/>
                <w:sz w:val="9"/>
                <w:szCs w:val="9"/>
                <w:b w:val="1"/>
                <w:bCs w:val="1"/>
                <w:i w:val="1"/>
                <w:iCs w:val="1"/>
                <w:color w:val="auto"/>
              </w:rPr>
              <w:t>(1)</w:t>
            </w:r>
          </w:p>
        </w:tc>
        <w:tc>
          <w:tcPr>
            <w:tcW w:w="200" w:type="dxa"/>
            <w:vAlign w:val="bottom"/>
          </w:tcPr>
          <w:p>
            <w:pPr>
              <w:spacing w:after="0"/>
              <w:rPr>
                <w:sz w:val="15"/>
                <w:szCs w:val="15"/>
                <w:color w:val="auto"/>
              </w:rPr>
            </w:pPr>
          </w:p>
        </w:tc>
        <w:tc>
          <w:tcPr>
            <w:tcW w:w="700" w:type="dxa"/>
            <w:vAlign w:val="bottom"/>
          </w:tcPr>
          <w:p>
            <w:pPr>
              <w:jc w:val="right"/>
              <w:ind w:right="21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1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920" w:type="dxa"/>
            <w:vAlign w:val="bottom"/>
          </w:tcPr>
          <w:p>
            <w:pPr>
              <w:jc w:val="right"/>
              <w:ind w:right="13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4"/>
        </w:trPr>
        <w:tc>
          <w:tcPr>
            <w:tcW w:w="50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net income attributable to PAA</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5160" w:type="dxa"/>
            <w:vAlign w:val="bottom"/>
            <w:gridSpan w:val="3"/>
          </w:tcPr>
          <w:p>
            <w:pPr>
              <w:ind w:left="20"/>
              <w:spacing w:after="0"/>
              <w:rPr>
                <w:sz w:val="20"/>
                <w:szCs w:val="20"/>
                <w:color w:val="auto"/>
              </w:rPr>
            </w:pPr>
            <w:r>
              <w:rPr>
                <w:rFonts w:ascii="Arial" w:cs="Arial" w:eastAsia="Arial" w:hAnsi="Arial"/>
                <w:sz w:val="18"/>
                <w:szCs w:val="18"/>
                <w:color w:val="auto"/>
              </w:rPr>
              <w:t>Diluted adjusted net income per common unit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9"/>
        </w:trPr>
        <w:tc>
          <w:tcPr>
            <w:tcW w:w="5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Borders>
              <w:right w:val="single" w:sz="8" w:color="auto"/>
            </w:tcBorders>
            <w:shd w:val="clear" w:color="auto" w:fill="CCEEFF"/>
          </w:tcPr>
          <w:p>
            <w:pPr>
              <w:spacing w:after="0"/>
              <w:rPr>
                <w:sz w:val="19"/>
                <w:szCs w:val="19"/>
                <w:color w:val="auto"/>
              </w:rPr>
            </w:pP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5160" w:type="dxa"/>
            <w:vAlign w:val="bottom"/>
            <w:gridSpan w:val="3"/>
          </w:tcPr>
          <w:p>
            <w:pPr>
              <w:ind w:left="20"/>
              <w:spacing w:after="0"/>
              <w:rPr>
                <w:sz w:val="20"/>
                <w:szCs w:val="20"/>
                <w:color w:val="auto"/>
              </w:rPr>
            </w:pPr>
            <w:r>
              <w:rPr>
                <w:rFonts w:ascii="Arial" w:cs="Arial" w:eastAsia="Arial" w:hAnsi="Arial"/>
                <w:sz w:val="18"/>
                <w:szCs w:val="18"/>
                <w:color w:val="auto"/>
              </w:rPr>
              <w:t>Implied DCF per common unit and common unit equivalent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24 %</w:t>
            </w:r>
          </w:p>
        </w:tc>
        <w:tc>
          <w:tcPr>
            <w:tcW w:w="12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5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gridSpan w:val="3"/>
          </w:tcPr>
          <w:p>
            <w:pPr>
              <w:ind w:left="20"/>
              <w:spacing w:after="0"/>
              <w:rPr>
                <w:sz w:val="20"/>
                <w:szCs w:val="20"/>
                <w:color w:val="auto"/>
              </w:rPr>
            </w:pPr>
            <w:r>
              <w:rPr>
                <w:rFonts w:ascii="Arial" w:cs="Arial" w:eastAsia="Arial" w:hAnsi="Arial"/>
                <w:sz w:val="18"/>
                <w:szCs w:val="18"/>
                <w:color w:val="auto"/>
              </w:rPr>
              <w:t>Free Cash Flow after Distributions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9"/>
                <w:szCs w:val="19"/>
                <w:color w:val="auto"/>
              </w:rPr>
            </w:pPr>
          </w:p>
        </w:tc>
        <w:tc>
          <w:tcPr>
            <w:tcW w:w="92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9"/>
                <w:szCs w:val="19"/>
                <w:color w:val="auto"/>
              </w:rPr>
            </w:pPr>
          </w:p>
        </w:tc>
        <w:tc>
          <w:tcPr>
            <w:tcW w:w="92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880" w:type="dxa"/>
            <w:vAlign w:val="bottom"/>
            <w:tcBorders>
              <w:bottom w:val="single" w:sz="8" w:color="auto"/>
            </w:tcBorders>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 Indicates that variance as a percentage is not meaningful.</w:t>
      </w:r>
    </w:p>
    <w:p>
      <w:pPr>
        <w:spacing w:after="0" w:line="63" w:lineRule="exact"/>
        <w:rPr>
          <w:sz w:val="20"/>
          <w:szCs w:val="20"/>
          <w:color w:val="auto"/>
        </w:rPr>
      </w:pPr>
    </w:p>
    <w:p>
      <w:pPr>
        <w:jc w:val="both"/>
        <w:ind w:left="340" w:right="260" w:hanging="332"/>
        <w:spacing w:after="0" w:line="245" w:lineRule="auto"/>
        <w:tabs>
          <w:tab w:leader="none" w:pos="328"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See the section of this release entitled “Non-GAAP Financial Measures and Selected Items Impacting Comparability” and the tables attached hereto for information regarding our Non-GAAP financial measures, including their reconciliation to the most directly comparable measures as reported in accordance with GAAP, and certain selected items that PAA believes impact comparability of financial results between reporting periods.</w:t>
      </w:r>
    </w:p>
    <w:p>
      <w:pPr>
        <w:spacing w:after="0" w:line="1" w:lineRule="exact"/>
        <w:rPr>
          <w:rFonts w:ascii="Arial" w:cs="Arial" w:eastAsia="Arial" w:hAnsi="Arial"/>
          <w:sz w:val="21"/>
          <w:szCs w:val="21"/>
          <w:color w:val="auto"/>
          <w:vertAlign w:val="superscript"/>
        </w:rPr>
      </w:pPr>
    </w:p>
    <w:p>
      <w:pPr>
        <w:ind w:left="5440" w:hanging="106"/>
        <w:spacing w:after="0"/>
        <w:tabs>
          <w:tab w:leader="none" w:pos="5440" w:val="left"/>
        </w:tabs>
        <w:numPr>
          <w:ilvl w:val="1"/>
          <w:numId w:val="4"/>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9"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Page 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Selected Financial Data by Segment</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5"/>
          </w:tcPr>
          <w:p>
            <w:pPr>
              <w:ind w:left="1340"/>
              <w:spacing w:after="0"/>
              <w:rPr>
                <w:sz w:val="20"/>
                <w:szCs w:val="20"/>
                <w:color w:val="auto"/>
              </w:rPr>
            </w:pPr>
            <w:r>
              <w:rPr>
                <w:rFonts w:ascii="Arial" w:cs="Arial" w:eastAsia="Arial" w:hAnsi="Arial"/>
                <w:sz w:val="16"/>
                <w:szCs w:val="16"/>
                <w:b w:val="1"/>
                <w:bCs w:val="1"/>
                <w:color w:val="auto"/>
                <w:w w:val="95"/>
              </w:rPr>
              <w:t>Segment Adjusted EBITDA</w:t>
            </w:r>
          </w:p>
        </w:tc>
        <w:tc>
          <w:tcPr>
            <w:tcW w:w="6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ind w:left="100"/>
              <w:spacing w:after="0"/>
              <w:rPr>
                <w:sz w:val="20"/>
                <w:szCs w:val="20"/>
                <w:color w:val="auto"/>
              </w:rPr>
            </w:pPr>
            <w:r>
              <w:rPr>
                <w:rFonts w:ascii="Arial" w:cs="Arial" w:eastAsia="Arial" w:hAnsi="Arial"/>
                <w:sz w:val="16"/>
                <w:szCs w:val="16"/>
                <w:b w:val="1"/>
                <w:bCs w:val="1"/>
                <w:color w:val="auto"/>
              </w:rPr>
              <w:t>Transportation</w:t>
            </w:r>
          </w:p>
        </w:tc>
        <w:tc>
          <w:tcPr>
            <w:tcW w:w="300" w:type="dxa"/>
            <w:vAlign w:val="bottom"/>
          </w:tcPr>
          <w:p>
            <w:pPr>
              <w:spacing w:after="0"/>
              <w:rPr>
                <w:sz w:val="18"/>
                <w:szCs w:val="18"/>
                <w:color w:val="auto"/>
              </w:rPr>
            </w:pPr>
          </w:p>
        </w:tc>
        <w:tc>
          <w:tcPr>
            <w:tcW w:w="1440" w:type="dxa"/>
            <w:vAlign w:val="bottom"/>
            <w:gridSpan w:val="2"/>
          </w:tcPr>
          <w:p>
            <w:pPr>
              <w:ind w:left="200"/>
              <w:spacing w:after="0"/>
              <w:rPr>
                <w:sz w:val="20"/>
                <w:szCs w:val="20"/>
                <w:color w:val="auto"/>
              </w:rPr>
            </w:pPr>
            <w:r>
              <w:rPr>
                <w:rFonts w:ascii="Arial" w:cs="Arial" w:eastAsia="Arial" w:hAnsi="Arial"/>
                <w:sz w:val="16"/>
                <w:szCs w:val="16"/>
                <w:b w:val="1"/>
                <w:bCs w:val="1"/>
                <w:color w:val="auto"/>
              </w:rPr>
              <w:t>Facilities</w:t>
            </w:r>
          </w:p>
        </w:tc>
        <w:tc>
          <w:tcPr>
            <w:tcW w:w="1500" w:type="dxa"/>
            <w:vAlign w:val="bottom"/>
            <w:gridSpan w:val="2"/>
          </w:tcPr>
          <w:p>
            <w:pPr>
              <w:ind w:left="40"/>
              <w:spacing w:after="0"/>
              <w:rPr>
                <w:sz w:val="20"/>
                <w:szCs w:val="20"/>
                <w:color w:val="auto"/>
              </w:rPr>
            </w:pPr>
            <w:r>
              <w:rPr>
                <w:rFonts w:ascii="Arial" w:cs="Arial" w:eastAsia="Arial" w:hAnsi="Arial"/>
                <w:sz w:val="16"/>
                <w:szCs w:val="16"/>
                <w:b w:val="1"/>
                <w:bCs w:val="1"/>
                <w:color w:val="auto"/>
                <w:w w:val="89"/>
              </w:rPr>
              <w:t>Supply and Logistics</w:t>
            </w: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6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Three Months Ended June 30, 2021</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6160" w:type="dxa"/>
            <w:vAlign w:val="bottom"/>
            <w:gridSpan w:val="2"/>
          </w:tcPr>
          <w:p>
            <w:pPr>
              <w:spacing w:after="0" w:line="203" w:lineRule="exact"/>
              <w:rPr>
                <w:sz w:val="20"/>
                <w:szCs w:val="20"/>
                <w:color w:val="auto"/>
              </w:rPr>
            </w:pPr>
            <w:r>
              <w:rPr>
                <w:rFonts w:ascii="Arial" w:cs="Arial" w:eastAsia="Arial" w:hAnsi="Arial"/>
                <w:sz w:val="18"/>
                <w:szCs w:val="18"/>
                <w:color w:val="auto"/>
              </w:rPr>
              <w:t>Three Months Ended June 30, 2020</w:t>
            </w: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133"/>
              <w:spacing w:after="0" w:line="203" w:lineRule="exact"/>
              <w:rPr>
                <w:sz w:val="20"/>
                <w:szCs w:val="20"/>
                <w:color w:val="auto"/>
              </w:rPr>
            </w:pPr>
            <w:r>
              <w:rPr>
                <w:rFonts w:ascii="Arial" w:cs="Arial" w:eastAsia="Arial" w:hAnsi="Arial"/>
                <w:sz w:val="18"/>
                <w:szCs w:val="18"/>
                <w:color w:val="auto"/>
              </w:rPr>
              <w:t>346</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ind w:right="132"/>
              <w:spacing w:after="0" w:line="203" w:lineRule="exact"/>
              <w:rPr>
                <w:sz w:val="20"/>
                <w:szCs w:val="20"/>
                <w:color w:val="auto"/>
              </w:rPr>
            </w:pPr>
            <w:r>
              <w:rPr>
                <w:rFonts w:ascii="Arial" w:cs="Arial" w:eastAsia="Arial" w:hAnsi="Arial"/>
                <w:sz w:val="18"/>
                <w:szCs w:val="18"/>
                <w:color w:val="auto"/>
              </w:rPr>
              <w:t>174</w:t>
            </w:r>
          </w:p>
        </w:tc>
        <w:tc>
          <w:tcPr>
            <w:tcW w:w="100" w:type="dxa"/>
            <w:vAlign w:val="bottom"/>
          </w:tcPr>
          <w:p>
            <w:pPr>
              <w:spacing w:after="0"/>
              <w:rPr>
                <w:sz w:val="17"/>
                <w:szCs w:val="17"/>
                <w:color w:val="auto"/>
              </w:rPr>
            </w:pPr>
          </w:p>
        </w:tc>
        <w:tc>
          <w:tcPr>
            <w:tcW w:w="64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 w:type="dxa"/>
            <w:vAlign w:val="bottom"/>
          </w:tcPr>
          <w:p>
            <w:pPr>
              <w:spacing w:after="0"/>
              <w:rPr>
                <w:sz w:val="21"/>
                <w:szCs w:val="21"/>
                <w:color w:val="auto"/>
              </w:rPr>
            </w:pPr>
          </w:p>
        </w:tc>
        <w:tc>
          <w:tcPr>
            <w:tcW w:w="6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Percentage change in Segment Adjusted EBITDA versus 2020 period</w:t>
            </w:r>
          </w:p>
        </w:tc>
        <w:tc>
          <w:tcPr>
            <w:tcW w:w="20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25 %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160" w:type="dxa"/>
            <w:vAlign w:val="bottom"/>
            <w:tcBorders>
              <w:top w:val="single" w:sz="8" w:color="CCEEFF"/>
              <w:bottom w:val="single" w:sz="8" w:color="CCEEFF"/>
            </w:tcBorders>
            <w:gridSpan w:val="2"/>
            <w:vMerge w:val="restart"/>
          </w:tcPr>
          <w:p>
            <w:pPr>
              <w:spacing w:after="0" w:line="163" w:lineRule="exact"/>
              <w:rPr>
                <w:sz w:val="20"/>
                <w:szCs w:val="20"/>
                <w:color w:val="auto"/>
              </w:rPr>
            </w:pPr>
            <w:r>
              <w:rPr>
                <w:rFonts w:ascii="Arial" w:cs="Arial" w:eastAsia="Arial" w:hAnsi="Arial"/>
                <w:sz w:val="18"/>
                <w:szCs w:val="18"/>
                <w:b w:val="1"/>
                <w:bCs w:val="1"/>
                <w:i w:val="1"/>
                <w:iCs w:val="1"/>
                <w:color w:val="auto"/>
                <w:w w:val="94"/>
              </w:rPr>
              <w:t>Percentage change in Segment Adjusted EBITDA versus 2020 period further</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0" w:type="dxa"/>
            <w:vAlign w:val="bottom"/>
          </w:tcPr>
          <w:p>
            <w:pPr>
              <w:spacing w:after="0"/>
              <w:rPr>
                <w:sz w:val="10"/>
                <w:szCs w:val="10"/>
                <w:color w:val="auto"/>
              </w:rPr>
            </w:pPr>
          </w:p>
        </w:tc>
        <w:tc>
          <w:tcPr>
            <w:tcW w:w="61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25 %</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(12)%</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N/A</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6160" w:type="dxa"/>
            <w:vAlign w:val="bottom"/>
            <w:gridSpan w:val="2"/>
          </w:tcPr>
          <w:p>
            <w:pPr>
              <w:ind w:left="160"/>
              <w:spacing w:after="0" w:line="202" w:lineRule="exact"/>
              <w:rPr>
                <w:sz w:val="20"/>
                <w:szCs w:val="20"/>
                <w:color w:val="auto"/>
              </w:rPr>
            </w:pPr>
            <w:r>
              <w:rPr>
                <w:rFonts w:ascii="Arial" w:cs="Arial" w:eastAsia="Arial" w:hAnsi="Arial"/>
                <w:sz w:val="18"/>
                <w:szCs w:val="18"/>
                <w:b w:val="1"/>
                <w:bCs w:val="1"/>
                <w:i w:val="1"/>
                <w:iCs w:val="1"/>
                <w:color w:val="auto"/>
              </w:rPr>
              <w:t xml:space="preserve">adjusted for impact of divested assets </w:t>
            </w:r>
            <w:r>
              <w:rPr>
                <w:rFonts w:ascii="Arial" w:cs="Arial" w:eastAsia="Arial" w:hAnsi="Arial"/>
                <w:sz w:val="23"/>
                <w:szCs w:val="23"/>
                <w:b w:val="1"/>
                <w:bCs w:val="1"/>
                <w:i w:val="1"/>
                <w:iCs w:val="1"/>
                <w:color w:val="auto"/>
                <w:vertAlign w:val="superscript"/>
              </w:rPr>
              <w:t>(1)</w:t>
            </w: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9"/>
        </w:trPr>
        <w:tc>
          <w:tcPr>
            <w:tcW w:w="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5"/>
          </w:tcPr>
          <w:p>
            <w:pPr>
              <w:ind w:left="1340"/>
              <w:spacing w:after="0"/>
              <w:rPr>
                <w:sz w:val="20"/>
                <w:szCs w:val="20"/>
                <w:color w:val="auto"/>
              </w:rPr>
            </w:pPr>
            <w:r>
              <w:rPr>
                <w:rFonts w:ascii="Arial" w:cs="Arial" w:eastAsia="Arial" w:hAnsi="Arial"/>
                <w:sz w:val="16"/>
                <w:szCs w:val="16"/>
                <w:b w:val="1"/>
                <w:bCs w:val="1"/>
                <w:color w:val="auto"/>
                <w:w w:val="95"/>
              </w:rPr>
              <w:t>Segment Adjusted EBITDA</w:t>
            </w:r>
          </w:p>
        </w:tc>
        <w:tc>
          <w:tcPr>
            <w:tcW w:w="6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ind w:left="100"/>
              <w:spacing w:after="0"/>
              <w:rPr>
                <w:sz w:val="20"/>
                <w:szCs w:val="20"/>
                <w:color w:val="auto"/>
              </w:rPr>
            </w:pPr>
            <w:r>
              <w:rPr>
                <w:rFonts w:ascii="Arial" w:cs="Arial" w:eastAsia="Arial" w:hAnsi="Arial"/>
                <w:sz w:val="16"/>
                <w:szCs w:val="16"/>
                <w:b w:val="1"/>
                <w:bCs w:val="1"/>
                <w:color w:val="auto"/>
              </w:rPr>
              <w:t>Transportation</w:t>
            </w:r>
          </w:p>
        </w:tc>
        <w:tc>
          <w:tcPr>
            <w:tcW w:w="300" w:type="dxa"/>
            <w:vAlign w:val="bottom"/>
          </w:tcPr>
          <w:p>
            <w:pPr>
              <w:spacing w:after="0"/>
              <w:rPr>
                <w:sz w:val="18"/>
                <w:szCs w:val="18"/>
                <w:color w:val="auto"/>
              </w:rPr>
            </w:pPr>
          </w:p>
        </w:tc>
        <w:tc>
          <w:tcPr>
            <w:tcW w:w="1440" w:type="dxa"/>
            <w:vAlign w:val="bottom"/>
            <w:gridSpan w:val="2"/>
          </w:tcPr>
          <w:p>
            <w:pPr>
              <w:ind w:left="200"/>
              <w:spacing w:after="0"/>
              <w:rPr>
                <w:sz w:val="20"/>
                <w:szCs w:val="20"/>
                <w:color w:val="auto"/>
              </w:rPr>
            </w:pPr>
            <w:r>
              <w:rPr>
                <w:rFonts w:ascii="Arial" w:cs="Arial" w:eastAsia="Arial" w:hAnsi="Arial"/>
                <w:sz w:val="16"/>
                <w:szCs w:val="16"/>
                <w:b w:val="1"/>
                <w:bCs w:val="1"/>
                <w:color w:val="auto"/>
              </w:rPr>
              <w:t>Facilities</w:t>
            </w:r>
          </w:p>
        </w:tc>
        <w:tc>
          <w:tcPr>
            <w:tcW w:w="1500" w:type="dxa"/>
            <w:vAlign w:val="bottom"/>
            <w:gridSpan w:val="2"/>
          </w:tcPr>
          <w:p>
            <w:pPr>
              <w:ind w:left="40"/>
              <w:spacing w:after="0"/>
              <w:rPr>
                <w:sz w:val="20"/>
                <w:szCs w:val="20"/>
                <w:color w:val="auto"/>
              </w:rPr>
            </w:pPr>
            <w:r>
              <w:rPr>
                <w:rFonts w:ascii="Arial" w:cs="Arial" w:eastAsia="Arial" w:hAnsi="Arial"/>
                <w:sz w:val="16"/>
                <w:szCs w:val="16"/>
                <w:b w:val="1"/>
                <w:bCs w:val="1"/>
                <w:color w:val="auto"/>
                <w:w w:val="89"/>
              </w:rPr>
              <w:t>Supply and Logistics</w:t>
            </w: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6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Six Months Ended June 30, 2021</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821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6160" w:type="dxa"/>
            <w:vAlign w:val="bottom"/>
            <w:gridSpan w:val="2"/>
          </w:tcPr>
          <w:p>
            <w:pPr>
              <w:spacing w:after="0" w:line="203" w:lineRule="exact"/>
              <w:rPr>
                <w:sz w:val="20"/>
                <w:szCs w:val="20"/>
                <w:color w:val="auto"/>
              </w:rPr>
            </w:pPr>
            <w:r>
              <w:rPr>
                <w:rFonts w:ascii="Arial" w:cs="Arial" w:eastAsia="Arial" w:hAnsi="Arial"/>
                <w:sz w:val="18"/>
                <w:szCs w:val="18"/>
                <w:color w:val="auto"/>
              </w:rPr>
              <w:t>Six Months Ended June 30, 2020</w:t>
            </w: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133"/>
              <w:spacing w:after="0" w:line="203" w:lineRule="exact"/>
              <w:rPr>
                <w:sz w:val="20"/>
                <w:szCs w:val="20"/>
                <w:color w:val="auto"/>
              </w:rPr>
            </w:pPr>
            <w:r>
              <w:rPr>
                <w:rFonts w:ascii="Arial" w:cs="Arial" w:eastAsia="Arial" w:hAnsi="Arial"/>
                <w:sz w:val="18"/>
                <w:szCs w:val="18"/>
                <w:color w:val="auto"/>
              </w:rPr>
              <w:t>788</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ind w:right="132"/>
              <w:spacing w:after="0" w:line="203" w:lineRule="exact"/>
              <w:rPr>
                <w:sz w:val="20"/>
                <w:szCs w:val="20"/>
                <w:color w:val="auto"/>
              </w:rPr>
            </w:pPr>
            <w:r>
              <w:rPr>
                <w:rFonts w:ascii="Arial" w:cs="Arial" w:eastAsia="Arial" w:hAnsi="Arial"/>
                <w:sz w:val="18"/>
                <w:szCs w:val="18"/>
                <w:color w:val="auto"/>
              </w:rPr>
              <w:t>384</w:t>
            </w:r>
          </w:p>
        </w:tc>
        <w:tc>
          <w:tcPr>
            <w:tcW w:w="100" w:type="dxa"/>
            <w:vAlign w:val="bottom"/>
          </w:tcPr>
          <w:p>
            <w:pPr>
              <w:spacing w:after="0"/>
              <w:rPr>
                <w:sz w:val="17"/>
                <w:szCs w:val="17"/>
                <w:color w:val="auto"/>
              </w:rPr>
            </w:pPr>
          </w:p>
        </w:tc>
        <w:tc>
          <w:tcPr>
            <w:tcW w:w="64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 w:type="dxa"/>
            <w:vAlign w:val="bottom"/>
          </w:tcPr>
          <w:p>
            <w:pPr>
              <w:spacing w:after="0"/>
              <w:rPr>
                <w:sz w:val="21"/>
                <w:szCs w:val="21"/>
                <w:color w:val="auto"/>
              </w:rPr>
            </w:pPr>
          </w:p>
        </w:tc>
        <w:tc>
          <w:tcPr>
            <w:tcW w:w="6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Percentage change in Segment Adjusted EBITDA versus 2020 period</w:t>
            </w:r>
          </w:p>
        </w:tc>
        <w:tc>
          <w:tcPr>
            <w:tcW w:w="20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160" w:type="dxa"/>
            <w:vAlign w:val="bottom"/>
            <w:tcBorders>
              <w:top w:val="single" w:sz="8" w:color="CCEEFF"/>
              <w:bottom w:val="single" w:sz="8" w:color="CCEEFF"/>
            </w:tcBorders>
            <w:gridSpan w:val="2"/>
            <w:vMerge w:val="restart"/>
          </w:tcPr>
          <w:p>
            <w:pPr>
              <w:spacing w:after="0" w:line="163" w:lineRule="exact"/>
              <w:rPr>
                <w:sz w:val="20"/>
                <w:szCs w:val="20"/>
                <w:color w:val="auto"/>
              </w:rPr>
            </w:pPr>
            <w:r>
              <w:rPr>
                <w:rFonts w:ascii="Arial" w:cs="Arial" w:eastAsia="Arial" w:hAnsi="Arial"/>
                <w:sz w:val="18"/>
                <w:szCs w:val="18"/>
                <w:b w:val="1"/>
                <w:bCs w:val="1"/>
                <w:i w:val="1"/>
                <w:iCs w:val="1"/>
                <w:color w:val="auto"/>
                <w:w w:val="94"/>
              </w:rPr>
              <w:t>Percentage change in Segment Adjusted EBITDA versus 2020 period further</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0" w:type="dxa"/>
            <w:vAlign w:val="bottom"/>
          </w:tcPr>
          <w:p>
            <w:pPr>
              <w:spacing w:after="0"/>
              <w:rPr>
                <w:sz w:val="10"/>
                <w:szCs w:val="10"/>
                <w:color w:val="auto"/>
              </w:rPr>
            </w:pPr>
          </w:p>
        </w:tc>
        <w:tc>
          <w:tcPr>
            <w:tcW w:w="61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4 %</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(11)%</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N/A</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6160" w:type="dxa"/>
            <w:vAlign w:val="bottom"/>
            <w:gridSpan w:val="2"/>
          </w:tcPr>
          <w:p>
            <w:pPr>
              <w:ind w:left="160"/>
              <w:spacing w:after="0" w:line="202" w:lineRule="exact"/>
              <w:rPr>
                <w:sz w:val="20"/>
                <w:szCs w:val="20"/>
                <w:color w:val="auto"/>
              </w:rPr>
            </w:pPr>
            <w:r>
              <w:rPr>
                <w:rFonts w:ascii="Arial" w:cs="Arial" w:eastAsia="Arial" w:hAnsi="Arial"/>
                <w:sz w:val="18"/>
                <w:szCs w:val="18"/>
                <w:b w:val="1"/>
                <w:bCs w:val="1"/>
                <w:i w:val="1"/>
                <w:iCs w:val="1"/>
                <w:color w:val="auto"/>
              </w:rPr>
              <w:t xml:space="preserve">adjusted for impact of divested assets </w:t>
            </w:r>
            <w:r>
              <w:rPr>
                <w:rFonts w:ascii="Arial" w:cs="Arial" w:eastAsia="Arial" w:hAnsi="Arial"/>
                <w:sz w:val="23"/>
                <w:szCs w:val="23"/>
                <w:b w:val="1"/>
                <w:bCs w:val="1"/>
                <w:i w:val="1"/>
                <w:iCs w:val="1"/>
                <w:color w:val="auto"/>
                <w:vertAlign w:val="superscript"/>
              </w:rPr>
              <w:t>(1)</w:t>
            </w: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tcPr>
          <w:p>
            <w:pPr>
              <w:spacing w:after="0"/>
              <w:rPr>
                <w:sz w:val="14"/>
                <w:szCs w:val="14"/>
                <w:color w:val="auto"/>
              </w:rPr>
            </w:pPr>
          </w:p>
        </w:tc>
        <w:tc>
          <w:tcPr>
            <w:tcW w:w="2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Indicates that variance as a percentage is not meaningful.</w:t>
      </w:r>
    </w:p>
    <w:p>
      <w:pPr>
        <w:spacing w:after="0" w:line="306" w:lineRule="exact"/>
        <w:rPr>
          <w:sz w:val="20"/>
          <w:szCs w:val="20"/>
          <w:color w:val="auto"/>
        </w:rPr>
      </w:pPr>
    </w:p>
    <w:p>
      <w:pPr>
        <w:jc w:val="both"/>
        <w:ind w:left="340" w:right="140" w:hanging="332"/>
        <w:spacing w:after="0" w:line="249" w:lineRule="auto"/>
        <w:tabs>
          <w:tab w:leader="none" w:pos="328" w:val="left"/>
        </w:tabs>
        <w:numPr>
          <w:ilvl w:val="0"/>
          <w:numId w:val="5"/>
        </w:numPr>
        <w:rPr>
          <w:rFonts w:ascii="Arial" w:cs="Arial" w:eastAsia="Arial" w:hAnsi="Arial"/>
          <w:sz w:val="22"/>
          <w:szCs w:val="22"/>
          <w:color w:val="auto"/>
          <w:vertAlign w:val="superscript"/>
        </w:rPr>
      </w:pPr>
      <w:r>
        <w:rPr>
          <w:rFonts w:ascii="Arial" w:cs="Arial" w:eastAsia="Arial" w:hAnsi="Arial"/>
          <w:sz w:val="17"/>
          <w:szCs w:val="17"/>
          <w:color w:val="auto"/>
        </w:rPr>
        <w:t>Estimated impact of divestitures completed during 2020 and 2021, assuming an effective date of January 1, 2020. Divested assets primarily included certain NGL storage terminals and Los Angeles Basin crude oil storage terminals that were previously included in our Facilities segment and the sale of a portion of our interest in a joint venture pipeline that was previously reported in our Transportation segment.</w:t>
      </w:r>
    </w:p>
    <w:p>
      <w:pPr>
        <w:spacing w:after="0" w:line="33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Second-quarter 2021 Transportation Segment Adjusted EBITDA increased 25% versus comparable 2020 results due to increased tariff volumes in multiple regions primarily driven by improved crude oil demand and production versus the COVID-related reset to North American production experienced in the second quarter of 2020 as well as the benefit from the collection of deficiency payments associated with minimum volume commitments.</w:t>
      </w:r>
    </w:p>
    <w:p>
      <w:pPr>
        <w:spacing w:after="0" w:line="214" w:lineRule="exact"/>
        <w:rPr>
          <w:sz w:val="20"/>
          <w:szCs w:val="20"/>
          <w:color w:val="auto"/>
        </w:rPr>
      </w:pPr>
    </w:p>
    <w:p>
      <w:pPr>
        <w:ind w:right="20" w:firstLine="180"/>
        <w:spacing w:after="0" w:line="277" w:lineRule="auto"/>
        <w:rPr>
          <w:sz w:val="20"/>
          <w:szCs w:val="20"/>
          <w:color w:val="auto"/>
        </w:rPr>
      </w:pPr>
      <w:r>
        <w:rPr>
          <w:rFonts w:ascii="Arial" w:cs="Arial" w:eastAsia="Arial" w:hAnsi="Arial"/>
          <w:sz w:val="18"/>
          <w:szCs w:val="18"/>
          <w:color w:val="auto"/>
        </w:rPr>
        <w:t>Second-quarter 2021 Facilities Segment Adjusted EBITDA decreased 20% versus comparable 2020 results primarily due to the impact of asset sales and reduced NGL intersegment fee structure based on market conditions.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Second-quarter 2021 Supply and Logistics Segment Adjusted EBITDA was in line with comparable 2020 results.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20"/>
          </w:cols>
          <w:pgMar w:left="320" w:top="368"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Page 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and Operating Guidance</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volumes, per unit and per barrel data)</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w w:val="97"/>
              </w:rPr>
              <w:t>Twelve Months Ended December 31,</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0"/>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2021 (G)</w:t>
            </w:r>
          </w:p>
        </w:tc>
        <w:tc>
          <w:tcPr>
            <w:tcW w:w="0" w:type="dxa"/>
            <w:vAlign w:val="bottom"/>
          </w:tcPr>
          <w:p>
            <w:pPr>
              <w:spacing w:after="0"/>
              <w:rPr>
                <w:sz w:val="1"/>
                <w:szCs w:val="1"/>
                <w:color w:val="auto"/>
              </w:rPr>
            </w:pPr>
          </w:p>
        </w:tc>
      </w:tr>
      <w:tr>
        <w:trPr>
          <w:trHeight w:val="209"/>
        </w:trPr>
        <w:tc>
          <w:tcPr>
            <w:tcW w:w="6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jc w:val="right"/>
              <w:ind w:right="571"/>
              <w:spacing w:after="0"/>
              <w:rPr>
                <w:sz w:val="20"/>
                <w:szCs w:val="20"/>
                <w:color w:val="auto"/>
              </w:rPr>
            </w:pPr>
            <w:r>
              <w:rPr>
                <w:rFonts w:ascii="Arial" w:cs="Arial" w:eastAsia="Arial" w:hAnsi="Arial"/>
                <w:sz w:val="16"/>
                <w:szCs w:val="16"/>
                <w:color w:val="auto"/>
              </w:rPr>
              <w:t>+ / -</w:t>
            </w:r>
          </w:p>
        </w:tc>
        <w:tc>
          <w:tcPr>
            <w:tcW w:w="0" w:type="dxa"/>
            <w:vAlign w:val="bottom"/>
          </w:tcPr>
          <w:p>
            <w:pPr>
              <w:spacing w:after="0"/>
              <w:rPr>
                <w:sz w:val="1"/>
                <w:szCs w:val="1"/>
                <w:color w:val="auto"/>
              </w:rPr>
            </w:pPr>
          </w:p>
        </w:tc>
      </w:tr>
      <w:tr>
        <w:trPr>
          <w:trHeight w:val="233"/>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Adjusted EBITDA</w:t>
            </w:r>
          </w:p>
        </w:tc>
        <w:tc>
          <w:tcPr>
            <w:tcW w:w="10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180"/>
              <w:spacing w:after="0"/>
              <w:rPr>
                <w:sz w:val="20"/>
                <w:szCs w:val="20"/>
                <w:color w:val="auto"/>
              </w:rPr>
            </w:pPr>
            <w:r>
              <w:rPr>
                <w:rFonts w:ascii="Arial" w:cs="Arial" w:eastAsia="Arial" w:hAnsi="Arial"/>
                <w:sz w:val="18"/>
                <w:szCs w:val="18"/>
                <w:color w:val="auto"/>
              </w:rPr>
              <w:t>Transportation</w:t>
            </w:r>
          </w:p>
        </w:tc>
        <w:tc>
          <w:tcPr>
            <w:tcW w:w="1040" w:type="dxa"/>
            <w:vAlign w:val="bottom"/>
          </w:tcPr>
          <w:p>
            <w:pPr>
              <w:jc w:val="right"/>
              <w:ind w:right="831"/>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1,722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1,616</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Facilities</w:t>
            </w:r>
          </w:p>
        </w:tc>
        <w:tc>
          <w:tcPr>
            <w:tcW w:w="10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23"/>
        </w:trPr>
        <w:tc>
          <w:tcPr>
            <w:tcW w:w="6200" w:type="dxa"/>
            <w:vAlign w:val="bottom"/>
          </w:tcPr>
          <w:p>
            <w:pPr>
              <w:ind w:left="300"/>
              <w:spacing w:after="0"/>
              <w:rPr>
                <w:sz w:val="20"/>
                <w:szCs w:val="20"/>
                <w:color w:val="auto"/>
              </w:rPr>
            </w:pPr>
            <w:r>
              <w:rPr>
                <w:rFonts w:ascii="Arial" w:cs="Arial" w:eastAsia="Arial" w:hAnsi="Arial"/>
                <w:sz w:val="18"/>
                <w:szCs w:val="18"/>
                <w:b w:val="1"/>
                <w:bCs w:val="1"/>
                <w:color w:val="auto"/>
              </w:rPr>
              <w:t>Fee-Based</w:t>
            </w:r>
          </w:p>
        </w:tc>
        <w:tc>
          <w:tcPr>
            <w:tcW w:w="1040" w:type="dxa"/>
            <w:vAlign w:val="bottom"/>
          </w:tcPr>
          <w:p>
            <w:pPr>
              <w:jc w:val="right"/>
              <w:ind w:right="831"/>
              <w:spacing w:after="0"/>
              <w:rPr>
                <w:sz w:val="20"/>
                <w:szCs w:val="20"/>
                <w:color w:val="auto"/>
              </w:rPr>
            </w:pPr>
            <w:r>
              <w:rPr>
                <w:rFonts w:ascii="Arial" w:cs="Arial" w:eastAsia="Arial" w:hAnsi="Arial"/>
                <w:sz w:val="18"/>
                <w:szCs w:val="18"/>
                <w:b w:val="1"/>
                <w:bCs w:val="1"/>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2,427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2,347</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2,175</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Supply and Logistics</w:t>
            </w: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00" w:type="dxa"/>
            <w:vAlign w:val="bottom"/>
            <w:tcBorders>
              <w:bottom w:val="single" w:sz="8" w:color="CCEEFF"/>
            </w:tcBorders>
          </w:tcPr>
          <w:p>
            <w:pPr>
              <w:ind w:left="180"/>
              <w:spacing w:after="0" w:line="230" w:lineRule="exact"/>
              <w:rPr>
                <w:sz w:val="20"/>
                <w:szCs w:val="20"/>
                <w:color w:val="auto"/>
              </w:rPr>
            </w:pPr>
            <w:r>
              <w:rPr>
                <w:rFonts w:ascii="Arial" w:cs="Arial" w:eastAsia="Arial" w:hAnsi="Arial"/>
                <w:sz w:val="18"/>
                <w:szCs w:val="18"/>
                <w:color w:val="auto"/>
              </w:rPr>
              <w:t xml:space="preserve">Adjusted other income/(expense), net </w:t>
            </w:r>
            <w:r>
              <w:rPr>
                <w:rFonts w:ascii="Arial" w:cs="Arial" w:eastAsia="Arial" w:hAnsi="Arial"/>
                <w:sz w:val="23"/>
                <w:szCs w:val="23"/>
                <w:color w:val="auto"/>
                <w:vertAlign w:val="superscript"/>
              </w:rPr>
              <w:t>(1)</w:t>
            </w:r>
          </w:p>
        </w:tc>
        <w:tc>
          <w:tcPr>
            <w:tcW w:w="10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20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23"/>
                <w:szCs w:val="23"/>
                <w:b w:val="1"/>
                <w:bCs w:val="1"/>
                <w:color w:val="auto"/>
                <w:vertAlign w:val="superscript"/>
              </w:rPr>
              <w:t>(2)</w:t>
            </w:r>
          </w:p>
        </w:tc>
        <w:tc>
          <w:tcPr>
            <w:tcW w:w="1040" w:type="dxa"/>
            <w:vAlign w:val="bottom"/>
            <w:tcBorders>
              <w:bottom w:val="single" w:sz="8" w:color="auto"/>
            </w:tcBorders>
            <w:shd w:val="clear" w:color="auto" w:fill="CCEEFF"/>
          </w:tcPr>
          <w:p>
            <w:pPr>
              <w:jc w:val="right"/>
              <w:ind w:right="831"/>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2,560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2,175</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ind w:left="180"/>
              <w:spacing w:after="0" w:line="243" w:lineRule="exact"/>
              <w:rPr>
                <w:sz w:val="20"/>
                <w:szCs w:val="20"/>
                <w:color w:val="auto"/>
              </w:rPr>
            </w:pPr>
            <w:r>
              <w:rPr>
                <w:rFonts w:ascii="Arial" w:cs="Arial" w:eastAsia="Arial" w:hAnsi="Arial"/>
                <w:sz w:val="18"/>
                <w:szCs w:val="18"/>
                <w:color w:val="auto"/>
              </w:rPr>
              <w:t xml:space="preserve">Interest expense, net of certain non-cash items </w:t>
            </w:r>
            <w:r>
              <w:rPr>
                <w:rFonts w:ascii="Arial" w:cs="Arial" w:eastAsia="Arial" w:hAnsi="Arial"/>
                <w:sz w:val="23"/>
                <w:szCs w:val="23"/>
                <w:color w:val="auto"/>
                <w:vertAlign w:val="superscript"/>
              </w:rPr>
              <w:t>(3)</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0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Arial" w:cs="Arial" w:eastAsia="Arial" w:hAnsi="Arial"/>
                <w:sz w:val="18"/>
                <w:szCs w:val="18"/>
                <w:color w:val="auto"/>
              </w:rPr>
              <w:t>(407)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(415)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Maintenance capital</w:t>
            </w: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0"/>
        </w:trPr>
        <w:tc>
          <w:tcPr>
            <w:tcW w:w="6200" w:type="dxa"/>
            <w:vAlign w:val="bottom"/>
          </w:tcPr>
          <w:p>
            <w:pPr>
              <w:ind w:left="180"/>
              <w:spacing w:after="0"/>
              <w:rPr>
                <w:sz w:val="20"/>
                <w:szCs w:val="20"/>
                <w:color w:val="auto"/>
              </w:rPr>
            </w:pPr>
            <w:r>
              <w:rPr>
                <w:rFonts w:ascii="Arial" w:cs="Arial" w:eastAsia="Arial" w:hAnsi="Arial"/>
                <w:sz w:val="18"/>
                <w:szCs w:val="18"/>
                <w:color w:val="auto"/>
              </w:rPr>
              <w:t>Current income tax expense</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620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Implied DCF </w:t>
            </w:r>
            <w:r>
              <w:rPr>
                <w:rFonts w:ascii="Arial" w:cs="Arial" w:eastAsia="Arial" w:hAnsi="Arial"/>
                <w:sz w:val="23"/>
                <w:szCs w:val="23"/>
                <w:b w:val="1"/>
                <w:bCs w:val="1"/>
                <w:color w:val="auto"/>
                <w:vertAlign w:val="superscript"/>
              </w:rPr>
              <w:t>(2)</w:t>
            </w:r>
          </w:p>
        </w:tc>
        <w:tc>
          <w:tcPr>
            <w:tcW w:w="1040" w:type="dxa"/>
            <w:vAlign w:val="bottom"/>
          </w:tcPr>
          <w:p>
            <w:pPr>
              <w:jc w:val="right"/>
              <w:ind w:right="831"/>
              <w:spacing w:after="0"/>
              <w:rPr>
                <w:sz w:val="20"/>
                <w:szCs w:val="20"/>
                <w:color w:val="auto"/>
              </w:rPr>
            </w:pPr>
            <w:r>
              <w:rPr>
                <w:rFonts w:ascii="Arial" w:cs="Arial" w:eastAsia="Arial" w:hAnsi="Arial"/>
                <w:sz w:val="18"/>
                <w:szCs w:val="18"/>
                <w:b w:val="1"/>
                <w:bCs w:val="1"/>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2,376</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1,881</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1,550</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Preferred unit distributions paid </w:t>
            </w:r>
            <w:r>
              <w:rPr>
                <w:rFonts w:ascii="Arial" w:cs="Arial" w:eastAsia="Arial" w:hAnsi="Arial"/>
                <w:sz w:val="23"/>
                <w:szCs w:val="23"/>
                <w:color w:val="auto"/>
                <w:vertAlign w:val="superscript"/>
              </w:rPr>
              <w:t>(4)</w:t>
            </w:r>
          </w:p>
        </w:tc>
        <w:tc>
          <w:tcPr>
            <w:tcW w:w="10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3"/>
        </w:trPr>
        <w:tc>
          <w:tcPr>
            <w:tcW w:w="6200" w:type="dxa"/>
            <w:vAlign w:val="bottom"/>
          </w:tcPr>
          <w:p>
            <w:pPr>
              <w:ind w:left="20"/>
              <w:spacing w:after="0"/>
              <w:rPr>
                <w:sz w:val="20"/>
                <w:szCs w:val="20"/>
                <w:color w:val="auto"/>
              </w:rPr>
            </w:pPr>
            <w:r>
              <w:rPr>
                <w:rFonts w:ascii="Arial" w:cs="Arial" w:eastAsia="Arial" w:hAnsi="Arial"/>
                <w:sz w:val="18"/>
                <w:szCs w:val="18"/>
                <w:b w:val="1"/>
                <w:bCs w:val="1"/>
                <w:color w:val="auto"/>
              </w:rPr>
              <w:t>Implied DCF Available to Common Unitholders</w:t>
            </w:r>
          </w:p>
        </w:tc>
        <w:tc>
          <w:tcPr>
            <w:tcW w:w="1040" w:type="dxa"/>
            <w:vAlign w:val="bottom"/>
            <w:tcBorders>
              <w:bottom w:val="single" w:sz="8" w:color="auto"/>
            </w:tcBorders>
          </w:tcPr>
          <w:p>
            <w:pPr>
              <w:jc w:val="right"/>
              <w:ind w:right="831"/>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1,683</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1,350</w:t>
            </w:r>
          </w:p>
        </w:tc>
        <w:tc>
          <w:tcPr>
            <w:tcW w:w="0" w:type="dxa"/>
            <w:vAlign w:val="bottom"/>
          </w:tcPr>
          <w:p>
            <w:pPr>
              <w:spacing w:after="0"/>
              <w:rPr>
                <w:sz w:val="1"/>
                <w:szCs w:val="1"/>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 xml:space="preserve">Implied DCF per Common Unit and Common Unit Equivalent </w:t>
            </w:r>
            <w:r>
              <w:rPr>
                <w:rFonts w:ascii="Arial" w:cs="Arial" w:eastAsia="Arial" w:hAnsi="Arial"/>
                <w:sz w:val="23"/>
                <w:szCs w:val="23"/>
                <w:b w:val="1"/>
                <w:bCs w:val="1"/>
                <w:color w:val="auto"/>
                <w:vertAlign w:val="superscript"/>
              </w:rPr>
              <w:t>(2)</w:t>
            </w:r>
          </w:p>
        </w:tc>
        <w:tc>
          <w:tcPr>
            <w:tcW w:w="1040" w:type="dxa"/>
            <w:vAlign w:val="bottom"/>
          </w:tcPr>
          <w:p>
            <w:pPr>
              <w:jc w:val="right"/>
              <w:ind w:right="831"/>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 xml:space="preserve">Distributions per Common Unit </w:t>
            </w:r>
            <w:r>
              <w:rPr>
                <w:rFonts w:ascii="Arial" w:cs="Arial" w:eastAsia="Arial" w:hAnsi="Arial"/>
                <w:sz w:val="23"/>
                <w:szCs w:val="23"/>
                <w:b w:val="1"/>
                <w:bCs w:val="1"/>
                <w:color w:val="auto"/>
                <w:vertAlign w:val="superscript"/>
              </w:rPr>
              <w:t>(5)</w:t>
            </w:r>
          </w:p>
        </w:tc>
        <w:tc>
          <w:tcPr>
            <w:tcW w:w="1040" w:type="dxa"/>
            <w:vAlign w:val="bottom"/>
          </w:tcPr>
          <w:p>
            <w:pPr>
              <w:jc w:val="right"/>
              <w:ind w:right="831"/>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Unit Distribution Coverage Ratio</w:t>
            </w:r>
          </w:p>
        </w:tc>
        <w:tc>
          <w:tcPr>
            <w:tcW w:w="10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2.17x</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2.57x</w:t>
            </w: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2.61x</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Diluted Adjusted Net Income per Common Unit </w:t>
            </w:r>
            <w:r>
              <w:rPr>
                <w:rFonts w:ascii="Arial" w:cs="Arial" w:eastAsia="Arial" w:hAnsi="Arial"/>
                <w:sz w:val="23"/>
                <w:szCs w:val="23"/>
                <w:b w:val="1"/>
                <w:bCs w:val="1"/>
                <w:color w:val="auto"/>
                <w:vertAlign w:val="superscript"/>
              </w:rPr>
              <w:t>(2)</w:t>
            </w:r>
          </w:p>
        </w:tc>
        <w:tc>
          <w:tcPr>
            <w:tcW w:w="1040" w:type="dxa"/>
            <w:vAlign w:val="bottom"/>
            <w:shd w:val="clear" w:color="auto" w:fill="CCEEFF"/>
          </w:tcPr>
          <w:p>
            <w:pPr>
              <w:jc w:val="right"/>
              <w:ind w:right="831"/>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Data</w:t>
            </w: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180"/>
              <w:spacing w:after="0"/>
              <w:rPr>
                <w:sz w:val="20"/>
                <w:szCs w:val="20"/>
                <w:color w:val="auto"/>
              </w:rPr>
            </w:pPr>
            <w:r>
              <w:rPr>
                <w:rFonts w:ascii="Arial" w:cs="Arial" w:eastAsia="Arial" w:hAnsi="Arial"/>
                <w:sz w:val="18"/>
                <w:szCs w:val="18"/>
                <w:b w:val="1"/>
                <w:bCs w:val="1"/>
                <w:color w:val="auto"/>
              </w:rPr>
              <w:t>Transportation</w:t>
            </w: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Average daily volumes (MBbls/d)</w:t>
            </w: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6,050</w:t>
            </w:r>
          </w:p>
        </w:tc>
        <w:tc>
          <w:tcPr>
            <w:tcW w:w="0" w:type="dxa"/>
            <w:vAlign w:val="bottom"/>
          </w:tcPr>
          <w:p>
            <w:pPr>
              <w:spacing w:after="0"/>
              <w:rPr>
                <w:sz w:val="1"/>
                <w:szCs w:val="1"/>
                <w:color w:val="auto"/>
              </w:rPr>
            </w:pPr>
          </w:p>
        </w:tc>
      </w:tr>
      <w:tr>
        <w:trPr>
          <w:trHeight w:val="230"/>
        </w:trPr>
        <w:tc>
          <w:tcPr>
            <w:tcW w:w="6200" w:type="dxa"/>
            <w:vAlign w:val="bottom"/>
          </w:tcPr>
          <w:p>
            <w:pPr>
              <w:ind w:left="360"/>
              <w:spacing w:after="0"/>
              <w:rPr>
                <w:sz w:val="20"/>
                <w:szCs w:val="20"/>
                <w:color w:val="auto"/>
              </w:rPr>
            </w:pPr>
            <w:r>
              <w:rPr>
                <w:rFonts w:ascii="Arial" w:cs="Arial" w:eastAsia="Arial" w:hAnsi="Arial"/>
                <w:sz w:val="18"/>
                <w:szCs w:val="18"/>
                <w:color w:val="auto"/>
              </w:rPr>
              <w:t>Segment Adjusted EBITDA per barrel</w:t>
            </w:r>
          </w:p>
        </w:tc>
        <w:tc>
          <w:tcPr>
            <w:tcW w:w="1040" w:type="dxa"/>
            <w:vAlign w:val="bottom"/>
          </w:tcPr>
          <w:p>
            <w:pPr>
              <w:jc w:val="right"/>
              <w:ind w:right="831"/>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180"/>
              <w:spacing w:after="0"/>
              <w:rPr>
                <w:sz w:val="20"/>
                <w:szCs w:val="20"/>
                <w:color w:val="auto"/>
              </w:rPr>
            </w:pPr>
            <w:r>
              <w:rPr>
                <w:rFonts w:ascii="Arial" w:cs="Arial" w:eastAsia="Arial" w:hAnsi="Arial"/>
                <w:sz w:val="18"/>
                <w:szCs w:val="18"/>
                <w:b w:val="1"/>
                <w:bCs w:val="1"/>
                <w:color w:val="auto"/>
              </w:rPr>
              <w:t>Facilities</w:t>
            </w: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Average capacity (MMBbls/Mo)</w:t>
            </w: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9"/>
        </w:trPr>
        <w:tc>
          <w:tcPr>
            <w:tcW w:w="6200" w:type="dxa"/>
            <w:vAlign w:val="bottom"/>
          </w:tcPr>
          <w:p>
            <w:pPr>
              <w:ind w:left="360"/>
              <w:spacing w:after="0"/>
              <w:rPr>
                <w:sz w:val="20"/>
                <w:szCs w:val="20"/>
                <w:color w:val="auto"/>
              </w:rPr>
            </w:pPr>
            <w:r>
              <w:rPr>
                <w:rFonts w:ascii="Arial" w:cs="Arial" w:eastAsia="Arial" w:hAnsi="Arial"/>
                <w:sz w:val="18"/>
                <w:szCs w:val="18"/>
                <w:color w:val="auto"/>
              </w:rPr>
              <w:t>Segment Adjusted EBITDA per barrel</w:t>
            </w:r>
          </w:p>
        </w:tc>
        <w:tc>
          <w:tcPr>
            <w:tcW w:w="1040" w:type="dxa"/>
            <w:vAlign w:val="bottom"/>
          </w:tcPr>
          <w:p>
            <w:pPr>
              <w:jc w:val="right"/>
              <w:ind w:right="831"/>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180"/>
              <w:spacing w:after="0"/>
              <w:rPr>
                <w:sz w:val="20"/>
                <w:szCs w:val="20"/>
                <w:color w:val="auto"/>
              </w:rPr>
            </w:pPr>
            <w:r>
              <w:rPr>
                <w:rFonts w:ascii="Arial" w:cs="Arial" w:eastAsia="Arial" w:hAnsi="Arial"/>
                <w:sz w:val="18"/>
                <w:szCs w:val="18"/>
                <w:b w:val="1"/>
                <w:bCs w:val="1"/>
                <w:color w:val="auto"/>
              </w:rPr>
              <w:t>Supply and Logistics</w:t>
            </w: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Average daily volumes (MBbls/d)</w:t>
            </w: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30"/>
        </w:trPr>
        <w:tc>
          <w:tcPr>
            <w:tcW w:w="6200" w:type="dxa"/>
            <w:vAlign w:val="bottom"/>
          </w:tcPr>
          <w:p>
            <w:pPr>
              <w:ind w:left="360"/>
              <w:spacing w:after="0"/>
              <w:rPr>
                <w:sz w:val="20"/>
                <w:szCs w:val="20"/>
                <w:color w:val="auto"/>
              </w:rPr>
            </w:pPr>
            <w:r>
              <w:rPr>
                <w:rFonts w:ascii="Arial" w:cs="Arial" w:eastAsia="Arial" w:hAnsi="Arial"/>
                <w:sz w:val="18"/>
                <w:szCs w:val="18"/>
                <w:color w:val="auto"/>
              </w:rPr>
              <w:t>Segment Adjusted EBITDA per barrel</w:t>
            </w:r>
          </w:p>
        </w:tc>
        <w:tc>
          <w:tcPr>
            <w:tcW w:w="1040" w:type="dxa"/>
            <w:vAlign w:val="bottom"/>
          </w:tcPr>
          <w:p>
            <w:pPr>
              <w:jc w:val="right"/>
              <w:ind w:right="831"/>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b w:val="1"/>
                <w:bCs w:val="1"/>
                <w:color w:val="auto"/>
              </w:rPr>
              <w:t>Investment Capital</w:t>
            </w:r>
          </w:p>
        </w:tc>
        <w:tc>
          <w:tcPr>
            <w:tcW w:w="1040" w:type="dxa"/>
            <w:vAlign w:val="bottom"/>
          </w:tcPr>
          <w:p>
            <w:pPr>
              <w:jc w:val="right"/>
              <w:ind w:right="831"/>
              <w:spacing w:after="0"/>
              <w:rPr>
                <w:sz w:val="20"/>
                <w:szCs w:val="20"/>
                <w:color w:val="auto"/>
              </w:rPr>
            </w:pPr>
            <w:r>
              <w:rPr>
                <w:rFonts w:ascii="Arial" w:cs="Arial" w:eastAsia="Arial" w:hAnsi="Arial"/>
                <w:sz w:val="18"/>
                <w:szCs w:val="18"/>
                <w:b w:val="1"/>
                <w:bCs w:val="1"/>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1,340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921</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325</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6"/>
        </w:trPr>
        <w:tc>
          <w:tcPr>
            <w:tcW w:w="6200" w:type="dxa"/>
            <w:vAlign w:val="bottom"/>
          </w:tcPr>
          <w:p>
            <w:pPr>
              <w:ind w:left="20"/>
              <w:spacing w:after="0"/>
              <w:rPr>
                <w:sz w:val="20"/>
                <w:szCs w:val="20"/>
                <w:color w:val="auto"/>
              </w:rPr>
            </w:pPr>
            <w:r>
              <w:rPr>
                <w:rFonts w:ascii="Arial" w:cs="Arial" w:eastAsia="Arial" w:hAnsi="Arial"/>
                <w:sz w:val="18"/>
                <w:szCs w:val="18"/>
                <w:b w:val="1"/>
                <w:bCs w:val="1"/>
                <w:color w:val="auto"/>
              </w:rPr>
              <w:t xml:space="preserve">Third-Quarter Adjusted EBITDA as a Percentage of Full Year </w:t>
            </w:r>
            <w:r>
              <w:rPr>
                <w:rFonts w:ascii="Arial" w:cs="Arial" w:eastAsia="Arial" w:hAnsi="Arial"/>
                <w:sz w:val="23"/>
                <w:szCs w:val="23"/>
                <w:b w:val="1"/>
                <w:bCs w:val="1"/>
                <w:color w:val="auto"/>
                <w:vertAlign w:val="superscript"/>
              </w:rPr>
              <w:t>(6)</w:t>
            </w:r>
          </w:p>
        </w:tc>
        <w:tc>
          <w:tcPr>
            <w:tcW w:w="10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24599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(G) 2021 Guidance forecasts are intended to be + / - amounts.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00"/>
          </w:cols>
          <w:pgMar w:left="320" w:top="368" w:right="37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Page 5</w:t>
      </w:r>
    </w:p>
    <w:p>
      <w:pPr>
        <w:spacing w:after="0" w:line="200" w:lineRule="exact"/>
        <w:rPr>
          <w:sz w:val="20"/>
          <w:szCs w:val="20"/>
          <w:color w:val="auto"/>
        </w:rPr>
      </w:pPr>
    </w:p>
    <w:p>
      <w:pPr>
        <w:spacing w:after="0" w:line="295" w:lineRule="exact"/>
        <w:rPr>
          <w:sz w:val="20"/>
          <w:szCs w:val="20"/>
          <w:color w:val="auto"/>
        </w:rPr>
      </w:pPr>
    </w:p>
    <w:p>
      <w:pPr>
        <w:ind w:left="340" w:right="360" w:hanging="332"/>
        <w:spacing w:after="0" w:line="234" w:lineRule="auto"/>
        <w:tabs>
          <w:tab w:leader="none" w:pos="328"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Represents “Other income, net” as reported on our Condensed Consolidated Statements of Operations, adjusted for selected items impacting comparability of $(17) million and $(36) million for the twelve months ended December 31, 2019 and 2020, respectively. See the “Selected Items Impacting Comparability” table for additional information.</w:t>
      </w:r>
    </w:p>
    <w:p>
      <w:pPr>
        <w:spacing w:after="0" w:line="81" w:lineRule="exact"/>
        <w:rPr>
          <w:rFonts w:ascii="Arial" w:cs="Arial" w:eastAsia="Arial" w:hAnsi="Arial"/>
          <w:sz w:val="23"/>
          <w:szCs w:val="23"/>
          <w:color w:val="auto"/>
          <w:vertAlign w:val="superscript"/>
        </w:rPr>
      </w:pPr>
    </w:p>
    <w:p>
      <w:pPr>
        <w:ind w:left="340" w:right="120" w:hanging="332"/>
        <w:spacing w:after="0" w:line="244" w:lineRule="auto"/>
        <w:tabs>
          <w:tab w:leader="none" w:pos="328"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See the section of this release entitled “Non-GAAP Financial Measures and Selected Items Impacting Comparability” for information regarding non-GAAP financial measures and, for the historical 2019 and 2020 periods, see the Non-GAAP Reconciliation tables attached hereto for a reconciliation of such non-GAAP financial measures to the most directly comparable measures as reported in accordance with GAAP. We do not provide a reconciliation of non-GAAP financial measures to the equivalent GAAP financial measures on a forward-looking basis as it is impractical to forecast certain items that we have defined as “Selected Items Impacting Comparability” without unreasonable effort, due to the uncertainty and inherent difficulty of predicting the occurrence and financial impact of such items and the periods in which such items may be recognized. Thus, a reconciliation of non-GAAP financial measures to the equivalent GAAP financial measures could result in disclosure that could be imprecise or potentially misleading.</w:t>
      </w:r>
    </w:p>
    <w:p>
      <w:pPr>
        <w:spacing w:after="0" w:line="44"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6"/>
        </w:numPr>
        <w:rPr>
          <w:rFonts w:ascii="Arial" w:cs="Arial" w:eastAsia="Arial" w:hAnsi="Arial"/>
          <w:sz w:val="22"/>
          <w:szCs w:val="22"/>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82" w:lineRule="exact"/>
        <w:rPr>
          <w:rFonts w:ascii="Arial" w:cs="Arial" w:eastAsia="Arial" w:hAnsi="Arial"/>
          <w:sz w:val="22"/>
          <w:szCs w:val="22"/>
          <w:color w:val="auto"/>
          <w:vertAlign w:val="superscript"/>
        </w:rPr>
      </w:pPr>
    </w:p>
    <w:p>
      <w:pPr>
        <w:ind w:left="340" w:right="220" w:hanging="332"/>
        <w:spacing w:after="0" w:line="237" w:lineRule="auto"/>
        <w:tabs>
          <w:tab w:leader="none" w:pos="328" w:val="left"/>
        </w:tabs>
        <w:numPr>
          <w:ilvl w:val="0"/>
          <w:numId w:val="6"/>
        </w:numPr>
        <w:rPr>
          <w:rFonts w:ascii="Arial" w:cs="Arial" w:eastAsia="Arial" w:hAnsi="Arial"/>
          <w:sz w:val="22"/>
          <w:szCs w:val="22"/>
          <w:color w:val="auto"/>
          <w:vertAlign w:val="superscript"/>
        </w:rPr>
      </w:pPr>
      <w:r>
        <w:rPr>
          <w:rFonts w:ascii="Arial" w:cs="Arial" w:eastAsia="Arial" w:hAnsi="Arial"/>
          <w:sz w:val="17"/>
          <w:szCs w:val="17"/>
          <w:color w:val="auto"/>
        </w:rPr>
        <w:t>Cash distributions paid to our preferred unitholders during 2019 and 2020. 2021(G) reflects the current annualized distribution requirement of $2.10 per Series A preferred unit and the current annualized distribution requirement of $61.25 per Series B preferred unit.</w:t>
      </w:r>
    </w:p>
    <w:p>
      <w:pPr>
        <w:spacing w:after="0" w:line="70" w:lineRule="exact"/>
        <w:rPr>
          <w:rFonts w:ascii="Arial" w:cs="Arial" w:eastAsia="Arial" w:hAnsi="Arial"/>
          <w:sz w:val="22"/>
          <w:szCs w:val="22"/>
          <w:color w:val="auto"/>
          <w:vertAlign w:val="superscript"/>
        </w:rPr>
      </w:pPr>
    </w:p>
    <w:p>
      <w:pPr>
        <w:ind w:left="320" w:hanging="312"/>
        <w:spacing w:after="0"/>
        <w:tabs>
          <w:tab w:leader="none" w:pos="32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Cash distributions per common unit paid during 2019 and 2020. 2021(G) reflects the current annualized distribution rate of $0.72 per common unit.</w:t>
      </w:r>
    </w:p>
    <w:p>
      <w:pPr>
        <w:spacing w:after="0" w:line="68" w:lineRule="exact"/>
        <w:rPr>
          <w:rFonts w:ascii="Arial" w:cs="Arial" w:eastAsia="Arial" w:hAnsi="Arial"/>
          <w:sz w:val="21"/>
          <w:szCs w:val="21"/>
          <w:color w:val="auto"/>
          <w:vertAlign w:val="superscript"/>
        </w:rPr>
      </w:pPr>
    </w:p>
    <w:p>
      <w:pPr>
        <w:ind w:left="340" w:right="160" w:hanging="332"/>
        <w:spacing w:after="0" w:line="226" w:lineRule="auto"/>
        <w:tabs>
          <w:tab w:leader="none" w:pos="328"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2021 (G) includes our +/- forecast for the full year based on a certain set of assumptions as of the date of this earnings release and acknowledges that uncertainties under the current market environment could result in timing shifts across individual quarters.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w:t>
      </w:r>
    </w:p>
    <w:p>
      <w:pPr>
        <w:spacing w:after="0" w:line="256" w:lineRule="exact"/>
        <w:rPr>
          <w:sz w:val="20"/>
          <w:szCs w:val="20"/>
          <w:color w:val="auto"/>
        </w:rPr>
      </w:pPr>
    </w:p>
    <w:p>
      <w:pPr>
        <w:ind w:right="120" w:firstLine="180"/>
        <w:spacing w:after="0" w:line="263" w:lineRule="auto"/>
        <w:rPr>
          <w:sz w:val="20"/>
          <w:szCs w:val="20"/>
          <w:color w:val="auto"/>
        </w:rPr>
      </w:pPr>
      <w:r>
        <w:rPr>
          <w:rFonts w:ascii="Arial" w:cs="Arial" w:eastAsia="Arial" w:hAnsi="Arial"/>
          <w:sz w:val="18"/>
          <w:szCs w:val="18"/>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attached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PAA and PAGP will hold a joint conference call at 4:30 p.m. CT on Tuesday, August 3, 2021 to discuss the following items:</w:t>
      </w:r>
    </w:p>
    <w:p>
      <w:pPr>
        <w:spacing w:after="0" w:line="117" w:lineRule="exact"/>
        <w:rPr>
          <w:sz w:val="20"/>
          <w:szCs w:val="20"/>
          <w:color w:val="auto"/>
        </w:rPr>
      </w:pPr>
    </w:p>
    <w:p>
      <w:pPr>
        <w:ind w:left="1140" w:hanging="32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PAA’s second-quarter 2021 performance;</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Capitalization and liquidity; and</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Financial and operating guidance.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Webcast Instructions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access the internet webcast, please go to https://edge.media-server.com/mmc/p/3wef49ho.</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Alternatively, the webcast can be accessed on our website (www.plainsallamerican.com) under Investor Relations (Navigate to: Investor Relations</w:t>
      </w:r>
    </w:p>
    <w:p>
      <w:pPr>
        <w:spacing w:after="0" w:line="46" w:lineRule="exact"/>
        <w:rPr>
          <w:sz w:val="20"/>
          <w:szCs w:val="20"/>
          <w:color w:val="auto"/>
        </w:rPr>
      </w:pPr>
    </w:p>
    <w:p>
      <w:pPr>
        <w:jc w:val="both"/>
        <w:ind w:right="380" w:firstLine="8"/>
        <w:spacing w:after="0" w:line="255" w:lineRule="auto"/>
        <w:tabs>
          <w:tab w:leader="none" w:pos="95" w:val="left"/>
        </w:tabs>
        <w:numPr>
          <w:ilvl w:val="0"/>
          <w:numId w:val="8"/>
        </w:numPr>
        <w:rPr>
          <w:rFonts w:ascii="Arial" w:cs="Arial" w:eastAsia="Arial" w:hAnsi="Arial"/>
          <w:sz w:val="18"/>
          <w:szCs w:val="18"/>
          <w:color w:val="auto"/>
        </w:rPr>
      </w:pPr>
      <w:r>
        <w:rPr>
          <w:rFonts w:ascii="Arial" w:cs="Arial" w:eastAsia="Arial" w:hAnsi="Arial"/>
          <w:sz w:val="18"/>
          <w:szCs w:val="18"/>
          <w:color w:val="auto"/>
        </w:rPr>
        <w:t>either “PAA” or “PAGP” / News &amp; Events / Quarterly Earnings). Following the live webcast, an audio replay in MP3 format will be available on our website within two hours after the end of the call and will be accessible for a period of 365 days. A transcript will also be available after the call at the above referenced website.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and Selected Items Impacting Comparability</w:t>
      </w:r>
    </w:p>
    <w:p>
      <w:pPr>
        <w:spacing w:after="0" w:line="171"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00"/>
          </w:cols>
          <w:pgMar w:left="320" w:top="368"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Page 6</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primary additional measures used by management are earnings before interest, taxes, depreciation and amortization (including our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proportionate share of depreciation and amortization and write-downs related to cancelled projects of unconsolidated entities), gains and losses on asset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sales and asset impairments, goodwill impairment losses and gains on and impairments of investments in unconsolidated entities, adjusted for certain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selected items impacting comparability (“Adjusted EBITDA”), Implied Distributable Cash Flow (“DCF”), Free Cash Flow and Free Cash Flow after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Distributions. Our definition and calculation of certain non-GAAP financial measures may not be comparable to similarly-titled measures of other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companies. Adjusted EBITDA, Implied DCF and certain other non-GAAP financial performance measures are reconciled to Net Income/(Loss), and Free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Flow and Free Cash Flow after Distributions are reconciled to Net Cash Provided by Operating Activities (the most directly comparable measures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reported in accordance with GAAP) for the historical periods presented in the tables attached to this release, and should be viewed in addition to, and not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lieu of, our Condensed Consolidated Financial Statements and accompanying notes. In addition, we encourage you to visit our website at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www.plainsallamerican.com (in particular the section under “Financial Information” entitled “Non-GAAP Reconciliations” within the Investor Relations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tab), which presents a reconciliation of our commonly used non-GAAP and supplemental financial measures.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Performance Measures</w:t>
      </w:r>
    </w:p>
    <w:p>
      <w:pPr>
        <w:spacing w:after="0" w:line="256"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Management believes that the presentation of Adjusted EBITDA and Implied DCF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(iii) long-term inventory costing adjustments, (iv) items that are not indicative of our core operating results and/or (v) other items that we believe should be excluded in understanding our core operating performance. These measures may be further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We also adjust for amounts billed by our equity method investees related to deficiencies under minimum volume commitments. All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 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These types of variations may not be separately identified in this release, but will be discussed, as applicable, in management’s discussion and analysis of operating results in our Quarterly Report on Form 10-Q.</w:t>
      </w:r>
    </w:p>
    <w:p>
      <w:pPr>
        <w:spacing w:after="0" w:line="200" w:lineRule="exact"/>
        <w:rPr>
          <w:sz w:val="20"/>
          <w:szCs w:val="20"/>
          <w:color w:val="auto"/>
        </w:rPr>
      </w:pP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Liquidity Measures</w:t>
      </w:r>
    </w:p>
    <w:p>
      <w:pPr>
        <w:spacing w:after="0" w:line="25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Management also uses the non-GAAP financial measures Free Cash Flow and Free Cash Flow after Distributions to assess the amount of cash that is available for distributions, debt repayments, common equity repurchases and other general partnership purposes. Free Cash Flow is defined as Net Cash Provided by Operating Activities, less Net Cash Used in Investing Activities, which primarily includes acquisition, investment and maintenance capital expenditures, investments in unconsolidated entities and the impact from the purchase and sale of linefill and base gas, net of proceeds from the sales of assets and further impacted by cash received from or paid to noncontrolling interests. Free Cash Flow is further reduced by cash distributions paid to our preferred and common unitholders to arrive at Free Cash Flow after Distributions.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20"/>
          </w:cols>
          <w:pgMar w:left="320" w:top="368"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Page 7</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4"/>
                <w:szCs w:val="14"/>
                <w:color w:val="auto"/>
              </w:rPr>
            </w:pPr>
          </w:p>
        </w:tc>
        <w:tc>
          <w:tcPr>
            <w:tcW w:w="2180" w:type="dxa"/>
            <w:vAlign w:val="bottom"/>
            <w:gridSpan w:val="5"/>
          </w:tcPr>
          <w:p>
            <w:pPr>
              <w:ind w:left="380"/>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2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left="432"/>
              <w:spacing w:after="0"/>
              <w:rPr>
                <w:sz w:val="20"/>
                <w:szCs w:val="20"/>
                <w:color w:val="auto"/>
              </w:rPr>
            </w:pPr>
            <w:r>
              <w:rPr>
                <w:rFonts w:ascii="Arial" w:cs="Arial" w:eastAsia="Arial" w:hAnsi="Arial"/>
                <w:sz w:val="14"/>
                <w:szCs w:val="14"/>
                <w:b w:val="1"/>
                <w:bCs w:val="1"/>
                <w:color w:val="auto"/>
                <w:w w:val="89"/>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4700" w:type="dxa"/>
            <w:vAlign w:val="bottom"/>
            <w:tcBorders>
              <w:bottom w:val="single" w:sz="8" w:color="CCEEFF"/>
            </w:tcBorders>
          </w:tcPr>
          <w:p>
            <w:pPr>
              <w:spacing w:after="0"/>
              <w:rPr>
                <w:sz w:val="15"/>
                <w:szCs w:val="15"/>
                <w:color w:val="auto"/>
              </w:rPr>
            </w:pPr>
          </w:p>
        </w:tc>
        <w:tc>
          <w:tcPr>
            <w:tcW w:w="15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r>
      <w:tr>
        <w:trPr>
          <w:trHeight w:val="224"/>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5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11,494</w:t>
            </w:r>
          </w:p>
        </w:tc>
        <w:tc>
          <w:tcPr>
            <w:tcW w:w="2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5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1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9,893</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15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5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(Gains)/losses on asset sales and asset impairments, net</w:t>
            </w:r>
          </w:p>
        </w:tc>
        <w:tc>
          <w:tcPr>
            <w:tcW w:w="1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618</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 losses</w:t>
            </w:r>
          </w:p>
        </w:tc>
        <w:tc>
          <w:tcPr>
            <w:tcW w:w="15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2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15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10,166</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3,015</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18,023</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14,057</w:t>
            </w:r>
          </w:p>
        </w:tc>
        <w:tc>
          <w:tcPr>
            <w:tcW w:w="20" w:type="dxa"/>
            <w:vAlign w:val="bottom"/>
            <w:tcBorders>
              <w:top w:val="single" w:sz="8" w:color="auto"/>
            </w:tcBorders>
          </w:tcPr>
          <w:p>
            <w:pPr>
              <w:spacing w:after="0"/>
              <w:rPr>
                <w:sz w:val="19"/>
                <w:szCs w:val="19"/>
                <w:color w:val="auto"/>
              </w:rPr>
            </w:pPr>
          </w:p>
        </w:tc>
      </w:tr>
      <w:tr>
        <w:trPr>
          <w:trHeight w:val="216"/>
        </w:trPr>
        <w:tc>
          <w:tcPr>
            <w:tcW w:w="2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OPERATING INCOME/(LOSS)</w:t>
            </w:r>
          </w:p>
        </w:tc>
        <w:tc>
          <w:tcPr>
            <w:tcW w:w="1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(2,563)</w:t>
            </w:r>
          </w:p>
        </w:tc>
        <w:tc>
          <w:tcPr>
            <w:tcW w:w="20" w:type="dxa"/>
            <w:vAlign w:val="bottom"/>
          </w:tcPr>
          <w:p>
            <w:pPr>
              <w:spacing w:after="0"/>
              <w:rPr>
                <w:sz w:val="19"/>
                <w:szCs w:val="19"/>
                <w:color w:val="auto"/>
              </w:rPr>
            </w:pPr>
          </w:p>
        </w:tc>
      </w:tr>
      <w:tr>
        <w:trPr>
          <w:trHeight w:val="216"/>
        </w:trPr>
        <w:tc>
          <w:tcPr>
            <w:tcW w:w="2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1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15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Gain on/(impairment of) investments in unconsolidated entities, net</w:t>
            </w:r>
          </w:p>
        </w:tc>
        <w:tc>
          <w:tcPr>
            <w:tcW w:w="3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5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income/(expense), net</w:t>
            </w:r>
          </w:p>
        </w:tc>
        <w:tc>
          <w:tcPr>
            <w:tcW w:w="15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auto"/>
            </w:tcBorders>
          </w:tcPr>
          <w:p>
            <w:pPr>
              <w:spacing w:after="0"/>
              <w:rPr>
                <w:sz w:val="19"/>
                <w:szCs w:val="19"/>
                <w:color w:val="auto"/>
              </w:rPr>
            </w:pPr>
          </w:p>
        </w:tc>
      </w:tr>
      <w:tr>
        <w:trPr>
          <w:trHeight w:val="196"/>
        </w:trPr>
        <w:tc>
          <w:tcPr>
            <w:tcW w:w="20" w:type="dxa"/>
            <w:vAlign w:val="bottom"/>
            <w:shd w:val="clear" w:color="auto" w:fill="CCEEFF"/>
          </w:tcPr>
          <w:p>
            <w:pPr>
              <w:spacing w:after="0"/>
              <w:rPr>
                <w:sz w:val="17"/>
                <w:szCs w:val="17"/>
                <w:color w:val="auto"/>
              </w:rPr>
            </w:pPr>
          </w:p>
        </w:tc>
        <w:tc>
          <w:tcPr>
            <w:tcW w:w="47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INCOME/(LOSS) BEFORE TAX</w:t>
            </w:r>
          </w:p>
        </w:tc>
        <w:tc>
          <w:tcPr>
            <w:tcW w:w="1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(2,691)</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15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income tax (expense)/benefit</w:t>
            </w:r>
          </w:p>
        </w:tc>
        <w:tc>
          <w:tcPr>
            <w:tcW w:w="15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auto"/>
            </w:tcBorders>
          </w:tcPr>
          <w:p>
            <w:pPr>
              <w:spacing w:after="0"/>
              <w:rPr>
                <w:sz w:val="19"/>
                <w:szCs w:val="19"/>
                <w:color w:val="auto"/>
              </w:rPr>
            </w:pPr>
          </w:p>
        </w:tc>
      </w:tr>
      <w:tr>
        <w:trPr>
          <w:trHeight w:val="196"/>
        </w:trPr>
        <w:tc>
          <w:tcPr>
            <w:tcW w:w="20" w:type="dxa"/>
            <w:vAlign w:val="bottom"/>
            <w:shd w:val="clear" w:color="auto" w:fill="CCEEFF"/>
          </w:tcPr>
          <w:p>
            <w:pPr>
              <w:spacing w:after="0"/>
              <w:rPr>
                <w:sz w:val="17"/>
                <w:szCs w:val="17"/>
                <w:color w:val="auto"/>
              </w:rPr>
            </w:pPr>
          </w:p>
        </w:tc>
        <w:tc>
          <w:tcPr>
            <w:tcW w:w="47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NET INCOME/(LOSS)</w:t>
            </w:r>
          </w:p>
        </w:tc>
        <w:tc>
          <w:tcPr>
            <w:tcW w:w="1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(2,701)</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15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NET INCOME/(LOSS) ATTRIBUTABLE TO PAA</w:t>
            </w:r>
          </w:p>
        </w:tc>
        <w:tc>
          <w:tcPr>
            <w:tcW w:w="15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(2,705)</w:t>
            </w:r>
          </w:p>
        </w:tc>
        <w:tc>
          <w:tcPr>
            <w:tcW w:w="20" w:type="dxa"/>
            <w:vAlign w:val="bottom"/>
            <w:tcBorders>
              <w:bottom w:val="single" w:sz="8" w:color="auto"/>
            </w:tcBorders>
          </w:tcPr>
          <w:p>
            <w:pPr>
              <w:spacing w:after="0"/>
              <w:rPr>
                <w:sz w:val="19"/>
                <w:szCs w:val="19"/>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7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NET INCOME/(LOSS) PER COMMON UNIT:</w:t>
            </w:r>
          </w:p>
        </w:tc>
        <w:tc>
          <w:tcPr>
            <w:tcW w:w="1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6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income/(loss) allocated to common unitholders — Basic and Diluted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00" w:type="dxa"/>
            <w:vAlign w:val="bottom"/>
          </w:tcPr>
          <w:p>
            <w:pPr>
              <w:ind w:left="120"/>
              <w:spacing w:after="0"/>
              <w:rPr>
                <w:sz w:val="20"/>
                <w:szCs w:val="20"/>
                <w:color w:val="auto"/>
              </w:rPr>
            </w:pPr>
            <w:r>
              <w:rPr>
                <w:rFonts w:ascii="Arial" w:cs="Arial" w:eastAsia="Arial" w:hAnsi="Arial"/>
                <w:sz w:val="18"/>
                <w:szCs w:val="18"/>
                <w:color w:val="auto"/>
                <w:w w:val="91"/>
              </w:rPr>
              <w:t>Basic and diluted weighted average common units outstanding</w:t>
            </w:r>
          </w:p>
        </w:tc>
        <w:tc>
          <w:tcPr>
            <w:tcW w:w="1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728</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 and diluted net income/(loss) per common unit</w:t>
            </w:r>
          </w:p>
        </w:tc>
        <w:tc>
          <w:tcPr>
            <w:tcW w:w="15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0" w:type="dxa"/>
            <w:vAlign w:val="bottom"/>
            <w:shd w:val="clear" w:color="auto" w:fill="CCEEFF"/>
          </w:tcPr>
          <w:p>
            <w:pPr>
              <w:spacing w:after="0"/>
              <w:rPr>
                <w:sz w:val="19"/>
                <w:szCs w:val="19"/>
                <w:color w:val="auto"/>
              </w:rPr>
            </w:pPr>
          </w:p>
        </w:tc>
      </w:tr>
      <w:tr>
        <w:trPr>
          <w:trHeight w:val="513"/>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520" w:type="dxa"/>
            <w:vAlign w:val="bottom"/>
          </w:tcPr>
          <w:p>
            <w:pPr>
              <w:ind w:left="620"/>
              <w:spacing w:after="0"/>
              <w:rPr>
                <w:sz w:val="20"/>
                <w:szCs w:val="20"/>
                <w:color w:val="auto"/>
              </w:rPr>
            </w:pPr>
            <w:r>
              <w:rPr>
                <w:rFonts w:ascii="Arial" w:cs="Arial" w:eastAsia="Arial" w:hAnsi="Arial"/>
                <w:sz w:val="18"/>
                <w:szCs w:val="18"/>
                <w:color w:val="auto"/>
              </w:rPr>
              <w:t>- more -</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5"/>
        </w:trPr>
        <w:tc>
          <w:tcPr>
            <w:tcW w:w="20" w:type="dxa"/>
            <w:vAlign w:val="bottom"/>
          </w:tcPr>
          <w:p>
            <w:pPr>
              <w:spacing w:after="0"/>
              <w:rPr>
                <w:sz w:val="11"/>
                <w:szCs w:val="11"/>
                <w:color w:val="auto"/>
              </w:rPr>
            </w:pPr>
          </w:p>
        </w:tc>
        <w:tc>
          <w:tcPr>
            <w:tcW w:w="470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gridSpan w:val="2"/>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60" w:type="dxa"/>
            <w:vAlign w:val="bottom"/>
            <w:tcBorders>
              <w:bottom w:val="single" w:sz="8" w:color="auto"/>
            </w:tcBorders>
            <w:gridSpan w:val="5"/>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331"/>
        </w:trPr>
        <w:tc>
          <w:tcPr>
            <w:tcW w:w="20" w:type="dxa"/>
            <w:vAlign w:val="bottom"/>
          </w:tcPr>
          <w:p>
            <w:pPr>
              <w:spacing w:after="0"/>
              <w:rPr>
                <w:sz w:val="24"/>
                <w:szCs w:val="24"/>
                <w:color w:val="auto"/>
              </w:rPr>
            </w:pPr>
          </w:p>
        </w:tc>
        <w:tc>
          <w:tcPr>
            <w:tcW w:w="4700" w:type="dxa"/>
            <w:vAlign w:val="bottom"/>
          </w:tcPr>
          <w:p>
            <w:pPr>
              <w:ind w:left="1640"/>
              <w:spacing w:after="0"/>
              <w:rPr>
                <w:sz w:val="20"/>
                <w:szCs w:val="20"/>
                <w:color w:val="auto"/>
              </w:rPr>
            </w:pPr>
            <w:r>
              <w:rPr>
                <w:rFonts w:ascii="Arial" w:cs="Arial" w:eastAsia="Arial" w:hAnsi="Arial"/>
                <w:sz w:val="18"/>
                <w:szCs w:val="18"/>
                <w:b w:val="1"/>
                <w:bCs w:val="1"/>
                <w:color w:val="auto"/>
              </w:rPr>
              <w:t>333 Clay Street, Suite 1600</w:t>
            </w:r>
          </w:p>
        </w:tc>
        <w:tc>
          <w:tcPr>
            <w:tcW w:w="18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0"/>
              </w:rPr>
              <w:t>Houston, Texas 77002</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spacing w:after="0"/>
              <w:rPr>
                <w:sz w:val="20"/>
                <w:szCs w:val="20"/>
                <w:color w:val="auto"/>
              </w:rPr>
            </w:pPr>
            <w:r>
              <w:rPr>
                <w:rFonts w:ascii="Arial" w:cs="Arial" w:eastAsia="Arial" w:hAnsi="Arial"/>
                <w:sz w:val="18"/>
                <w:szCs w:val="18"/>
                <w:b w:val="1"/>
                <w:bCs w:val="1"/>
                <w:color w:val="auto"/>
              </w:rPr>
              <w:t>713-646-4100 / 866-809-1291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40"/>
          </w:cols>
          <w:pgMar w:left="320" w:top="36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Page 8</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June 30,</w:t>
            </w:r>
          </w:p>
        </w:tc>
        <w:tc>
          <w:tcPr>
            <w:tcW w:w="18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1900" w:type="dxa"/>
            <w:vAlign w:val="bottom"/>
            <w:tcBorders>
              <w:bottom w:val="single" w:sz="8" w:color="CCEEFF"/>
            </w:tcBorders>
          </w:tcPr>
          <w:p>
            <w:pPr>
              <w:spacing w:after="0"/>
              <w:rPr>
                <w:sz w:val="16"/>
                <w:szCs w:val="16"/>
                <w:color w:val="auto"/>
              </w:rPr>
            </w:pPr>
          </w:p>
        </w:tc>
        <w:tc>
          <w:tcPr>
            <w:tcW w:w="226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60" w:type="dxa"/>
            <w:vAlign w:val="bottom"/>
            <w:gridSpan w:val="3"/>
          </w:tcPr>
          <w:p>
            <w:pPr>
              <w:spacing w:after="0"/>
              <w:rPr>
                <w:sz w:val="20"/>
                <w:szCs w:val="20"/>
                <w:color w:val="auto"/>
              </w:rPr>
            </w:pPr>
            <w:r>
              <w:rPr>
                <w:rFonts w:ascii="Arial" w:cs="Arial" w:eastAsia="Arial" w:hAnsi="Arial"/>
                <w:sz w:val="18"/>
                <w:szCs w:val="18"/>
                <w:color w:val="auto"/>
              </w:rPr>
              <w:t>Current assets (including Cash and cash equivalents of $24 and $22, respectively)</w:t>
            </w:r>
          </w:p>
        </w:tc>
        <w:tc>
          <w:tcPr>
            <w:tcW w:w="17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5,676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Investments in unconsolidated entities</w:t>
            </w:r>
          </w:p>
        </w:tc>
        <w:tc>
          <w:tcPr>
            <w:tcW w:w="2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Linefill and base gas</w:t>
            </w:r>
          </w:p>
        </w:tc>
        <w:tc>
          <w:tcPr>
            <w:tcW w:w="2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Long-term operating lease right-of-use assets, net</w:t>
            </w:r>
          </w:p>
        </w:tc>
        <w:tc>
          <w:tcPr>
            <w:tcW w:w="2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inventory</w:t>
            </w:r>
          </w:p>
        </w:tc>
        <w:tc>
          <w:tcPr>
            <w:tcW w:w="2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long-term assets, net</w:t>
            </w:r>
          </w:p>
        </w:tc>
        <w:tc>
          <w:tcPr>
            <w:tcW w:w="226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2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24,497</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2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260" w:type="dxa"/>
            <w:vAlign w:val="bottom"/>
          </w:tcPr>
          <w:p>
            <w:pPr>
              <w:spacing w:after="0"/>
              <w:rPr>
                <w:sz w:val="19"/>
                <w:szCs w:val="19"/>
                <w:color w:val="auto"/>
              </w:rPr>
            </w:pPr>
          </w:p>
        </w:tc>
        <w:tc>
          <w:tcPr>
            <w:tcW w:w="17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6,163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4,253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notes, net</w:t>
            </w:r>
          </w:p>
        </w:tc>
        <w:tc>
          <w:tcPr>
            <w:tcW w:w="2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Other long-term debt, net</w:t>
            </w:r>
          </w:p>
        </w:tc>
        <w:tc>
          <w:tcPr>
            <w:tcW w:w="2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operating lease liabilities</w:t>
            </w:r>
          </w:p>
        </w:tc>
        <w:tc>
          <w:tcPr>
            <w:tcW w:w="2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long-term liabilities and deferred credits</w:t>
            </w:r>
          </w:p>
        </w:tc>
        <w:tc>
          <w:tcPr>
            <w:tcW w:w="226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2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Partners’ capital excluding noncontrolling interests</w:t>
            </w:r>
          </w:p>
        </w:tc>
        <w:tc>
          <w:tcPr>
            <w:tcW w:w="2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Noncontrolling interests</w:t>
            </w:r>
          </w:p>
        </w:tc>
        <w:tc>
          <w:tcPr>
            <w:tcW w:w="226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partners’ capital</w:t>
            </w:r>
          </w:p>
        </w:tc>
        <w:tc>
          <w:tcPr>
            <w:tcW w:w="2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9,738</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gridSpan w:val="2"/>
          </w:tcPr>
          <w:p>
            <w:pPr>
              <w:ind w:left="160"/>
              <w:spacing w:after="0"/>
              <w:rPr>
                <w:sz w:val="20"/>
                <w:szCs w:val="20"/>
                <w:color w:val="auto"/>
              </w:rPr>
            </w:pPr>
            <w:r>
              <w:rPr>
                <w:rFonts w:ascii="Arial" w:cs="Arial" w:eastAsia="Arial" w:hAnsi="Arial"/>
                <w:sz w:val="18"/>
                <w:szCs w:val="18"/>
                <w:color w:val="auto"/>
              </w:rPr>
              <w:t>Total liabilities and partners’ capital</w:t>
            </w:r>
          </w:p>
        </w:tc>
        <w:tc>
          <w:tcPr>
            <w:tcW w:w="2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25,391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24,497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DEBT CAPITALIZATION RATIOS</w:t>
            </w:r>
          </w:p>
        </w:tc>
        <w:tc>
          <w:tcPr>
            <w:tcW w:w="2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4720" w:type="dxa"/>
            <w:vAlign w:val="bottom"/>
            <w:gridSpan w:val="3"/>
            <w:vMerge w:val="continue"/>
          </w:tcPr>
          <w:p>
            <w:pPr>
              <w:spacing w:after="0"/>
              <w:rPr>
                <w:sz w:val="24"/>
                <w:szCs w:val="24"/>
                <w:color w:val="auto"/>
              </w:rPr>
            </w:pPr>
          </w:p>
        </w:tc>
        <w:tc>
          <w:tcPr>
            <w:tcW w:w="2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19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June 30,</w:t>
            </w:r>
          </w:p>
        </w:tc>
        <w:tc>
          <w:tcPr>
            <w:tcW w:w="18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1900" w:type="dxa"/>
            <w:vAlign w:val="bottom"/>
            <w:tcBorders>
              <w:bottom w:val="single" w:sz="8" w:color="CCEEFF"/>
            </w:tcBorders>
          </w:tcPr>
          <w:p>
            <w:pPr>
              <w:spacing w:after="0"/>
              <w:rPr>
                <w:sz w:val="16"/>
                <w:szCs w:val="16"/>
                <w:color w:val="auto"/>
              </w:rPr>
            </w:pPr>
          </w:p>
        </w:tc>
        <w:tc>
          <w:tcPr>
            <w:tcW w:w="226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2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Long-term debt</w:t>
            </w:r>
          </w:p>
        </w:tc>
        <w:tc>
          <w:tcPr>
            <w:tcW w:w="226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debt</w:t>
            </w:r>
          </w:p>
        </w:tc>
        <w:tc>
          <w:tcPr>
            <w:tcW w:w="2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10,213</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gridSpan w:val="2"/>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gridSpan w:val="2"/>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2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Partners’ capital</w:t>
            </w:r>
          </w:p>
        </w:tc>
        <w:tc>
          <w:tcPr>
            <w:tcW w:w="226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book capitalization</w:t>
            </w:r>
          </w:p>
        </w:tc>
        <w:tc>
          <w:tcPr>
            <w:tcW w:w="2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19,120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gridSpan w:val="2"/>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gridSpan w:val="2"/>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gridSpan w:val="2"/>
          </w:tcPr>
          <w:p>
            <w:pPr>
              <w:ind w:left="340"/>
              <w:spacing w:after="0" w:line="203" w:lineRule="exact"/>
              <w:rPr>
                <w:sz w:val="20"/>
                <w:szCs w:val="20"/>
                <w:color w:val="auto"/>
              </w:rPr>
            </w:pPr>
            <w:r>
              <w:rPr>
                <w:rFonts w:ascii="Arial" w:cs="Arial" w:eastAsia="Arial" w:hAnsi="Arial"/>
                <w:sz w:val="18"/>
                <w:szCs w:val="18"/>
                <w:color w:val="auto"/>
              </w:rPr>
              <w:t>Total book capitalization, including short-term debt</w:t>
            </w:r>
          </w:p>
        </w:tc>
        <w:tc>
          <w:tcPr>
            <w:tcW w:w="2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19,485</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19,951</w:t>
            </w:r>
          </w:p>
        </w:tc>
        <w:tc>
          <w:tcPr>
            <w:tcW w:w="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Long-term debt-to-total book capitalization</w:t>
            </w:r>
          </w:p>
        </w:tc>
        <w:tc>
          <w:tcPr>
            <w:tcW w:w="2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Total debt-to-total book capitalization, including short-term debt</w:t>
            </w:r>
          </w:p>
        </w:tc>
        <w:tc>
          <w:tcPr>
            <w:tcW w:w="2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60" w:type="dxa"/>
            <w:vAlign w:val="bottom"/>
          </w:tcPr>
          <w:p>
            <w:pPr>
              <w:jc w:val="center"/>
              <w:ind w:right="350"/>
              <w:spacing w:after="0"/>
              <w:rPr>
                <w:sz w:val="20"/>
                <w:szCs w:val="20"/>
                <w:color w:val="auto"/>
              </w:rPr>
            </w:pPr>
            <w:r>
              <w:rPr>
                <w:rFonts w:ascii="Arial" w:cs="Arial" w:eastAsia="Arial" w:hAnsi="Arial"/>
                <w:sz w:val="18"/>
                <w:szCs w:val="18"/>
                <w:color w:val="auto"/>
                <w:w w:val="91"/>
              </w:rPr>
              <w:t>- more -</w:t>
            </w: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00" w:type="dxa"/>
            <w:vAlign w:val="bottom"/>
            <w:tcBorders>
              <w:bottom w:val="single" w:sz="8" w:color="auto"/>
            </w:tcBorders>
            <w:gridSpan w:val="2"/>
          </w:tcPr>
          <w:p>
            <w:pPr>
              <w:spacing w:after="0"/>
              <w:rPr>
                <w:sz w:val="11"/>
                <w:szCs w:val="11"/>
                <w:color w:val="auto"/>
              </w:rPr>
            </w:pPr>
          </w:p>
        </w:tc>
        <w:tc>
          <w:tcPr>
            <w:tcW w:w="2260" w:type="dxa"/>
            <w:vAlign w:val="bottom"/>
            <w:tcBorders>
              <w:bottom w:val="single" w:sz="8" w:color="auto"/>
            </w:tcBorders>
          </w:tcPr>
          <w:p>
            <w:pPr>
              <w:spacing w:after="0"/>
              <w:rPr>
                <w:sz w:val="11"/>
                <w:szCs w:val="11"/>
                <w:color w:val="auto"/>
              </w:rPr>
            </w:pPr>
          </w:p>
        </w:tc>
        <w:tc>
          <w:tcPr>
            <w:tcW w:w="2780" w:type="dxa"/>
            <w:vAlign w:val="bottom"/>
            <w:tcBorders>
              <w:bottom w:val="single" w:sz="8" w:color="auto"/>
            </w:tcBorders>
            <w:gridSpan w:val="3"/>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700" w:type="dxa"/>
            <w:vAlign w:val="bottom"/>
            <w:gridSpan w:val="2"/>
          </w:tcPr>
          <w:p>
            <w:pPr>
              <w:ind w:left="1640"/>
              <w:spacing w:after="0"/>
              <w:rPr>
                <w:sz w:val="20"/>
                <w:szCs w:val="20"/>
                <w:color w:val="auto"/>
              </w:rPr>
            </w:pPr>
            <w:r>
              <w:rPr>
                <w:rFonts w:ascii="Arial" w:cs="Arial" w:eastAsia="Arial" w:hAnsi="Arial"/>
                <w:sz w:val="18"/>
                <w:szCs w:val="18"/>
                <w:b w:val="1"/>
                <w:bCs w:val="1"/>
                <w:color w:val="auto"/>
              </w:rPr>
              <w:t>333 Clay Street, Suite 1600</w:t>
            </w:r>
          </w:p>
        </w:tc>
        <w:tc>
          <w:tcPr>
            <w:tcW w:w="2260" w:type="dxa"/>
            <w:vAlign w:val="bottom"/>
          </w:tcPr>
          <w:p>
            <w:pPr>
              <w:jc w:val="center"/>
              <w:ind w:right="370"/>
              <w:spacing w:after="0"/>
              <w:rPr>
                <w:sz w:val="20"/>
                <w:szCs w:val="20"/>
                <w:color w:val="auto"/>
              </w:rPr>
            </w:pPr>
            <w:r>
              <w:rPr>
                <w:rFonts w:ascii="Arial" w:cs="Arial" w:eastAsia="Arial" w:hAnsi="Arial"/>
                <w:sz w:val="18"/>
                <w:szCs w:val="18"/>
                <w:b w:val="1"/>
                <w:bCs w:val="1"/>
                <w:color w:val="auto"/>
                <w:w w:val="88"/>
              </w:rPr>
              <w:t>Houston, Texas 77002</w:t>
            </w:r>
          </w:p>
        </w:tc>
        <w:tc>
          <w:tcPr>
            <w:tcW w:w="2780" w:type="dxa"/>
            <w:vAlign w:val="bottom"/>
            <w:gridSpan w:val="3"/>
          </w:tcPr>
          <w:p>
            <w:pPr>
              <w:jc w:val="right"/>
              <w:spacing w:after="0"/>
              <w:rPr>
                <w:sz w:val="20"/>
                <w:szCs w:val="20"/>
                <w:color w:val="auto"/>
              </w:rPr>
            </w:pPr>
            <w:r>
              <w:rPr>
                <w:rFonts w:ascii="Arial" w:cs="Arial" w:eastAsia="Arial" w:hAnsi="Arial"/>
                <w:sz w:val="18"/>
                <w:szCs w:val="18"/>
                <w:b w:val="1"/>
                <w:bCs w:val="1"/>
                <w:color w:val="auto"/>
              </w:rPr>
              <w:t>713-646-4100 / 866-809-1291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Page 9</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NET INCOME/(LOSS) PER COMMON UNIT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8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38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r>
      <w:tr>
        <w:trPr>
          <w:trHeight w:val="183"/>
        </w:trPr>
        <w:tc>
          <w:tcPr>
            <w:tcW w:w="3880" w:type="dxa"/>
            <w:vAlign w:val="bottom"/>
            <w:tcBorders>
              <w:bottom w:val="single" w:sz="8" w:color="CCEEFF"/>
            </w:tcBorders>
          </w:tcPr>
          <w:p>
            <w:pPr>
              <w:spacing w:after="0"/>
              <w:rPr>
                <w:sz w:val="15"/>
                <w:szCs w:val="15"/>
                <w:color w:val="auto"/>
              </w:rPr>
            </w:pPr>
          </w:p>
        </w:tc>
        <w:tc>
          <w:tcPr>
            <w:tcW w:w="23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r>
      <w:tr>
        <w:trPr>
          <w:trHeight w:val="211"/>
        </w:trPr>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Net Income/(Loss) per Common Unit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9"/>
        </w:trPr>
        <w:tc>
          <w:tcPr>
            <w:tcW w:w="6220" w:type="dxa"/>
            <w:vAlign w:val="bottom"/>
            <w:gridSpan w:val="2"/>
          </w:tcPr>
          <w:p>
            <w:pPr>
              <w:ind w:left="20"/>
              <w:spacing w:after="0"/>
              <w:rPr>
                <w:sz w:val="20"/>
                <w:szCs w:val="20"/>
                <w:color w:val="auto"/>
              </w:rPr>
            </w:pPr>
            <w:r>
              <w:rPr>
                <w:rFonts w:ascii="Arial" w:cs="Arial" w:eastAsia="Arial" w:hAnsi="Arial"/>
                <w:sz w:val="18"/>
                <w:szCs w:val="18"/>
                <w:color w:val="auto"/>
              </w:rPr>
              <w:t>Net income/(loss) attributable to PAA</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(2,705)</w:t>
            </w:r>
          </w:p>
        </w:tc>
      </w:tr>
      <w:tr>
        <w:trPr>
          <w:trHeight w:val="230"/>
        </w:trPr>
        <w:tc>
          <w:tcPr>
            <w:tcW w:w="6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Distributions to Series A preferred unitholders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29"/>
        </w:trPr>
        <w:tc>
          <w:tcPr>
            <w:tcW w:w="6220" w:type="dxa"/>
            <w:vAlign w:val="bottom"/>
            <w:gridSpan w:val="2"/>
          </w:tcPr>
          <w:p>
            <w:pPr>
              <w:ind w:left="180"/>
              <w:spacing w:after="0"/>
              <w:rPr>
                <w:sz w:val="20"/>
                <w:szCs w:val="20"/>
                <w:color w:val="auto"/>
              </w:rPr>
            </w:pPr>
            <w:r>
              <w:rPr>
                <w:rFonts w:ascii="Arial" w:cs="Arial" w:eastAsia="Arial" w:hAnsi="Arial"/>
                <w:sz w:val="18"/>
                <w:szCs w:val="18"/>
                <w:color w:val="auto"/>
              </w:rPr>
              <w:t>Distributions to Series B preferred unitholders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6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6220" w:type="dxa"/>
            <w:vAlign w:val="bottom"/>
            <w:gridSpan w:val="2"/>
          </w:tcPr>
          <w:p>
            <w:pPr>
              <w:ind w:left="20"/>
              <w:spacing w:after="0"/>
              <w:rPr>
                <w:sz w:val="20"/>
                <w:szCs w:val="20"/>
                <w:color w:val="auto"/>
              </w:rPr>
            </w:pPr>
            <w:r>
              <w:rPr>
                <w:rFonts w:ascii="Arial" w:cs="Arial" w:eastAsia="Arial" w:hAnsi="Arial"/>
                <w:sz w:val="18"/>
                <w:szCs w:val="18"/>
                <w:color w:val="auto"/>
              </w:rPr>
              <w:t>Net income/(loss) allocated to common unitholders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(2,805)</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3"/>
        </w:trPr>
        <w:tc>
          <w:tcPr>
            <w:tcW w:w="388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29"/>
        </w:trPr>
        <w:tc>
          <w:tcPr>
            <w:tcW w:w="62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Basic and diluted weighted average common units outstanding </w:t>
            </w:r>
            <w:r>
              <w:rPr>
                <w:rFonts w:ascii="Arial" w:cs="Arial" w:eastAsia="Arial" w:hAnsi="Arial"/>
                <w:sz w:val="23"/>
                <w:szCs w:val="23"/>
                <w:color w:val="auto"/>
                <w:vertAlign w:val="superscript"/>
              </w:rPr>
              <w:t>(2) (3)</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728</w:t>
            </w:r>
          </w:p>
        </w:tc>
      </w:tr>
      <w:tr>
        <w:trPr>
          <w:trHeight w:val="216"/>
        </w:trPr>
        <w:tc>
          <w:tcPr>
            <w:tcW w:w="388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0"/>
        </w:trPr>
        <w:tc>
          <w:tcPr>
            <w:tcW w:w="6220" w:type="dxa"/>
            <w:vAlign w:val="bottom"/>
            <w:gridSpan w:val="2"/>
          </w:tcPr>
          <w:p>
            <w:pPr>
              <w:ind w:left="20"/>
              <w:spacing w:after="0"/>
              <w:rPr>
                <w:sz w:val="20"/>
                <w:szCs w:val="20"/>
                <w:color w:val="auto"/>
              </w:rPr>
            </w:pPr>
            <w:r>
              <w:rPr>
                <w:rFonts w:ascii="Arial" w:cs="Arial" w:eastAsia="Arial" w:hAnsi="Arial"/>
                <w:sz w:val="18"/>
                <w:szCs w:val="18"/>
                <w:color w:val="auto"/>
              </w:rPr>
              <w:t>Basic and diluted net income/(loss) per common unit</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r>
      <w:tr>
        <w:trPr>
          <w:trHeight w:val="20"/>
        </w:trPr>
        <w:tc>
          <w:tcPr>
            <w:tcW w:w="38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29"/>
        </w:trPr>
        <w:tc>
          <w:tcPr>
            <w:tcW w:w="3880" w:type="dxa"/>
            <w:vAlign w:val="bottom"/>
            <w:tcBorders>
              <w:bottom w:val="single" w:sz="8" w:color="auto"/>
            </w:tcBorders>
          </w:tcPr>
          <w:p>
            <w:pPr>
              <w:spacing w:after="0"/>
              <w:rPr>
                <w:sz w:val="11"/>
                <w:szCs w:val="11"/>
                <w:color w:val="auto"/>
              </w:rPr>
            </w:pPr>
          </w:p>
        </w:tc>
        <w:tc>
          <w:tcPr>
            <w:tcW w:w="2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r>
    </w:tbl>
    <w:p>
      <w:pPr>
        <w:spacing w:after="0" w:line="136" w:lineRule="exact"/>
        <w:rPr>
          <w:sz w:val="20"/>
          <w:szCs w:val="20"/>
          <w:color w:val="auto"/>
        </w:rPr>
      </w:pPr>
    </w:p>
    <w:p>
      <w:pPr>
        <w:ind w:left="340" w:right="100" w:hanging="332"/>
        <w:spacing w:after="0" w:line="226" w:lineRule="auto"/>
        <w:tabs>
          <w:tab w:leader="none" w:pos="34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We calculate net income/(loss) allocated to common unitholders based on the distributions pertaining to the current period’s net income.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spacing w:after="0" w:line="30" w:lineRule="exact"/>
        <w:rPr>
          <w:rFonts w:ascii="Arial" w:cs="Arial" w:eastAsia="Arial" w:hAnsi="Arial"/>
          <w:sz w:val="23"/>
          <w:szCs w:val="23"/>
          <w:color w:val="auto"/>
          <w:vertAlign w:val="superscript"/>
        </w:rPr>
      </w:pPr>
    </w:p>
    <w:p>
      <w:pPr>
        <w:ind w:left="340" w:right="300" w:hanging="332"/>
        <w:spacing w:after="0" w:line="218" w:lineRule="auto"/>
        <w:tabs>
          <w:tab w:leader="none" w:pos="34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The possible conversion of our Series A preferred units was excluded from the calculation of diluted net income/(loss) per common unit for the three and six months ended June 30, 2021 and 2020 as the effect was antidilutive.</w:t>
      </w:r>
    </w:p>
    <w:p>
      <w:pPr>
        <w:spacing w:after="0" w:line="30" w:lineRule="exact"/>
        <w:rPr>
          <w:rFonts w:ascii="Arial" w:cs="Arial" w:eastAsia="Arial" w:hAnsi="Arial"/>
          <w:sz w:val="23"/>
          <w:szCs w:val="23"/>
          <w:color w:val="auto"/>
          <w:vertAlign w:val="superscript"/>
        </w:rPr>
      </w:pPr>
    </w:p>
    <w:p>
      <w:pPr>
        <w:ind w:left="340" w:right="20" w:hanging="332"/>
        <w:spacing w:after="0" w:line="228" w:lineRule="auto"/>
        <w:tabs>
          <w:tab w:leader="none" w:pos="34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 For the three and six months ended June 30, 2021 and 2020, the effect of equity-indexed compensation plan awards was antidilutive, or did not change the presentation of diluted weighted average common units outstanding or diluted net income/(loss) per common unit.</w:t>
      </w:r>
    </w:p>
    <w:p>
      <w:pPr>
        <w:spacing w:after="0" w:line="181" w:lineRule="exact"/>
        <w:rPr>
          <w:rFonts w:ascii="Arial" w:cs="Arial" w:eastAsia="Arial" w:hAnsi="Arial"/>
          <w:sz w:val="23"/>
          <w:szCs w:val="23"/>
          <w:color w:val="auto"/>
          <w:vertAlign w:val="superscript"/>
        </w:rPr>
      </w:pPr>
    </w:p>
    <w:p>
      <w:pPr>
        <w:ind w:left="5440" w:hanging="106"/>
        <w:spacing w:after="0"/>
        <w:tabs>
          <w:tab w:leader="none" w:pos="5440" w:val="left"/>
        </w:tabs>
        <w:numPr>
          <w:ilvl w:val="1"/>
          <w:numId w:val="9"/>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Page 10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ADJUSTED NET INCOME PER COMMON UNIT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20" w:type="dxa"/>
            <w:vAlign w:val="bottom"/>
            <w:gridSpan w:val="4"/>
          </w:tcPr>
          <w:p>
            <w:pPr>
              <w:jc w:val="right"/>
              <w:ind w:right="72"/>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4"/>
          </w:tcPr>
          <w:p>
            <w:pPr>
              <w:jc w:val="right"/>
              <w:ind w:right="57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472"/>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80" w:type="dxa"/>
            <w:vAlign w:val="bottom"/>
            <w:tcBorders>
              <w:bottom w:val="single" w:sz="8" w:color="CCEEFF"/>
            </w:tcBorders>
          </w:tcPr>
          <w:p>
            <w:pPr>
              <w:spacing w:after="0"/>
              <w:rPr>
                <w:sz w:val="15"/>
                <w:szCs w:val="15"/>
                <w:color w:val="auto"/>
              </w:rPr>
            </w:pPr>
          </w:p>
        </w:tc>
        <w:tc>
          <w:tcPr>
            <w:tcW w:w="236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Basic Adjusted Net Income per Common Unit</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Net income/(loss) attributable to PAA</w:t>
            </w:r>
          </w:p>
        </w:tc>
        <w:tc>
          <w:tcPr>
            <w:tcW w:w="720" w:type="dxa"/>
            <w:vAlign w:val="bottom"/>
          </w:tcPr>
          <w:p>
            <w:pPr>
              <w:jc w:val="right"/>
              <w:ind w:right="534"/>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0"/>
              </w:rPr>
              <w:t>(220)</w:t>
            </w:r>
          </w:p>
        </w:tc>
        <w:tc>
          <w:tcPr>
            <w:tcW w:w="100" w:type="dxa"/>
            <w:vAlign w:val="bottom"/>
          </w:tcPr>
          <w:p>
            <w:pPr>
              <w:spacing w:after="0"/>
              <w:rPr>
                <w:sz w:val="19"/>
                <w:szCs w:val="19"/>
                <w:color w:val="auto"/>
              </w:rPr>
            </w:pPr>
          </w:p>
        </w:tc>
        <w:tc>
          <w:tcPr>
            <w:tcW w:w="760" w:type="dxa"/>
            <w:vAlign w:val="bottom"/>
          </w:tcPr>
          <w:p>
            <w:pPr>
              <w:jc w:val="right"/>
              <w:ind w:right="572"/>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(2,705)</w:t>
            </w:r>
          </w:p>
        </w:tc>
        <w:tc>
          <w:tcPr>
            <w:tcW w:w="0" w:type="dxa"/>
            <w:vAlign w:val="bottom"/>
          </w:tcPr>
          <w:p>
            <w:pPr>
              <w:spacing w:after="0"/>
              <w:rPr>
                <w:sz w:val="1"/>
                <w:szCs w:val="1"/>
                <w:color w:val="auto"/>
              </w:rPr>
            </w:pPr>
          </w:p>
        </w:tc>
      </w:tr>
      <w:tr>
        <w:trPr>
          <w:trHeight w:val="175"/>
        </w:trPr>
        <w:tc>
          <w:tcPr>
            <w:tcW w:w="624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w w:val="93"/>
              </w:rPr>
              <w:t>Selected items impacting comparability - Adjusted net income attributable to PAA</w:t>
            </w:r>
          </w:p>
        </w:tc>
        <w:tc>
          <w:tcPr>
            <w:tcW w:w="72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3,393</w:t>
            </w:r>
          </w:p>
        </w:tc>
        <w:tc>
          <w:tcPr>
            <w:tcW w:w="0" w:type="dxa"/>
            <w:vAlign w:val="bottom"/>
          </w:tcPr>
          <w:p>
            <w:pPr>
              <w:spacing w:after="0"/>
              <w:rPr>
                <w:sz w:val="1"/>
                <w:szCs w:val="1"/>
                <w:color w:val="auto"/>
              </w:rPr>
            </w:pPr>
          </w:p>
        </w:tc>
      </w:tr>
      <w:tr>
        <w:trPr>
          <w:trHeight w:val="162"/>
        </w:trPr>
        <w:tc>
          <w:tcPr>
            <w:tcW w:w="3880" w:type="dxa"/>
            <w:vAlign w:val="bottom"/>
            <w:shd w:val="clear" w:color="auto" w:fill="CCEEFF"/>
          </w:tcPr>
          <w:p>
            <w:pPr>
              <w:ind w:left="360"/>
              <w:spacing w:after="0"/>
              <w:rPr>
                <w:sz w:val="20"/>
                <w:szCs w:val="20"/>
                <w:color w:val="auto"/>
              </w:rPr>
            </w:pPr>
            <w:r>
              <w:rPr>
                <w:rFonts w:ascii="Arial" w:cs="Arial" w:eastAsia="Arial" w:hAnsi="Arial"/>
                <w:sz w:val="12"/>
                <w:szCs w:val="12"/>
                <w:color w:val="auto"/>
              </w:rPr>
              <w:t>(2)</w:t>
            </w:r>
          </w:p>
        </w:tc>
        <w:tc>
          <w:tcPr>
            <w:tcW w:w="236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Adjusted net income attributable to PAA</w:t>
            </w:r>
          </w:p>
        </w:tc>
        <w:tc>
          <w:tcPr>
            <w:tcW w:w="720" w:type="dxa"/>
            <w:vAlign w:val="bottom"/>
          </w:tcPr>
          <w:p>
            <w:pPr>
              <w:jc w:val="right"/>
              <w:ind w:right="534"/>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760" w:type="dxa"/>
            <w:vAlign w:val="bottom"/>
          </w:tcPr>
          <w:p>
            <w:pPr>
              <w:jc w:val="right"/>
              <w:ind w:right="572"/>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29"/>
        </w:trPr>
        <w:tc>
          <w:tcPr>
            <w:tcW w:w="6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Distributions to Series A preferred unitholders</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Distributions to Series B preferred unitholders</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6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7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Adjusted net income allocated to common unitholders</w:t>
            </w:r>
          </w:p>
        </w:tc>
        <w:tc>
          <w:tcPr>
            <w:tcW w:w="720" w:type="dxa"/>
            <w:vAlign w:val="bottom"/>
            <w:tcBorders>
              <w:bottom w:val="single" w:sz="8" w:color="auto"/>
            </w:tcBorders>
          </w:tcPr>
          <w:p>
            <w:pPr>
              <w:jc w:val="right"/>
              <w:ind w:right="534"/>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880" w:type="dxa"/>
            <w:vAlign w:val="bottom"/>
            <w:shd w:val="clear" w:color="auto" w:fill="CCEEFF"/>
          </w:tcPr>
          <w:p>
            <w:pPr>
              <w:spacing w:after="0"/>
              <w:rPr>
                <w:sz w:val="10"/>
                <w:szCs w:val="10"/>
                <w:color w:val="auto"/>
              </w:rPr>
            </w:pPr>
          </w:p>
        </w:tc>
        <w:tc>
          <w:tcPr>
            <w:tcW w:w="23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Basic weighted average common units outstanding</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Basic adjusted net income per common unit</w:t>
            </w:r>
          </w:p>
        </w:tc>
        <w:tc>
          <w:tcPr>
            <w:tcW w:w="720" w:type="dxa"/>
            <w:vAlign w:val="bottom"/>
            <w:tcBorders>
              <w:bottom w:val="single" w:sz="8" w:color="auto"/>
            </w:tcBorders>
          </w:tcPr>
          <w:p>
            <w:pPr>
              <w:jc w:val="right"/>
              <w:ind w:right="534"/>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0.23</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0.25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880" w:type="dxa"/>
            <w:vAlign w:val="bottom"/>
            <w:shd w:val="clear" w:color="auto" w:fill="CCEEFF"/>
          </w:tcPr>
          <w:p>
            <w:pPr>
              <w:spacing w:after="0"/>
              <w:rPr>
                <w:sz w:val="10"/>
                <w:szCs w:val="10"/>
                <w:color w:val="auto"/>
              </w:rPr>
            </w:pPr>
          </w:p>
        </w:tc>
        <w:tc>
          <w:tcPr>
            <w:tcW w:w="23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6240" w:type="dxa"/>
            <w:vAlign w:val="bottom"/>
            <w:gridSpan w:val="2"/>
          </w:tcPr>
          <w:p>
            <w:pPr>
              <w:ind w:left="20"/>
              <w:spacing w:after="0"/>
              <w:rPr>
                <w:sz w:val="20"/>
                <w:szCs w:val="20"/>
                <w:color w:val="auto"/>
              </w:rPr>
            </w:pPr>
            <w:r>
              <w:rPr>
                <w:rFonts w:ascii="Arial" w:cs="Arial" w:eastAsia="Arial" w:hAnsi="Arial"/>
                <w:sz w:val="18"/>
                <w:szCs w:val="18"/>
                <w:b w:val="1"/>
                <w:bCs w:val="1"/>
                <w:color w:val="auto"/>
              </w:rPr>
              <w:t>Diluted Adjusted Net Income per Common Unit</w:t>
            </w: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income/(loss) attributable to PAA</w:t>
            </w:r>
          </w:p>
        </w:tc>
        <w:tc>
          <w:tcPr>
            <w:tcW w:w="720" w:type="dxa"/>
            <w:vAlign w:val="bottom"/>
            <w:shd w:val="clear" w:color="auto" w:fill="CCEEFF"/>
          </w:tcPr>
          <w:p>
            <w:pPr>
              <w:jc w:val="right"/>
              <w:ind w:right="534"/>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0" w:type="dxa"/>
            <w:vAlign w:val="bottom"/>
          </w:tcPr>
          <w:p>
            <w:pPr>
              <w:spacing w:after="0"/>
              <w:rPr>
                <w:sz w:val="1"/>
                <w:szCs w:val="1"/>
                <w:color w:val="auto"/>
              </w:rPr>
            </w:pPr>
          </w:p>
        </w:tc>
      </w:tr>
      <w:tr>
        <w:trPr>
          <w:trHeight w:val="175"/>
        </w:trPr>
        <w:tc>
          <w:tcPr>
            <w:tcW w:w="6240" w:type="dxa"/>
            <w:vAlign w:val="bottom"/>
            <w:gridSpan w:val="2"/>
          </w:tcPr>
          <w:p>
            <w:pPr>
              <w:ind w:left="180"/>
              <w:spacing w:after="0" w:line="176" w:lineRule="exact"/>
              <w:rPr>
                <w:sz w:val="20"/>
                <w:szCs w:val="20"/>
                <w:color w:val="auto"/>
              </w:rPr>
            </w:pPr>
            <w:r>
              <w:rPr>
                <w:rFonts w:ascii="Arial" w:cs="Arial" w:eastAsia="Arial" w:hAnsi="Arial"/>
                <w:sz w:val="18"/>
                <w:szCs w:val="18"/>
                <w:color w:val="auto"/>
                <w:w w:val="93"/>
              </w:rPr>
              <w:t>Selected items impacting comparability - Adjusted net income attributable to PAA</w:t>
            </w:r>
          </w:p>
        </w:tc>
        <w:tc>
          <w:tcPr>
            <w:tcW w:w="720" w:type="dxa"/>
            <w:vAlign w:val="bottom"/>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3,393</w:t>
            </w:r>
          </w:p>
        </w:tc>
        <w:tc>
          <w:tcPr>
            <w:tcW w:w="0" w:type="dxa"/>
            <w:vAlign w:val="bottom"/>
          </w:tcPr>
          <w:p>
            <w:pPr>
              <w:spacing w:after="0"/>
              <w:rPr>
                <w:sz w:val="1"/>
                <w:szCs w:val="1"/>
                <w:color w:val="auto"/>
              </w:rPr>
            </w:pPr>
          </w:p>
        </w:tc>
      </w:tr>
      <w:tr>
        <w:trPr>
          <w:trHeight w:val="162"/>
        </w:trPr>
        <w:tc>
          <w:tcPr>
            <w:tcW w:w="3880" w:type="dxa"/>
            <w:vAlign w:val="bottom"/>
            <w:tcBorders>
              <w:bottom w:val="single" w:sz="8" w:color="CCEEFF"/>
            </w:tcBorders>
          </w:tcPr>
          <w:p>
            <w:pPr>
              <w:ind w:left="360"/>
              <w:spacing w:after="0"/>
              <w:rPr>
                <w:sz w:val="20"/>
                <w:szCs w:val="20"/>
                <w:color w:val="auto"/>
              </w:rPr>
            </w:pPr>
            <w:r>
              <w:rPr>
                <w:rFonts w:ascii="Arial" w:cs="Arial" w:eastAsia="Arial" w:hAnsi="Arial"/>
                <w:sz w:val="12"/>
                <w:szCs w:val="12"/>
                <w:color w:val="auto"/>
              </w:rPr>
              <w:t>(2)</w:t>
            </w:r>
          </w:p>
        </w:tc>
        <w:tc>
          <w:tcPr>
            <w:tcW w:w="23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net income attributable to PAA</w:t>
            </w:r>
          </w:p>
        </w:tc>
        <w:tc>
          <w:tcPr>
            <w:tcW w:w="720" w:type="dxa"/>
            <w:vAlign w:val="bottom"/>
            <w:shd w:val="clear" w:color="auto" w:fill="CCEEFF"/>
          </w:tcPr>
          <w:p>
            <w:pPr>
              <w:jc w:val="right"/>
              <w:ind w:right="534"/>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30"/>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Distributions to Series A preferred unitholders</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Distributions to Series B preferred unitholders</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Other</w:t>
            </w: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net income allocated to common unitholders</w:t>
            </w:r>
          </w:p>
        </w:tc>
        <w:tc>
          <w:tcPr>
            <w:tcW w:w="720" w:type="dxa"/>
            <w:vAlign w:val="bottom"/>
            <w:tcBorders>
              <w:bottom w:val="single" w:sz="8" w:color="auto"/>
            </w:tcBorders>
            <w:shd w:val="clear" w:color="auto" w:fill="CCEEFF"/>
          </w:tcPr>
          <w:p>
            <w:pPr>
              <w:jc w:val="right"/>
              <w:ind w:right="534"/>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8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weighted average common units outstanding</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29"/>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Effect of dilutive securities:</w:t>
            </w: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Series A preferred units </w:t>
            </w:r>
            <w:r>
              <w:rPr>
                <w:rFonts w:ascii="Arial" w:cs="Arial" w:eastAsia="Arial" w:hAnsi="Arial"/>
                <w:sz w:val="23"/>
                <w:szCs w:val="23"/>
                <w:color w:val="auto"/>
                <w:vertAlign w:val="superscript"/>
              </w:rPr>
              <w:t>(3)</w:t>
            </w:r>
          </w:p>
        </w:tc>
        <w:tc>
          <w:tcPr>
            <w:tcW w:w="7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4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Equity-indexed compensation plan awards </w:t>
            </w:r>
            <w:r>
              <w:rPr>
                <w:rFonts w:ascii="Arial" w:cs="Arial" w:eastAsia="Arial" w:hAnsi="Arial"/>
                <w:sz w:val="23"/>
                <w:szCs w:val="23"/>
                <w:color w:val="auto"/>
                <w:vertAlign w:val="superscript"/>
              </w:rPr>
              <w:t>(4)</w:t>
            </w:r>
          </w:p>
        </w:tc>
        <w:tc>
          <w:tcPr>
            <w:tcW w:w="72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62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units outstanding</w:t>
            </w:r>
          </w:p>
        </w:tc>
        <w:tc>
          <w:tcPr>
            <w:tcW w:w="720" w:type="dxa"/>
            <w:vAlign w:val="bottom"/>
            <w:tcBorders>
              <w:top w:val="single" w:sz="8" w:color="auto"/>
              <w:bottom w:val="single" w:sz="8" w:color="auto"/>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8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Diluted adjusted net income per common unit</w:t>
            </w:r>
          </w:p>
        </w:tc>
        <w:tc>
          <w:tcPr>
            <w:tcW w:w="720" w:type="dxa"/>
            <w:vAlign w:val="bottom"/>
            <w:tcBorders>
              <w:bottom w:val="single" w:sz="8" w:color="auto"/>
            </w:tcBorders>
            <w:shd w:val="clear" w:color="auto" w:fill="CCEEFF"/>
          </w:tcPr>
          <w:p>
            <w:pPr>
              <w:jc w:val="right"/>
              <w:ind w:right="534"/>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880" w:type="dxa"/>
            <w:vAlign w:val="bottom"/>
            <w:tcBorders>
              <w:bottom w:val="single" w:sz="8" w:color="auto"/>
            </w:tcBorders>
          </w:tcPr>
          <w:p>
            <w:pPr>
              <w:spacing w:after="0"/>
              <w:rPr>
                <w:sz w:val="11"/>
                <w:szCs w:val="11"/>
                <w:color w:val="auto"/>
              </w:rPr>
            </w:pPr>
          </w:p>
        </w:tc>
        <w:tc>
          <w:tcPr>
            <w:tcW w:w="2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40" w:right="160" w:hanging="332"/>
        <w:spacing w:after="0" w:line="224" w:lineRule="auto"/>
        <w:tabs>
          <w:tab w:leader="none" w:pos="327"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We calculate adjusted net income allocated to common unitholders based on the distributions pertaining to the current period’s net income.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spacing w:after="0" w:line="35" w:lineRule="exact"/>
        <w:rPr>
          <w:rFonts w:ascii="Arial" w:cs="Arial" w:eastAsia="Arial" w:hAnsi="Arial"/>
          <w:sz w:val="19"/>
          <w:szCs w:val="19"/>
          <w:color w:val="auto"/>
          <w:vertAlign w:val="superscript"/>
        </w:rPr>
      </w:pPr>
    </w:p>
    <w:p>
      <w:pPr>
        <w:ind w:left="340" w:right="460" w:hanging="332"/>
        <w:spacing w:after="0" w:line="217" w:lineRule="auto"/>
        <w:tabs>
          <w:tab w:leader="none" w:pos="327"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Certain of our non-GAAP financial measures may not be impacted by each of the selected items impacting comparability. See the “Selected Items Impacting Comparability” table for additional information.</w:t>
      </w:r>
    </w:p>
    <w:p>
      <w:pPr>
        <w:spacing w:after="0" w:line="34" w:lineRule="exact"/>
        <w:rPr>
          <w:rFonts w:ascii="Arial" w:cs="Arial" w:eastAsia="Arial" w:hAnsi="Arial"/>
          <w:sz w:val="19"/>
          <w:szCs w:val="19"/>
          <w:color w:val="auto"/>
          <w:vertAlign w:val="superscript"/>
        </w:rPr>
      </w:pPr>
    </w:p>
    <w:p>
      <w:pPr>
        <w:ind w:left="340" w:right="340" w:hanging="332"/>
        <w:spacing w:after="0" w:line="217" w:lineRule="auto"/>
        <w:tabs>
          <w:tab w:leader="none" w:pos="327"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The possible conversion of our Series A preferred units was excluded from the calculation of diluted net income per common unit for the three and six months ended June 30, 2021 and 2020 as the effect was antidilutive.</w:t>
      </w:r>
    </w:p>
    <w:p>
      <w:pPr>
        <w:spacing w:after="0" w:line="34" w:lineRule="exact"/>
        <w:rPr>
          <w:rFonts w:ascii="Arial" w:cs="Arial" w:eastAsia="Arial" w:hAnsi="Arial"/>
          <w:sz w:val="19"/>
          <w:szCs w:val="19"/>
          <w:color w:val="auto"/>
          <w:vertAlign w:val="superscript"/>
        </w:rPr>
      </w:pPr>
    </w:p>
    <w:p>
      <w:pPr>
        <w:ind w:left="340" w:right="220" w:hanging="332"/>
        <w:spacing w:after="0" w:line="234" w:lineRule="auto"/>
        <w:tabs>
          <w:tab w:leader="none" w:pos="327" w:val="left"/>
        </w:tabs>
        <w:numPr>
          <w:ilvl w:val="0"/>
          <w:numId w:val="10"/>
        </w:numPr>
        <w:rPr>
          <w:rFonts w:ascii="Arial" w:cs="Arial" w:eastAsia="Arial" w:hAnsi="Arial"/>
          <w:sz w:val="17"/>
          <w:szCs w:val="17"/>
          <w:color w:val="auto"/>
          <w:vertAlign w:val="superscript"/>
        </w:rPr>
      </w:pPr>
      <w:r>
        <w:rPr>
          <w:rFonts w:ascii="Arial" w:cs="Arial" w:eastAsia="Arial" w:hAnsi="Arial"/>
          <w:sz w:val="13"/>
          <w:szCs w:val="13"/>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 For the three months ended June 30, 2021 and 2020 and for the six months ended June 30, 2021, the effect of equity-indexed compensation plan awards was antidilutive.</w:t>
      </w:r>
    </w:p>
    <w:p>
      <w:pPr>
        <w:ind w:left="5440" w:hanging="106"/>
        <w:spacing w:after="0"/>
        <w:tabs>
          <w:tab w:leader="none" w:pos="54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9"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t>Page 11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Income/(Loss) Per Common Unit to Adjusted Net Income Per Common Unit Reconciliations: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gridSpan w:val="3"/>
          </w:tcPr>
          <w:p>
            <w:pPr>
              <w:jc w:val="right"/>
              <w:ind w:right="74"/>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jc w:val="right"/>
              <w:ind w:right="573"/>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38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474"/>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r>
      <w:tr>
        <w:trPr>
          <w:trHeight w:val="183"/>
        </w:trPr>
        <w:tc>
          <w:tcPr>
            <w:tcW w:w="3880" w:type="dxa"/>
            <w:vAlign w:val="bottom"/>
            <w:tcBorders>
              <w:bottom w:val="single" w:sz="8" w:color="CCEEFF"/>
            </w:tcBorders>
          </w:tcPr>
          <w:p>
            <w:pPr>
              <w:spacing w:after="0"/>
              <w:rPr>
                <w:sz w:val="15"/>
                <w:szCs w:val="15"/>
                <w:color w:val="auto"/>
              </w:rPr>
            </w:pPr>
          </w:p>
        </w:tc>
        <w:tc>
          <w:tcPr>
            <w:tcW w:w="23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r>
      <w:tr>
        <w:trPr>
          <w:trHeight w:val="224"/>
        </w:trPr>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net income/(loss) per common unit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center"/>
              <w:ind w:left="316"/>
              <w:spacing w:after="0"/>
              <w:rPr>
                <w:sz w:val="20"/>
                <w:szCs w:val="20"/>
                <w:color w:val="auto"/>
              </w:rPr>
            </w:pPr>
            <w:r>
              <w:rPr>
                <w:rFonts w:ascii="Arial" w:cs="Arial" w:eastAsia="Arial" w:hAnsi="Arial"/>
                <w:sz w:val="18"/>
                <w:szCs w:val="18"/>
                <w:color w:val="auto"/>
                <w:w w:val="89"/>
              </w:rPr>
              <w:t>(0.37)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0.13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center"/>
              <w:ind w:left="293"/>
              <w:spacing w:after="0"/>
              <w:rPr>
                <w:sz w:val="20"/>
                <w:szCs w:val="20"/>
                <w:color w:val="auto"/>
              </w:rPr>
            </w:pPr>
            <w:r>
              <w:rPr>
                <w:rFonts w:ascii="Arial" w:cs="Arial" w:eastAsia="Arial" w:hAnsi="Arial"/>
                <w:sz w:val="18"/>
                <w:szCs w:val="18"/>
                <w:color w:val="auto"/>
                <w:w w:val="93"/>
              </w:rPr>
              <w:t>(3.85)</w:t>
            </w:r>
          </w:p>
        </w:tc>
      </w:tr>
      <w:tr>
        <w:trPr>
          <w:trHeight w:val="230"/>
        </w:trPr>
        <w:tc>
          <w:tcPr>
            <w:tcW w:w="622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23"/>
                <w:szCs w:val="23"/>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36"/>
              <w:spacing w:after="0"/>
              <w:rPr>
                <w:sz w:val="20"/>
                <w:szCs w:val="20"/>
                <w:color w:val="auto"/>
              </w:rPr>
            </w:pPr>
            <w:r>
              <w:rPr>
                <w:rFonts w:ascii="Arial" w:cs="Arial" w:eastAsia="Arial" w:hAnsi="Arial"/>
                <w:sz w:val="18"/>
                <w:szCs w:val="18"/>
                <w:color w:val="auto"/>
                <w:w w:val="91"/>
              </w:rPr>
              <w:t>0.60</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0.12</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0.34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left="313"/>
              <w:spacing w:after="0"/>
              <w:rPr>
                <w:sz w:val="20"/>
                <w:szCs w:val="20"/>
                <w:color w:val="auto"/>
              </w:rPr>
            </w:pPr>
            <w:r>
              <w:rPr>
                <w:rFonts w:ascii="Arial" w:cs="Arial" w:eastAsia="Arial" w:hAnsi="Arial"/>
                <w:sz w:val="18"/>
                <w:szCs w:val="18"/>
                <w:color w:val="auto"/>
                <w:w w:val="85"/>
              </w:rPr>
              <w:t>4.66</w:t>
            </w:r>
          </w:p>
        </w:tc>
      </w:tr>
      <w:tr>
        <w:trPr>
          <w:trHeight w:val="248"/>
        </w:trPr>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 adjusted net income per common unit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center"/>
              <w:ind w:left="336"/>
              <w:spacing w:after="0"/>
              <w:rPr>
                <w:sz w:val="20"/>
                <w:szCs w:val="20"/>
                <w:color w:val="auto"/>
              </w:rPr>
            </w:pPr>
            <w:r>
              <w:rPr>
                <w:rFonts w:ascii="Arial" w:cs="Arial" w:eastAsia="Arial" w:hAnsi="Arial"/>
                <w:sz w:val="18"/>
                <w:szCs w:val="18"/>
                <w:color w:val="auto"/>
                <w:w w:val="91"/>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center"/>
              <w:ind w:left="313"/>
              <w:spacing w:after="0"/>
              <w:rPr>
                <w:sz w:val="20"/>
                <w:szCs w:val="20"/>
                <w:color w:val="auto"/>
              </w:rPr>
            </w:pPr>
            <w:r>
              <w:rPr>
                <w:rFonts w:ascii="Arial" w:cs="Arial" w:eastAsia="Arial" w:hAnsi="Arial"/>
                <w:sz w:val="18"/>
                <w:szCs w:val="18"/>
                <w:color w:val="auto"/>
                <w:w w:val="85"/>
              </w:rPr>
              <w:t>0.81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3880" w:type="dxa"/>
            <w:vAlign w:val="bottom"/>
          </w:tcPr>
          <w:p>
            <w:pPr>
              <w:spacing w:after="0"/>
              <w:rPr>
                <w:sz w:val="9"/>
                <w:szCs w:val="9"/>
                <w:color w:val="auto"/>
              </w:rPr>
            </w:pPr>
          </w:p>
        </w:tc>
        <w:tc>
          <w:tcPr>
            <w:tcW w:w="2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229"/>
        </w:trPr>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net income/(loss) per common unit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center"/>
              <w:ind w:left="316"/>
              <w:spacing w:after="0"/>
              <w:rPr>
                <w:sz w:val="20"/>
                <w:szCs w:val="20"/>
                <w:color w:val="auto"/>
              </w:rPr>
            </w:pPr>
            <w:r>
              <w:rPr>
                <w:rFonts w:ascii="Arial" w:cs="Arial" w:eastAsia="Arial" w:hAnsi="Arial"/>
                <w:sz w:val="18"/>
                <w:szCs w:val="18"/>
                <w:color w:val="auto"/>
                <w:w w:val="89"/>
              </w:rPr>
              <w:t>(0.37)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0.13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center"/>
              <w:ind w:left="293"/>
              <w:spacing w:after="0"/>
              <w:rPr>
                <w:sz w:val="20"/>
                <w:szCs w:val="20"/>
                <w:color w:val="auto"/>
              </w:rPr>
            </w:pPr>
            <w:r>
              <w:rPr>
                <w:rFonts w:ascii="Arial" w:cs="Arial" w:eastAsia="Arial" w:hAnsi="Arial"/>
                <w:sz w:val="18"/>
                <w:szCs w:val="18"/>
                <w:color w:val="auto"/>
                <w:w w:val="93"/>
              </w:rPr>
              <w:t>(3.85)</w:t>
            </w:r>
          </w:p>
        </w:tc>
      </w:tr>
      <w:tr>
        <w:trPr>
          <w:trHeight w:val="230"/>
        </w:trPr>
        <w:tc>
          <w:tcPr>
            <w:tcW w:w="622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23"/>
                <w:szCs w:val="23"/>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36"/>
              <w:spacing w:after="0"/>
              <w:rPr>
                <w:sz w:val="20"/>
                <w:szCs w:val="20"/>
                <w:color w:val="auto"/>
              </w:rPr>
            </w:pPr>
            <w:r>
              <w:rPr>
                <w:rFonts w:ascii="Arial" w:cs="Arial" w:eastAsia="Arial" w:hAnsi="Arial"/>
                <w:sz w:val="18"/>
                <w:szCs w:val="18"/>
                <w:color w:val="auto"/>
                <w:w w:val="91"/>
              </w:rPr>
              <w:t>0.60</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0.12</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0.34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left="313"/>
              <w:spacing w:after="0"/>
              <w:rPr>
                <w:sz w:val="20"/>
                <w:szCs w:val="20"/>
                <w:color w:val="auto"/>
              </w:rPr>
            </w:pPr>
            <w:r>
              <w:rPr>
                <w:rFonts w:ascii="Arial" w:cs="Arial" w:eastAsia="Arial" w:hAnsi="Arial"/>
                <w:sz w:val="18"/>
                <w:szCs w:val="18"/>
                <w:color w:val="auto"/>
                <w:w w:val="85"/>
              </w:rPr>
              <w:t>4.66</w:t>
            </w:r>
          </w:p>
        </w:tc>
      </w:tr>
      <w:tr>
        <w:trPr>
          <w:trHeight w:val="248"/>
        </w:trPr>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Diluted adjusted net income per common unit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center"/>
              <w:ind w:left="336"/>
              <w:spacing w:after="0"/>
              <w:rPr>
                <w:sz w:val="20"/>
                <w:szCs w:val="20"/>
                <w:color w:val="auto"/>
              </w:rPr>
            </w:pPr>
            <w:r>
              <w:rPr>
                <w:rFonts w:ascii="Arial" w:cs="Arial" w:eastAsia="Arial" w:hAnsi="Arial"/>
                <w:sz w:val="18"/>
                <w:szCs w:val="18"/>
                <w:color w:val="auto"/>
                <w:w w:val="91"/>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center"/>
              <w:ind w:left="313"/>
              <w:spacing w:after="0"/>
              <w:rPr>
                <w:sz w:val="20"/>
                <w:szCs w:val="20"/>
                <w:color w:val="auto"/>
              </w:rPr>
            </w:pPr>
            <w:r>
              <w:rPr>
                <w:rFonts w:ascii="Arial" w:cs="Arial" w:eastAsia="Arial" w:hAnsi="Arial"/>
                <w:sz w:val="18"/>
                <w:szCs w:val="18"/>
                <w:color w:val="auto"/>
                <w:w w:val="85"/>
              </w:rPr>
              <w:t>0.81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3880" w:type="dxa"/>
            <w:vAlign w:val="bottom"/>
            <w:tcBorders>
              <w:bottom w:val="single" w:sz="8" w:color="auto"/>
            </w:tcBorders>
          </w:tcPr>
          <w:p>
            <w:pPr>
              <w:spacing w:after="0"/>
              <w:rPr>
                <w:sz w:val="11"/>
                <w:szCs w:val="11"/>
                <w:color w:val="auto"/>
              </w:rPr>
            </w:pPr>
          </w:p>
        </w:tc>
        <w:tc>
          <w:tcPr>
            <w:tcW w:w="2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r>
    </w:tbl>
    <w:p>
      <w:pPr>
        <w:spacing w:after="0" w:line="134" w:lineRule="exact"/>
        <w:rPr>
          <w:sz w:val="20"/>
          <w:szCs w:val="20"/>
          <w:color w:val="auto"/>
        </w:rPr>
      </w:pPr>
    </w:p>
    <w:p>
      <w:pPr>
        <w:ind w:left="340" w:right="360" w:hanging="332"/>
        <w:spacing w:after="0" w:line="227" w:lineRule="auto"/>
        <w:tabs>
          <w:tab w:leader="none" w:pos="328"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See the “Selected Items Impacting Comparability” and the “Computation of Basic and Diluted Adjusted Net Income Per Common Unit” tables for additional information.</w:t>
      </w:r>
    </w:p>
    <w:p>
      <w:pPr>
        <w:spacing w:after="0" w:line="359" w:lineRule="exact"/>
        <w:rPr>
          <w:sz w:val="20"/>
          <w:szCs w:val="20"/>
          <w:color w:val="auto"/>
        </w:rPr>
      </w:pPr>
    </w:p>
    <w:p>
      <w:pPr>
        <w:jc w:val="center"/>
        <w:ind w:left="8760"/>
        <w:spacing w:after="0"/>
        <w:rPr>
          <w:sz w:val="20"/>
          <w:szCs w:val="20"/>
          <w:color w:val="auto"/>
        </w:rPr>
      </w:pPr>
      <w:r>
        <w:rPr>
          <w:rFonts w:ascii="Arial" w:cs="Arial" w:eastAsia="Arial" w:hAnsi="Arial"/>
          <w:sz w:val="14"/>
          <w:szCs w:val="14"/>
          <w:b w:val="1"/>
          <w:bCs w:val="1"/>
          <w:color w:val="auto"/>
        </w:rPr>
        <w:t>Twelve Months Ended</w:t>
      </w:r>
    </w:p>
    <w:p>
      <w:pPr>
        <w:jc w:val="center"/>
        <w:ind w:left="876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80" w:type="dxa"/>
            <w:vAlign w:val="bottom"/>
            <w:tcBorders>
              <w:bottom w:val="single" w:sz="8" w:color="CCEEFF"/>
            </w:tcBorders>
          </w:tcPr>
          <w:p>
            <w:pPr>
              <w:spacing w:after="0"/>
              <w:rPr>
                <w:sz w:val="16"/>
                <w:szCs w:val="16"/>
                <w:color w:val="auto"/>
              </w:rPr>
            </w:pPr>
          </w:p>
        </w:tc>
        <w:tc>
          <w:tcPr>
            <w:tcW w:w="49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r>
      <w:tr>
        <w:trPr>
          <w:trHeight w:val="224"/>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net income/(loss) per common unit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ind w:left="333"/>
              <w:spacing w:after="0"/>
              <w:rPr>
                <w:sz w:val="20"/>
                <w:szCs w:val="20"/>
                <w:color w:val="auto"/>
              </w:rPr>
            </w:pPr>
            <w:r>
              <w:rPr>
                <w:rFonts w:ascii="Arial" w:cs="Arial" w:eastAsia="Arial" w:hAnsi="Arial"/>
                <w:sz w:val="18"/>
                <w:szCs w:val="18"/>
                <w:color w:val="auto"/>
                <w:w w:val="93"/>
              </w:rPr>
              <w:t>(3.83)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ind w:left="353"/>
              <w:spacing w:after="0"/>
              <w:rPr>
                <w:sz w:val="20"/>
                <w:szCs w:val="20"/>
                <w:color w:val="auto"/>
              </w:rPr>
            </w:pPr>
            <w:r>
              <w:rPr>
                <w:rFonts w:ascii="Arial" w:cs="Arial" w:eastAsia="Arial" w:hAnsi="Arial"/>
                <w:sz w:val="18"/>
                <w:szCs w:val="18"/>
                <w:color w:val="auto"/>
                <w:w w:val="85"/>
              </w:rPr>
              <w:t>2.70</w:t>
            </w:r>
          </w:p>
        </w:tc>
      </w:tr>
      <w:tr>
        <w:trPr>
          <w:trHeight w:val="230"/>
        </w:trPr>
        <w:tc>
          <w:tcPr>
            <w:tcW w:w="878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23"/>
                <w:szCs w:val="23"/>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53"/>
              <w:spacing w:after="0"/>
              <w:rPr>
                <w:sz w:val="20"/>
                <w:szCs w:val="20"/>
                <w:color w:val="auto"/>
              </w:rPr>
            </w:pPr>
            <w:r>
              <w:rPr>
                <w:rFonts w:ascii="Arial" w:cs="Arial" w:eastAsia="Arial" w:hAnsi="Arial"/>
                <w:sz w:val="18"/>
                <w:szCs w:val="18"/>
                <w:color w:val="auto"/>
                <w:w w:val="85"/>
              </w:rPr>
              <w:t>5.38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33"/>
              <w:spacing w:after="0"/>
              <w:rPr>
                <w:sz w:val="20"/>
                <w:szCs w:val="20"/>
                <w:color w:val="auto"/>
              </w:rPr>
            </w:pPr>
            <w:r>
              <w:rPr>
                <w:rFonts w:ascii="Arial" w:cs="Arial" w:eastAsia="Arial" w:hAnsi="Arial"/>
                <w:sz w:val="18"/>
                <w:szCs w:val="18"/>
                <w:color w:val="auto"/>
                <w:w w:val="93"/>
              </w:rPr>
              <w:t>(0.14)</w:t>
            </w:r>
          </w:p>
        </w:tc>
      </w:tr>
      <w:tr>
        <w:trPr>
          <w:trHeight w:val="248"/>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 adjusted net income per common unit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353"/>
              <w:spacing w:after="0"/>
              <w:rPr>
                <w:sz w:val="20"/>
                <w:szCs w:val="20"/>
                <w:color w:val="auto"/>
              </w:rPr>
            </w:pPr>
            <w:r>
              <w:rPr>
                <w:rFonts w:ascii="Arial" w:cs="Arial" w:eastAsia="Arial" w:hAnsi="Arial"/>
                <w:sz w:val="18"/>
                <w:szCs w:val="18"/>
                <w:color w:val="auto"/>
                <w:w w:val="85"/>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353"/>
              <w:spacing w:after="0"/>
              <w:rPr>
                <w:sz w:val="20"/>
                <w:szCs w:val="20"/>
                <w:color w:val="auto"/>
              </w:rPr>
            </w:pPr>
            <w:r>
              <w:rPr>
                <w:rFonts w:ascii="Arial" w:cs="Arial" w:eastAsia="Arial" w:hAnsi="Arial"/>
                <w:sz w:val="18"/>
                <w:szCs w:val="18"/>
                <w:color w:val="auto"/>
                <w:w w:val="85"/>
              </w:rPr>
              <w:t>2.56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3880" w:type="dxa"/>
            <w:vAlign w:val="bottom"/>
          </w:tcPr>
          <w:p>
            <w:pPr>
              <w:spacing w:after="0"/>
              <w:rPr>
                <w:sz w:val="9"/>
                <w:szCs w:val="9"/>
                <w:color w:val="auto"/>
              </w:rPr>
            </w:pPr>
          </w:p>
        </w:tc>
        <w:tc>
          <w:tcPr>
            <w:tcW w:w="4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30"/>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net income/(loss) per common unit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ind w:left="333"/>
              <w:spacing w:after="0"/>
              <w:rPr>
                <w:sz w:val="20"/>
                <w:szCs w:val="20"/>
                <w:color w:val="auto"/>
              </w:rPr>
            </w:pPr>
            <w:r>
              <w:rPr>
                <w:rFonts w:ascii="Arial" w:cs="Arial" w:eastAsia="Arial" w:hAnsi="Arial"/>
                <w:sz w:val="18"/>
                <w:szCs w:val="18"/>
                <w:color w:val="auto"/>
                <w:w w:val="93"/>
              </w:rPr>
              <w:t>(3.83)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ind w:left="353"/>
              <w:spacing w:after="0"/>
              <w:rPr>
                <w:sz w:val="20"/>
                <w:szCs w:val="20"/>
                <w:color w:val="auto"/>
              </w:rPr>
            </w:pPr>
            <w:r>
              <w:rPr>
                <w:rFonts w:ascii="Arial" w:cs="Arial" w:eastAsia="Arial" w:hAnsi="Arial"/>
                <w:sz w:val="18"/>
                <w:szCs w:val="18"/>
                <w:color w:val="auto"/>
                <w:w w:val="85"/>
              </w:rPr>
              <w:t>2.65</w:t>
            </w:r>
          </w:p>
        </w:tc>
      </w:tr>
      <w:tr>
        <w:trPr>
          <w:trHeight w:val="229"/>
        </w:trPr>
        <w:tc>
          <w:tcPr>
            <w:tcW w:w="878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23"/>
                <w:szCs w:val="23"/>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53"/>
              <w:spacing w:after="0"/>
              <w:rPr>
                <w:sz w:val="20"/>
                <w:szCs w:val="20"/>
                <w:color w:val="auto"/>
              </w:rPr>
            </w:pPr>
            <w:r>
              <w:rPr>
                <w:rFonts w:ascii="Arial" w:cs="Arial" w:eastAsia="Arial" w:hAnsi="Arial"/>
                <w:sz w:val="18"/>
                <w:szCs w:val="18"/>
                <w:color w:val="auto"/>
                <w:w w:val="85"/>
              </w:rPr>
              <w:t>5.38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33"/>
              <w:spacing w:after="0"/>
              <w:rPr>
                <w:sz w:val="20"/>
                <w:szCs w:val="20"/>
                <w:color w:val="auto"/>
              </w:rPr>
            </w:pPr>
            <w:r>
              <w:rPr>
                <w:rFonts w:ascii="Arial" w:cs="Arial" w:eastAsia="Arial" w:hAnsi="Arial"/>
                <w:sz w:val="18"/>
                <w:szCs w:val="18"/>
                <w:color w:val="auto"/>
                <w:w w:val="93"/>
              </w:rPr>
              <w:t>(0.14)</w:t>
            </w:r>
          </w:p>
        </w:tc>
      </w:tr>
      <w:tr>
        <w:trPr>
          <w:trHeight w:val="248"/>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Diluted adjusted net income per common unit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353"/>
              <w:spacing w:after="0"/>
              <w:rPr>
                <w:sz w:val="20"/>
                <w:szCs w:val="20"/>
                <w:color w:val="auto"/>
              </w:rPr>
            </w:pPr>
            <w:r>
              <w:rPr>
                <w:rFonts w:ascii="Arial" w:cs="Arial" w:eastAsia="Arial" w:hAnsi="Arial"/>
                <w:sz w:val="18"/>
                <w:szCs w:val="18"/>
                <w:color w:val="auto"/>
                <w:w w:val="85"/>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353"/>
              <w:spacing w:after="0"/>
              <w:rPr>
                <w:sz w:val="20"/>
                <w:szCs w:val="20"/>
                <w:color w:val="auto"/>
              </w:rPr>
            </w:pPr>
            <w:r>
              <w:rPr>
                <w:rFonts w:ascii="Arial" w:cs="Arial" w:eastAsia="Arial" w:hAnsi="Arial"/>
                <w:sz w:val="18"/>
                <w:szCs w:val="18"/>
                <w:color w:val="auto"/>
                <w:w w:val="85"/>
              </w:rPr>
              <w:t>2.51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3880" w:type="dxa"/>
            <w:vAlign w:val="bottom"/>
            <w:tcBorders>
              <w:bottom w:val="single" w:sz="8" w:color="auto"/>
            </w:tcBorders>
          </w:tcPr>
          <w:p>
            <w:pPr>
              <w:spacing w:after="0"/>
              <w:rPr>
                <w:sz w:val="13"/>
                <w:szCs w:val="13"/>
                <w:color w:val="auto"/>
              </w:rPr>
            </w:pPr>
          </w:p>
        </w:tc>
        <w:tc>
          <w:tcPr>
            <w:tcW w:w="4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r>
    </w:tbl>
    <w:p>
      <w:pPr>
        <w:spacing w:after="0" w:line="87"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See the “Selected Items Impacting Comparability” table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Page 12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ratio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0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4"/>
          </w:tcPr>
          <w:p>
            <w:pPr>
              <w:jc w:val="right"/>
              <w:ind w:right="57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452"/>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80" w:type="dxa"/>
            <w:vAlign w:val="bottom"/>
            <w:tcBorders>
              <w:bottom w:val="single" w:sz="8" w:color="CCEEFF"/>
            </w:tcBorders>
          </w:tcPr>
          <w:p>
            <w:pPr>
              <w:spacing w:after="0"/>
              <w:rPr>
                <w:sz w:val="15"/>
                <w:szCs w:val="15"/>
                <w:color w:val="auto"/>
              </w:rPr>
            </w:pPr>
          </w:p>
        </w:tc>
        <w:tc>
          <w:tcPr>
            <w:tcW w:w="236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Income/(Loss) to Adjusted EBITDA and Implied DCF Reconciliation</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Net Income/(Loss)</w:t>
            </w:r>
          </w:p>
        </w:tc>
        <w:tc>
          <w:tcPr>
            <w:tcW w:w="720" w:type="dxa"/>
            <w:vAlign w:val="bottom"/>
          </w:tcPr>
          <w:p>
            <w:pPr>
              <w:jc w:val="right"/>
              <w:ind w:right="533"/>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0"/>
              </w:rPr>
              <w:t>(216)</w:t>
            </w:r>
          </w:p>
        </w:tc>
        <w:tc>
          <w:tcPr>
            <w:tcW w:w="100" w:type="dxa"/>
            <w:vAlign w:val="bottom"/>
          </w:tcPr>
          <w:p>
            <w:pPr>
              <w:spacing w:after="0"/>
              <w:rPr>
                <w:sz w:val="19"/>
                <w:szCs w:val="19"/>
                <w:color w:val="auto"/>
              </w:rPr>
            </w:pPr>
          </w:p>
        </w:tc>
        <w:tc>
          <w:tcPr>
            <w:tcW w:w="740" w:type="dxa"/>
            <w:vAlign w:val="bottom"/>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(2,701)</w:t>
            </w:r>
          </w:p>
        </w:tc>
        <w:tc>
          <w:tcPr>
            <w:tcW w:w="0" w:type="dxa"/>
            <w:vAlign w:val="bottom"/>
          </w:tcPr>
          <w:p>
            <w:pPr>
              <w:spacing w:after="0"/>
              <w:rPr>
                <w:sz w:val="1"/>
                <w:szCs w:val="1"/>
                <w:color w:val="auto"/>
              </w:rPr>
            </w:pPr>
          </w:p>
        </w:tc>
      </w:tr>
      <w:tr>
        <w:trPr>
          <w:trHeight w:val="229"/>
        </w:trPr>
        <w:tc>
          <w:tcPr>
            <w:tcW w:w="6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29"/>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Income tax expense/(benefit)</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29"/>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(Gains)/losses on asset sales and asset impairments, net</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29"/>
        </w:trPr>
        <w:tc>
          <w:tcPr>
            <w:tcW w:w="6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Goodwill impairment losses</w:t>
            </w:r>
          </w:p>
        </w:tc>
        <w:tc>
          <w:tcPr>
            <w:tcW w:w="7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30"/>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(Gain on)/impairment of investments in unconsolidated entities, net</w:t>
            </w:r>
          </w:p>
        </w:tc>
        <w:tc>
          <w:tcPr>
            <w:tcW w:w="72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9"/>
        </w:trPr>
        <w:tc>
          <w:tcPr>
            <w:tcW w:w="624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(1)</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CCEEFF"/>
            </w:tcBorders>
            <w:gridSpan w:val="2"/>
          </w:tcPr>
          <w:p>
            <w:pPr>
              <w:ind w:left="180"/>
              <w:spacing w:after="0" w:line="230" w:lineRule="exact"/>
              <w:rPr>
                <w:sz w:val="20"/>
                <w:szCs w:val="20"/>
                <w:color w:val="auto"/>
              </w:rPr>
            </w:pPr>
            <w:r>
              <w:rPr>
                <w:rFonts w:ascii="Arial" w:cs="Arial" w:eastAsia="Arial" w:hAnsi="Arial"/>
                <w:sz w:val="18"/>
                <w:szCs w:val="18"/>
                <w:color w:val="auto"/>
              </w:rPr>
              <w:t xml:space="preserve">Selected items impacting comparability - Adjusted EBITDA </w:t>
            </w:r>
            <w:r>
              <w:rPr>
                <w:rFonts w:ascii="Arial" w:cs="Arial" w:eastAsia="Arial" w:hAnsi="Arial"/>
                <w:sz w:val="23"/>
                <w:szCs w:val="23"/>
                <w:color w:val="auto"/>
                <w:vertAlign w:val="superscript"/>
              </w:rPr>
              <w:t>(2)</w:t>
            </w: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23"/>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72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30"/>
        </w:trPr>
        <w:tc>
          <w:tcPr>
            <w:tcW w:w="624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Interest expense, net of certain non-cash items </w:t>
            </w:r>
            <w:r>
              <w:rPr>
                <w:rFonts w:ascii="Arial" w:cs="Arial" w:eastAsia="Arial" w:hAnsi="Arial"/>
                <w:sz w:val="23"/>
                <w:szCs w:val="23"/>
                <w:color w:val="auto"/>
                <w:vertAlign w:val="superscript"/>
              </w:rPr>
              <w:t>(3)</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0"/>
              </w:rPr>
              <w:t>(101)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0"/>
              </w:rPr>
              <w:t>(103)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29"/>
        </w:trPr>
        <w:tc>
          <w:tcPr>
            <w:tcW w:w="6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Maintenance capital</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9"/>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Current income tax expense</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76"/>
        </w:trPr>
        <w:tc>
          <w:tcPr>
            <w:tcW w:w="624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w w:val="93"/>
              </w:rPr>
              <w:t>Distributions from unconsolidated entities in excess of/(less than) adjusted equity</w:t>
            </w:r>
          </w:p>
        </w:tc>
        <w:tc>
          <w:tcPr>
            <w:tcW w:w="72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6240" w:type="dxa"/>
            <w:vAlign w:val="bottom"/>
            <w:gridSpan w:val="2"/>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earnings </w:t>
            </w:r>
            <w:r>
              <w:rPr>
                <w:rFonts w:ascii="Arial" w:cs="Arial" w:eastAsia="Arial" w:hAnsi="Arial"/>
                <w:sz w:val="23"/>
                <w:szCs w:val="23"/>
                <w:color w:val="auto"/>
                <w:vertAlign w:val="superscript"/>
              </w:rPr>
              <w:t>(4)</w:t>
            </w:r>
          </w:p>
        </w:tc>
        <w:tc>
          <w:tcPr>
            <w:tcW w:w="72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3"/>
                <w:szCs w:val="23"/>
                <w:color w:val="auto"/>
                <w:vertAlign w:val="superscript"/>
              </w:rPr>
              <w:t>(5)</w:t>
            </w:r>
          </w:p>
        </w:tc>
        <w:tc>
          <w:tcPr>
            <w:tcW w:w="72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62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Implied DCF</w:t>
            </w:r>
          </w:p>
        </w:tc>
        <w:tc>
          <w:tcPr>
            <w:tcW w:w="720" w:type="dxa"/>
            <w:vAlign w:val="bottom"/>
            <w:tcBorders>
              <w:top w:val="single" w:sz="8" w:color="auto"/>
            </w:tcBorders>
            <w:shd w:val="clear" w:color="auto" w:fill="CCEEFF"/>
          </w:tcPr>
          <w:p>
            <w:pPr>
              <w:jc w:val="right"/>
              <w:ind w:right="533"/>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gridSpan w:val="2"/>
          </w:tcPr>
          <w:p>
            <w:pPr>
              <w:ind w:left="180"/>
              <w:spacing w:after="0" w:line="230" w:lineRule="exact"/>
              <w:rPr>
                <w:sz w:val="20"/>
                <w:szCs w:val="20"/>
                <w:color w:val="auto"/>
              </w:rPr>
            </w:pPr>
            <w:r>
              <w:rPr>
                <w:rFonts w:ascii="Arial" w:cs="Arial" w:eastAsia="Arial" w:hAnsi="Arial"/>
                <w:sz w:val="18"/>
                <w:szCs w:val="18"/>
                <w:color w:val="auto"/>
              </w:rPr>
              <w:t xml:space="preserve">Preferred unit distributions paid </w:t>
            </w:r>
            <w:r>
              <w:rPr>
                <w:rFonts w:ascii="Arial" w:cs="Arial" w:eastAsia="Arial" w:hAnsi="Arial"/>
                <w:sz w:val="23"/>
                <w:szCs w:val="23"/>
                <w:color w:val="auto"/>
                <w:vertAlign w:val="superscript"/>
              </w:rPr>
              <w:t>(6)</w:t>
            </w: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Implied DCF Available to Common Unitholders</w:t>
            </w:r>
          </w:p>
        </w:tc>
        <w:tc>
          <w:tcPr>
            <w:tcW w:w="720" w:type="dxa"/>
            <w:vAlign w:val="bottom"/>
            <w:tcBorders>
              <w:bottom w:val="single" w:sz="8" w:color="auto"/>
            </w:tcBorders>
            <w:shd w:val="clear" w:color="auto" w:fill="CCEEFF"/>
          </w:tcPr>
          <w:p>
            <w:pPr>
              <w:jc w:val="right"/>
              <w:ind w:right="533"/>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38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Common Units Outstanding</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30"/>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Weighted Average Common Units and Common Unit Equivalents</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62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Implied DCF per Common Unit </w:t>
            </w:r>
            <w:r>
              <w:rPr>
                <w:rFonts w:ascii="Arial" w:cs="Arial" w:eastAsia="Arial" w:hAnsi="Arial"/>
                <w:sz w:val="23"/>
                <w:szCs w:val="23"/>
                <w:color w:val="auto"/>
                <w:vertAlign w:val="superscript"/>
              </w:rPr>
              <w:t>(7)</w:t>
            </w:r>
          </w:p>
        </w:tc>
        <w:tc>
          <w:tcPr>
            <w:tcW w:w="720" w:type="dxa"/>
            <w:vAlign w:val="bottom"/>
          </w:tcPr>
          <w:p>
            <w:pPr>
              <w:jc w:val="right"/>
              <w:ind w:right="533"/>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6"/>
              </w:rPr>
              <w:t>0.52</w:t>
            </w:r>
          </w:p>
        </w:tc>
        <w:tc>
          <w:tcPr>
            <w:tcW w:w="100" w:type="dxa"/>
            <w:vAlign w:val="bottom"/>
          </w:tcPr>
          <w:p>
            <w:pPr>
              <w:spacing w:after="0"/>
              <w:rPr>
                <w:sz w:val="19"/>
                <w:szCs w:val="19"/>
                <w:color w:val="auto"/>
              </w:rPr>
            </w:pPr>
          </w:p>
        </w:tc>
        <w:tc>
          <w:tcPr>
            <w:tcW w:w="740" w:type="dxa"/>
            <w:vAlign w:val="bottom"/>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6"/>
              </w:rPr>
              <w:t>0.41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Implied DCF per Common Unit and Common Unit Equivalent </w:t>
            </w:r>
            <w:r>
              <w:rPr>
                <w:rFonts w:ascii="Arial" w:cs="Arial" w:eastAsia="Arial" w:hAnsi="Arial"/>
                <w:sz w:val="23"/>
                <w:szCs w:val="23"/>
                <w:color w:val="auto"/>
                <w:vertAlign w:val="superscript"/>
              </w:rPr>
              <w:t>(8)</w:t>
            </w:r>
          </w:p>
        </w:tc>
        <w:tc>
          <w:tcPr>
            <w:tcW w:w="72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0.52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Distribution Paid per Common Unit</w:t>
            </w:r>
          </w:p>
        </w:tc>
        <w:tc>
          <w:tcPr>
            <w:tcW w:w="72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0.18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30"/>
        </w:trPr>
        <w:tc>
          <w:tcPr>
            <w:tcW w:w="62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Common Unit Cash Distributions </w:t>
            </w:r>
            <w:r>
              <w:rPr>
                <w:rFonts w:ascii="Arial" w:cs="Arial" w:eastAsia="Arial" w:hAnsi="Arial"/>
                <w:sz w:val="23"/>
                <w:szCs w:val="23"/>
                <w:color w:val="auto"/>
                <w:vertAlign w:val="superscript"/>
              </w:rPr>
              <w:t>(5)</w:t>
            </w:r>
          </w:p>
        </w:tc>
        <w:tc>
          <w:tcPr>
            <w:tcW w:w="720" w:type="dxa"/>
            <w:vAlign w:val="bottom"/>
          </w:tcPr>
          <w:p>
            <w:pPr>
              <w:jc w:val="right"/>
              <w:ind w:right="533"/>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740" w:type="dxa"/>
            <w:vAlign w:val="bottom"/>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Common Unit Distribution Coverage Ratio</w:t>
            </w:r>
          </w:p>
        </w:tc>
        <w:tc>
          <w:tcPr>
            <w:tcW w:w="7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2.87x</w:t>
            </w:r>
          </w:p>
        </w:tc>
        <w:tc>
          <w:tcPr>
            <w:tcW w:w="7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2.27x</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2.86x</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2.27x</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Implied DCF Excess</w:t>
            </w:r>
          </w:p>
        </w:tc>
        <w:tc>
          <w:tcPr>
            <w:tcW w:w="72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162"/>
        </w:trPr>
        <w:tc>
          <w:tcPr>
            <w:tcW w:w="3880" w:type="dxa"/>
            <w:vAlign w:val="bottom"/>
            <w:tcBorders>
              <w:bottom w:val="single" w:sz="8" w:color="auto"/>
            </w:tcBorders>
          </w:tcPr>
          <w:p>
            <w:pPr>
              <w:spacing w:after="0"/>
              <w:rPr>
                <w:sz w:val="14"/>
                <w:szCs w:val="14"/>
                <w:color w:val="auto"/>
              </w:rPr>
            </w:pPr>
          </w:p>
        </w:tc>
        <w:tc>
          <w:tcPr>
            <w:tcW w:w="2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8"/>
          <w:szCs w:val="18"/>
          <w:color w:val="auto"/>
          <w:vertAlign w:val="superscript"/>
        </w:rPr>
      </w:pPr>
      <w:r>
        <w:rPr>
          <w:rFonts w:ascii="Arial" w:cs="Arial" w:eastAsia="Arial" w:hAnsi="Arial"/>
          <w:sz w:val="13"/>
          <w:szCs w:val="13"/>
          <w:color w:val="auto"/>
        </w:rPr>
        <w:t>Adjustment to exclude our proportionate share of depreciation and amortization expense (including write-downs related to cancelled projects) of unconsolidated entities.</w:t>
      </w:r>
    </w:p>
    <w:p>
      <w:pPr>
        <w:spacing w:after="0" w:line="49" w:lineRule="exact"/>
        <w:rPr>
          <w:rFonts w:ascii="Arial" w:cs="Arial" w:eastAsia="Arial" w:hAnsi="Arial"/>
          <w:sz w:val="18"/>
          <w:szCs w:val="18"/>
          <w:color w:val="auto"/>
          <w:vertAlign w:val="superscript"/>
        </w:rPr>
      </w:pPr>
    </w:p>
    <w:p>
      <w:pPr>
        <w:ind w:left="320" w:hanging="312"/>
        <w:spacing w:after="0" w:line="193" w:lineRule="auto"/>
        <w:tabs>
          <w:tab w:leader="none" w:pos="320" w:val="left"/>
        </w:tabs>
        <w:numPr>
          <w:ilvl w:val="0"/>
          <w:numId w:val="13"/>
        </w:numPr>
        <w:rPr>
          <w:rFonts w:ascii="Arial" w:cs="Arial" w:eastAsia="Arial" w:hAnsi="Arial"/>
          <w:sz w:val="18"/>
          <w:szCs w:val="18"/>
          <w:color w:val="auto"/>
          <w:vertAlign w:val="superscript"/>
        </w:rPr>
      </w:pPr>
      <w:r>
        <w:rPr>
          <w:rFonts w:ascii="Arial" w:cs="Arial" w:eastAsia="Arial" w:hAnsi="Arial"/>
          <w:sz w:val="13"/>
          <w:szCs w:val="13"/>
          <w:color w:val="auto"/>
        </w:rPr>
        <w:t>Certain of our non-GAAP financial measures may not be impacted by each of the selected items impacting comparability.</w:t>
      </w:r>
    </w:p>
    <w:p>
      <w:pPr>
        <w:spacing w:after="0" w:line="49" w:lineRule="exact"/>
        <w:rPr>
          <w:rFonts w:ascii="Arial" w:cs="Arial" w:eastAsia="Arial" w:hAnsi="Arial"/>
          <w:sz w:val="18"/>
          <w:szCs w:val="18"/>
          <w:color w:val="auto"/>
          <w:vertAlign w:val="superscript"/>
        </w:rPr>
      </w:pPr>
    </w:p>
    <w:p>
      <w:pPr>
        <w:ind w:left="320" w:hanging="312"/>
        <w:spacing w:after="0" w:line="193" w:lineRule="auto"/>
        <w:tabs>
          <w:tab w:leader="none" w:pos="320" w:val="left"/>
        </w:tabs>
        <w:numPr>
          <w:ilvl w:val="0"/>
          <w:numId w:val="13"/>
        </w:numPr>
        <w:rPr>
          <w:rFonts w:ascii="Arial" w:cs="Arial" w:eastAsia="Arial" w:hAnsi="Arial"/>
          <w:sz w:val="18"/>
          <w:szCs w:val="18"/>
          <w:color w:val="auto"/>
          <w:vertAlign w:val="superscript"/>
        </w:rPr>
      </w:pPr>
      <w:r>
        <w:rPr>
          <w:rFonts w:ascii="Arial" w:cs="Arial" w:eastAsia="Arial" w:hAnsi="Arial"/>
          <w:sz w:val="13"/>
          <w:szCs w:val="13"/>
          <w:color w:val="auto"/>
        </w:rPr>
        <w:t>Excludes certain non-cash items impacting interest expense such as amortization of debt issuance costs and terminated interest rate swaps.</w:t>
      </w:r>
    </w:p>
    <w:p>
      <w:pPr>
        <w:spacing w:after="0" w:line="49" w:lineRule="exact"/>
        <w:rPr>
          <w:rFonts w:ascii="Arial" w:cs="Arial" w:eastAsia="Arial" w:hAnsi="Arial"/>
          <w:sz w:val="18"/>
          <w:szCs w:val="18"/>
          <w:color w:val="auto"/>
          <w:vertAlign w:val="superscript"/>
        </w:rPr>
      </w:pPr>
    </w:p>
    <w:p>
      <w:pPr>
        <w:ind w:left="340" w:right="240" w:hanging="332"/>
        <w:spacing w:after="0" w:line="221" w:lineRule="auto"/>
        <w:tabs>
          <w:tab w:leader="none" w:pos="334" w:val="left"/>
        </w:tabs>
        <w:numPr>
          <w:ilvl w:val="0"/>
          <w:numId w:val="13"/>
        </w:numPr>
        <w:rPr>
          <w:rFonts w:ascii="Arial" w:cs="Arial" w:eastAsia="Arial" w:hAnsi="Arial"/>
          <w:sz w:val="18"/>
          <w:szCs w:val="18"/>
          <w:color w:val="auto"/>
          <w:vertAlign w:val="superscript"/>
        </w:rPr>
      </w:pPr>
      <w:r>
        <w:rPr>
          <w:rFonts w:ascii="Arial" w:cs="Arial" w:eastAsia="Arial" w:hAnsi="Arial"/>
          <w:sz w:val="13"/>
          <w:szCs w:val="13"/>
          <w:color w:val="auto"/>
        </w:rPr>
        <w:t>Comprised of cash distributions received from unconsolidated entities less equity earnings in unconsolidated entities (adjusted for our proportionate share of depreciation and amortization, including write-downs related to cancelled projects, and selected items impacting comparability of unconsolidated entities).</w:t>
      </w:r>
    </w:p>
    <w:p>
      <w:pPr>
        <w:spacing w:after="0" w:line="9" w:lineRule="exact"/>
        <w:rPr>
          <w:rFonts w:ascii="Arial" w:cs="Arial" w:eastAsia="Arial" w:hAnsi="Arial"/>
          <w:sz w:val="18"/>
          <w:szCs w:val="18"/>
          <w:color w:val="auto"/>
          <w:vertAlign w:val="superscript"/>
        </w:rPr>
      </w:pPr>
    </w:p>
    <w:p>
      <w:pPr>
        <w:ind w:left="320" w:hanging="312"/>
        <w:spacing w:after="0"/>
        <w:tabs>
          <w:tab w:leader="none" w:pos="320" w:val="left"/>
        </w:tabs>
        <w:numPr>
          <w:ilvl w:val="0"/>
          <w:numId w:val="13"/>
        </w:numPr>
        <w:rPr>
          <w:rFonts w:ascii="Arial" w:cs="Arial" w:eastAsia="Arial" w:hAnsi="Arial"/>
          <w:sz w:val="18"/>
          <w:szCs w:val="18"/>
          <w:color w:val="auto"/>
          <w:vertAlign w:val="superscript"/>
        </w:rPr>
      </w:pPr>
      <w:r>
        <w:rPr>
          <w:rFonts w:ascii="Arial" w:cs="Arial" w:eastAsia="Arial" w:hAnsi="Arial"/>
          <w:sz w:val="13"/>
          <w:szCs w:val="13"/>
          <w:color w:val="auto"/>
        </w:rPr>
        <w:t>Cash distributions paid during the period presented.</w:t>
      </w:r>
    </w:p>
    <w:p>
      <w:pPr>
        <w:spacing w:after="0" w:line="49" w:lineRule="exact"/>
        <w:rPr>
          <w:rFonts w:ascii="Arial" w:cs="Arial" w:eastAsia="Arial" w:hAnsi="Arial"/>
          <w:sz w:val="18"/>
          <w:szCs w:val="18"/>
          <w:color w:val="auto"/>
          <w:vertAlign w:val="superscript"/>
        </w:rPr>
      </w:pPr>
    </w:p>
    <w:p>
      <w:pPr>
        <w:ind w:left="320" w:hanging="312"/>
        <w:spacing w:after="0" w:line="193" w:lineRule="auto"/>
        <w:tabs>
          <w:tab w:leader="none" w:pos="320" w:val="left"/>
        </w:tabs>
        <w:numPr>
          <w:ilvl w:val="0"/>
          <w:numId w:val="13"/>
        </w:numPr>
        <w:rPr>
          <w:rFonts w:ascii="Arial" w:cs="Arial" w:eastAsia="Arial" w:hAnsi="Arial"/>
          <w:sz w:val="18"/>
          <w:szCs w:val="18"/>
          <w:color w:val="auto"/>
          <w:vertAlign w:val="superscript"/>
        </w:rPr>
      </w:pPr>
      <w:r>
        <w:rPr>
          <w:rFonts w:ascii="Arial" w:cs="Arial" w:eastAsia="Arial" w:hAnsi="Arial"/>
          <w:sz w:val="13"/>
          <w:szCs w:val="13"/>
          <w:color w:val="auto"/>
        </w:rPr>
        <w:t>Cash distributions paid to our preferred unitholders during the period presented.</w:t>
      </w:r>
    </w:p>
    <w:p>
      <w:pPr>
        <w:spacing w:after="0" w:line="49" w:lineRule="exact"/>
        <w:rPr>
          <w:rFonts w:ascii="Arial" w:cs="Arial" w:eastAsia="Arial" w:hAnsi="Arial"/>
          <w:sz w:val="18"/>
          <w:szCs w:val="18"/>
          <w:color w:val="auto"/>
          <w:vertAlign w:val="superscript"/>
        </w:rPr>
      </w:pPr>
    </w:p>
    <w:p>
      <w:pPr>
        <w:ind w:left="320" w:hanging="312"/>
        <w:spacing w:after="0" w:line="193" w:lineRule="auto"/>
        <w:tabs>
          <w:tab w:leader="none" w:pos="320" w:val="left"/>
        </w:tabs>
        <w:numPr>
          <w:ilvl w:val="0"/>
          <w:numId w:val="13"/>
        </w:numPr>
        <w:rPr>
          <w:rFonts w:ascii="Arial" w:cs="Arial" w:eastAsia="Arial" w:hAnsi="Arial"/>
          <w:sz w:val="18"/>
          <w:szCs w:val="18"/>
          <w:color w:val="auto"/>
          <w:vertAlign w:val="superscript"/>
        </w:rPr>
      </w:pPr>
      <w:r>
        <w:rPr>
          <w:rFonts w:ascii="Arial" w:cs="Arial" w:eastAsia="Arial" w:hAnsi="Arial"/>
          <w:sz w:val="13"/>
          <w:szCs w:val="13"/>
          <w:color w:val="auto"/>
        </w:rPr>
        <w:t>Implied DCF Available to Common Unitholders for the period divided by the weighted average common units outstanding for the period.</w:t>
      </w:r>
    </w:p>
    <w:p>
      <w:pPr>
        <w:spacing w:after="0" w:line="49" w:lineRule="exact"/>
        <w:rPr>
          <w:rFonts w:ascii="Arial" w:cs="Arial" w:eastAsia="Arial" w:hAnsi="Arial"/>
          <w:sz w:val="18"/>
          <w:szCs w:val="18"/>
          <w:color w:val="auto"/>
          <w:vertAlign w:val="superscript"/>
        </w:rPr>
      </w:pPr>
    </w:p>
    <w:p>
      <w:pPr>
        <w:ind w:left="340" w:right="60" w:hanging="332"/>
        <w:spacing w:after="0" w:line="214" w:lineRule="auto"/>
        <w:tabs>
          <w:tab w:leader="none" w:pos="334" w:val="left"/>
        </w:tabs>
        <w:numPr>
          <w:ilvl w:val="0"/>
          <w:numId w:val="13"/>
        </w:numPr>
        <w:rPr>
          <w:rFonts w:ascii="Arial" w:cs="Arial" w:eastAsia="Arial" w:hAnsi="Arial"/>
          <w:sz w:val="18"/>
          <w:szCs w:val="18"/>
          <w:color w:val="auto"/>
          <w:vertAlign w:val="superscript"/>
        </w:rPr>
      </w:pPr>
      <w:r>
        <w:rPr>
          <w:rFonts w:ascii="Arial" w:cs="Arial" w:eastAsia="Arial" w:hAnsi="Arial"/>
          <w:sz w:val="13"/>
          <w:szCs w:val="13"/>
          <w:color w:val="auto"/>
        </w:rPr>
        <w:t>Implied DCF Available to Common Unitholders for the period, adjusted for Series A preferred unit cash distributions paid, divided by the weighted average common units and common unit equivalents outstanding for the period. Our Series A preferred units are convertible into common units, generally on a one-for-one basis and subject to customary anti-dilution adjustments, in whole or in part, subject to certain minimum conversion amounts.</w:t>
      </w:r>
    </w:p>
    <w:p>
      <w:pPr>
        <w:spacing w:after="0" w:line="1" w:lineRule="exact"/>
        <w:rPr>
          <w:rFonts w:ascii="Arial" w:cs="Arial" w:eastAsia="Arial" w:hAnsi="Arial"/>
          <w:sz w:val="18"/>
          <w:szCs w:val="18"/>
          <w:color w:val="auto"/>
          <w:vertAlign w:val="superscript"/>
        </w:rPr>
      </w:pPr>
    </w:p>
    <w:p>
      <w:pPr>
        <w:ind w:left="5440" w:hanging="106"/>
        <w:spacing w:after="0"/>
        <w:tabs>
          <w:tab w:leader="none" w:pos="54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9"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auto"/>
        </w:rPr>
        <w:t>Page 13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ratio data)</w:t>
      </w:r>
    </w:p>
    <w:p>
      <w:pPr>
        <w:spacing w:after="0" w:line="17" w:lineRule="exact"/>
        <w:rPr>
          <w:sz w:val="20"/>
          <w:szCs w:val="20"/>
          <w:color w:val="auto"/>
        </w:rPr>
      </w:pPr>
    </w:p>
    <w:p>
      <w:pPr>
        <w:jc w:val="center"/>
        <w:ind w:left="8760"/>
        <w:spacing w:after="0"/>
        <w:rPr>
          <w:sz w:val="20"/>
          <w:szCs w:val="20"/>
          <w:color w:val="auto"/>
        </w:rPr>
      </w:pPr>
      <w:r>
        <w:rPr>
          <w:rFonts w:ascii="Arial" w:cs="Arial" w:eastAsia="Arial" w:hAnsi="Arial"/>
          <w:sz w:val="14"/>
          <w:szCs w:val="14"/>
          <w:b w:val="1"/>
          <w:bCs w:val="1"/>
          <w:color w:val="auto"/>
        </w:rPr>
        <w:t>Twelve Months Ended</w:t>
      </w:r>
    </w:p>
    <w:p>
      <w:pPr>
        <w:jc w:val="center"/>
        <w:ind w:left="876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80" w:type="dxa"/>
            <w:vAlign w:val="bottom"/>
            <w:tcBorders>
              <w:bottom w:val="single" w:sz="8" w:color="CCEEFF"/>
            </w:tcBorders>
          </w:tcPr>
          <w:p>
            <w:pPr>
              <w:spacing w:after="0"/>
              <w:rPr>
                <w:sz w:val="16"/>
                <w:szCs w:val="16"/>
                <w:color w:val="auto"/>
              </w:rPr>
            </w:pPr>
          </w:p>
        </w:tc>
        <w:tc>
          <w:tcPr>
            <w:tcW w:w="49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r>
      <w:tr>
        <w:trPr>
          <w:trHeight w:val="211"/>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Income/(Loss) to Adjusted EBITDA and Implied DCF Reconciliation</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Net Income/(Loss)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(2,580)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2,180</w:t>
            </w:r>
          </w:p>
        </w:tc>
      </w:tr>
      <w:tr>
        <w:trPr>
          <w:trHeight w:val="229"/>
        </w:trPr>
        <w:tc>
          <w:tcPr>
            <w:tcW w:w="8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r>
      <w:tr>
        <w:trPr>
          <w:trHeight w:val="229"/>
        </w:trPr>
        <w:tc>
          <w:tcPr>
            <w:tcW w:w="8780" w:type="dxa"/>
            <w:vAlign w:val="bottom"/>
            <w:gridSpan w:val="2"/>
          </w:tcPr>
          <w:p>
            <w:pPr>
              <w:ind w:left="180"/>
              <w:spacing w:after="0"/>
              <w:rPr>
                <w:sz w:val="20"/>
                <w:szCs w:val="20"/>
                <w:color w:val="auto"/>
              </w:rPr>
            </w:pPr>
            <w:r>
              <w:rPr>
                <w:rFonts w:ascii="Arial" w:cs="Arial" w:eastAsia="Arial" w:hAnsi="Arial"/>
                <w:sz w:val="18"/>
                <w:szCs w:val="18"/>
                <w:color w:val="auto"/>
              </w:rPr>
              <w:t>Income tax expense/(benefit)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8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r>
      <w:tr>
        <w:trPr>
          <w:trHeight w:val="229"/>
        </w:trPr>
        <w:tc>
          <w:tcPr>
            <w:tcW w:w="8780" w:type="dxa"/>
            <w:vAlign w:val="bottom"/>
            <w:gridSpan w:val="2"/>
          </w:tcPr>
          <w:p>
            <w:pPr>
              <w:ind w:left="180"/>
              <w:spacing w:after="0"/>
              <w:rPr>
                <w:sz w:val="20"/>
                <w:szCs w:val="20"/>
                <w:color w:val="auto"/>
              </w:rPr>
            </w:pPr>
            <w:r>
              <w:rPr>
                <w:rFonts w:ascii="Arial" w:cs="Arial" w:eastAsia="Arial" w:hAnsi="Arial"/>
                <w:sz w:val="18"/>
                <w:szCs w:val="18"/>
                <w:color w:val="auto"/>
              </w:rPr>
              <w:t>(Gains)/losses on asset sales and asset impairments, net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8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Goodwill impairment losses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780" w:type="dxa"/>
            <w:vAlign w:val="bottom"/>
            <w:gridSpan w:val="2"/>
          </w:tcPr>
          <w:p>
            <w:pPr>
              <w:ind w:left="180"/>
              <w:spacing w:after="0"/>
              <w:rPr>
                <w:sz w:val="20"/>
                <w:szCs w:val="20"/>
                <w:color w:val="auto"/>
              </w:rPr>
            </w:pPr>
            <w:r>
              <w:rPr>
                <w:rFonts w:ascii="Arial" w:cs="Arial" w:eastAsia="Arial" w:hAnsi="Arial"/>
                <w:sz w:val="18"/>
                <w:szCs w:val="18"/>
                <w:color w:val="auto"/>
              </w:rPr>
              <w:t>(Gain on)/impairment of investments in unconsolidated entities, net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(271)</w:t>
            </w:r>
          </w:p>
        </w:tc>
      </w:tr>
      <w:tr>
        <w:trPr>
          <w:trHeight w:val="229"/>
        </w:trPr>
        <w:tc>
          <w:tcPr>
            <w:tcW w:w="878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8780" w:type="dxa"/>
            <w:vAlign w:val="bottom"/>
            <w:tcBorders>
              <w:bottom w:val="single" w:sz="8" w:color="CCEEFF"/>
            </w:tcBorders>
            <w:gridSpan w:val="2"/>
          </w:tcPr>
          <w:p>
            <w:pPr>
              <w:ind w:left="180"/>
              <w:spacing w:after="0" w:line="230" w:lineRule="exact"/>
              <w:rPr>
                <w:sz w:val="20"/>
                <w:szCs w:val="20"/>
                <w:color w:val="auto"/>
              </w:rPr>
            </w:pPr>
            <w:r>
              <w:rPr>
                <w:rFonts w:ascii="Arial" w:cs="Arial" w:eastAsia="Arial" w:hAnsi="Arial"/>
                <w:sz w:val="18"/>
                <w:szCs w:val="18"/>
                <w:color w:val="auto"/>
              </w:rPr>
              <w:t xml:space="preserve">Selected items impacting comparability - Adjusted EBITDA </w:t>
            </w:r>
            <w:r>
              <w:rPr>
                <w:rFonts w:ascii="Arial" w:cs="Arial" w:eastAsia="Arial" w:hAnsi="Arial"/>
                <w:sz w:val="23"/>
                <w:szCs w:val="23"/>
                <w:color w:val="auto"/>
                <w:vertAlign w:val="superscript"/>
              </w:rPr>
              <w:t>(2)</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r>
      <w:tr>
        <w:trPr>
          <w:trHeight w:val="223"/>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w:t>
            </w:r>
          </w:p>
        </w:tc>
      </w:tr>
      <w:tr>
        <w:trPr>
          <w:trHeight w:val="230"/>
        </w:trPr>
        <w:tc>
          <w:tcPr>
            <w:tcW w:w="878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Interest expense, net of certain non-cash items </w:t>
            </w:r>
            <w:r>
              <w:rPr>
                <w:rFonts w:ascii="Arial" w:cs="Arial" w:eastAsia="Arial" w:hAnsi="Arial"/>
                <w:sz w:val="23"/>
                <w:szCs w:val="23"/>
                <w:color w:val="auto"/>
                <w:vertAlign w:val="superscript"/>
              </w:rPr>
              <w:t>(3)</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(407)</w:t>
            </w:r>
          </w:p>
        </w:tc>
      </w:tr>
      <w:tr>
        <w:trPr>
          <w:trHeight w:val="229"/>
        </w:trPr>
        <w:tc>
          <w:tcPr>
            <w:tcW w:w="8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Maintenance capital</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29"/>
        </w:trPr>
        <w:tc>
          <w:tcPr>
            <w:tcW w:w="8780" w:type="dxa"/>
            <w:vAlign w:val="bottom"/>
            <w:gridSpan w:val="2"/>
          </w:tcPr>
          <w:p>
            <w:pPr>
              <w:ind w:left="180"/>
              <w:spacing w:after="0"/>
              <w:rPr>
                <w:sz w:val="20"/>
                <w:szCs w:val="20"/>
                <w:color w:val="auto"/>
              </w:rPr>
            </w:pPr>
            <w:r>
              <w:rPr>
                <w:rFonts w:ascii="Arial" w:cs="Arial" w:eastAsia="Arial" w:hAnsi="Arial"/>
                <w:sz w:val="18"/>
                <w:szCs w:val="18"/>
                <w:color w:val="auto"/>
              </w:rPr>
              <w:t>Current income tax expense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30"/>
        </w:trPr>
        <w:tc>
          <w:tcPr>
            <w:tcW w:w="878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Distributions from unconsolidated entities in excess of/(less than) adjusted equity earnings </w:t>
            </w:r>
            <w:r>
              <w:rPr>
                <w:rFonts w:ascii="Arial" w:cs="Arial" w:eastAsia="Arial" w:hAnsi="Arial"/>
                <w:sz w:val="23"/>
                <w:szCs w:val="23"/>
                <w:color w:val="auto"/>
                <w:vertAlign w:val="superscript"/>
              </w:rPr>
              <w:t>(4)</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8780" w:type="dxa"/>
            <w:vAlign w:val="bottom"/>
            <w:tcBorders>
              <w:bottom w:val="single" w:sz="8" w:color="CCEEFF"/>
            </w:tcBorders>
            <w:gridSpan w:val="2"/>
          </w:tcPr>
          <w:p>
            <w:pPr>
              <w:ind w:left="180"/>
              <w:spacing w:after="0" w:line="230"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3"/>
                <w:szCs w:val="23"/>
                <w:color w:val="auto"/>
                <w:vertAlign w:val="superscript"/>
              </w:rPr>
              <w:t>(5)</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Implied DCF</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w:t>
            </w:r>
          </w:p>
        </w:tc>
      </w:tr>
      <w:tr>
        <w:trPr>
          <w:trHeight w:val="230"/>
        </w:trPr>
        <w:tc>
          <w:tcPr>
            <w:tcW w:w="8780" w:type="dxa"/>
            <w:vAlign w:val="bottom"/>
            <w:tcBorders>
              <w:bottom w:val="single" w:sz="8" w:color="CCEEFF"/>
            </w:tcBorders>
            <w:gridSpan w:val="2"/>
          </w:tcPr>
          <w:p>
            <w:pPr>
              <w:ind w:left="180"/>
              <w:spacing w:after="0" w:line="230" w:lineRule="exact"/>
              <w:rPr>
                <w:sz w:val="20"/>
                <w:szCs w:val="20"/>
                <w:color w:val="auto"/>
              </w:rPr>
            </w:pPr>
            <w:r>
              <w:rPr>
                <w:rFonts w:ascii="Arial" w:cs="Arial" w:eastAsia="Arial" w:hAnsi="Arial"/>
                <w:sz w:val="18"/>
                <w:szCs w:val="18"/>
                <w:color w:val="auto"/>
              </w:rPr>
              <w:t xml:space="preserve">Preferred unit distributions paid </w:t>
            </w:r>
            <w:r>
              <w:rPr>
                <w:rFonts w:ascii="Arial" w:cs="Arial" w:eastAsia="Arial" w:hAnsi="Arial"/>
                <w:sz w:val="23"/>
                <w:szCs w:val="23"/>
                <w:color w:val="auto"/>
                <w:vertAlign w:val="superscript"/>
              </w:rPr>
              <w:t>(6)</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r>
      <w:tr>
        <w:trPr>
          <w:trHeight w:val="248"/>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Implied DCF Available to Common Unitholders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3880" w:type="dxa"/>
            <w:vAlign w:val="bottom"/>
          </w:tcPr>
          <w:p>
            <w:pPr>
              <w:spacing w:after="0"/>
              <w:rPr>
                <w:sz w:val="9"/>
                <w:szCs w:val="9"/>
                <w:color w:val="auto"/>
              </w:rPr>
            </w:pPr>
          </w:p>
        </w:tc>
        <w:tc>
          <w:tcPr>
            <w:tcW w:w="4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30"/>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Common Units Outstanding</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r>
      <w:tr>
        <w:trPr>
          <w:trHeight w:val="229"/>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Weighted Average Common Units and Common Unit Equivalents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798</w:t>
            </w:r>
          </w:p>
        </w:tc>
      </w:tr>
      <w:tr>
        <w:trPr>
          <w:trHeight w:val="162"/>
        </w:trPr>
        <w:tc>
          <w:tcPr>
            <w:tcW w:w="3880" w:type="dxa"/>
            <w:vAlign w:val="bottom"/>
            <w:shd w:val="clear" w:color="auto" w:fill="CCEEFF"/>
          </w:tcPr>
          <w:p>
            <w:pPr>
              <w:spacing w:after="0"/>
              <w:rPr>
                <w:sz w:val="14"/>
                <w:szCs w:val="14"/>
                <w:color w:val="auto"/>
              </w:rPr>
            </w:pPr>
          </w:p>
        </w:tc>
        <w:tc>
          <w:tcPr>
            <w:tcW w:w="49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30"/>
        </w:trPr>
        <w:tc>
          <w:tcPr>
            <w:tcW w:w="87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Implied DCF per Common Unit </w:t>
            </w:r>
            <w:r>
              <w:rPr>
                <w:rFonts w:ascii="Arial" w:cs="Arial" w:eastAsia="Arial" w:hAnsi="Arial"/>
                <w:sz w:val="23"/>
                <w:szCs w:val="23"/>
                <w:color w:val="auto"/>
                <w:vertAlign w:val="superscript"/>
              </w:rPr>
              <w:t>(7)</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2.99</w:t>
            </w:r>
          </w:p>
        </w:tc>
      </w:tr>
      <w:tr>
        <w:trPr>
          <w:trHeight w:val="230"/>
        </w:trPr>
        <w:tc>
          <w:tcPr>
            <w:tcW w:w="87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Implied DCF per Common Unit and Common Unit Equivalent </w:t>
            </w:r>
            <w:r>
              <w:rPr>
                <w:rFonts w:ascii="Arial" w:cs="Arial" w:eastAsia="Arial" w:hAnsi="Arial"/>
                <w:sz w:val="23"/>
                <w:szCs w:val="23"/>
                <w:color w:val="auto"/>
                <w:vertAlign w:val="superscript"/>
              </w:rPr>
              <w:t>(8)</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162"/>
        </w:trPr>
        <w:tc>
          <w:tcPr>
            <w:tcW w:w="388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30"/>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Distribution Paid per Common Unit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30"/>
        </w:trPr>
        <w:tc>
          <w:tcPr>
            <w:tcW w:w="87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Common Unit Cash Distributions </w:t>
            </w:r>
            <w:r>
              <w:rPr>
                <w:rFonts w:ascii="Arial" w:cs="Arial" w:eastAsia="Arial" w:hAnsi="Arial"/>
                <w:sz w:val="23"/>
                <w:szCs w:val="23"/>
                <w:color w:val="auto"/>
                <w:vertAlign w:val="superscript"/>
              </w:rPr>
              <w:t>(5)</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1,004</w:t>
            </w:r>
          </w:p>
        </w:tc>
      </w:tr>
      <w:tr>
        <w:trPr>
          <w:trHeight w:val="230"/>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Common Unit Distribution Coverage Ratio</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2.57x</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2.17x</w:t>
            </w:r>
          </w:p>
        </w:tc>
      </w:tr>
      <w:tr>
        <w:trPr>
          <w:trHeight w:val="162"/>
        </w:trPr>
        <w:tc>
          <w:tcPr>
            <w:tcW w:w="388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9"/>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Implied DCF Excess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r>
      <w:tr>
        <w:trPr>
          <w:trHeight w:val="162"/>
        </w:trPr>
        <w:tc>
          <w:tcPr>
            <w:tcW w:w="3880" w:type="dxa"/>
            <w:vAlign w:val="bottom"/>
            <w:tcBorders>
              <w:bottom w:val="single" w:sz="8" w:color="auto"/>
            </w:tcBorders>
          </w:tcPr>
          <w:p>
            <w:pPr>
              <w:spacing w:after="0"/>
              <w:rPr>
                <w:sz w:val="14"/>
                <w:szCs w:val="14"/>
                <w:color w:val="auto"/>
              </w:rPr>
            </w:pPr>
          </w:p>
        </w:tc>
        <w:tc>
          <w:tcPr>
            <w:tcW w:w="4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pacing w:after="0" w:line="94"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Adjustment to exclude our proportionate share of depreciation and amortization expense of unconsolidated entities.</w:t>
      </w:r>
    </w:p>
    <w:p>
      <w:pPr>
        <w:spacing w:after="0" w:line="45" w:lineRule="exact"/>
        <w:rPr>
          <w:rFonts w:ascii="Arial" w:cs="Arial" w:eastAsia="Arial" w:hAnsi="Arial"/>
          <w:sz w:val="19"/>
          <w:szCs w:val="19"/>
          <w:color w:val="auto"/>
          <w:vertAlign w:val="superscript"/>
        </w:rPr>
      </w:pPr>
    </w:p>
    <w:p>
      <w:pPr>
        <w:ind w:left="320" w:hanging="312"/>
        <w:spacing w:after="0" w:line="186" w:lineRule="auto"/>
        <w:tabs>
          <w:tab w:leader="none" w:pos="32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Certain of our non-GAAP financial measures may not be impacted by each of the selected items impacting comparability.</w:t>
      </w:r>
    </w:p>
    <w:p>
      <w:pPr>
        <w:spacing w:after="0" w:line="46" w:lineRule="exact"/>
        <w:rPr>
          <w:rFonts w:ascii="Arial" w:cs="Arial" w:eastAsia="Arial" w:hAnsi="Arial"/>
          <w:sz w:val="19"/>
          <w:szCs w:val="19"/>
          <w:color w:val="auto"/>
          <w:vertAlign w:val="superscript"/>
        </w:rPr>
      </w:pPr>
    </w:p>
    <w:p>
      <w:pPr>
        <w:ind w:left="320" w:hanging="312"/>
        <w:spacing w:after="0" w:line="186" w:lineRule="auto"/>
        <w:tabs>
          <w:tab w:leader="none" w:pos="32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Excludes certain non-cash items impacting interest expense such as amortization of debt issuance costs and terminated interest rate swaps.</w:t>
      </w:r>
    </w:p>
    <w:p>
      <w:pPr>
        <w:spacing w:after="0" w:line="46" w:lineRule="exact"/>
        <w:rPr>
          <w:rFonts w:ascii="Arial" w:cs="Arial" w:eastAsia="Arial" w:hAnsi="Arial"/>
          <w:sz w:val="19"/>
          <w:szCs w:val="19"/>
          <w:color w:val="auto"/>
          <w:vertAlign w:val="superscript"/>
        </w:rPr>
      </w:pPr>
    </w:p>
    <w:p>
      <w:pPr>
        <w:ind w:left="340" w:right="160" w:hanging="332"/>
        <w:spacing w:after="0" w:line="210" w:lineRule="auto"/>
        <w:tabs>
          <w:tab w:leader="none" w:pos="327"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Comprised of cash distributions received from unconsolidated entities less equity earnings in unconsolidated entities (adjusted for our proportionate share of depreciation and amortization and selected items impacting comparability of unconsolidated entities).</w:t>
      </w:r>
    </w:p>
    <w:p>
      <w:pPr>
        <w:ind w:left="320" w:hanging="312"/>
        <w:spacing w:after="0" w:line="237" w:lineRule="auto"/>
        <w:tabs>
          <w:tab w:leader="none" w:pos="32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Cash distributions paid during the period presented.</w:t>
      </w:r>
    </w:p>
    <w:p>
      <w:pPr>
        <w:spacing w:after="0" w:line="46" w:lineRule="exact"/>
        <w:rPr>
          <w:rFonts w:ascii="Arial" w:cs="Arial" w:eastAsia="Arial" w:hAnsi="Arial"/>
          <w:sz w:val="19"/>
          <w:szCs w:val="19"/>
          <w:color w:val="auto"/>
          <w:vertAlign w:val="superscript"/>
        </w:rPr>
      </w:pPr>
    </w:p>
    <w:p>
      <w:pPr>
        <w:ind w:left="320" w:hanging="312"/>
        <w:spacing w:after="0" w:line="186" w:lineRule="auto"/>
        <w:tabs>
          <w:tab w:leader="none" w:pos="32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Cash distributions paid to our preferred unitholders during the period presented.</w:t>
      </w:r>
    </w:p>
    <w:p>
      <w:pPr>
        <w:spacing w:after="0" w:line="46" w:lineRule="exact"/>
        <w:rPr>
          <w:rFonts w:ascii="Arial" w:cs="Arial" w:eastAsia="Arial" w:hAnsi="Arial"/>
          <w:sz w:val="19"/>
          <w:szCs w:val="19"/>
          <w:color w:val="auto"/>
          <w:vertAlign w:val="superscript"/>
        </w:rPr>
      </w:pPr>
    </w:p>
    <w:p>
      <w:pPr>
        <w:ind w:left="320" w:hanging="312"/>
        <w:spacing w:after="0" w:line="186" w:lineRule="auto"/>
        <w:tabs>
          <w:tab w:leader="none" w:pos="32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Implied DCF Available to Common Unitholders for the period divided by the weighted average common units outstanding for the period.</w:t>
      </w:r>
    </w:p>
    <w:p>
      <w:pPr>
        <w:spacing w:after="0" w:line="46" w:lineRule="exact"/>
        <w:rPr>
          <w:rFonts w:ascii="Arial" w:cs="Arial" w:eastAsia="Arial" w:hAnsi="Arial"/>
          <w:sz w:val="19"/>
          <w:szCs w:val="19"/>
          <w:color w:val="auto"/>
          <w:vertAlign w:val="superscript"/>
        </w:rPr>
      </w:pPr>
    </w:p>
    <w:p>
      <w:pPr>
        <w:ind w:left="340" w:right="40" w:hanging="332"/>
        <w:spacing w:after="0" w:line="219" w:lineRule="auto"/>
        <w:tabs>
          <w:tab w:leader="none" w:pos="327"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Implied DCF Available to Common Unitholders for the period, adjusted for Series A preferred unit cash distributions paid, divided by the weighted average common units and common unit equivalents outstanding for the period. Our Series A preferred units are convertible into common units, generally on a one-for-one basis and subject to customary anti-dilution adjustments, in whole or in part, subject to certain minimum conversion amounts.</w:t>
      </w:r>
    </w:p>
    <w:p>
      <w:pPr>
        <w:spacing w:after="0" w:line="187" w:lineRule="exact"/>
        <w:rPr>
          <w:rFonts w:ascii="Arial" w:cs="Arial" w:eastAsia="Arial" w:hAnsi="Arial"/>
          <w:sz w:val="19"/>
          <w:szCs w:val="19"/>
          <w:color w:val="auto"/>
          <w:vertAlign w:val="superscript"/>
        </w:rPr>
      </w:pPr>
    </w:p>
    <w:p>
      <w:pPr>
        <w:ind w:left="5440" w:hanging="106"/>
        <w:spacing w:after="0"/>
        <w:tabs>
          <w:tab w:leader="none" w:pos="54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6" w:name="page17"/>
    <w:bookmarkEnd w:id="16"/>
    <w:p>
      <w:pPr>
        <w:ind w:left="100"/>
        <w:spacing w:after="0"/>
        <w:rPr>
          <w:sz w:val="20"/>
          <w:szCs w:val="20"/>
          <w:color w:val="auto"/>
        </w:rPr>
      </w:pPr>
      <w:r>
        <w:rPr>
          <w:rFonts w:ascii="Arial" w:cs="Arial" w:eastAsia="Arial" w:hAnsi="Arial"/>
          <w:sz w:val="18"/>
          <w:szCs w:val="18"/>
          <w:u w:val="single" w:color="auto"/>
          <w:color w:val="auto"/>
        </w:rPr>
        <w:t>Page 14</w:t>
      </w:r>
    </w:p>
    <w:p>
      <w:pPr>
        <w:spacing w:after="0" w:line="200" w:lineRule="exact"/>
        <w:rPr>
          <w:sz w:val="20"/>
          <w:szCs w:val="20"/>
          <w:color w:val="auto"/>
        </w:rPr>
      </w:pPr>
    </w:p>
    <w:p>
      <w:pPr>
        <w:spacing w:after="0" w:line="23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57150</wp:posOffset>
            </wp:positionV>
            <wp:extent cx="71151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00"/>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49"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Net Income/(Loss) Per Common Unit to Implied DCF Per Common Unit and Common Unit Equivalent Reconciliations: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960" w:type="dxa"/>
            <w:vAlign w:val="bottom"/>
            <w:gridSpan w:val="4"/>
          </w:tcPr>
          <w:p>
            <w:pPr>
              <w:jc w:val="right"/>
              <w:ind w:right="108"/>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4"/>
          </w:tcPr>
          <w:p>
            <w:pPr>
              <w:jc w:val="right"/>
              <w:ind w:right="63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428"/>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w w:val="99"/>
              </w:rPr>
              <w:t>June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0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6"/>
        </w:trPr>
        <w:tc>
          <w:tcPr>
            <w:tcW w:w="5540" w:type="dxa"/>
            <w:vAlign w:val="bottom"/>
            <w:gridSpan w:val="2"/>
          </w:tcPr>
          <w:p>
            <w:pPr>
              <w:spacing w:after="0"/>
              <w:rPr>
                <w:sz w:val="20"/>
                <w:szCs w:val="20"/>
                <w:color w:val="auto"/>
              </w:rPr>
            </w:pPr>
            <w:r>
              <w:rPr>
                <w:rFonts w:ascii="Arial" w:cs="Arial" w:eastAsia="Arial" w:hAnsi="Arial"/>
                <w:sz w:val="18"/>
                <w:szCs w:val="18"/>
                <w:color w:val="auto"/>
              </w:rPr>
              <w:t>Basic net income/(loss) per common unit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4"/>
              </w:rPr>
              <w:t>(0.37)$</w:t>
            </w:r>
          </w:p>
        </w:tc>
        <w:tc>
          <w:tcPr>
            <w:tcW w:w="7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jc w:val="right"/>
              <w:ind w:right="38"/>
              <w:spacing w:after="0"/>
              <w:rPr>
                <w:sz w:val="20"/>
                <w:szCs w:val="20"/>
                <w:color w:val="auto"/>
              </w:rPr>
            </w:pPr>
            <w:r>
              <w:rPr>
                <w:rFonts w:ascii="Arial" w:cs="Arial" w:eastAsia="Arial" w:hAnsi="Arial"/>
                <w:sz w:val="4"/>
                <w:szCs w:val="4"/>
                <w:color w:val="auto"/>
                <w:w w:val="87"/>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0.14</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280" w:type="dxa"/>
            <w:vAlign w:val="bottom"/>
          </w:tcPr>
          <w:p>
            <w:pPr>
              <w:spacing w:after="0"/>
              <w:rPr>
                <w:sz w:val="19"/>
                <w:szCs w:val="19"/>
                <w:color w:val="auto"/>
              </w:rPr>
            </w:pPr>
          </w:p>
        </w:tc>
        <w:tc>
          <w:tcPr>
            <w:tcW w:w="880" w:type="dxa"/>
            <w:vAlign w:val="bottom"/>
          </w:tcPr>
          <w:p>
            <w:pPr>
              <w:jc w:val="center"/>
              <w:ind w:left="313"/>
              <w:spacing w:after="0"/>
              <w:rPr>
                <w:sz w:val="20"/>
                <w:szCs w:val="20"/>
                <w:color w:val="auto"/>
              </w:rPr>
            </w:pPr>
            <w:r>
              <w:rPr>
                <w:rFonts w:ascii="Arial" w:cs="Arial" w:eastAsia="Arial" w:hAnsi="Arial"/>
                <w:sz w:val="18"/>
                <w:szCs w:val="18"/>
                <w:color w:val="auto"/>
                <w:w w:val="93"/>
              </w:rPr>
              <w:t>(3.85)</w:t>
            </w:r>
          </w:p>
        </w:tc>
        <w:tc>
          <w:tcPr>
            <w:tcW w:w="0" w:type="dxa"/>
            <w:vAlign w:val="bottom"/>
          </w:tcPr>
          <w:p>
            <w:pPr>
              <w:spacing w:after="0"/>
              <w:rPr>
                <w:sz w:val="1"/>
                <w:szCs w:val="1"/>
                <w:color w:val="auto"/>
              </w:rPr>
            </w:pPr>
          </w:p>
        </w:tc>
      </w:tr>
      <w:tr>
        <w:trPr>
          <w:trHeight w:val="230"/>
        </w:trPr>
        <w:tc>
          <w:tcPr>
            <w:tcW w:w="554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Reconciling items per common unit </w:t>
            </w:r>
            <w:r>
              <w:rPr>
                <w:rFonts w:ascii="Arial" w:cs="Arial" w:eastAsia="Arial" w:hAnsi="Arial"/>
                <w:sz w:val="23"/>
                <w:szCs w:val="23"/>
                <w:color w:val="auto"/>
                <w:vertAlign w:val="superscript"/>
              </w:rPr>
              <w:t>(1) (2)</w:t>
            </w: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0.89</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0.89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center"/>
              <w:ind w:left="333"/>
              <w:spacing w:after="0"/>
              <w:rPr>
                <w:sz w:val="20"/>
                <w:szCs w:val="20"/>
                <w:color w:val="auto"/>
              </w:rPr>
            </w:pPr>
            <w:r>
              <w:rPr>
                <w:rFonts w:ascii="Arial" w:cs="Arial" w:eastAsia="Arial" w:hAnsi="Arial"/>
                <w:sz w:val="18"/>
                <w:szCs w:val="18"/>
                <w:color w:val="auto"/>
                <w:w w:val="85"/>
              </w:rPr>
              <w:t>5.08</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440" w:type="dxa"/>
            <w:vAlign w:val="bottom"/>
            <w:shd w:val="clear" w:color="auto" w:fill="CCEEFF"/>
          </w:tcPr>
          <w:p>
            <w:pPr>
              <w:spacing w:after="0" w:line="20" w:lineRule="exact"/>
              <w:rPr>
                <w:sz w:val="1"/>
                <w:szCs w:val="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00" w:type="dxa"/>
            <w:vAlign w:val="bottom"/>
          </w:tcPr>
          <w:p>
            <w:pPr>
              <w:spacing w:after="0"/>
              <w:rPr>
                <w:sz w:val="21"/>
                <w:szCs w:val="21"/>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mplied DCF per common unit</w:t>
            </w:r>
          </w:p>
        </w:tc>
        <w:tc>
          <w:tcPr>
            <w:tcW w:w="700" w:type="dxa"/>
            <w:vAlign w:val="bottom"/>
            <w:vMerge w:val="continue"/>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spacing w:after="0"/>
              <w:rPr>
                <w:sz w:val="21"/>
                <w:szCs w:val="21"/>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jc w:val="right"/>
              <w:ind w:right="38"/>
              <w:spacing w:after="0"/>
              <w:rPr>
                <w:sz w:val="20"/>
                <w:szCs w:val="20"/>
                <w:color w:val="auto"/>
              </w:rPr>
            </w:pPr>
            <w:r>
              <w:rPr>
                <w:rFonts w:ascii="Arial" w:cs="Arial" w:eastAsia="Arial" w:hAnsi="Arial"/>
                <w:sz w:val="4"/>
                <w:szCs w:val="4"/>
                <w:color w:val="auto"/>
                <w:w w:val="87"/>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center"/>
              <w:ind w:left="333"/>
              <w:spacing w:after="0"/>
              <w:rPr>
                <w:sz w:val="20"/>
                <w:szCs w:val="20"/>
                <w:color w:val="auto"/>
              </w:rPr>
            </w:pPr>
            <w:r>
              <w:rPr>
                <w:rFonts w:ascii="Arial" w:cs="Arial" w:eastAsia="Arial" w:hAnsi="Arial"/>
                <w:sz w:val="18"/>
                <w:szCs w:val="18"/>
                <w:color w:val="auto"/>
                <w:w w:val="85"/>
              </w:rPr>
              <w:t>1.23</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540" w:type="dxa"/>
            <w:vAlign w:val="bottom"/>
            <w:gridSpan w:val="2"/>
          </w:tcPr>
          <w:p>
            <w:pPr>
              <w:spacing w:after="0"/>
              <w:rPr>
                <w:sz w:val="20"/>
                <w:szCs w:val="20"/>
                <w:color w:val="auto"/>
              </w:rPr>
            </w:pPr>
            <w:r>
              <w:rPr>
                <w:rFonts w:ascii="Arial" w:cs="Arial" w:eastAsia="Arial" w:hAnsi="Arial"/>
                <w:sz w:val="18"/>
                <w:szCs w:val="18"/>
                <w:color w:val="auto"/>
              </w:rPr>
              <w:t>Basic net income/(loss) per common unit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4"/>
              </w:rPr>
              <w:t>(0.37)$</w:t>
            </w:r>
          </w:p>
        </w:tc>
        <w:tc>
          <w:tcPr>
            <w:tcW w:w="7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jc w:val="right"/>
              <w:ind w:right="38"/>
              <w:spacing w:after="0"/>
              <w:rPr>
                <w:sz w:val="20"/>
                <w:szCs w:val="20"/>
                <w:color w:val="auto"/>
              </w:rPr>
            </w:pPr>
            <w:r>
              <w:rPr>
                <w:rFonts w:ascii="Arial" w:cs="Arial" w:eastAsia="Arial" w:hAnsi="Arial"/>
                <w:sz w:val="4"/>
                <w:szCs w:val="4"/>
                <w:color w:val="auto"/>
                <w:w w:val="87"/>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0.14</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280" w:type="dxa"/>
            <w:vAlign w:val="bottom"/>
          </w:tcPr>
          <w:p>
            <w:pPr>
              <w:spacing w:after="0"/>
              <w:rPr>
                <w:sz w:val="24"/>
                <w:szCs w:val="24"/>
                <w:color w:val="auto"/>
              </w:rPr>
            </w:pPr>
          </w:p>
        </w:tc>
        <w:tc>
          <w:tcPr>
            <w:tcW w:w="880" w:type="dxa"/>
            <w:vAlign w:val="bottom"/>
          </w:tcPr>
          <w:p>
            <w:pPr>
              <w:jc w:val="center"/>
              <w:ind w:left="313"/>
              <w:spacing w:after="0"/>
              <w:rPr>
                <w:sz w:val="20"/>
                <w:szCs w:val="20"/>
                <w:color w:val="auto"/>
              </w:rPr>
            </w:pPr>
            <w:r>
              <w:rPr>
                <w:rFonts w:ascii="Arial" w:cs="Arial" w:eastAsia="Arial" w:hAnsi="Arial"/>
                <w:sz w:val="18"/>
                <w:szCs w:val="18"/>
                <w:color w:val="auto"/>
                <w:w w:val="93"/>
              </w:rPr>
              <w:t>(3.85)</w:t>
            </w:r>
          </w:p>
        </w:tc>
        <w:tc>
          <w:tcPr>
            <w:tcW w:w="0" w:type="dxa"/>
            <w:vAlign w:val="bottom"/>
          </w:tcPr>
          <w:p>
            <w:pPr>
              <w:spacing w:after="0"/>
              <w:rPr>
                <w:sz w:val="1"/>
                <w:szCs w:val="1"/>
                <w:color w:val="auto"/>
              </w:rPr>
            </w:pPr>
          </w:p>
        </w:tc>
      </w:tr>
      <w:tr>
        <w:trPr>
          <w:trHeight w:val="230"/>
        </w:trPr>
        <w:tc>
          <w:tcPr>
            <w:tcW w:w="5540" w:type="dxa"/>
            <w:vAlign w:val="bottom"/>
            <w:gridSpan w:val="2"/>
          </w:tcPr>
          <w:p>
            <w:pPr>
              <w:spacing w:after="0" w:line="230" w:lineRule="exact"/>
              <w:rPr>
                <w:sz w:val="20"/>
                <w:szCs w:val="20"/>
                <w:color w:val="auto"/>
              </w:rPr>
            </w:pPr>
            <w:r>
              <w:rPr>
                <w:rFonts w:ascii="Arial" w:cs="Arial" w:eastAsia="Arial" w:hAnsi="Arial"/>
                <w:sz w:val="18"/>
                <w:szCs w:val="18"/>
                <w:color w:val="auto"/>
                <w:w w:val="99"/>
              </w:rPr>
              <w:t xml:space="preserve">Reconciling items per common unit and common unit equivalent </w:t>
            </w:r>
            <w:r>
              <w:rPr>
                <w:rFonts w:ascii="Arial" w:cs="Arial" w:eastAsia="Arial" w:hAnsi="Arial"/>
                <w:sz w:val="23"/>
                <w:szCs w:val="23"/>
                <w:color w:val="auto"/>
                <w:w w:val="99"/>
                <w:vertAlign w:val="superscript"/>
              </w:rPr>
              <w:t>(1) (3)</w:t>
            </w: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0.89</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0.89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center"/>
              <w:ind w:left="333"/>
              <w:spacing w:after="0"/>
              <w:rPr>
                <w:sz w:val="20"/>
                <w:szCs w:val="20"/>
                <w:color w:val="auto"/>
              </w:rPr>
            </w:pPr>
            <w:r>
              <w:rPr>
                <w:rFonts w:ascii="Arial" w:cs="Arial" w:eastAsia="Arial" w:hAnsi="Arial"/>
                <w:sz w:val="18"/>
                <w:szCs w:val="18"/>
                <w:color w:val="auto"/>
                <w:w w:val="85"/>
              </w:rPr>
              <w:t>5.06</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440" w:type="dxa"/>
            <w:vAlign w:val="bottom"/>
            <w:shd w:val="clear" w:color="auto" w:fill="CCEEFF"/>
          </w:tcPr>
          <w:p>
            <w:pPr>
              <w:spacing w:after="0" w:line="20" w:lineRule="exact"/>
              <w:rPr>
                <w:sz w:val="1"/>
                <w:szCs w:val="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00" w:type="dxa"/>
            <w:vAlign w:val="bottom"/>
          </w:tcPr>
          <w:p>
            <w:pPr>
              <w:spacing w:after="0"/>
              <w:rPr>
                <w:sz w:val="21"/>
                <w:szCs w:val="21"/>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mplied DCF per common unit and common unit equivalent</w:t>
            </w:r>
          </w:p>
        </w:tc>
        <w:tc>
          <w:tcPr>
            <w:tcW w:w="700" w:type="dxa"/>
            <w:vAlign w:val="bottom"/>
            <w:vMerge w:val="continue"/>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spacing w:after="0"/>
              <w:rPr>
                <w:sz w:val="21"/>
                <w:szCs w:val="21"/>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jc w:val="right"/>
              <w:ind w:right="38"/>
              <w:spacing w:after="0"/>
              <w:rPr>
                <w:sz w:val="20"/>
                <w:szCs w:val="20"/>
                <w:color w:val="auto"/>
              </w:rPr>
            </w:pPr>
            <w:r>
              <w:rPr>
                <w:rFonts w:ascii="Arial" w:cs="Arial" w:eastAsia="Arial" w:hAnsi="Arial"/>
                <w:sz w:val="4"/>
                <w:szCs w:val="4"/>
                <w:color w:val="auto"/>
                <w:w w:val="87"/>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center"/>
              <w:ind w:left="333"/>
              <w:spacing w:after="0"/>
              <w:rPr>
                <w:sz w:val="20"/>
                <w:szCs w:val="20"/>
                <w:color w:val="auto"/>
              </w:rPr>
            </w:pPr>
            <w:r>
              <w:rPr>
                <w:rFonts w:ascii="Arial" w:cs="Arial" w:eastAsia="Arial" w:hAnsi="Arial"/>
                <w:sz w:val="18"/>
                <w:szCs w:val="18"/>
                <w:color w:val="auto"/>
                <w:w w:val="85"/>
              </w:rPr>
              <w:t>1.21</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-1087755</wp:posOffset>
            </wp:positionV>
            <wp:extent cx="702945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29450" cy="15430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-479425</wp:posOffset>
            </wp:positionV>
            <wp:extent cx="702945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29450" cy="14541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left="8760"/>
        <w:spacing w:after="0"/>
        <w:rPr>
          <w:sz w:val="20"/>
          <w:szCs w:val="20"/>
          <w:color w:val="auto"/>
        </w:rPr>
      </w:pPr>
      <w:r>
        <w:rPr>
          <w:rFonts w:ascii="Arial" w:cs="Arial" w:eastAsia="Arial" w:hAnsi="Arial"/>
          <w:sz w:val="14"/>
          <w:szCs w:val="14"/>
          <w:b w:val="1"/>
          <w:bCs w:val="1"/>
          <w:color w:val="auto"/>
        </w:rPr>
        <w:t>Twelve Months Ended</w:t>
      </w:r>
    </w:p>
    <w:p>
      <w:pPr>
        <w:jc w:val="center"/>
        <w:ind w:left="876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3880" w:type="dxa"/>
            <w:vAlign w:val="bottom"/>
            <w:tcBorders>
              <w:bottom w:val="single" w:sz="8" w:color="CCEEFF"/>
            </w:tcBorders>
          </w:tcPr>
          <w:p>
            <w:pPr>
              <w:spacing w:after="0"/>
              <w:rPr>
                <w:sz w:val="16"/>
                <w:szCs w:val="16"/>
                <w:color w:val="auto"/>
              </w:rPr>
            </w:pPr>
          </w:p>
        </w:tc>
        <w:tc>
          <w:tcPr>
            <w:tcW w:w="49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r>
      <w:tr>
        <w:trPr>
          <w:trHeight w:val="224"/>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net income/(loss) per common unit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ind w:left="333"/>
              <w:spacing w:after="0"/>
              <w:rPr>
                <w:sz w:val="20"/>
                <w:szCs w:val="20"/>
                <w:color w:val="auto"/>
              </w:rPr>
            </w:pPr>
            <w:r>
              <w:rPr>
                <w:rFonts w:ascii="Arial" w:cs="Arial" w:eastAsia="Arial" w:hAnsi="Arial"/>
                <w:sz w:val="18"/>
                <w:szCs w:val="18"/>
                <w:color w:val="auto"/>
                <w:w w:val="93"/>
              </w:rPr>
              <w:t>(3.83)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30"/>
        </w:trPr>
        <w:tc>
          <w:tcPr>
            <w:tcW w:w="878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Reconciling items per common unit </w:t>
            </w:r>
            <w:r>
              <w:rPr>
                <w:rFonts w:ascii="Arial" w:cs="Arial" w:eastAsia="Arial" w:hAnsi="Arial"/>
                <w:sz w:val="23"/>
                <w:szCs w:val="23"/>
                <w:color w:val="auto"/>
                <w:vertAlign w:val="superscript"/>
              </w:rPr>
              <w:t>(1) (4)</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53"/>
              <w:spacing w:after="0"/>
              <w:rPr>
                <w:sz w:val="20"/>
                <w:szCs w:val="20"/>
                <w:color w:val="auto"/>
              </w:rPr>
            </w:pPr>
            <w:r>
              <w:rPr>
                <w:rFonts w:ascii="Arial" w:cs="Arial" w:eastAsia="Arial" w:hAnsi="Arial"/>
                <w:sz w:val="18"/>
                <w:szCs w:val="18"/>
                <w:color w:val="auto"/>
                <w:w w:val="85"/>
              </w:rPr>
              <w:t>6.14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0.29</w:t>
            </w:r>
          </w:p>
        </w:tc>
      </w:tr>
      <w:tr>
        <w:trPr>
          <w:trHeight w:val="248"/>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Implied DCF per common unit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353"/>
              <w:spacing w:after="0"/>
              <w:rPr>
                <w:sz w:val="20"/>
                <w:szCs w:val="20"/>
                <w:color w:val="auto"/>
              </w:rPr>
            </w:pPr>
            <w:r>
              <w:rPr>
                <w:rFonts w:ascii="Arial" w:cs="Arial" w:eastAsia="Arial" w:hAnsi="Arial"/>
                <w:sz w:val="18"/>
                <w:szCs w:val="18"/>
                <w:color w:val="auto"/>
                <w:w w:val="85"/>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388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30"/>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net income/(loss) per common unit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ind w:left="333"/>
              <w:spacing w:after="0"/>
              <w:rPr>
                <w:sz w:val="20"/>
                <w:szCs w:val="20"/>
                <w:color w:val="auto"/>
              </w:rPr>
            </w:pPr>
            <w:r>
              <w:rPr>
                <w:rFonts w:ascii="Arial" w:cs="Arial" w:eastAsia="Arial" w:hAnsi="Arial"/>
                <w:sz w:val="18"/>
                <w:szCs w:val="18"/>
                <w:color w:val="auto"/>
                <w:w w:val="93"/>
              </w:rPr>
              <w:t>(3.83)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30"/>
        </w:trPr>
        <w:tc>
          <w:tcPr>
            <w:tcW w:w="878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Reconciling items per common unit and common unit equivalent </w:t>
            </w:r>
            <w:r>
              <w:rPr>
                <w:rFonts w:ascii="Arial" w:cs="Arial" w:eastAsia="Arial" w:hAnsi="Arial"/>
                <w:sz w:val="23"/>
                <w:szCs w:val="23"/>
                <w:color w:val="auto"/>
                <w:vertAlign w:val="superscript"/>
              </w:rPr>
              <w:t>(1) (3)</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53"/>
              <w:spacing w:after="0"/>
              <w:rPr>
                <w:sz w:val="20"/>
                <w:szCs w:val="20"/>
                <w:color w:val="auto"/>
              </w:rPr>
            </w:pPr>
            <w:r>
              <w:rPr>
                <w:rFonts w:ascii="Arial" w:cs="Arial" w:eastAsia="Arial" w:hAnsi="Arial"/>
                <w:sz w:val="18"/>
                <w:szCs w:val="18"/>
                <w:color w:val="auto"/>
                <w:w w:val="85"/>
              </w:rPr>
              <w:t>6.12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r>
      <w:tr>
        <w:trPr>
          <w:trHeight w:val="248"/>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Implied DCF per common unit and common unit equivalent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353"/>
              <w:spacing w:after="0"/>
              <w:rPr>
                <w:sz w:val="20"/>
                <w:szCs w:val="20"/>
                <w:color w:val="auto"/>
              </w:rPr>
            </w:pPr>
            <w:r>
              <w:rPr>
                <w:rFonts w:ascii="Arial" w:cs="Arial" w:eastAsia="Arial" w:hAnsi="Arial"/>
                <w:sz w:val="18"/>
                <w:szCs w:val="18"/>
                <w:color w:val="auto"/>
                <w:w w:val="85"/>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3880" w:type="dxa"/>
            <w:vAlign w:val="bottom"/>
            <w:tcBorders>
              <w:bottom w:val="single" w:sz="8" w:color="auto"/>
            </w:tcBorders>
          </w:tcPr>
          <w:p>
            <w:pPr>
              <w:spacing w:after="0"/>
              <w:rPr>
                <w:sz w:val="13"/>
                <w:szCs w:val="13"/>
                <w:color w:val="auto"/>
              </w:rPr>
            </w:pPr>
          </w:p>
        </w:tc>
        <w:tc>
          <w:tcPr>
            <w:tcW w:w="4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r>
    </w:tbl>
    <w:p>
      <w:pPr>
        <w:spacing w:after="0" w:line="134" w:lineRule="exact"/>
        <w:rPr>
          <w:sz w:val="20"/>
          <w:szCs w:val="20"/>
          <w:color w:val="auto"/>
        </w:rPr>
      </w:pPr>
    </w:p>
    <w:p>
      <w:pPr>
        <w:ind w:left="440" w:right="80" w:hanging="332"/>
        <w:spacing w:after="0" w:line="227" w:lineRule="auto"/>
        <w:tabs>
          <w:tab w:leader="none" w:pos="42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to Net Income to calculate Implied DCF Available to Common Unitholders. See the “Net Income/(Loss) to Adjusted EBITDA and Implied DCF Reconciliation” table for additional information.</w:t>
      </w:r>
    </w:p>
    <w:p>
      <w:pPr>
        <w:spacing w:after="0" w:line="5" w:lineRule="exact"/>
        <w:rPr>
          <w:rFonts w:ascii="Arial" w:cs="Arial" w:eastAsia="Arial" w:hAnsi="Arial"/>
          <w:sz w:val="23"/>
          <w:szCs w:val="23"/>
          <w:color w:val="auto"/>
          <w:vertAlign w:val="superscript"/>
        </w:rPr>
      </w:pPr>
    </w:p>
    <w:p>
      <w:pPr>
        <w:ind w:left="420" w:hanging="312"/>
        <w:spacing w:after="0"/>
        <w:tabs>
          <w:tab w:leader="none" w:pos="42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of 720 million, 728 million, 721 million and 728 million, respectively.</w:t>
      </w:r>
    </w:p>
    <w:p>
      <w:pPr>
        <w:spacing w:after="0" w:line="55" w:lineRule="exact"/>
        <w:rPr>
          <w:rFonts w:ascii="Arial" w:cs="Arial" w:eastAsia="Arial" w:hAnsi="Arial"/>
          <w:sz w:val="23"/>
          <w:szCs w:val="23"/>
          <w:color w:val="auto"/>
          <w:vertAlign w:val="superscript"/>
        </w:rPr>
      </w:pPr>
    </w:p>
    <w:p>
      <w:pPr>
        <w:ind w:left="440" w:right="240" w:hanging="332"/>
        <w:spacing w:after="0" w:line="219" w:lineRule="auto"/>
        <w:tabs>
          <w:tab w:leader="none" w:pos="42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as well as weighted average Series A preferred units outstanding of 71 million for each of the periods presented.</w:t>
      </w:r>
    </w:p>
    <w:p>
      <w:pPr>
        <w:spacing w:after="0" w:line="5" w:lineRule="exact"/>
        <w:rPr>
          <w:rFonts w:ascii="Arial" w:cs="Arial" w:eastAsia="Arial" w:hAnsi="Arial"/>
          <w:sz w:val="23"/>
          <w:szCs w:val="23"/>
          <w:color w:val="auto"/>
          <w:vertAlign w:val="superscript"/>
        </w:rPr>
      </w:pPr>
    </w:p>
    <w:p>
      <w:pPr>
        <w:ind w:left="420" w:hanging="312"/>
        <w:spacing w:after="0"/>
        <w:tabs>
          <w:tab w:leader="none" w:pos="42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of 728 million and 727 million, respectively.</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100330</wp:posOffset>
            </wp:positionV>
            <wp:extent cx="71151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760"/>
        <w:spacing w:after="0"/>
        <w:tabs>
          <w:tab w:leader="none" w:pos="4860" w:val="left"/>
          <w:tab w:leader="none" w:pos="75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340"/>
          </w:cols>
          <w:pgMar w:left="220" w:top="36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Page 15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00" w:type="dxa"/>
            <w:vAlign w:val="bottom"/>
            <w:gridSpan w:val="4"/>
          </w:tcPr>
          <w:p>
            <w:pPr>
              <w:jc w:val="right"/>
              <w:ind w:right="55"/>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38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455"/>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r>
      <w:tr>
        <w:trPr>
          <w:trHeight w:val="181"/>
        </w:trPr>
        <w:tc>
          <w:tcPr>
            <w:tcW w:w="3880" w:type="dxa"/>
            <w:vAlign w:val="bottom"/>
            <w:tcBorders>
              <w:bottom w:val="single" w:sz="8" w:color="CCEEFF"/>
            </w:tcBorders>
          </w:tcPr>
          <w:p>
            <w:pPr>
              <w:spacing w:after="0"/>
              <w:rPr>
                <w:sz w:val="15"/>
                <w:szCs w:val="15"/>
                <w:color w:val="auto"/>
              </w:rPr>
            </w:pPr>
          </w:p>
        </w:tc>
        <w:tc>
          <w:tcPr>
            <w:tcW w:w="236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r>
      <w:tr>
        <w:trPr>
          <w:trHeight w:val="212"/>
        </w:trPr>
        <w:tc>
          <w:tcPr>
            <w:tcW w:w="6240" w:type="dxa"/>
            <w:vAlign w:val="bottom"/>
            <w:gridSpan w:val="2"/>
            <w:shd w:val="clear" w:color="auto" w:fill="CCEEFF"/>
          </w:tcPr>
          <w:p>
            <w:pPr>
              <w:spacing w:after="0" w:line="212" w:lineRule="exact"/>
              <w:rPr>
                <w:sz w:val="20"/>
                <w:szCs w:val="20"/>
                <w:color w:val="auto"/>
              </w:rPr>
            </w:pPr>
            <w:r>
              <w:rPr>
                <w:rFonts w:ascii="Arial" w:cs="Arial" w:eastAsia="Arial" w:hAnsi="Arial"/>
                <w:sz w:val="18"/>
                <w:szCs w:val="18"/>
                <w:b w:val="1"/>
                <w:bCs w:val="1"/>
                <w:color w:val="auto"/>
                <w:w w:val="99"/>
              </w:rPr>
              <w:t xml:space="preserve">Free Cash Flow and Free Cash Flow after Distributions Reconciliation </w:t>
            </w:r>
            <w:r>
              <w:rPr>
                <w:rFonts w:ascii="Arial" w:cs="Arial" w:eastAsia="Arial" w:hAnsi="Arial"/>
                <w:sz w:val="23"/>
                <w:szCs w:val="23"/>
                <w:b w:val="1"/>
                <w:bCs w:val="1"/>
                <w:color w:val="auto"/>
                <w:w w:val="99"/>
                <w:vertAlign w:val="superscript"/>
              </w:rPr>
              <w:t>(1)</w:t>
            </w:r>
            <w:r>
              <w:rPr>
                <w:rFonts w:ascii="Arial" w:cs="Arial" w:eastAsia="Arial" w:hAnsi="Arial"/>
                <w:sz w:val="18"/>
                <w:szCs w:val="18"/>
                <w:b w:val="1"/>
                <w:bCs w:val="1"/>
                <w:color w:val="auto"/>
                <w:w w:val="99"/>
              </w:rPr>
              <w:t>:</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0"/>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720" w:type="dxa"/>
            <w:vAlign w:val="bottom"/>
          </w:tcPr>
          <w:p>
            <w:pPr>
              <w:jc w:val="right"/>
              <w:ind w:right="537"/>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740" w:type="dxa"/>
            <w:vAlign w:val="bottom"/>
          </w:tcPr>
          <w:p>
            <w:pPr>
              <w:jc w:val="right"/>
              <w:ind w:right="555"/>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974</w:t>
            </w:r>
          </w:p>
        </w:tc>
      </w:tr>
      <w:tr>
        <w:trPr>
          <w:trHeight w:val="229"/>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Adjustments to reconcile net cash provided by operating activities to free cash flow:</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6240" w:type="dxa"/>
            <w:vAlign w:val="bottom"/>
            <w:gridSpan w:val="2"/>
          </w:tcPr>
          <w:p>
            <w:pPr>
              <w:ind w:left="140"/>
              <w:spacing w:after="0"/>
              <w:rPr>
                <w:sz w:val="20"/>
                <w:szCs w:val="20"/>
                <w:color w:val="auto"/>
              </w:rPr>
            </w:pPr>
            <w:r>
              <w:rPr>
                <w:rFonts w:ascii="Arial" w:cs="Arial" w:eastAsia="Arial" w:hAnsi="Arial"/>
                <w:sz w:val="18"/>
                <w:szCs w:val="18"/>
                <w:color w:val="auto"/>
              </w:rPr>
              <w:t>Net cash used in investing activities</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0"/>
              </w:rPr>
              <w:t>(175)</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0"/>
              </w:rPr>
              <w:t>(248)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(858)</w:t>
            </w:r>
          </w:p>
        </w:tc>
      </w:tr>
      <w:tr>
        <w:trPr>
          <w:trHeight w:val="230"/>
        </w:trPr>
        <w:tc>
          <w:tcPr>
            <w:tcW w:w="6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Cash contributions from noncontrolling interests</w:t>
            </w:r>
          </w:p>
        </w:tc>
        <w:tc>
          <w:tcPr>
            <w:tcW w:w="7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624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Cash distributions paid to noncontrolling interests </w:t>
            </w:r>
            <w:r>
              <w:rPr>
                <w:rFonts w:ascii="Arial" w:cs="Arial" w:eastAsia="Arial" w:hAnsi="Arial"/>
                <w:sz w:val="23"/>
                <w:szCs w:val="23"/>
                <w:color w:val="auto"/>
                <w:vertAlign w:val="superscript"/>
              </w:rPr>
              <w:t>(2)</w:t>
            </w:r>
          </w:p>
        </w:tc>
        <w:tc>
          <w:tcPr>
            <w:tcW w:w="72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62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720" w:type="dxa"/>
            <w:vAlign w:val="bottom"/>
            <w:tcBorders>
              <w:top w:val="single" w:sz="8" w:color="auto"/>
            </w:tcBorders>
            <w:shd w:val="clear" w:color="auto" w:fill="CCEEFF"/>
          </w:tcPr>
          <w:p>
            <w:pPr>
              <w:jc w:val="right"/>
              <w:ind w:right="537"/>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55"/>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29"/>
        </w:trPr>
        <w:tc>
          <w:tcPr>
            <w:tcW w:w="6240" w:type="dxa"/>
            <w:vAlign w:val="bottom"/>
            <w:tcBorders>
              <w:bottom w:val="single" w:sz="8" w:color="CCEEFF"/>
            </w:tcBorders>
            <w:gridSpan w:val="2"/>
          </w:tcPr>
          <w:p>
            <w:pPr>
              <w:ind w:left="140"/>
              <w:spacing w:after="0" w:line="230" w:lineRule="exact"/>
              <w:rPr>
                <w:sz w:val="20"/>
                <w:szCs w:val="20"/>
                <w:color w:val="auto"/>
              </w:rPr>
            </w:pPr>
            <w:r>
              <w:rPr>
                <w:rFonts w:ascii="Arial" w:cs="Arial" w:eastAsia="Arial" w:hAnsi="Arial"/>
                <w:sz w:val="18"/>
                <w:szCs w:val="18"/>
                <w:color w:val="auto"/>
              </w:rPr>
              <w:t xml:space="preserve">Cash distributions </w:t>
            </w:r>
            <w:r>
              <w:rPr>
                <w:rFonts w:ascii="Arial" w:cs="Arial" w:eastAsia="Arial" w:hAnsi="Arial"/>
                <w:sz w:val="23"/>
                <w:szCs w:val="23"/>
                <w:color w:val="auto"/>
                <w:vertAlign w:val="superscript"/>
              </w:rPr>
              <w:t>(3)</w:t>
            </w: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(192)</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(193)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r>
      <w:tr>
        <w:trPr>
          <w:trHeight w:val="248"/>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Free Cash Flow after Distributions</w:t>
            </w:r>
          </w:p>
        </w:tc>
        <w:tc>
          <w:tcPr>
            <w:tcW w:w="720" w:type="dxa"/>
            <w:vAlign w:val="bottom"/>
            <w:tcBorders>
              <w:bottom w:val="single" w:sz="8" w:color="auto"/>
            </w:tcBorders>
            <w:shd w:val="clear" w:color="auto" w:fill="CCEEFF"/>
          </w:tcPr>
          <w:p>
            <w:pPr>
              <w:jc w:val="right"/>
              <w:ind w:right="537"/>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5"/>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3880" w:type="dxa"/>
            <w:vAlign w:val="bottom"/>
            <w:tcBorders>
              <w:bottom w:val="single" w:sz="8" w:color="auto"/>
            </w:tcBorders>
          </w:tcPr>
          <w:p>
            <w:pPr>
              <w:spacing w:after="0"/>
              <w:rPr>
                <w:sz w:val="16"/>
                <w:szCs w:val="16"/>
                <w:color w:val="auto"/>
              </w:rPr>
            </w:pPr>
          </w:p>
        </w:tc>
        <w:tc>
          <w:tcPr>
            <w:tcW w:w="2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r>
    </w:tbl>
    <w:p>
      <w:pPr>
        <w:spacing w:after="0" w:line="134" w:lineRule="exact"/>
        <w:rPr>
          <w:sz w:val="20"/>
          <w:szCs w:val="20"/>
          <w:color w:val="auto"/>
        </w:rPr>
      </w:pPr>
    </w:p>
    <w:p>
      <w:pPr>
        <w:ind w:left="340" w:right="480" w:hanging="332"/>
        <w:spacing w:after="0" w:line="238" w:lineRule="auto"/>
        <w:tabs>
          <w:tab w:leader="none" w:pos="328" w:val="left"/>
        </w:tabs>
        <w:numPr>
          <w:ilvl w:val="0"/>
          <w:numId w:val="16"/>
        </w:numPr>
        <w:rPr>
          <w:rFonts w:ascii="Arial" w:cs="Arial" w:eastAsia="Arial" w:hAnsi="Arial"/>
          <w:sz w:val="22"/>
          <w:szCs w:val="22"/>
          <w:color w:val="auto"/>
          <w:vertAlign w:val="superscript"/>
        </w:rPr>
      </w:pPr>
      <w:r>
        <w:rPr>
          <w:rFonts w:ascii="Arial" w:cs="Arial" w:eastAsia="Arial" w:hAnsi="Arial"/>
          <w:sz w:val="17"/>
          <w:szCs w:val="17"/>
          <w:color w:val="auto"/>
        </w:rPr>
        <w:t>Management uses the Non-GAAP financial measures Free Cash Flow and Free Cash Flow after Distributions to assess the amount of cash that is available for distributions, debt repayments, common equity repurchases and other general partnership purposes.</w:t>
      </w:r>
    </w:p>
    <w:p>
      <w:pPr>
        <w:spacing w:after="0" w:line="7" w:lineRule="exact"/>
        <w:rPr>
          <w:rFonts w:ascii="Arial" w:cs="Arial" w:eastAsia="Arial" w:hAnsi="Arial"/>
          <w:sz w:val="22"/>
          <w:szCs w:val="22"/>
          <w:color w:val="auto"/>
          <w:vertAlign w:val="superscript"/>
        </w:rPr>
      </w:pPr>
    </w:p>
    <w:p>
      <w:pPr>
        <w:ind w:left="320" w:hanging="312"/>
        <w:spacing w:after="0"/>
        <w:tabs>
          <w:tab w:leader="none" w:pos="32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during the period presented.</w:t>
      </w:r>
    </w:p>
    <w:p>
      <w:pPr>
        <w:spacing w:after="0" w:line="55" w:lineRule="exact"/>
        <w:rPr>
          <w:rFonts w:ascii="Arial" w:cs="Arial" w:eastAsia="Arial" w:hAnsi="Arial"/>
          <w:sz w:val="23"/>
          <w:szCs w:val="23"/>
          <w:color w:val="auto"/>
          <w:vertAlign w:val="superscript"/>
        </w:rPr>
      </w:pPr>
    </w:p>
    <w:p>
      <w:pPr>
        <w:ind w:left="320" w:hanging="312"/>
        <w:spacing w:after="0" w:line="183" w:lineRule="auto"/>
        <w:tabs>
          <w:tab w:leader="none" w:pos="320" w:val="left"/>
        </w:tabs>
        <w:numPr>
          <w:ilvl w:val="0"/>
          <w:numId w:val="16"/>
        </w:numPr>
        <w:rPr>
          <w:rFonts w:ascii="Arial" w:cs="Arial" w:eastAsia="Arial" w:hAnsi="Arial"/>
          <w:sz w:val="20"/>
          <w:szCs w:val="20"/>
          <w:color w:val="auto"/>
          <w:vertAlign w:val="superscript"/>
        </w:rPr>
      </w:pPr>
      <w:r>
        <w:rPr>
          <w:rFonts w:ascii="Arial" w:cs="Arial" w:eastAsia="Arial" w:hAnsi="Arial"/>
          <w:sz w:val="16"/>
          <w:szCs w:val="16"/>
          <w:color w:val="auto"/>
        </w:rPr>
        <w:t>Cash distributions paid to preferred and common unitholders during the period.</w:t>
      </w:r>
    </w:p>
    <w:p>
      <w:pPr>
        <w:ind w:left="5440" w:hanging="106"/>
        <w:spacing w:after="0"/>
        <w:tabs>
          <w:tab w:leader="none" w:pos="54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9"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Page 16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gridSpan w:val="3"/>
          </w:tcPr>
          <w:p>
            <w:pPr>
              <w:jc w:val="right"/>
              <w:ind w:right="38"/>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38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438"/>
              <w:spacing w:after="0"/>
              <w:rPr>
                <w:sz w:val="20"/>
                <w:szCs w:val="20"/>
                <w:color w:val="auto"/>
              </w:rPr>
            </w:pPr>
            <w:r>
              <w:rPr>
                <w:rFonts w:ascii="Arial" w:cs="Arial" w:eastAsia="Arial" w:hAnsi="Arial"/>
                <w:sz w:val="14"/>
                <w:szCs w:val="14"/>
                <w:b w:val="1"/>
                <w:bCs w:val="1"/>
                <w:color w:val="auto"/>
              </w:rPr>
              <w:t>June 30,</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r>
      <w:tr>
        <w:trPr>
          <w:trHeight w:val="183"/>
        </w:trPr>
        <w:tc>
          <w:tcPr>
            <w:tcW w:w="3880" w:type="dxa"/>
            <w:vAlign w:val="bottom"/>
            <w:tcBorders>
              <w:bottom w:val="single" w:sz="8" w:color="CCEEFF"/>
            </w:tcBorders>
          </w:tcPr>
          <w:p>
            <w:pPr>
              <w:spacing w:after="0"/>
              <w:rPr>
                <w:sz w:val="15"/>
                <w:szCs w:val="15"/>
                <w:color w:val="auto"/>
              </w:rPr>
            </w:pPr>
          </w:p>
        </w:tc>
        <w:tc>
          <w:tcPr>
            <w:tcW w:w="27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w:t>
            </w:r>
          </w:p>
        </w:tc>
      </w:tr>
      <w:tr>
        <w:trPr>
          <w:trHeight w:val="197"/>
        </w:trPr>
        <w:tc>
          <w:tcPr>
            <w:tcW w:w="6640" w:type="dxa"/>
            <w:vAlign w:val="bottom"/>
            <w:gridSpan w:val="2"/>
            <w:shd w:val="clear" w:color="auto" w:fill="CCEEFF"/>
          </w:tcPr>
          <w:p>
            <w:pPr>
              <w:ind w:left="20"/>
              <w:spacing w:after="0" w:line="198" w:lineRule="exact"/>
              <w:rPr>
                <w:sz w:val="20"/>
                <w:szCs w:val="20"/>
                <w:color w:val="auto"/>
              </w:rPr>
            </w:pPr>
            <w:r>
              <w:rPr>
                <w:rFonts w:ascii="Arial" w:cs="Arial" w:eastAsia="Arial" w:hAnsi="Arial"/>
                <w:sz w:val="17"/>
                <w:szCs w:val="17"/>
                <w:b w:val="1"/>
                <w:bCs w:val="1"/>
                <w:color w:val="auto"/>
              </w:rPr>
              <w:t xml:space="preserve">Selected Items Impacting Comparability: </w:t>
            </w:r>
            <w:r>
              <w:rPr>
                <w:rFonts w:ascii="Arial" w:cs="Arial" w:eastAsia="Arial" w:hAnsi="Arial"/>
                <w:sz w:val="22"/>
                <w:szCs w:val="22"/>
                <w:b w:val="1"/>
                <w:bCs w:val="1"/>
                <w:color w:val="auto"/>
                <w:vertAlign w:val="superscript"/>
              </w:rPr>
              <w:t>(1)</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16"/>
        </w:trPr>
        <w:tc>
          <w:tcPr>
            <w:tcW w:w="664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 xml:space="preserve">Gains/(losses) from derivative activities and inventory valuation adjustments </w:t>
            </w:r>
            <w:r>
              <w:rPr>
                <w:rFonts w:ascii="Arial" w:cs="Arial" w:eastAsia="Arial" w:hAnsi="Arial"/>
                <w:sz w:val="22"/>
                <w:szCs w:val="22"/>
                <w:color w:val="auto"/>
                <w:vertAlign w:val="superscript"/>
              </w:rPr>
              <w:t>(2)</w:t>
            </w: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(86)</w:t>
            </w:r>
          </w:p>
        </w:tc>
        <w:tc>
          <w:tcPr>
            <w:tcW w:w="100" w:type="dxa"/>
            <w:vAlign w:val="bottom"/>
          </w:tcPr>
          <w:p>
            <w:pPr>
              <w:spacing w:after="0"/>
              <w:rPr>
                <w:sz w:val="18"/>
                <w:szCs w:val="18"/>
                <w:color w:val="auto"/>
              </w:rPr>
            </w:pPr>
          </w:p>
        </w:tc>
        <w:tc>
          <w:tcPr>
            <w:tcW w:w="720" w:type="dxa"/>
            <w:vAlign w:val="bottom"/>
          </w:tcPr>
          <w:p>
            <w:pPr>
              <w:jc w:val="right"/>
              <w:ind w:right="538"/>
              <w:spacing w:after="0"/>
              <w:rPr>
                <w:sz w:val="20"/>
                <w:szCs w:val="20"/>
                <w:color w:val="auto"/>
              </w:rPr>
            </w:pPr>
            <w:r>
              <w:rPr>
                <w:rFonts w:ascii="Arial" w:cs="Arial" w:eastAsia="Arial" w:hAnsi="Arial"/>
                <w:sz w:val="17"/>
                <w:szCs w:val="17"/>
                <w:color w:val="auto"/>
                <w:w w:val="84"/>
              </w:rPr>
              <w:t>$</w:t>
            </w:r>
          </w:p>
        </w:tc>
        <w:tc>
          <w:tcPr>
            <w:tcW w:w="360" w:type="dxa"/>
            <w:vAlign w:val="bottom"/>
          </w:tcPr>
          <w:p>
            <w:pPr>
              <w:jc w:val="right"/>
              <w:spacing w:after="0"/>
              <w:rPr>
                <w:sz w:val="20"/>
                <w:szCs w:val="20"/>
                <w:color w:val="auto"/>
              </w:rPr>
            </w:pPr>
            <w:r>
              <w:rPr>
                <w:rFonts w:ascii="Arial" w:cs="Arial" w:eastAsia="Arial" w:hAnsi="Arial"/>
                <w:sz w:val="17"/>
                <w:szCs w:val="17"/>
                <w:color w:val="auto"/>
                <w:w w:val="99"/>
              </w:rPr>
              <w:t>(99)</w:t>
            </w:r>
          </w:p>
        </w:tc>
        <w:tc>
          <w:tcPr>
            <w:tcW w:w="10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44</w:t>
            </w:r>
          </w:p>
        </w:tc>
        <w:tc>
          <w:tcPr>
            <w:tcW w:w="120" w:type="dxa"/>
            <w:vAlign w:val="bottom"/>
          </w:tcPr>
          <w:p>
            <w:pPr>
              <w:spacing w:after="0"/>
              <w:rPr>
                <w:sz w:val="18"/>
                <w:szCs w:val="18"/>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(104)</w:t>
            </w:r>
          </w:p>
        </w:tc>
      </w:tr>
      <w:tr>
        <w:trPr>
          <w:trHeight w:val="216"/>
        </w:trPr>
        <w:tc>
          <w:tcPr>
            <w:tcW w:w="664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Long-term inventory costing adjustments </w:t>
            </w:r>
            <w:r>
              <w:rPr>
                <w:rFonts w:ascii="Arial" w:cs="Arial" w:eastAsia="Arial" w:hAnsi="Arial"/>
                <w:sz w:val="22"/>
                <w:szCs w:val="22"/>
                <w:color w:val="auto"/>
                <w:vertAlign w:val="superscript"/>
              </w:rPr>
              <w:t>(3)</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r>
      <w:tr>
        <w:trPr>
          <w:trHeight w:val="216"/>
        </w:trPr>
        <w:tc>
          <w:tcPr>
            <w:tcW w:w="664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 xml:space="preserve">Deficiencies under minimum volume commitments, net </w:t>
            </w:r>
            <w:r>
              <w:rPr>
                <w:rFonts w:ascii="Arial" w:cs="Arial" w:eastAsia="Arial" w:hAnsi="Arial"/>
                <w:sz w:val="22"/>
                <w:szCs w:val="22"/>
                <w:color w:val="auto"/>
                <w:vertAlign w:val="superscript"/>
              </w:rPr>
              <w:t>(4)</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16"/>
        </w:trPr>
        <w:tc>
          <w:tcPr>
            <w:tcW w:w="664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Equity-indexed compensation expense </w:t>
            </w:r>
            <w:r>
              <w:rPr>
                <w:rFonts w:ascii="Arial" w:cs="Arial" w:eastAsia="Arial" w:hAnsi="Arial"/>
                <w:sz w:val="22"/>
                <w:szCs w:val="22"/>
                <w:color w:val="auto"/>
                <w:vertAlign w:val="superscript"/>
              </w:rPr>
              <w:t>(5)</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r>
      <w:tr>
        <w:trPr>
          <w:trHeight w:val="216"/>
        </w:trPr>
        <w:tc>
          <w:tcPr>
            <w:tcW w:w="664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 xml:space="preserve">Net gain/(loss) on foreign currency revaluation </w:t>
            </w:r>
            <w:r>
              <w:rPr>
                <w:rFonts w:ascii="Arial" w:cs="Arial" w:eastAsia="Arial" w:hAnsi="Arial"/>
                <w:sz w:val="22"/>
                <w:szCs w:val="22"/>
                <w:color w:val="auto"/>
                <w:vertAlign w:val="superscript"/>
              </w:rPr>
              <w:t>(6)</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29"/>
        </w:trPr>
        <w:tc>
          <w:tcPr>
            <w:tcW w:w="6640" w:type="dxa"/>
            <w:vAlign w:val="bottom"/>
            <w:gridSpan w:val="2"/>
            <w:shd w:val="clear" w:color="auto" w:fill="CCEEFF"/>
          </w:tcPr>
          <w:p>
            <w:pPr>
              <w:ind w:left="20"/>
              <w:spacing w:after="0" w:line="229" w:lineRule="exact"/>
              <w:rPr>
                <w:sz w:val="20"/>
                <w:szCs w:val="20"/>
                <w:color w:val="auto"/>
              </w:rPr>
            </w:pPr>
            <w:r>
              <w:rPr>
                <w:rFonts w:ascii="Arial" w:cs="Arial" w:eastAsia="Arial" w:hAnsi="Arial"/>
                <w:sz w:val="17"/>
                <w:szCs w:val="17"/>
                <w:color w:val="auto"/>
              </w:rPr>
              <w:t xml:space="preserve">Significant transaction-related expenses </w:t>
            </w:r>
            <w:r>
              <w:rPr>
                <w:rFonts w:ascii="Arial" w:cs="Arial" w:eastAsia="Arial" w:hAnsi="Arial"/>
                <w:sz w:val="22"/>
                <w:szCs w:val="22"/>
                <w:color w:val="auto"/>
                <w:vertAlign w:val="superscript"/>
              </w:rPr>
              <w:t>(7)</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6640" w:type="dxa"/>
            <w:vAlign w:val="bottom"/>
            <w:gridSpan w:val="2"/>
          </w:tcPr>
          <w:p>
            <w:pPr>
              <w:ind w:left="20"/>
              <w:spacing w:after="0" w:line="229" w:lineRule="exact"/>
              <w:rPr>
                <w:sz w:val="20"/>
                <w:szCs w:val="20"/>
                <w:color w:val="auto"/>
              </w:rPr>
            </w:pPr>
            <w:r>
              <w:rPr>
                <w:rFonts w:ascii="Arial" w:cs="Arial" w:eastAsia="Arial" w:hAnsi="Arial"/>
                <w:sz w:val="17"/>
                <w:szCs w:val="17"/>
                <w:color w:val="auto"/>
              </w:rPr>
              <w:t xml:space="preserve">Net gain on early repayment of senior notes </w:t>
            </w:r>
            <w:r>
              <w:rPr>
                <w:rFonts w:ascii="Arial" w:cs="Arial" w:eastAsia="Arial" w:hAnsi="Arial"/>
                <w:sz w:val="22"/>
                <w:szCs w:val="22"/>
                <w:color w:val="auto"/>
                <w:vertAlign w:val="superscript"/>
              </w:rPr>
              <w:t>(8)</w:t>
            </w:r>
          </w:p>
        </w:tc>
        <w:tc>
          <w:tcPr>
            <w:tcW w:w="2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9"/>
        </w:trPr>
        <w:tc>
          <w:tcPr>
            <w:tcW w:w="664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Selected items impacting comparability - Adjusted EBITDA</w:t>
            </w:r>
          </w:p>
        </w:tc>
        <w:tc>
          <w:tcPr>
            <w:tcW w:w="26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38"/>
              <w:spacing w:after="0"/>
              <w:rPr>
                <w:sz w:val="20"/>
                <w:szCs w:val="20"/>
                <w:color w:val="auto"/>
              </w:rPr>
            </w:pPr>
            <w:r>
              <w:rPr>
                <w:rFonts w:ascii="Arial" w:cs="Arial" w:eastAsia="Arial" w:hAnsi="Arial"/>
                <w:sz w:val="17"/>
                <w:szCs w:val="17"/>
                <w:color w:val="auto"/>
                <w:w w:val="84"/>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(34)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w:t>
            </w:r>
          </w:p>
        </w:tc>
      </w:tr>
      <w:tr>
        <w:trPr>
          <w:trHeight w:val="230"/>
        </w:trPr>
        <w:tc>
          <w:tcPr>
            <w:tcW w:w="6640" w:type="dxa"/>
            <w:vAlign w:val="bottom"/>
            <w:gridSpan w:val="2"/>
          </w:tcPr>
          <w:p>
            <w:pPr>
              <w:ind w:left="20"/>
              <w:spacing w:after="0"/>
              <w:rPr>
                <w:sz w:val="20"/>
                <w:szCs w:val="20"/>
                <w:color w:val="auto"/>
              </w:rPr>
            </w:pPr>
            <w:r>
              <w:rPr>
                <w:rFonts w:ascii="Arial" w:cs="Arial" w:eastAsia="Arial" w:hAnsi="Arial"/>
                <w:sz w:val="17"/>
                <w:szCs w:val="17"/>
                <w:color w:val="auto"/>
              </w:rPr>
              <w:t>Gain on/(impairment of) investments in unconsolidated entities, net</w:t>
            </w:r>
          </w:p>
        </w:tc>
        <w:tc>
          <w:tcPr>
            <w:tcW w:w="2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29"/>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Gains/(losses) on asset sales and asset impairments, net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r>
      <w:tr>
        <w:trPr>
          <w:trHeight w:val="229"/>
        </w:trPr>
        <w:tc>
          <w:tcPr>
            <w:tcW w:w="6640" w:type="dxa"/>
            <w:vAlign w:val="bottom"/>
            <w:gridSpan w:val="2"/>
          </w:tcPr>
          <w:p>
            <w:pPr>
              <w:ind w:left="20"/>
              <w:spacing w:after="0"/>
              <w:rPr>
                <w:sz w:val="20"/>
                <w:szCs w:val="20"/>
                <w:color w:val="auto"/>
              </w:rPr>
            </w:pPr>
            <w:r>
              <w:rPr>
                <w:rFonts w:ascii="Arial" w:cs="Arial" w:eastAsia="Arial" w:hAnsi="Arial"/>
                <w:sz w:val="17"/>
                <w:szCs w:val="17"/>
                <w:color w:val="auto"/>
              </w:rPr>
              <w:t>Goodwill impairment losses</w:t>
            </w:r>
          </w:p>
        </w:tc>
        <w:tc>
          <w:tcPr>
            <w:tcW w:w="2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(2,515)</w:t>
            </w:r>
          </w:p>
        </w:tc>
      </w:tr>
      <w:tr>
        <w:trPr>
          <w:trHeight w:val="216"/>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Tax effect on selected items impacting comparability</w:t>
            </w: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w:t>
            </w:r>
          </w:p>
        </w:tc>
      </w:tr>
      <w:tr>
        <w:trPr>
          <w:trHeight w:val="209"/>
        </w:trPr>
        <w:tc>
          <w:tcPr>
            <w:tcW w:w="6640" w:type="dxa"/>
            <w:vAlign w:val="bottom"/>
            <w:gridSpan w:val="2"/>
          </w:tcPr>
          <w:p>
            <w:pPr>
              <w:ind w:left="180"/>
              <w:spacing w:after="0"/>
              <w:rPr>
                <w:sz w:val="20"/>
                <w:szCs w:val="20"/>
                <w:color w:val="auto"/>
              </w:rPr>
            </w:pPr>
            <w:r>
              <w:rPr>
                <w:rFonts w:ascii="Arial" w:cs="Arial" w:eastAsia="Arial" w:hAnsi="Arial"/>
                <w:sz w:val="17"/>
                <w:szCs w:val="17"/>
                <w:color w:val="auto"/>
              </w:rPr>
              <w:t>Selected items impacting comparability - Adjusted net income attributable to PAA</w:t>
            </w:r>
          </w:p>
        </w:tc>
        <w:tc>
          <w:tcPr>
            <w:tcW w:w="2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(433)</w:t>
            </w:r>
          </w:p>
        </w:tc>
        <w:tc>
          <w:tcPr>
            <w:tcW w:w="100" w:type="dxa"/>
            <w:vAlign w:val="bottom"/>
          </w:tcPr>
          <w:p>
            <w:pPr>
              <w:spacing w:after="0"/>
              <w:rPr>
                <w:sz w:val="18"/>
                <w:szCs w:val="18"/>
                <w:color w:val="auto"/>
              </w:rPr>
            </w:pPr>
          </w:p>
        </w:tc>
        <w:tc>
          <w:tcPr>
            <w:tcW w:w="720" w:type="dxa"/>
            <w:vAlign w:val="bottom"/>
            <w:tcBorders>
              <w:bottom w:val="single" w:sz="8" w:color="auto"/>
            </w:tcBorders>
          </w:tcPr>
          <w:p>
            <w:pPr>
              <w:jc w:val="right"/>
              <w:ind w:right="538"/>
              <w:spacing w:after="0"/>
              <w:rPr>
                <w:sz w:val="20"/>
                <w:szCs w:val="20"/>
                <w:color w:val="auto"/>
              </w:rPr>
            </w:pPr>
            <w:r>
              <w:rPr>
                <w:rFonts w:ascii="Arial" w:cs="Arial" w:eastAsia="Arial" w:hAnsi="Arial"/>
                <w:sz w:val="17"/>
                <w:szCs w:val="17"/>
                <w:color w:val="auto"/>
                <w:w w:val="84"/>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(91)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(243)</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(3,393)</w:t>
            </w:r>
          </w:p>
        </w:tc>
      </w:tr>
      <w:tr>
        <w:trPr>
          <w:trHeight w:val="20"/>
        </w:trPr>
        <w:tc>
          <w:tcPr>
            <w:tcW w:w="38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56"/>
        </w:trPr>
        <w:tc>
          <w:tcPr>
            <w:tcW w:w="3880" w:type="dxa"/>
            <w:vAlign w:val="bottom"/>
            <w:tcBorders>
              <w:bottom w:val="single" w:sz="8" w:color="auto"/>
            </w:tcBorders>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r>
    </w:tbl>
    <w:p>
      <w:pPr>
        <w:spacing w:after="0" w:line="94"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Certain of our non-GAAP financial measures may not be impacted by each of the selected items impacting comparability.</w:t>
      </w:r>
    </w:p>
    <w:p>
      <w:pPr>
        <w:spacing w:after="0" w:line="45" w:lineRule="exact"/>
        <w:rPr>
          <w:rFonts w:ascii="Arial" w:cs="Arial" w:eastAsia="Arial" w:hAnsi="Arial"/>
          <w:sz w:val="19"/>
          <w:szCs w:val="19"/>
          <w:color w:val="auto"/>
          <w:vertAlign w:val="superscript"/>
        </w:rPr>
      </w:pPr>
    </w:p>
    <w:p>
      <w:pPr>
        <w:ind w:left="340" w:right="20" w:hanging="332"/>
        <w:spacing w:after="0" w:line="249" w:lineRule="auto"/>
        <w:tabs>
          <w:tab w:leader="none" w:pos="327" w:val="left"/>
        </w:tabs>
        <w:numPr>
          <w:ilvl w:val="0"/>
          <w:numId w:val="17"/>
        </w:numPr>
        <w:rPr>
          <w:rFonts w:ascii="Arial" w:cs="Arial" w:eastAsia="Arial" w:hAnsi="Arial"/>
          <w:sz w:val="17"/>
          <w:szCs w:val="17"/>
          <w:color w:val="auto"/>
          <w:vertAlign w:val="superscript"/>
        </w:rPr>
      </w:pPr>
      <w:r>
        <w:rPr>
          <w:rFonts w:ascii="Arial" w:cs="Arial" w:eastAsia="Arial" w:hAnsi="Arial"/>
          <w:sz w:val="13"/>
          <w:szCs w:val="13"/>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differences in the timing of earnings from the derivative instruments and the underlying transactions and exclude the related gains and losses in determining adjusted results such that the earnings from the derivative instruments and the underlying transactions impact adjusted results in the same period. In addition, we exclude gains and losses on derivatives that are related to investing activities, such as the purchase of linefill.</w:t>
      </w:r>
    </w:p>
    <w:p>
      <w:pPr>
        <w:spacing w:after="0" w:line="28" w:lineRule="exact"/>
        <w:rPr>
          <w:rFonts w:ascii="Arial" w:cs="Arial" w:eastAsia="Arial" w:hAnsi="Arial"/>
          <w:sz w:val="17"/>
          <w:szCs w:val="17"/>
          <w:color w:val="auto"/>
          <w:vertAlign w:val="superscript"/>
        </w:rPr>
      </w:pPr>
    </w:p>
    <w:p>
      <w:pPr>
        <w:ind w:left="340" w:right="20" w:hanging="332"/>
        <w:spacing w:after="0" w:line="251" w:lineRule="auto"/>
        <w:tabs>
          <w:tab w:leader="none" w:pos="327" w:val="left"/>
        </w:tabs>
        <w:numPr>
          <w:ilvl w:val="0"/>
          <w:numId w:val="17"/>
        </w:numPr>
        <w:rPr>
          <w:rFonts w:ascii="Arial" w:cs="Arial" w:eastAsia="Arial" w:hAnsi="Arial"/>
          <w:sz w:val="17"/>
          <w:szCs w:val="17"/>
          <w:color w:val="auto"/>
          <w:vertAlign w:val="superscript"/>
        </w:rPr>
      </w:pPr>
      <w:r>
        <w:rPr>
          <w:rFonts w:ascii="Arial" w:cs="Arial" w:eastAsia="Arial" w:hAnsi="Arial"/>
          <w:sz w:val="13"/>
          <w:szCs w:val="13"/>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28" w:lineRule="exact"/>
        <w:rPr>
          <w:rFonts w:ascii="Arial" w:cs="Arial" w:eastAsia="Arial" w:hAnsi="Arial"/>
          <w:sz w:val="17"/>
          <w:szCs w:val="17"/>
          <w:color w:val="auto"/>
          <w:vertAlign w:val="superscript"/>
        </w:rPr>
      </w:pPr>
    </w:p>
    <w:p>
      <w:pPr>
        <w:ind w:left="340" w:right="60" w:hanging="332"/>
        <w:spacing w:after="0" w:line="256" w:lineRule="auto"/>
        <w:tabs>
          <w:tab w:leader="none" w:pos="327" w:val="left"/>
        </w:tabs>
        <w:numPr>
          <w:ilvl w:val="0"/>
          <w:numId w:val="17"/>
        </w:numPr>
        <w:rPr>
          <w:rFonts w:ascii="Arial" w:cs="Arial" w:eastAsia="Arial" w:hAnsi="Arial"/>
          <w:sz w:val="17"/>
          <w:szCs w:val="17"/>
          <w:color w:val="auto"/>
          <w:vertAlign w:val="superscript"/>
        </w:rPr>
      </w:pPr>
      <w:r>
        <w:rPr>
          <w:rFonts w:ascii="Arial" w:cs="Arial" w:eastAsia="Arial" w:hAnsi="Arial"/>
          <w:sz w:val="13"/>
          <w:szCs w:val="13"/>
          <w:color w:val="auto"/>
        </w:rPr>
        <w:t>We, and certain of our equity method investments,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or our equity method investees,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or our equity method investees,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27" w:lineRule="exact"/>
        <w:rPr>
          <w:rFonts w:ascii="Arial" w:cs="Arial" w:eastAsia="Arial" w:hAnsi="Arial"/>
          <w:sz w:val="17"/>
          <w:szCs w:val="17"/>
          <w:color w:val="auto"/>
          <w:vertAlign w:val="superscript"/>
        </w:rPr>
      </w:pPr>
    </w:p>
    <w:p>
      <w:pPr>
        <w:ind w:left="340" w:right="40" w:hanging="332"/>
        <w:spacing w:after="0" w:line="228" w:lineRule="auto"/>
        <w:tabs>
          <w:tab w:leader="none" w:pos="327"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The portion of compensation expense associated with awards that will be settled in cash is not considered a selected item impacting comparability.</w:t>
      </w:r>
    </w:p>
    <w:p>
      <w:pPr>
        <w:spacing w:after="0" w:line="35" w:lineRule="exact"/>
        <w:rPr>
          <w:rFonts w:ascii="Arial" w:cs="Arial" w:eastAsia="Arial" w:hAnsi="Arial"/>
          <w:sz w:val="19"/>
          <w:szCs w:val="19"/>
          <w:color w:val="auto"/>
          <w:vertAlign w:val="superscript"/>
        </w:rPr>
      </w:pPr>
    </w:p>
    <w:p>
      <w:pPr>
        <w:ind w:left="340" w:right="80" w:hanging="332"/>
        <w:spacing w:after="0" w:line="224" w:lineRule="auto"/>
        <w:tabs>
          <w:tab w:leader="none" w:pos="327"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During the periods presented, there were fluctuations in the value of the Canadian dollar to the U.S. dollar,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thus classified as a selected item impacting comparability.</w:t>
      </w:r>
    </w:p>
    <w:p>
      <w:pPr>
        <w:spacing w:after="0" w:line="1" w:lineRule="exact"/>
        <w:rPr>
          <w:rFonts w:ascii="Arial" w:cs="Arial" w:eastAsia="Arial" w:hAnsi="Arial"/>
          <w:sz w:val="19"/>
          <w:szCs w:val="19"/>
          <w:color w:val="auto"/>
          <w:vertAlign w:val="superscript"/>
        </w:rPr>
      </w:pPr>
    </w:p>
    <w:p>
      <w:pPr>
        <w:ind w:left="320" w:hanging="312"/>
        <w:spacing w:after="0" w:line="237" w:lineRule="auto"/>
        <w:tabs>
          <w:tab w:leader="none" w:pos="32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Includes expenses associated with the Permian Basin joint venture transaction announced in July 2021 and the acquisition of Felix Midstream LLC in February 2020.</w:t>
      </w:r>
    </w:p>
    <w:p>
      <w:pPr>
        <w:spacing w:after="0" w:line="46" w:lineRule="exact"/>
        <w:rPr>
          <w:rFonts w:ascii="Arial" w:cs="Arial" w:eastAsia="Arial" w:hAnsi="Arial"/>
          <w:sz w:val="19"/>
          <w:szCs w:val="19"/>
          <w:color w:val="auto"/>
          <w:vertAlign w:val="superscript"/>
        </w:rPr>
      </w:pPr>
    </w:p>
    <w:p>
      <w:pPr>
        <w:ind w:left="320" w:hanging="312"/>
        <w:spacing w:after="0" w:line="186" w:lineRule="auto"/>
        <w:tabs>
          <w:tab w:leader="none" w:pos="32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Includes net gains recognized in connection with the repurchase of our outstanding senior notes on the open market.</w:t>
      </w:r>
    </w:p>
    <w:p>
      <w:pPr>
        <w:spacing w:after="0" w:line="241" w:lineRule="exact"/>
        <w:rPr>
          <w:rFonts w:ascii="Arial" w:cs="Arial" w:eastAsia="Arial" w:hAnsi="Arial"/>
          <w:sz w:val="19"/>
          <w:szCs w:val="19"/>
          <w:color w:val="auto"/>
          <w:vertAlign w:val="superscript"/>
        </w:rPr>
      </w:pPr>
    </w:p>
    <w:p>
      <w:pPr>
        <w:ind w:left="5440" w:hanging="106"/>
        <w:spacing w:after="0"/>
        <w:tabs>
          <w:tab w:leader="none" w:pos="54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Page 17</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7" w:lineRule="exact"/>
        <w:rPr>
          <w:sz w:val="20"/>
          <w:szCs w:val="20"/>
          <w:color w:val="auto"/>
        </w:rPr>
      </w:pPr>
    </w:p>
    <w:p>
      <w:pPr>
        <w:jc w:val="center"/>
        <w:ind w:left="8980"/>
        <w:spacing w:after="0"/>
        <w:rPr>
          <w:sz w:val="20"/>
          <w:szCs w:val="20"/>
          <w:color w:val="auto"/>
        </w:rPr>
      </w:pPr>
      <w:r>
        <w:rPr>
          <w:rFonts w:ascii="Arial" w:cs="Arial" w:eastAsia="Arial" w:hAnsi="Arial"/>
          <w:sz w:val="14"/>
          <w:szCs w:val="14"/>
          <w:b w:val="1"/>
          <w:bCs w:val="1"/>
          <w:color w:val="auto"/>
        </w:rPr>
        <w:t>Twelve Months Ended</w:t>
      </w:r>
    </w:p>
    <w:p>
      <w:pPr>
        <w:jc w:val="center"/>
        <w:ind w:left="898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80" w:type="dxa"/>
            <w:vAlign w:val="bottom"/>
            <w:tcBorders>
              <w:bottom w:val="single" w:sz="8" w:color="CCEEFF"/>
            </w:tcBorders>
          </w:tcPr>
          <w:p>
            <w:pPr>
              <w:spacing w:after="0"/>
              <w:rPr>
                <w:sz w:val="16"/>
                <w:szCs w:val="16"/>
                <w:color w:val="auto"/>
              </w:rPr>
            </w:pPr>
          </w:p>
        </w:tc>
        <w:tc>
          <w:tcPr>
            <w:tcW w:w="51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2019</w:t>
            </w:r>
          </w:p>
        </w:tc>
      </w:tr>
      <w:tr>
        <w:trPr>
          <w:trHeight w:val="197"/>
        </w:trPr>
        <w:tc>
          <w:tcPr>
            <w:tcW w:w="9000" w:type="dxa"/>
            <w:vAlign w:val="bottom"/>
            <w:gridSpan w:val="2"/>
            <w:shd w:val="clear" w:color="auto" w:fill="CCEEFF"/>
          </w:tcPr>
          <w:p>
            <w:pPr>
              <w:ind w:left="20"/>
              <w:spacing w:after="0" w:line="198" w:lineRule="exact"/>
              <w:rPr>
                <w:sz w:val="20"/>
                <w:szCs w:val="20"/>
                <w:color w:val="auto"/>
              </w:rPr>
            </w:pPr>
            <w:r>
              <w:rPr>
                <w:rFonts w:ascii="Arial" w:cs="Arial" w:eastAsia="Arial" w:hAnsi="Arial"/>
                <w:sz w:val="17"/>
                <w:szCs w:val="17"/>
                <w:b w:val="1"/>
                <w:bCs w:val="1"/>
                <w:color w:val="auto"/>
              </w:rPr>
              <w:t xml:space="preserve">Selected Items Impacting Comparability: </w:t>
            </w:r>
            <w:r>
              <w:rPr>
                <w:rFonts w:ascii="Arial" w:cs="Arial" w:eastAsia="Arial" w:hAnsi="Arial"/>
                <w:sz w:val="22"/>
                <w:szCs w:val="22"/>
                <w:b w:val="1"/>
                <w:bCs w:val="1"/>
                <w:color w:val="auto"/>
                <w:vertAlign w:val="superscript"/>
              </w:rPr>
              <w:t>(1)</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16"/>
        </w:trPr>
        <w:tc>
          <w:tcPr>
            <w:tcW w:w="900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 xml:space="preserve">Losses from derivative activities and inventory valuation adjustments </w:t>
            </w:r>
            <w:r>
              <w:rPr>
                <w:rFonts w:ascii="Arial" w:cs="Arial" w:eastAsia="Arial" w:hAnsi="Arial"/>
                <w:sz w:val="22"/>
                <w:szCs w:val="22"/>
                <w:color w:val="auto"/>
                <w:vertAlign w:val="superscript"/>
              </w:rPr>
              <w:t>(2)</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(460)</w:t>
            </w:r>
          </w:p>
        </w:tc>
        <w:tc>
          <w:tcPr>
            <w:tcW w:w="12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(158)</w:t>
            </w:r>
          </w:p>
        </w:tc>
      </w:tr>
      <w:tr>
        <w:trPr>
          <w:trHeight w:val="216"/>
        </w:trPr>
        <w:tc>
          <w:tcPr>
            <w:tcW w:w="900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Long-term inventory costing adjustments </w:t>
            </w:r>
            <w:r>
              <w:rPr>
                <w:rFonts w:ascii="Arial" w:cs="Arial" w:eastAsia="Arial" w:hAnsi="Arial"/>
                <w:sz w:val="22"/>
                <w:szCs w:val="22"/>
                <w:color w:val="auto"/>
                <w:vertAlign w:val="superscript"/>
              </w:rPr>
              <w:t>(3)</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r>
      <w:tr>
        <w:trPr>
          <w:trHeight w:val="216"/>
        </w:trPr>
        <w:tc>
          <w:tcPr>
            <w:tcW w:w="900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 xml:space="preserve">Deficiencies under minimum volume commitments, net </w:t>
            </w:r>
            <w:r>
              <w:rPr>
                <w:rFonts w:ascii="Arial" w:cs="Arial" w:eastAsia="Arial" w:hAnsi="Arial"/>
                <w:sz w:val="22"/>
                <w:szCs w:val="22"/>
                <w:color w:val="auto"/>
                <w:vertAlign w:val="superscript"/>
              </w:rPr>
              <w:t>(4)</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6"/>
        </w:trPr>
        <w:tc>
          <w:tcPr>
            <w:tcW w:w="900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Equity-indexed compensation expense </w:t>
            </w:r>
            <w:r>
              <w:rPr>
                <w:rFonts w:ascii="Arial" w:cs="Arial" w:eastAsia="Arial" w:hAnsi="Arial"/>
                <w:sz w:val="22"/>
                <w:szCs w:val="22"/>
                <w:color w:val="auto"/>
                <w:vertAlign w:val="superscript"/>
              </w:rPr>
              <w:t>(5)</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16"/>
        </w:trPr>
        <w:tc>
          <w:tcPr>
            <w:tcW w:w="900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 xml:space="preserve">Net gain on foreign currency revaluation </w:t>
            </w:r>
            <w:r>
              <w:rPr>
                <w:rFonts w:ascii="Arial" w:cs="Arial" w:eastAsia="Arial" w:hAnsi="Arial"/>
                <w:sz w:val="22"/>
                <w:szCs w:val="22"/>
                <w:color w:val="auto"/>
                <w:vertAlign w:val="superscript"/>
              </w:rPr>
              <w:t>(6)</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6"/>
        </w:trPr>
        <w:tc>
          <w:tcPr>
            <w:tcW w:w="900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Line 901 incident </w:t>
            </w:r>
            <w:r>
              <w:rPr>
                <w:rFonts w:ascii="Arial" w:cs="Arial" w:eastAsia="Arial" w:hAnsi="Arial"/>
                <w:sz w:val="22"/>
                <w:szCs w:val="22"/>
                <w:color w:val="auto"/>
                <w:vertAlign w:val="superscript"/>
              </w:rPr>
              <w:t>(7)</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29"/>
        </w:trPr>
        <w:tc>
          <w:tcPr>
            <w:tcW w:w="9000" w:type="dxa"/>
            <w:vAlign w:val="bottom"/>
            <w:gridSpan w:val="2"/>
          </w:tcPr>
          <w:p>
            <w:pPr>
              <w:ind w:left="20"/>
              <w:spacing w:after="0" w:line="229" w:lineRule="exact"/>
              <w:rPr>
                <w:sz w:val="20"/>
                <w:szCs w:val="20"/>
                <w:color w:val="auto"/>
              </w:rPr>
            </w:pPr>
            <w:r>
              <w:rPr>
                <w:rFonts w:ascii="Arial" w:cs="Arial" w:eastAsia="Arial" w:hAnsi="Arial"/>
                <w:sz w:val="17"/>
                <w:szCs w:val="17"/>
                <w:color w:val="auto"/>
              </w:rPr>
              <w:t xml:space="preserve">Significant transaction-related expenses </w:t>
            </w:r>
            <w:r>
              <w:rPr>
                <w:rFonts w:ascii="Arial" w:cs="Arial" w:eastAsia="Arial" w:hAnsi="Arial"/>
                <w:sz w:val="22"/>
                <w:szCs w:val="22"/>
                <w:color w:val="auto"/>
                <w:vertAlign w:val="superscript"/>
              </w:rPr>
              <w:t>(8)</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000" w:type="dxa"/>
            <w:vAlign w:val="bottom"/>
            <w:gridSpan w:val="2"/>
            <w:shd w:val="clear" w:color="auto" w:fill="CCEEFF"/>
          </w:tcPr>
          <w:p>
            <w:pPr>
              <w:ind w:left="20"/>
              <w:spacing w:after="0" w:line="229" w:lineRule="exact"/>
              <w:rPr>
                <w:sz w:val="20"/>
                <w:szCs w:val="20"/>
                <w:color w:val="auto"/>
              </w:rPr>
            </w:pPr>
            <w:r>
              <w:rPr>
                <w:rFonts w:ascii="Arial" w:cs="Arial" w:eastAsia="Arial" w:hAnsi="Arial"/>
                <w:sz w:val="17"/>
                <w:szCs w:val="17"/>
                <w:color w:val="auto"/>
              </w:rPr>
              <w:t xml:space="preserve">Net gain on early repayment of senior notes </w:t>
            </w:r>
            <w:r>
              <w:rPr>
                <w:rFonts w:ascii="Arial" w:cs="Arial" w:eastAsia="Arial" w:hAnsi="Arial"/>
                <w:sz w:val="22"/>
                <w:szCs w:val="22"/>
                <w:color w:val="auto"/>
                <w:vertAlign w:val="superscript"/>
              </w:rPr>
              <w:t>(9)</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9000" w:type="dxa"/>
            <w:vAlign w:val="bottom"/>
            <w:gridSpan w:val="2"/>
          </w:tcPr>
          <w:p>
            <w:pPr>
              <w:ind w:left="180"/>
              <w:spacing w:after="0"/>
              <w:rPr>
                <w:sz w:val="20"/>
                <w:szCs w:val="20"/>
                <w:color w:val="auto"/>
              </w:rPr>
            </w:pPr>
            <w:r>
              <w:rPr>
                <w:rFonts w:ascii="Arial" w:cs="Arial" w:eastAsia="Arial" w:hAnsi="Arial"/>
                <w:sz w:val="17"/>
                <w:szCs w:val="17"/>
                <w:color w:val="auto"/>
              </w:rPr>
              <w:t>Selected items impacting comparability - Adjusted EBITDA</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(581)</w:t>
            </w:r>
          </w:p>
        </w:tc>
        <w:tc>
          <w:tcPr>
            <w:tcW w:w="12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(146)</w:t>
            </w:r>
          </w:p>
        </w:tc>
      </w:tr>
      <w:tr>
        <w:trPr>
          <w:trHeight w:val="216"/>
        </w:trPr>
        <w:tc>
          <w:tcPr>
            <w:tcW w:w="900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Losses from derivative activities </w:t>
            </w:r>
            <w:r>
              <w:rPr>
                <w:rFonts w:ascii="Arial" w:cs="Arial" w:eastAsia="Arial" w:hAnsi="Arial"/>
                <w:sz w:val="22"/>
                <w:szCs w:val="22"/>
                <w:color w:val="auto"/>
                <w:vertAlign w:val="superscript"/>
              </w:rPr>
              <w:t>(2)</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30"/>
        </w:trPr>
        <w:tc>
          <w:tcPr>
            <w:tcW w:w="9000" w:type="dxa"/>
            <w:vAlign w:val="bottom"/>
            <w:gridSpan w:val="2"/>
          </w:tcPr>
          <w:p>
            <w:pPr>
              <w:ind w:left="20"/>
              <w:spacing w:after="0"/>
              <w:rPr>
                <w:sz w:val="20"/>
                <w:szCs w:val="20"/>
                <w:color w:val="auto"/>
              </w:rPr>
            </w:pPr>
            <w:r>
              <w:rPr>
                <w:rFonts w:ascii="Arial" w:cs="Arial" w:eastAsia="Arial" w:hAnsi="Arial"/>
                <w:sz w:val="17"/>
                <w:szCs w:val="17"/>
                <w:color w:val="auto"/>
              </w:rPr>
              <w:t>Gain on/(impairment of) investments in unconsolidated entities, net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271</w:t>
            </w:r>
          </w:p>
        </w:tc>
      </w:tr>
      <w:tr>
        <w:trPr>
          <w:trHeight w:val="229"/>
        </w:trPr>
        <w:tc>
          <w:tcPr>
            <w:tcW w:w="9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Gains/(losses) on asset sales and asset impairments, net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9000" w:type="dxa"/>
            <w:vAlign w:val="bottom"/>
            <w:gridSpan w:val="2"/>
          </w:tcPr>
          <w:p>
            <w:pPr>
              <w:ind w:left="20"/>
              <w:spacing w:after="0"/>
              <w:rPr>
                <w:sz w:val="20"/>
                <w:szCs w:val="20"/>
                <w:color w:val="auto"/>
              </w:rPr>
            </w:pPr>
            <w:r>
              <w:rPr>
                <w:rFonts w:ascii="Arial" w:cs="Arial" w:eastAsia="Arial" w:hAnsi="Arial"/>
                <w:sz w:val="17"/>
                <w:szCs w:val="17"/>
                <w:color w:val="auto"/>
              </w:rPr>
              <w:t>Goodwill impairment losses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9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Tax effect on selected items impacting comparability</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09"/>
        </w:trPr>
        <w:tc>
          <w:tcPr>
            <w:tcW w:w="9000" w:type="dxa"/>
            <w:vAlign w:val="bottom"/>
            <w:gridSpan w:val="2"/>
          </w:tcPr>
          <w:p>
            <w:pPr>
              <w:ind w:left="180"/>
              <w:spacing w:after="0"/>
              <w:rPr>
                <w:sz w:val="20"/>
                <w:szCs w:val="20"/>
                <w:color w:val="auto"/>
              </w:rPr>
            </w:pPr>
            <w:r>
              <w:rPr>
                <w:rFonts w:ascii="Arial" w:cs="Arial" w:eastAsia="Arial" w:hAnsi="Arial"/>
                <w:sz w:val="17"/>
                <w:szCs w:val="17"/>
                <w:color w:val="auto"/>
              </w:rPr>
              <w:t>Selected items impacting comparability - Adjusted net income attributable to PAA</w:t>
            </w: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(3,921)</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w:t>
            </w:r>
          </w:p>
        </w:tc>
      </w:tr>
      <w:tr>
        <w:trPr>
          <w:trHeight w:val="21"/>
        </w:trPr>
        <w:tc>
          <w:tcPr>
            <w:tcW w:w="38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55"/>
        </w:trPr>
        <w:tc>
          <w:tcPr>
            <w:tcW w:w="3880" w:type="dxa"/>
            <w:vAlign w:val="bottom"/>
            <w:tcBorders>
              <w:bottom w:val="single" w:sz="8" w:color="auto"/>
            </w:tcBorders>
          </w:tcPr>
          <w:p>
            <w:pPr>
              <w:spacing w:after="0"/>
              <w:rPr>
                <w:sz w:val="13"/>
                <w:szCs w:val="13"/>
                <w:color w:val="auto"/>
              </w:rPr>
            </w:pPr>
          </w:p>
        </w:tc>
        <w:tc>
          <w:tcPr>
            <w:tcW w:w="5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r>
    </w:tbl>
    <w:p>
      <w:pPr>
        <w:spacing w:after="0" w:line="103"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8"/>
          <w:szCs w:val="18"/>
          <w:color w:val="auto"/>
          <w:vertAlign w:val="superscript"/>
        </w:rPr>
      </w:pPr>
      <w:r>
        <w:rPr>
          <w:rFonts w:ascii="Arial" w:cs="Arial" w:eastAsia="Arial" w:hAnsi="Arial"/>
          <w:sz w:val="13"/>
          <w:szCs w:val="13"/>
          <w:color w:val="auto"/>
        </w:rPr>
        <w:t>Certain of our non-GAAP financial measures may not be impacted by each of the selected items impacting comparability.</w:t>
      </w:r>
    </w:p>
    <w:p>
      <w:pPr>
        <w:spacing w:after="0" w:line="49" w:lineRule="exact"/>
        <w:rPr>
          <w:rFonts w:ascii="Arial" w:cs="Arial" w:eastAsia="Arial" w:hAnsi="Arial"/>
          <w:sz w:val="18"/>
          <w:szCs w:val="18"/>
          <w:color w:val="auto"/>
          <w:vertAlign w:val="superscript"/>
        </w:rPr>
      </w:pPr>
    </w:p>
    <w:p>
      <w:pPr>
        <w:ind w:left="340" w:right="20" w:hanging="332"/>
        <w:spacing w:after="0" w:line="243" w:lineRule="auto"/>
        <w:tabs>
          <w:tab w:leader="none" w:pos="334" w:val="left"/>
        </w:tabs>
        <w:numPr>
          <w:ilvl w:val="0"/>
          <w:numId w:val="18"/>
        </w:numPr>
        <w:rPr>
          <w:rFonts w:ascii="Arial" w:cs="Arial" w:eastAsia="Arial" w:hAnsi="Arial"/>
          <w:sz w:val="18"/>
          <w:szCs w:val="18"/>
          <w:color w:val="auto"/>
          <w:vertAlign w:val="superscript"/>
        </w:rPr>
      </w:pPr>
      <w:r>
        <w:rPr>
          <w:rFonts w:ascii="Arial" w:cs="Arial" w:eastAsia="Arial" w:hAnsi="Arial"/>
          <w:sz w:val="13"/>
          <w:szCs w:val="13"/>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differences in the timing of earnings from the derivative instruments and the underlying transactions and exclude the related gains and losses in determining adjusted results such that the earnings from the derivative instruments and the underlying transactions impact adjusted results in the same period. In addition, we exclude gains and losses on derivatives that are related to investing activities, such as the purchase of linefill.</w:t>
      </w:r>
    </w:p>
    <w:p>
      <w:pPr>
        <w:spacing w:after="0" w:line="43" w:lineRule="exact"/>
        <w:rPr>
          <w:rFonts w:ascii="Arial" w:cs="Arial" w:eastAsia="Arial" w:hAnsi="Arial"/>
          <w:sz w:val="18"/>
          <w:szCs w:val="18"/>
          <w:color w:val="auto"/>
          <w:vertAlign w:val="superscript"/>
        </w:rPr>
      </w:pPr>
    </w:p>
    <w:p>
      <w:pPr>
        <w:ind w:left="340" w:right="20" w:hanging="332"/>
        <w:spacing w:after="0" w:line="241" w:lineRule="auto"/>
        <w:tabs>
          <w:tab w:leader="none" w:pos="334" w:val="left"/>
        </w:tabs>
        <w:numPr>
          <w:ilvl w:val="0"/>
          <w:numId w:val="18"/>
        </w:numPr>
        <w:rPr>
          <w:rFonts w:ascii="Arial" w:cs="Arial" w:eastAsia="Arial" w:hAnsi="Arial"/>
          <w:sz w:val="18"/>
          <w:szCs w:val="18"/>
          <w:color w:val="auto"/>
          <w:vertAlign w:val="superscript"/>
        </w:rPr>
      </w:pPr>
      <w:r>
        <w:rPr>
          <w:rFonts w:ascii="Arial" w:cs="Arial" w:eastAsia="Arial" w:hAnsi="Arial"/>
          <w:sz w:val="13"/>
          <w:szCs w:val="13"/>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43" w:lineRule="exact"/>
        <w:rPr>
          <w:rFonts w:ascii="Arial" w:cs="Arial" w:eastAsia="Arial" w:hAnsi="Arial"/>
          <w:sz w:val="18"/>
          <w:szCs w:val="18"/>
          <w:color w:val="auto"/>
          <w:vertAlign w:val="superscript"/>
        </w:rPr>
      </w:pPr>
    </w:p>
    <w:p>
      <w:pPr>
        <w:ind w:left="340" w:right="100" w:hanging="332"/>
        <w:spacing w:after="0" w:line="252" w:lineRule="auto"/>
        <w:tabs>
          <w:tab w:leader="none" w:pos="334" w:val="left"/>
        </w:tabs>
        <w:numPr>
          <w:ilvl w:val="0"/>
          <w:numId w:val="18"/>
        </w:numPr>
        <w:rPr>
          <w:rFonts w:ascii="Arial" w:cs="Arial" w:eastAsia="Arial" w:hAnsi="Arial"/>
          <w:sz w:val="18"/>
          <w:szCs w:val="18"/>
          <w:color w:val="auto"/>
          <w:vertAlign w:val="superscript"/>
        </w:rPr>
      </w:pPr>
      <w:r>
        <w:rPr>
          <w:rFonts w:ascii="Arial" w:cs="Arial" w:eastAsia="Arial" w:hAnsi="Arial"/>
          <w:sz w:val="13"/>
          <w:szCs w:val="13"/>
          <w:color w:val="auto"/>
        </w:rPr>
        <w:t>We, and certain of our equity method investments,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or our equity method investees,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or our equity method investees,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38" w:lineRule="exact"/>
        <w:rPr>
          <w:rFonts w:ascii="Arial" w:cs="Arial" w:eastAsia="Arial" w:hAnsi="Arial"/>
          <w:sz w:val="18"/>
          <w:szCs w:val="18"/>
          <w:color w:val="auto"/>
          <w:vertAlign w:val="superscript"/>
        </w:rPr>
      </w:pPr>
    </w:p>
    <w:p>
      <w:pPr>
        <w:jc w:val="both"/>
        <w:ind w:left="340" w:right="140" w:hanging="332"/>
        <w:spacing w:after="0" w:line="241" w:lineRule="auto"/>
        <w:tabs>
          <w:tab w:leader="none" w:pos="334" w:val="left"/>
        </w:tabs>
        <w:numPr>
          <w:ilvl w:val="0"/>
          <w:numId w:val="18"/>
        </w:numPr>
        <w:rPr>
          <w:rFonts w:ascii="Arial" w:cs="Arial" w:eastAsia="Arial" w:hAnsi="Arial"/>
          <w:sz w:val="18"/>
          <w:szCs w:val="18"/>
          <w:color w:val="auto"/>
          <w:vertAlign w:val="superscript"/>
        </w:rPr>
      </w:pPr>
      <w:r>
        <w:rPr>
          <w:rFonts w:ascii="Arial" w:cs="Arial" w:eastAsia="Arial" w:hAnsi="Arial"/>
          <w:sz w:val="13"/>
          <w:szCs w:val="13"/>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The portion of compensation expense associated with awards that will be settled in cash is not considered a selected item impacting comparability.</w:t>
      </w:r>
    </w:p>
    <w:p>
      <w:pPr>
        <w:spacing w:after="0" w:line="43" w:lineRule="exact"/>
        <w:rPr>
          <w:rFonts w:ascii="Arial" w:cs="Arial" w:eastAsia="Arial" w:hAnsi="Arial"/>
          <w:sz w:val="18"/>
          <w:szCs w:val="18"/>
          <w:color w:val="auto"/>
          <w:vertAlign w:val="superscript"/>
        </w:rPr>
      </w:pPr>
    </w:p>
    <w:p>
      <w:pPr>
        <w:jc w:val="both"/>
        <w:ind w:left="340" w:right="120" w:hanging="332"/>
        <w:spacing w:after="0" w:line="235" w:lineRule="auto"/>
        <w:tabs>
          <w:tab w:leader="none" w:pos="334" w:val="left"/>
        </w:tabs>
        <w:numPr>
          <w:ilvl w:val="0"/>
          <w:numId w:val="18"/>
        </w:numPr>
        <w:rPr>
          <w:rFonts w:ascii="Arial" w:cs="Arial" w:eastAsia="Arial" w:hAnsi="Arial"/>
          <w:sz w:val="18"/>
          <w:szCs w:val="18"/>
          <w:color w:val="auto"/>
          <w:vertAlign w:val="superscript"/>
        </w:rPr>
      </w:pPr>
      <w:r>
        <w:rPr>
          <w:rFonts w:ascii="Arial" w:cs="Arial" w:eastAsia="Arial" w:hAnsi="Arial"/>
          <w:sz w:val="13"/>
          <w:szCs w:val="13"/>
          <w:color w:val="auto"/>
        </w:rPr>
        <w:t>During the periods presented, there were fluctuations in the value of the Canadian dollar to the U.S. dollar,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thus classified as a selected item impacting comparability.</w:t>
      </w:r>
    </w:p>
    <w:p>
      <w:pPr>
        <w:spacing w:after="0" w:line="9" w:lineRule="exact"/>
        <w:rPr>
          <w:rFonts w:ascii="Arial" w:cs="Arial" w:eastAsia="Arial" w:hAnsi="Arial"/>
          <w:sz w:val="18"/>
          <w:szCs w:val="18"/>
          <w:color w:val="auto"/>
          <w:vertAlign w:val="superscript"/>
        </w:rPr>
      </w:pPr>
    </w:p>
    <w:p>
      <w:pPr>
        <w:ind w:left="320" w:hanging="312"/>
        <w:spacing w:after="0"/>
        <w:tabs>
          <w:tab w:leader="none" w:pos="320" w:val="left"/>
        </w:tabs>
        <w:numPr>
          <w:ilvl w:val="0"/>
          <w:numId w:val="18"/>
        </w:numPr>
        <w:rPr>
          <w:rFonts w:ascii="Arial" w:cs="Arial" w:eastAsia="Arial" w:hAnsi="Arial"/>
          <w:sz w:val="18"/>
          <w:szCs w:val="18"/>
          <w:color w:val="auto"/>
          <w:vertAlign w:val="superscript"/>
        </w:rPr>
      </w:pPr>
      <w:r>
        <w:rPr>
          <w:rFonts w:ascii="Arial" w:cs="Arial" w:eastAsia="Arial" w:hAnsi="Arial"/>
          <w:sz w:val="13"/>
          <w:szCs w:val="13"/>
          <w:color w:val="auto"/>
        </w:rPr>
        <w:t>Includes costs recognized during the period related to the Line 901 incident that occurred in May 2015, net of amounts we believe are probable of recovery from insurance.</w:t>
      </w:r>
    </w:p>
    <w:p>
      <w:pPr>
        <w:spacing w:after="0" w:line="49" w:lineRule="exact"/>
        <w:rPr>
          <w:rFonts w:ascii="Arial" w:cs="Arial" w:eastAsia="Arial" w:hAnsi="Arial"/>
          <w:sz w:val="18"/>
          <w:szCs w:val="18"/>
          <w:color w:val="auto"/>
          <w:vertAlign w:val="superscript"/>
        </w:rPr>
      </w:pPr>
    </w:p>
    <w:p>
      <w:pPr>
        <w:ind w:left="320" w:hanging="312"/>
        <w:spacing w:after="0" w:line="193" w:lineRule="auto"/>
        <w:tabs>
          <w:tab w:leader="none" w:pos="320" w:val="left"/>
        </w:tabs>
        <w:numPr>
          <w:ilvl w:val="0"/>
          <w:numId w:val="18"/>
        </w:numPr>
        <w:rPr>
          <w:rFonts w:ascii="Arial" w:cs="Arial" w:eastAsia="Arial" w:hAnsi="Arial"/>
          <w:sz w:val="18"/>
          <w:szCs w:val="18"/>
          <w:color w:val="auto"/>
          <w:vertAlign w:val="superscript"/>
        </w:rPr>
      </w:pPr>
      <w:r>
        <w:rPr>
          <w:rFonts w:ascii="Arial" w:cs="Arial" w:eastAsia="Arial" w:hAnsi="Arial"/>
          <w:sz w:val="13"/>
          <w:szCs w:val="13"/>
          <w:color w:val="auto"/>
        </w:rPr>
        <w:t>Includes expenses associated with the acquisition of Felix Midstream LLC in February 2020.</w:t>
      </w:r>
    </w:p>
    <w:p>
      <w:pPr>
        <w:spacing w:after="0" w:line="49" w:lineRule="exact"/>
        <w:rPr>
          <w:rFonts w:ascii="Arial" w:cs="Arial" w:eastAsia="Arial" w:hAnsi="Arial"/>
          <w:sz w:val="18"/>
          <w:szCs w:val="18"/>
          <w:color w:val="auto"/>
          <w:vertAlign w:val="superscript"/>
        </w:rPr>
      </w:pPr>
    </w:p>
    <w:p>
      <w:pPr>
        <w:ind w:left="320" w:hanging="312"/>
        <w:spacing w:after="0" w:line="193" w:lineRule="auto"/>
        <w:tabs>
          <w:tab w:leader="none" w:pos="320" w:val="left"/>
        </w:tabs>
        <w:numPr>
          <w:ilvl w:val="0"/>
          <w:numId w:val="18"/>
        </w:numPr>
        <w:rPr>
          <w:rFonts w:ascii="Arial" w:cs="Arial" w:eastAsia="Arial" w:hAnsi="Arial"/>
          <w:sz w:val="18"/>
          <w:szCs w:val="18"/>
          <w:color w:val="auto"/>
          <w:vertAlign w:val="superscript"/>
        </w:rPr>
      </w:pPr>
      <w:r>
        <w:rPr>
          <w:rFonts w:ascii="Arial" w:cs="Arial" w:eastAsia="Arial" w:hAnsi="Arial"/>
          <w:sz w:val="13"/>
          <w:szCs w:val="13"/>
          <w:color w:val="auto"/>
        </w:rPr>
        <w:t>Includes net gains recognized in connection with the repurchase of our outstanding senior notes on the open market.</w:t>
      </w:r>
    </w:p>
    <w:p>
      <w:pPr>
        <w:spacing w:after="0" w:line="243" w:lineRule="exact"/>
        <w:rPr>
          <w:rFonts w:ascii="Arial" w:cs="Arial" w:eastAsia="Arial" w:hAnsi="Arial"/>
          <w:sz w:val="18"/>
          <w:szCs w:val="18"/>
          <w:color w:val="auto"/>
          <w:vertAlign w:val="superscript"/>
        </w:rPr>
      </w:pPr>
    </w:p>
    <w:p>
      <w:pPr>
        <w:ind w:left="5440" w:hanging="106"/>
        <w:spacing w:after="0"/>
        <w:tabs>
          <w:tab w:leader="none" w:pos="54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Page 18</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 2021</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June 30, 2020</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w w:val="95"/>
              </w:rPr>
              <w:t>Transportation</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Facilities</w:t>
            </w:r>
          </w:p>
        </w:tc>
        <w:tc>
          <w:tcPr>
            <w:tcW w:w="180" w:type="dxa"/>
            <w:vAlign w:val="bottom"/>
          </w:tcPr>
          <w:p>
            <w:pPr>
              <w:spacing w:after="0"/>
              <w:rPr>
                <w:sz w:val="11"/>
                <w:szCs w:val="11"/>
                <w:color w:val="auto"/>
              </w:rPr>
            </w:pPr>
          </w:p>
        </w:tc>
        <w:tc>
          <w:tcPr>
            <w:tcW w:w="1060" w:type="dxa"/>
            <w:vAlign w:val="bottom"/>
          </w:tcPr>
          <w:p>
            <w:pPr>
              <w:jc w:val="center"/>
              <w:ind w:right="112"/>
              <w:spacing w:after="0" w:line="130" w:lineRule="exact"/>
              <w:rPr>
                <w:sz w:val="20"/>
                <w:szCs w:val="20"/>
                <w:color w:val="auto"/>
              </w:rPr>
            </w:pPr>
            <w:r>
              <w:rPr>
                <w:rFonts w:ascii="Arial" w:cs="Arial" w:eastAsia="Arial" w:hAnsi="Arial"/>
                <w:sz w:val="14"/>
                <w:szCs w:val="14"/>
                <w:b w:val="1"/>
                <w:bCs w:val="1"/>
                <w:color w:val="auto"/>
                <w:w w:val="92"/>
              </w:rPr>
              <w:t>Supply and</w:t>
            </w:r>
          </w:p>
        </w:tc>
        <w:tc>
          <w:tcPr>
            <w:tcW w:w="22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5"/>
              </w:rPr>
              <w:t>Transportation</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Facilities</w:t>
            </w:r>
          </w:p>
        </w:tc>
        <w:tc>
          <w:tcPr>
            <w:tcW w:w="180" w:type="dxa"/>
            <w:vAlign w:val="bottom"/>
          </w:tcPr>
          <w:p>
            <w:pPr>
              <w:spacing w:after="0"/>
              <w:rPr>
                <w:sz w:val="11"/>
                <w:szCs w:val="11"/>
                <w:color w:val="auto"/>
              </w:rPr>
            </w:pPr>
          </w:p>
        </w:tc>
        <w:tc>
          <w:tcPr>
            <w:tcW w:w="1080" w:type="dxa"/>
            <w:vAlign w:val="bottom"/>
          </w:tcPr>
          <w:p>
            <w:pPr>
              <w:jc w:val="right"/>
              <w:ind w:right="192"/>
              <w:spacing w:after="0" w:line="130" w:lineRule="exact"/>
              <w:rPr>
                <w:sz w:val="20"/>
                <w:szCs w:val="20"/>
                <w:color w:val="auto"/>
              </w:rPr>
            </w:pPr>
            <w:r>
              <w:rPr>
                <w:rFonts w:ascii="Arial" w:cs="Arial" w:eastAsia="Arial" w:hAnsi="Arial"/>
                <w:sz w:val="14"/>
                <w:szCs w:val="14"/>
                <w:b w:val="1"/>
                <w:bCs w:val="1"/>
                <w:color w:val="auto"/>
              </w:rPr>
              <w:t>Supply and</w:t>
            </w:r>
          </w:p>
        </w:tc>
        <w:tc>
          <w:tcPr>
            <w:tcW w:w="0" w:type="dxa"/>
            <w:vAlign w:val="bottom"/>
          </w:tcPr>
          <w:p>
            <w:pPr>
              <w:spacing w:after="0"/>
              <w:rPr>
                <w:sz w:val="1"/>
                <w:szCs w:val="1"/>
                <w:color w:val="auto"/>
              </w:rPr>
            </w:pPr>
          </w:p>
        </w:tc>
      </w:tr>
      <w:tr>
        <w:trPr>
          <w:trHeight w:val="188"/>
        </w:trPr>
        <w:tc>
          <w:tcPr>
            <w:tcW w:w="3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1"/>
              </w:rPr>
              <w:t>Logistics</w:t>
            </w:r>
          </w:p>
        </w:tc>
        <w:tc>
          <w:tcPr>
            <w:tcW w:w="1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272"/>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24"/>
        </w:trPr>
        <w:tc>
          <w:tcPr>
            <w:tcW w:w="300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9,623</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(9,700)</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(2,903)</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 (2)</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76"/>
        </w:trPr>
        <w:tc>
          <w:tcPr>
            <w:tcW w:w="3000" w:type="dxa"/>
            <w:vAlign w:val="bottom"/>
          </w:tcPr>
          <w:p>
            <w:pPr>
              <w:ind w:left="20"/>
              <w:spacing w:after="0" w:line="176" w:lineRule="exact"/>
              <w:rPr>
                <w:sz w:val="20"/>
                <w:szCs w:val="20"/>
                <w:color w:val="auto"/>
              </w:rPr>
            </w:pPr>
            <w:r>
              <w:rPr>
                <w:rFonts w:ascii="Arial" w:cs="Arial" w:eastAsia="Arial" w:hAnsi="Arial"/>
                <w:sz w:val="18"/>
                <w:szCs w:val="18"/>
                <w:color w:val="auto"/>
              </w:rPr>
              <w:t>Segment general and administrative</w:t>
            </w:r>
          </w:p>
        </w:tc>
        <w:tc>
          <w:tcPr>
            <w:tcW w:w="140" w:type="dxa"/>
            <w:vAlign w:val="bottom"/>
          </w:tcPr>
          <w:p>
            <w:pPr>
              <w:spacing w:after="0"/>
              <w:rPr>
                <w:sz w:val="15"/>
                <w:szCs w:val="15"/>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30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(2) (3)</w:t>
            </w:r>
          </w:p>
        </w:tc>
        <w:tc>
          <w:tcPr>
            <w:tcW w:w="1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Equity earnings in unconsolidated</w:t>
            </w:r>
          </w:p>
        </w:tc>
        <w:tc>
          <w:tcPr>
            <w:tcW w:w="14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entities</w:t>
            </w:r>
          </w:p>
        </w:tc>
        <w:tc>
          <w:tcPr>
            <w:tcW w:w="14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(4)</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00" w:type="dxa"/>
            <w:vAlign w:val="bottom"/>
          </w:tcPr>
          <w:p>
            <w:pPr>
              <w:ind w:left="180"/>
              <w:spacing w:after="0" w:line="176" w:lineRule="exact"/>
              <w:rPr>
                <w:sz w:val="20"/>
                <w:szCs w:val="20"/>
                <w:color w:val="auto"/>
              </w:rPr>
            </w:pPr>
            <w:r>
              <w:rPr>
                <w:rFonts w:ascii="Arial" w:cs="Arial" w:eastAsia="Arial" w:hAnsi="Arial"/>
                <w:sz w:val="18"/>
                <w:szCs w:val="18"/>
                <w:color w:val="auto"/>
              </w:rPr>
              <w:t>Depreciation and amortization of</w:t>
            </w:r>
          </w:p>
        </w:tc>
        <w:tc>
          <w:tcPr>
            <w:tcW w:w="140" w:type="dxa"/>
            <w:vAlign w:val="bottom"/>
          </w:tcPr>
          <w:p>
            <w:pPr>
              <w:spacing w:after="0"/>
              <w:rPr>
                <w:sz w:val="15"/>
                <w:szCs w:val="15"/>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tcPr>
          <w:p>
            <w:pPr>
              <w:ind w:left="360"/>
              <w:spacing w:after="0"/>
              <w:rPr>
                <w:sz w:val="20"/>
                <w:szCs w:val="20"/>
                <w:color w:val="auto"/>
              </w:rPr>
            </w:pPr>
            <w:r>
              <w:rPr>
                <w:rFonts w:ascii="Arial" w:cs="Arial" w:eastAsia="Arial" w:hAnsi="Arial"/>
                <w:sz w:val="18"/>
                <w:szCs w:val="18"/>
                <w:color w:val="auto"/>
              </w:rPr>
              <w:t>unconsolidated entities</w:t>
            </w:r>
          </w:p>
        </w:tc>
        <w:tc>
          <w:tcPr>
            <w:tcW w:w="1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Borders>
              <w:right w:val="single" w:sz="8" w:color="auto"/>
            </w:tcBorders>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(Gains)/losses from derivative</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activities and inventory valuation</w:t>
            </w:r>
          </w:p>
        </w:tc>
        <w:tc>
          <w:tcPr>
            <w:tcW w:w="14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w:t>
            </w:r>
          </w:p>
        </w:tc>
        <w:tc>
          <w:tcPr>
            <w:tcW w:w="14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line="176" w:lineRule="exact"/>
              <w:rPr>
                <w:sz w:val="20"/>
                <w:szCs w:val="20"/>
                <w:color w:val="auto"/>
              </w:rPr>
            </w:pPr>
            <w:r>
              <w:rPr>
                <w:rFonts w:ascii="Arial" w:cs="Arial" w:eastAsia="Arial" w:hAnsi="Arial"/>
                <w:sz w:val="18"/>
                <w:szCs w:val="18"/>
                <w:color w:val="auto"/>
              </w:rPr>
              <w:t>Long-term inventory costing</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3000" w:type="dxa"/>
            <w:vAlign w:val="bottom"/>
          </w:tcPr>
          <w:p>
            <w:pPr>
              <w:ind w:left="360"/>
              <w:spacing w:after="0"/>
              <w:rPr>
                <w:sz w:val="20"/>
                <w:szCs w:val="20"/>
                <w:color w:val="auto"/>
              </w:rPr>
            </w:pPr>
            <w:r>
              <w:rPr>
                <w:rFonts w:ascii="Arial" w:cs="Arial" w:eastAsia="Arial" w:hAnsi="Arial"/>
                <w:sz w:val="18"/>
                <w:szCs w:val="18"/>
                <w:color w:val="auto"/>
              </w:rPr>
              <w:t>adjustments</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6"/>
              </w:rPr>
              <w:t>Deficiencies under minimum volume</w:t>
            </w:r>
          </w:p>
        </w:tc>
        <w:tc>
          <w:tcPr>
            <w:tcW w:w="14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commitments, net</w:t>
            </w:r>
          </w:p>
        </w:tc>
        <w:tc>
          <w:tcPr>
            <w:tcW w:w="14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180"/>
              <w:spacing w:after="0"/>
              <w:rPr>
                <w:sz w:val="20"/>
                <w:szCs w:val="20"/>
                <w:color w:val="auto"/>
              </w:rPr>
            </w:pPr>
            <w:r>
              <w:rPr>
                <w:rFonts w:ascii="Arial" w:cs="Arial" w:eastAsia="Arial" w:hAnsi="Arial"/>
                <w:sz w:val="18"/>
                <w:szCs w:val="18"/>
                <w:color w:val="auto"/>
                <w:w w:val="90"/>
              </w:rPr>
              <w:t>Equity-indexed compensation expense</w:t>
            </w:r>
          </w:p>
        </w:tc>
        <w:tc>
          <w:tcPr>
            <w:tcW w:w="1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Net gain on foreign currency</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revaluation</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line="176" w:lineRule="exact"/>
              <w:rPr>
                <w:sz w:val="20"/>
                <w:szCs w:val="20"/>
                <w:color w:val="auto"/>
              </w:rPr>
            </w:pPr>
            <w:r>
              <w:rPr>
                <w:rFonts w:ascii="Arial" w:cs="Arial" w:eastAsia="Arial" w:hAnsi="Arial"/>
                <w:sz w:val="18"/>
                <w:szCs w:val="18"/>
                <w:color w:val="auto"/>
              </w:rPr>
              <w:t>Significant transaction-related</w:t>
            </w:r>
          </w:p>
        </w:tc>
        <w:tc>
          <w:tcPr>
            <w:tcW w:w="140" w:type="dxa"/>
            <w:vAlign w:val="bottom"/>
          </w:tcPr>
          <w:p>
            <w:pPr>
              <w:spacing w:after="0"/>
              <w:rPr>
                <w:sz w:val="15"/>
                <w:szCs w:val="15"/>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00" w:type="dxa"/>
            <w:vAlign w:val="bottom"/>
          </w:tcPr>
          <w:p>
            <w:pPr>
              <w:ind w:left="360"/>
              <w:spacing w:after="0"/>
              <w:rPr>
                <w:sz w:val="20"/>
                <w:szCs w:val="20"/>
                <w:color w:val="auto"/>
              </w:rPr>
            </w:pPr>
            <w:r>
              <w:rPr>
                <w:rFonts w:ascii="Arial" w:cs="Arial" w:eastAsia="Arial" w:hAnsi="Arial"/>
                <w:sz w:val="18"/>
                <w:szCs w:val="18"/>
                <w:color w:val="auto"/>
              </w:rPr>
              <w:t>expenses</w:t>
            </w:r>
          </w:p>
        </w:tc>
        <w:tc>
          <w:tcPr>
            <w:tcW w:w="1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0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sectPr>
          <w:pgSz w:w="11900" w:h="16838" w:orient="portrait"/>
          <w:cols w:equalWidth="0" w:num="1">
            <w:col w:w="11180"/>
          </w:cols>
          <w:pgMar w:left="320" w:top="368" w:right="39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Includes intersegment amounts.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Field operating costs and Segment general and administrative expenses include equity-indexed compensation expense.</w:t>
      </w:r>
    </w:p>
    <w:p>
      <w:pPr>
        <w:spacing w:after="0" w:line="86" w:lineRule="exact"/>
        <w:rPr>
          <w:sz w:val="20"/>
          <w:szCs w:val="20"/>
          <w:color w:val="auto"/>
        </w:rPr>
      </w:pPr>
    </w:p>
    <w:p>
      <w:pPr>
        <w:sectPr>
          <w:pgSz w:w="11900" w:h="16838" w:orient="portrait"/>
          <w:cols w:equalWidth="0" w:num="2">
            <w:col w:w="140" w:space="180"/>
            <w:col w:w="10860"/>
          </w:cols>
          <w:pgMar w:left="320" w:top="368" w:right="399" w:bottom="1440" w:gutter="0" w:footer="0" w:header="0"/>
          <w:type w:val="continuous"/>
        </w:sectPr>
      </w:pPr>
    </w:p>
    <w:p>
      <w:pPr>
        <w:ind w:left="340" w:right="40" w:hanging="332"/>
        <w:spacing w:after="0" w:line="267" w:lineRule="auto"/>
        <w:tabs>
          <w:tab w:leader="none" w:pos="328" w:val="left"/>
        </w:tabs>
        <w:numPr>
          <w:ilvl w:val="0"/>
          <w:numId w:val="19"/>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2" w:lineRule="exact"/>
        <w:rPr>
          <w:rFonts w:ascii="Arial" w:cs="Arial" w:eastAsia="Arial" w:hAnsi="Arial"/>
          <w:sz w:val="21"/>
          <w:szCs w:val="21"/>
          <w:color w:val="auto"/>
          <w:vertAlign w:val="superscript"/>
        </w:rPr>
      </w:pPr>
    </w:p>
    <w:p>
      <w:pPr>
        <w:ind w:left="340" w:right="80" w:hanging="332"/>
        <w:spacing w:after="0" w:line="234" w:lineRule="auto"/>
        <w:tabs>
          <w:tab w:leader="none" w:pos="328"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180"/>
          </w:cols>
          <w:pgMar w:left="320" w:top="368" w:right="39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Page 19</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Six Months Ended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Six Months Ended</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 2021</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June 30, 2020</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Transportation</w:t>
            </w:r>
          </w:p>
        </w:tc>
        <w:tc>
          <w:tcPr>
            <w:tcW w:w="160" w:type="dxa"/>
            <w:vAlign w:val="bottom"/>
          </w:tcPr>
          <w:p>
            <w:pPr>
              <w:spacing w:after="0"/>
              <w:rPr>
                <w:sz w:val="11"/>
                <w:szCs w:val="11"/>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Facilities</w:t>
            </w:r>
          </w:p>
        </w:tc>
        <w:tc>
          <w:tcPr>
            <w:tcW w:w="180" w:type="dxa"/>
            <w:vAlign w:val="bottom"/>
          </w:tcPr>
          <w:p>
            <w:pPr>
              <w:spacing w:after="0"/>
              <w:rPr>
                <w:sz w:val="11"/>
                <w:szCs w:val="11"/>
                <w:color w:val="auto"/>
              </w:rPr>
            </w:pPr>
          </w:p>
        </w:tc>
        <w:tc>
          <w:tcPr>
            <w:tcW w:w="1060" w:type="dxa"/>
            <w:vAlign w:val="bottom"/>
          </w:tcPr>
          <w:p>
            <w:pPr>
              <w:jc w:val="center"/>
              <w:ind w:right="112"/>
              <w:spacing w:after="0" w:line="130" w:lineRule="exact"/>
              <w:rPr>
                <w:sz w:val="20"/>
                <w:szCs w:val="20"/>
                <w:color w:val="auto"/>
              </w:rPr>
            </w:pPr>
            <w:r>
              <w:rPr>
                <w:rFonts w:ascii="Arial" w:cs="Arial" w:eastAsia="Arial" w:hAnsi="Arial"/>
                <w:sz w:val="14"/>
                <w:szCs w:val="14"/>
                <w:b w:val="1"/>
                <w:bCs w:val="1"/>
                <w:color w:val="auto"/>
                <w:w w:val="92"/>
              </w:rPr>
              <w:t>Supply and</w:t>
            </w:r>
          </w:p>
        </w:tc>
        <w:tc>
          <w:tcPr>
            <w:tcW w:w="22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Transportation</w:t>
            </w:r>
          </w:p>
        </w:tc>
        <w:tc>
          <w:tcPr>
            <w:tcW w:w="140" w:type="dxa"/>
            <w:vAlign w:val="bottom"/>
          </w:tcPr>
          <w:p>
            <w:pPr>
              <w:spacing w:after="0"/>
              <w:rPr>
                <w:sz w:val="11"/>
                <w:szCs w:val="11"/>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Facilities</w:t>
            </w:r>
          </w:p>
        </w:tc>
        <w:tc>
          <w:tcPr>
            <w:tcW w:w="180" w:type="dxa"/>
            <w:vAlign w:val="bottom"/>
          </w:tcPr>
          <w:p>
            <w:pPr>
              <w:spacing w:after="0"/>
              <w:rPr>
                <w:sz w:val="11"/>
                <w:szCs w:val="11"/>
                <w:color w:val="auto"/>
              </w:rPr>
            </w:pPr>
          </w:p>
        </w:tc>
        <w:tc>
          <w:tcPr>
            <w:tcW w:w="1080" w:type="dxa"/>
            <w:vAlign w:val="bottom"/>
          </w:tcPr>
          <w:p>
            <w:pPr>
              <w:jc w:val="right"/>
              <w:ind w:right="192"/>
              <w:spacing w:after="0" w:line="130" w:lineRule="exact"/>
              <w:rPr>
                <w:sz w:val="20"/>
                <w:szCs w:val="20"/>
                <w:color w:val="auto"/>
              </w:rPr>
            </w:pPr>
            <w:r>
              <w:rPr>
                <w:rFonts w:ascii="Arial" w:cs="Arial" w:eastAsia="Arial" w:hAnsi="Arial"/>
                <w:sz w:val="14"/>
                <w:szCs w:val="14"/>
                <w:b w:val="1"/>
                <w:bCs w:val="1"/>
                <w:color w:val="auto"/>
              </w:rPr>
              <w:t>Supply and</w:t>
            </w:r>
          </w:p>
        </w:tc>
        <w:tc>
          <w:tcPr>
            <w:tcW w:w="0" w:type="dxa"/>
            <w:vAlign w:val="bottom"/>
          </w:tcPr>
          <w:p>
            <w:pPr>
              <w:spacing w:after="0"/>
              <w:rPr>
                <w:sz w:val="1"/>
                <w:szCs w:val="1"/>
                <w:color w:val="auto"/>
              </w:rPr>
            </w:pPr>
          </w:p>
        </w:tc>
      </w:tr>
      <w:tr>
        <w:trPr>
          <w:trHeight w:val="188"/>
        </w:trPr>
        <w:tc>
          <w:tcPr>
            <w:tcW w:w="3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1"/>
              </w:rPr>
              <w:t>Logistics</w:t>
            </w: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272"/>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24"/>
        </w:trPr>
        <w:tc>
          <w:tcPr>
            <w:tcW w:w="300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17,707</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10,834</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(17,497)</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(10,717)</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 (2)</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76"/>
        </w:trPr>
        <w:tc>
          <w:tcPr>
            <w:tcW w:w="3000" w:type="dxa"/>
            <w:vAlign w:val="bottom"/>
          </w:tcPr>
          <w:p>
            <w:pPr>
              <w:ind w:left="20"/>
              <w:spacing w:after="0" w:line="176" w:lineRule="exact"/>
              <w:rPr>
                <w:sz w:val="20"/>
                <w:szCs w:val="20"/>
                <w:color w:val="auto"/>
              </w:rPr>
            </w:pPr>
            <w:r>
              <w:rPr>
                <w:rFonts w:ascii="Arial" w:cs="Arial" w:eastAsia="Arial" w:hAnsi="Arial"/>
                <w:sz w:val="18"/>
                <w:szCs w:val="18"/>
                <w:color w:val="auto"/>
              </w:rPr>
              <w:t>Segment general and administrative</w:t>
            </w:r>
          </w:p>
        </w:tc>
        <w:tc>
          <w:tcPr>
            <w:tcW w:w="140" w:type="dxa"/>
            <w:vAlign w:val="bottom"/>
          </w:tcPr>
          <w:p>
            <w:pPr>
              <w:spacing w:after="0"/>
              <w:rPr>
                <w:sz w:val="15"/>
                <w:szCs w:val="15"/>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30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(2) (3)</w:t>
            </w:r>
          </w:p>
        </w:tc>
        <w:tc>
          <w:tcPr>
            <w:tcW w:w="1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Equity earnings in unconsolidated</w:t>
            </w:r>
          </w:p>
        </w:tc>
        <w:tc>
          <w:tcPr>
            <w:tcW w:w="14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entities</w:t>
            </w:r>
          </w:p>
        </w:tc>
        <w:tc>
          <w:tcPr>
            <w:tcW w:w="14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(4)</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00" w:type="dxa"/>
            <w:vAlign w:val="bottom"/>
          </w:tcPr>
          <w:p>
            <w:pPr>
              <w:ind w:left="180"/>
              <w:spacing w:after="0" w:line="176" w:lineRule="exact"/>
              <w:rPr>
                <w:sz w:val="20"/>
                <w:szCs w:val="20"/>
                <w:color w:val="auto"/>
              </w:rPr>
            </w:pPr>
            <w:r>
              <w:rPr>
                <w:rFonts w:ascii="Arial" w:cs="Arial" w:eastAsia="Arial" w:hAnsi="Arial"/>
                <w:sz w:val="18"/>
                <w:szCs w:val="18"/>
                <w:color w:val="auto"/>
              </w:rPr>
              <w:t>Depreciation and amortization of</w:t>
            </w:r>
          </w:p>
        </w:tc>
        <w:tc>
          <w:tcPr>
            <w:tcW w:w="140" w:type="dxa"/>
            <w:vAlign w:val="bottom"/>
          </w:tcPr>
          <w:p>
            <w:pPr>
              <w:spacing w:after="0"/>
              <w:rPr>
                <w:sz w:val="15"/>
                <w:szCs w:val="15"/>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tcPr>
          <w:p>
            <w:pPr>
              <w:ind w:left="360"/>
              <w:spacing w:after="0"/>
              <w:rPr>
                <w:sz w:val="20"/>
                <w:szCs w:val="20"/>
                <w:color w:val="auto"/>
              </w:rPr>
            </w:pPr>
            <w:r>
              <w:rPr>
                <w:rFonts w:ascii="Arial" w:cs="Arial" w:eastAsia="Arial" w:hAnsi="Arial"/>
                <w:sz w:val="18"/>
                <w:szCs w:val="18"/>
                <w:color w:val="auto"/>
              </w:rPr>
              <w:t>unconsolidated entities</w:t>
            </w:r>
          </w:p>
        </w:tc>
        <w:tc>
          <w:tcPr>
            <w:tcW w:w="1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Borders>
              <w:right w:val="single" w:sz="8" w:color="auto"/>
            </w:tcBorders>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(Gains)/losses from derivative</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activities and inventory valuation</w:t>
            </w:r>
          </w:p>
        </w:tc>
        <w:tc>
          <w:tcPr>
            <w:tcW w:w="14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w:t>
            </w:r>
          </w:p>
        </w:tc>
        <w:tc>
          <w:tcPr>
            <w:tcW w:w="14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line="176" w:lineRule="exact"/>
              <w:rPr>
                <w:sz w:val="20"/>
                <w:szCs w:val="20"/>
                <w:color w:val="auto"/>
              </w:rPr>
            </w:pPr>
            <w:r>
              <w:rPr>
                <w:rFonts w:ascii="Arial" w:cs="Arial" w:eastAsia="Arial" w:hAnsi="Arial"/>
                <w:sz w:val="18"/>
                <w:szCs w:val="18"/>
                <w:color w:val="auto"/>
              </w:rPr>
              <w:t>Long-term inventory costing</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3000" w:type="dxa"/>
            <w:vAlign w:val="bottom"/>
          </w:tcPr>
          <w:p>
            <w:pPr>
              <w:ind w:left="360"/>
              <w:spacing w:after="0"/>
              <w:rPr>
                <w:sz w:val="20"/>
                <w:szCs w:val="20"/>
                <w:color w:val="auto"/>
              </w:rPr>
            </w:pPr>
            <w:r>
              <w:rPr>
                <w:rFonts w:ascii="Arial" w:cs="Arial" w:eastAsia="Arial" w:hAnsi="Arial"/>
                <w:sz w:val="18"/>
                <w:szCs w:val="18"/>
                <w:color w:val="auto"/>
              </w:rPr>
              <w:t>adjustments</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6"/>
              </w:rPr>
              <w:t>Deficiencies under minimum volume</w:t>
            </w:r>
          </w:p>
        </w:tc>
        <w:tc>
          <w:tcPr>
            <w:tcW w:w="14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commitments, net</w:t>
            </w:r>
          </w:p>
        </w:tc>
        <w:tc>
          <w:tcPr>
            <w:tcW w:w="14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180"/>
              <w:spacing w:after="0"/>
              <w:rPr>
                <w:sz w:val="20"/>
                <w:szCs w:val="20"/>
                <w:color w:val="auto"/>
              </w:rPr>
            </w:pPr>
            <w:r>
              <w:rPr>
                <w:rFonts w:ascii="Arial" w:cs="Arial" w:eastAsia="Arial" w:hAnsi="Arial"/>
                <w:sz w:val="18"/>
                <w:szCs w:val="18"/>
                <w:color w:val="auto"/>
                <w:w w:val="90"/>
              </w:rPr>
              <w:t>Equity-indexed compensation expense</w:t>
            </w:r>
          </w:p>
        </w:tc>
        <w:tc>
          <w:tcPr>
            <w:tcW w:w="1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Net gain on foreign currency</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revaluation</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line="176" w:lineRule="exact"/>
              <w:rPr>
                <w:sz w:val="20"/>
                <w:szCs w:val="20"/>
                <w:color w:val="auto"/>
              </w:rPr>
            </w:pPr>
            <w:r>
              <w:rPr>
                <w:rFonts w:ascii="Arial" w:cs="Arial" w:eastAsia="Arial" w:hAnsi="Arial"/>
                <w:sz w:val="18"/>
                <w:szCs w:val="18"/>
                <w:color w:val="auto"/>
              </w:rPr>
              <w:t>Significant transaction-related</w:t>
            </w:r>
          </w:p>
        </w:tc>
        <w:tc>
          <w:tcPr>
            <w:tcW w:w="140" w:type="dxa"/>
            <w:vAlign w:val="bottom"/>
          </w:tcPr>
          <w:p>
            <w:pPr>
              <w:spacing w:after="0"/>
              <w:rPr>
                <w:sz w:val="15"/>
                <w:szCs w:val="15"/>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00" w:type="dxa"/>
            <w:vAlign w:val="bottom"/>
          </w:tcPr>
          <w:p>
            <w:pPr>
              <w:ind w:left="360"/>
              <w:spacing w:after="0"/>
              <w:rPr>
                <w:sz w:val="20"/>
                <w:szCs w:val="20"/>
                <w:color w:val="auto"/>
              </w:rPr>
            </w:pPr>
            <w:r>
              <w:rPr>
                <w:rFonts w:ascii="Arial" w:cs="Arial" w:eastAsia="Arial" w:hAnsi="Arial"/>
                <w:sz w:val="18"/>
                <w:szCs w:val="18"/>
                <w:color w:val="auto"/>
              </w:rPr>
              <w:t>expenses</w:t>
            </w:r>
          </w:p>
        </w:tc>
        <w:tc>
          <w:tcPr>
            <w:tcW w:w="1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0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sectPr>
          <w:pgSz w:w="11900" w:h="16838" w:orient="portrait"/>
          <w:cols w:equalWidth="0" w:num="1">
            <w:col w:w="11180"/>
          </w:cols>
          <w:pgMar w:left="320" w:top="368" w:right="39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Includes intersegment amounts.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Field operating costs and Segment general and administrative expenses include equity-indexed compensation expense.</w:t>
      </w:r>
    </w:p>
    <w:p>
      <w:pPr>
        <w:spacing w:after="0" w:line="86" w:lineRule="exact"/>
        <w:rPr>
          <w:sz w:val="20"/>
          <w:szCs w:val="20"/>
          <w:color w:val="auto"/>
        </w:rPr>
      </w:pPr>
    </w:p>
    <w:p>
      <w:pPr>
        <w:sectPr>
          <w:pgSz w:w="11900" w:h="16838" w:orient="portrait"/>
          <w:cols w:equalWidth="0" w:num="2">
            <w:col w:w="140" w:space="180"/>
            <w:col w:w="10860"/>
          </w:cols>
          <w:pgMar w:left="320" w:top="368" w:right="399" w:bottom="1440" w:gutter="0" w:footer="0" w:header="0"/>
          <w:type w:val="continuous"/>
        </w:sectPr>
      </w:pPr>
    </w:p>
    <w:p>
      <w:pPr>
        <w:ind w:left="340" w:right="40" w:hanging="332"/>
        <w:spacing w:after="0" w:line="267" w:lineRule="auto"/>
        <w:tabs>
          <w:tab w:leader="none" w:pos="328"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2" w:lineRule="exact"/>
        <w:rPr>
          <w:rFonts w:ascii="Arial" w:cs="Arial" w:eastAsia="Arial" w:hAnsi="Arial"/>
          <w:sz w:val="21"/>
          <w:szCs w:val="21"/>
          <w:color w:val="auto"/>
          <w:vertAlign w:val="superscript"/>
        </w:rPr>
      </w:pPr>
    </w:p>
    <w:p>
      <w:pPr>
        <w:ind w:left="340" w:right="80" w:hanging="332"/>
        <w:spacing w:after="0" w:line="234" w:lineRule="auto"/>
        <w:tabs>
          <w:tab w:leader="none" w:pos="328"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180"/>
          </w:cols>
          <w:pgMar w:left="320" w:top="368" w:right="39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Page 20</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DATA BY SEGMENT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tbl>
      <w:tblPr>
        <w:tblLayout w:type="fixed"/>
        <w:tblInd w:w="0" w:type="dxa"/>
        <w:tblCellMar>
          <w:top w:w="0" w:type="dxa"/>
          <w:left w:w="0" w:type="dxa"/>
          <w:bottom w:w="0" w:type="dxa"/>
          <w:right w:w="0" w:type="dxa"/>
        </w:tblCellMar>
      </w:tblPr>
      <w:tr>
        <w:trPr>
          <w:trHeight w:val="135"/>
        </w:trPr>
        <w:tc>
          <w:tcPr>
            <w:tcW w:w="38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2560" w:type="dxa"/>
            <w:vAlign w:val="bottom"/>
            <w:gridSpan w:val="5"/>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Three Months Ended</w:t>
            </w:r>
          </w:p>
        </w:tc>
        <w:tc>
          <w:tcPr>
            <w:tcW w:w="2460" w:type="dxa"/>
            <w:vAlign w:val="bottom"/>
            <w:gridSpan w:val="4"/>
          </w:tcPr>
          <w:p>
            <w:pPr>
              <w:jc w:val="center"/>
              <w:spacing w:after="0" w:line="135" w:lineRule="exact"/>
              <w:rPr>
                <w:sz w:val="20"/>
                <w:szCs w:val="20"/>
                <w:color w:val="auto"/>
              </w:rPr>
            </w:pPr>
            <w:r>
              <w:rPr>
                <w:rFonts w:ascii="Arial" w:cs="Arial" w:eastAsia="Arial" w:hAnsi="Arial"/>
                <w:sz w:val="14"/>
                <w:szCs w:val="14"/>
                <w:b w:val="1"/>
                <w:bCs w:val="1"/>
                <w:color w:val="auto"/>
                <w:w w:val="93"/>
              </w:rPr>
              <w:t>Six Months Ended</w:t>
            </w:r>
          </w:p>
        </w:tc>
      </w:tr>
      <w:tr>
        <w:trPr>
          <w:trHeight w:val="188"/>
        </w:trPr>
        <w:tc>
          <w:tcPr>
            <w:tcW w:w="38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600" w:type="dxa"/>
            <w:vAlign w:val="bottom"/>
            <w:tcBorders>
              <w:bottom w:val="single" w:sz="8" w:color="auto"/>
            </w:tcBorders>
            <w:gridSpan w:val="3"/>
          </w:tcPr>
          <w:p>
            <w:pPr>
              <w:jc w:val="center"/>
              <w:ind w:left="772"/>
              <w:spacing w:after="0"/>
              <w:rPr>
                <w:sz w:val="20"/>
                <w:szCs w:val="20"/>
                <w:color w:val="auto"/>
              </w:rPr>
            </w:pPr>
            <w:r>
              <w:rPr>
                <w:rFonts w:ascii="Arial" w:cs="Arial" w:eastAsia="Arial" w:hAnsi="Arial"/>
                <w:sz w:val="14"/>
                <w:szCs w:val="14"/>
                <w:b w:val="1"/>
                <w:bCs w:val="1"/>
                <w:color w:val="auto"/>
                <w:w w:val="89"/>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auto"/>
            </w:tcBorders>
            <w:gridSpan w:val="3"/>
          </w:tcPr>
          <w:p>
            <w:pPr>
              <w:jc w:val="center"/>
              <w:ind w:left="772"/>
              <w:spacing w:after="0"/>
              <w:rPr>
                <w:sz w:val="20"/>
                <w:szCs w:val="20"/>
                <w:color w:val="auto"/>
              </w:rPr>
            </w:pPr>
            <w:r>
              <w:rPr>
                <w:rFonts w:ascii="Arial" w:cs="Arial" w:eastAsia="Arial" w:hAnsi="Arial"/>
                <w:sz w:val="14"/>
                <w:szCs w:val="14"/>
                <w:b w:val="1"/>
                <w:bCs w:val="1"/>
                <w:color w:val="auto"/>
                <w:w w:val="89"/>
              </w:rPr>
              <w:t>June 30,</w:t>
            </w:r>
          </w:p>
        </w:tc>
        <w:tc>
          <w:tcPr>
            <w:tcW w:w="860" w:type="dxa"/>
            <w:vAlign w:val="bottom"/>
            <w:tcBorders>
              <w:bottom w:val="single" w:sz="8" w:color="auto"/>
            </w:tcBorders>
          </w:tcPr>
          <w:p>
            <w:pPr>
              <w:spacing w:after="0"/>
              <w:rPr>
                <w:sz w:val="16"/>
                <w:szCs w:val="16"/>
                <w:color w:val="auto"/>
              </w:rPr>
            </w:pPr>
          </w:p>
        </w:tc>
      </w:tr>
      <w:tr>
        <w:trPr>
          <w:trHeight w:val="183"/>
        </w:trPr>
        <w:tc>
          <w:tcPr>
            <w:tcW w:w="3880" w:type="dxa"/>
            <w:vAlign w:val="bottom"/>
            <w:tcBorders>
              <w:bottom w:val="single" w:sz="8" w:color="CCEEFF"/>
            </w:tcBorders>
          </w:tcPr>
          <w:p>
            <w:pPr>
              <w:spacing w:after="0"/>
              <w:rPr>
                <w:sz w:val="15"/>
                <w:szCs w:val="15"/>
                <w:color w:val="auto"/>
              </w:rPr>
            </w:pPr>
          </w:p>
        </w:tc>
        <w:tc>
          <w:tcPr>
            <w:tcW w:w="234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r>
      <w:tr>
        <w:trPr>
          <w:trHeight w:val="157"/>
        </w:trPr>
        <w:tc>
          <w:tcPr>
            <w:tcW w:w="622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8"/>
                <w:szCs w:val="18"/>
                <w:b w:val="1"/>
                <w:bCs w:val="1"/>
                <w:color w:val="auto"/>
                <w:w w:val="95"/>
              </w:rPr>
              <w:t>Transportation segment (average daily volumes in thousands of barrels per</w:t>
            </w: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230"/>
        </w:trPr>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day):</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6220" w:type="dxa"/>
            <w:vAlign w:val="bottom"/>
            <w:gridSpan w:val="2"/>
          </w:tcPr>
          <w:p>
            <w:pPr>
              <w:ind w:left="20"/>
              <w:spacing w:after="0"/>
              <w:rPr>
                <w:sz w:val="20"/>
                <w:szCs w:val="20"/>
                <w:color w:val="auto"/>
              </w:rPr>
            </w:pPr>
            <w:r>
              <w:rPr>
                <w:rFonts w:ascii="Arial" w:cs="Arial" w:eastAsia="Arial" w:hAnsi="Arial"/>
                <w:sz w:val="18"/>
                <w:szCs w:val="18"/>
                <w:color w:val="auto"/>
              </w:rPr>
              <w:t>Tariff activities volumes</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6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Crude oil pipelines (by region):</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22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(2)</w:t>
            </w:r>
          </w:p>
        </w:tc>
        <w:tc>
          <w:tcPr>
            <w:tcW w:w="1180" w:type="dxa"/>
            <w:vAlign w:val="bottom"/>
          </w:tcPr>
          <w:p>
            <w:pPr>
              <w:jc w:val="right"/>
              <w:spacing w:after="0"/>
              <w:rPr>
                <w:sz w:val="20"/>
                <w:szCs w:val="20"/>
                <w:color w:val="auto"/>
              </w:rPr>
            </w:pPr>
            <w:r>
              <w:rPr>
                <w:rFonts w:ascii="Arial" w:cs="Arial" w:eastAsia="Arial" w:hAnsi="Arial"/>
                <w:sz w:val="18"/>
                <w:szCs w:val="18"/>
                <w:color w:val="auto"/>
              </w:rPr>
              <w:t>4,189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4,161</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4,663</w:t>
            </w:r>
          </w:p>
        </w:tc>
      </w:tr>
      <w:tr>
        <w:trPr>
          <w:trHeight w:val="229"/>
        </w:trPr>
        <w:tc>
          <w:tcPr>
            <w:tcW w:w="622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r>
      <w:tr>
        <w:trPr>
          <w:trHeight w:val="230"/>
        </w:trPr>
        <w:tc>
          <w:tcPr>
            <w:tcW w:w="622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3"/>
                <w:szCs w:val="23"/>
                <w:color w:val="auto"/>
                <w:vertAlign w:val="superscript"/>
              </w:rPr>
              <w:t>(2)</w:t>
            </w:r>
          </w:p>
        </w:tc>
        <w:tc>
          <w:tcPr>
            <w:tcW w:w="1180" w:type="dxa"/>
            <w:vAlign w:val="bottom"/>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380</w:t>
            </w:r>
          </w:p>
        </w:tc>
      </w:tr>
      <w:tr>
        <w:trPr>
          <w:trHeight w:val="229"/>
        </w:trPr>
        <w:tc>
          <w:tcPr>
            <w:tcW w:w="62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Gulf Coast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29"/>
        </w:trPr>
        <w:tc>
          <w:tcPr>
            <w:tcW w:w="622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(2)</w:t>
            </w:r>
          </w:p>
        </w:tc>
        <w:tc>
          <w:tcPr>
            <w:tcW w:w="118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258</w:t>
            </w:r>
          </w:p>
        </w:tc>
      </w:tr>
      <w:tr>
        <w:trPr>
          <w:trHeight w:val="230"/>
        </w:trPr>
        <w:tc>
          <w:tcPr>
            <w:tcW w:w="62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Western</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29"/>
        </w:trPr>
        <w:tc>
          <w:tcPr>
            <w:tcW w:w="622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Canada</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r>
      <w:tr>
        <w:trPr>
          <w:trHeight w:val="223"/>
        </w:trPr>
        <w:tc>
          <w:tcPr>
            <w:tcW w:w="6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Crude oil pipelines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6,315</w:t>
            </w:r>
          </w:p>
        </w:tc>
      </w:tr>
      <w:tr>
        <w:trPr>
          <w:trHeight w:val="229"/>
        </w:trPr>
        <w:tc>
          <w:tcPr>
            <w:tcW w:w="62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NGL pipelines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r>
      <w:tr>
        <w:trPr>
          <w:trHeight w:val="223"/>
        </w:trPr>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Tariff activities total volumes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6,505</w:t>
            </w:r>
          </w:p>
        </w:tc>
      </w:tr>
      <w:tr>
        <w:trPr>
          <w:trHeight w:val="229"/>
        </w:trPr>
        <w:tc>
          <w:tcPr>
            <w:tcW w:w="62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Trucking volumes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r>
      <w:tr>
        <w:trPr>
          <w:trHeight w:val="248"/>
        </w:trPr>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Transportation segment total volumes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5,914</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6,585</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38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30"/>
        </w:trPr>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Facilities segment (average monthly volumes):</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22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Liquids storage (average monthly capacity in millions of barrels) </w:t>
            </w:r>
            <w:r>
              <w:rPr>
                <w:rFonts w:ascii="Arial" w:cs="Arial" w:eastAsia="Arial" w:hAnsi="Arial"/>
                <w:sz w:val="23"/>
                <w:szCs w:val="23"/>
                <w:color w:val="auto"/>
                <w:vertAlign w:val="superscript"/>
              </w:rPr>
              <w:t>(3)</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48"/>
        </w:trPr>
        <w:tc>
          <w:tcPr>
            <w:tcW w:w="62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6"/>
              </w:rPr>
              <w:t>Natural gas storage (average monthly working capacity in billions of cubic feet)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220" w:type="dxa"/>
            <w:vAlign w:val="bottom"/>
            <w:gridSpan w:val="2"/>
          </w:tcPr>
          <w:p>
            <w:pPr>
              <w:ind w:left="140"/>
              <w:spacing w:after="0" w:line="203" w:lineRule="exact"/>
              <w:rPr>
                <w:sz w:val="20"/>
                <w:szCs w:val="20"/>
                <w:color w:val="auto"/>
              </w:rPr>
            </w:pPr>
            <w:r>
              <w:rPr>
                <w:rFonts w:ascii="Arial" w:cs="Arial" w:eastAsia="Arial" w:hAnsi="Arial"/>
                <w:sz w:val="18"/>
                <w:szCs w:val="18"/>
                <w:color w:val="auto"/>
              </w:rPr>
              <w:t>NGL fractionation (average volumes in thousands of barrels per day)</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129</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122</w:t>
            </w:r>
          </w:p>
        </w:tc>
        <w:tc>
          <w:tcPr>
            <w:tcW w:w="100" w:type="dxa"/>
            <w:vAlign w:val="bottom"/>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136</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138</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48"/>
        </w:trPr>
        <w:tc>
          <w:tcPr>
            <w:tcW w:w="622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w w:val="92"/>
              </w:rPr>
              <w:t xml:space="preserve">Facilities segment total volumes (average monthly volumes in millions of barrels) </w:t>
            </w:r>
            <w:r>
              <w:rPr>
                <w:rFonts w:ascii="Arial" w:cs="Arial" w:eastAsia="Arial" w:hAnsi="Arial"/>
                <w:sz w:val="23"/>
                <w:szCs w:val="23"/>
                <w:color w:val="auto"/>
                <w:w w:val="92"/>
                <w:vertAlign w:val="superscript"/>
              </w:rPr>
              <w:t>(4)</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38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5"/>
        </w:trPr>
        <w:tc>
          <w:tcPr>
            <w:tcW w:w="62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92"/>
              </w:rPr>
              <w:t>Supply and Logistics segment (average daily volumes in thousands of barrels</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30"/>
        </w:trPr>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per day):</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220" w:type="dxa"/>
            <w:vAlign w:val="bottom"/>
            <w:gridSpan w:val="2"/>
          </w:tcPr>
          <w:p>
            <w:pPr>
              <w:ind w:left="140"/>
              <w:spacing w:after="0"/>
              <w:rPr>
                <w:sz w:val="20"/>
                <w:szCs w:val="20"/>
                <w:color w:val="auto"/>
              </w:rPr>
            </w:pPr>
            <w:r>
              <w:rPr>
                <w:rFonts w:ascii="Arial" w:cs="Arial" w:eastAsia="Arial" w:hAnsi="Arial"/>
                <w:sz w:val="18"/>
                <w:szCs w:val="18"/>
                <w:color w:val="auto"/>
              </w:rPr>
              <w:t>Crude oil lease gathering purchases</w:t>
            </w:r>
          </w:p>
        </w:tc>
        <w:tc>
          <w:tcPr>
            <w:tcW w:w="1180" w:type="dxa"/>
            <w:vAlign w:val="bottom"/>
          </w:tcPr>
          <w:p>
            <w:pPr>
              <w:jc w:val="right"/>
              <w:spacing w:after="0"/>
              <w:rPr>
                <w:sz w:val="20"/>
                <w:szCs w:val="20"/>
                <w:color w:val="auto"/>
              </w:rPr>
            </w:pPr>
            <w:r>
              <w:rPr>
                <w:rFonts w:ascii="Arial" w:cs="Arial" w:eastAsia="Arial" w:hAnsi="Arial"/>
                <w:sz w:val="18"/>
                <w:szCs w:val="18"/>
                <w:color w:val="auto"/>
              </w:rPr>
              <w:t>1,352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1,077</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1,198</w:t>
            </w:r>
          </w:p>
        </w:tc>
      </w:tr>
      <w:tr>
        <w:trPr>
          <w:trHeight w:val="230"/>
        </w:trPr>
        <w:tc>
          <w:tcPr>
            <w:tcW w:w="6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NGL sales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23"/>
        </w:trPr>
        <w:tc>
          <w:tcPr>
            <w:tcW w:w="6220" w:type="dxa"/>
            <w:vAlign w:val="bottom"/>
            <w:gridSpan w:val="2"/>
          </w:tcPr>
          <w:p>
            <w:pPr>
              <w:ind w:left="20"/>
              <w:spacing w:after="0"/>
              <w:rPr>
                <w:sz w:val="20"/>
                <w:szCs w:val="20"/>
                <w:color w:val="auto"/>
              </w:rPr>
            </w:pPr>
            <w:r>
              <w:rPr>
                <w:rFonts w:ascii="Arial" w:cs="Arial" w:eastAsia="Arial" w:hAnsi="Arial"/>
                <w:sz w:val="18"/>
                <w:szCs w:val="18"/>
                <w:color w:val="auto"/>
              </w:rPr>
              <w:t>Supply and Logistics segment total volumes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w:t>
            </w:r>
          </w:p>
        </w:tc>
      </w:tr>
      <w:tr>
        <w:trPr>
          <w:trHeight w:val="20"/>
        </w:trPr>
        <w:tc>
          <w:tcPr>
            <w:tcW w:w="38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55"/>
        </w:trPr>
        <w:tc>
          <w:tcPr>
            <w:tcW w:w="3880" w:type="dxa"/>
            <w:vAlign w:val="bottom"/>
            <w:tcBorders>
              <w:bottom w:val="single" w:sz="8" w:color="auto"/>
            </w:tcBorders>
          </w:tcPr>
          <w:p>
            <w:pPr>
              <w:spacing w:after="0"/>
              <w:rPr>
                <w:sz w:val="13"/>
                <w:szCs w:val="13"/>
                <w:color w:val="auto"/>
              </w:rPr>
            </w:pPr>
          </w:p>
        </w:tc>
        <w:tc>
          <w:tcPr>
            <w:tcW w:w="2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r>
    </w:tbl>
    <w:p>
      <w:pPr>
        <w:spacing w:after="0" w:line="123"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21"/>
          <w:szCs w:val="21"/>
          <w:color w:val="auto"/>
          <w:vertAlign w:val="superscript"/>
        </w:rPr>
      </w:pPr>
      <w:r>
        <w:rPr>
          <w:rFonts w:ascii="Arial" w:cs="Arial" w:eastAsia="Arial" w:hAnsi="Arial"/>
          <w:sz w:val="16"/>
          <w:szCs w:val="16"/>
          <w:color w:val="auto"/>
        </w:rPr>
        <w:t>Average volumes are calculated as the total volumes (attributable to our interest) for the period divided by the number of days or months in the period.</w:t>
      </w:r>
    </w:p>
    <w:p>
      <w:pPr>
        <w:spacing w:after="0" w:line="55" w:lineRule="exact"/>
        <w:rPr>
          <w:rFonts w:ascii="Arial" w:cs="Arial" w:eastAsia="Arial" w:hAnsi="Arial"/>
          <w:sz w:val="21"/>
          <w:szCs w:val="21"/>
          <w:color w:val="auto"/>
          <w:vertAlign w:val="superscript"/>
        </w:rPr>
      </w:pPr>
    </w:p>
    <w:p>
      <w:pPr>
        <w:ind w:left="320" w:hanging="312"/>
        <w:spacing w:after="0" w:line="194" w:lineRule="auto"/>
        <w:tabs>
          <w:tab w:leader="none" w:pos="320"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Region includes volumes (attributable to our interest) from pipelines owned by unconsolidated entities.</w:t>
      </w:r>
    </w:p>
    <w:p>
      <w:pPr>
        <w:spacing w:after="0" w:line="56"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Includes volumes (attributable to our interest) from facilities owned by unconsolidated entities.</w:t>
      </w:r>
    </w:p>
    <w:p>
      <w:pPr>
        <w:spacing w:after="0" w:line="56" w:lineRule="exact"/>
        <w:rPr>
          <w:rFonts w:ascii="Arial" w:cs="Arial" w:eastAsia="Arial" w:hAnsi="Arial"/>
          <w:sz w:val="23"/>
          <w:szCs w:val="23"/>
          <w:color w:val="auto"/>
          <w:vertAlign w:val="superscript"/>
        </w:rPr>
      </w:pPr>
    </w:p>
    <w:p>
      <w:pPr>
        <w:ind w:left="340" w:right="260" w:hanging="332"/>
        <w:spacing w:after="0" w:line="241" w:lineRule="auto"/>
        <w:tabs>
          <w:tab w:leader="none" w:pos="328" w:val="left"/>
        </w:tabs>
        <w:numPr>
          <w:ilvl w:val="0"/>
          <w:numId w:val="21"/>
        </w:numPr>
        <w:rPr>
          <w:rFonts w:ascii="Arial" w:cs="Arial" w:eastAsia="Arial" w:hAnsi="Arial"/>
          <w:sz w:val="22"/>
          <w:szCs w:val="22"/>
          <w:color w:val="auto"/>
          <w:vertAlign w:val="superscript"/>
        </w:rPr>
      </w:pPr>
      <w:r>
        <w:rPr>
          <w:rFonts w:ascii="Arial" w:cs="Arial" w:eastAsia="Arial" w:hAnsi="Arial"/>
          <w:sz w:val="17"/>
          <w:szCs w:val="17"/>
          <w:color w:val="auto"/>
        </w:rPr>
        <w:t>Facilities segment total volumes are calculated as the sum of: (i) liquids storage capacity; (ii) natural gas storage working capacity divided by 6 to account for the 6:1 mcf of natural gas to crude Btu equivalent ratio and further divided by 1,000 to convert to monthly volumes in millions; and (iii) NGL fractionation volumes multiplied by the number of days in the period and divided by the number of months in the period.</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3" w:name="page24"/>
    <w:bookmarkEnd w:id="23"/>
    <w:p>
      <w:pPr>
        <w:ind w:left="100"/>
        <w:spacing w:after="0"/>
        <w:rPr>
          <w:sz w:val="20"/>
          <w:szCs w:val="20"/>
          <w:color w:val="auto"/>
        </w:rPr>
      </w:pPr>
      <w:r>
        <w:rPr>
          <w:rFonts w:ascii="Arial" w:cs="Arial" w:eastAsia="Arial" w:hAnsi="Arial"/>
          <w:sz w:val="18"/>
          <w:szCs w:val="18"/>
          <w:u w:val="single" w:color="auto"/>
          <w:color w:val="auto"/>
        </w:rPr>
        <w:t>Page 21</w:t>
      </w:r>
    </w:p>
    <w:p>
      <w:pPr>
        <w:spacing w:after="0" w:line="35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57150</wp:posOffset>
            </wp:positionV>
            <wp:extent cx="71151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14" w:lineRule="exact"/>
        <w:rPr>
          <w:sz w:val="20"/>
          <w:szCs w:val="20"/>
          <w:color w:val="auto"/>
        </w:rPr>
      </w:pPr>
    </w:p>
    <w:p>
      <w:pPr>
        <w:ind w:left="100"/>
        <w:spacing w:after="0"/>
        <w:rPr>
          <w:sz w:val="20"/>
          <w:szCs w:val="20"/>
          <w:color w:val="auto"/>
        </w:rPr>
      </w:pPr>
      <w:r>
        <w:rPr>
          <w:rFonts w:ascii="Arial" w:cs="Arial" w:eastAsia="Arial" w:hAnsi="Arial"/>
          <w:sz w:val="18"/>
          <w:szCs w:val="18"/>
          <w:b w:val="1"/>
          <w:bCs w:val="1"/>
          <w:u w:val="single" w:color="auto"/>
          <w:color w:val="auto"/>
        </w:rPr>
        <w:t>NON-GAAP SEGMENT RECONCILIATIONS</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(in millions)</w:t>
      </w:r>
    </w:p>
    <w:p>
      <w:pPr>
        <w:spacing w:after="0" w:line="95"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Fee-based Segment Adjusted EBITDA to Adjusted EBITDA Reconciliation:</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980" w:type="dxa"/>
            <w:vAlign w:val="bottom"/>
            <w:gridSpan w:val="5"/>
          </w:tcPr>
          <w:p>
            <w:pPr>
              <w:jc w:val="right"/>
              <w:ind w:right="128"/>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tcPr>
          <w:p>
            <w:pPr>
              <w:jc w:val="right"/>
              <w:ind w:right="168"/>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Pr>
          <w:p>
            <w:pPr>
              <w:spacing w:after="0"/>
              <w:rPr>
                <w:sz w:val="14"/>
                <w:szCs w:val="14"/>
                <w:color w:val="auto"/>
              </w:rPr>
            </w:pPr>
          </w:p>
        </w:tc>
      </w:tr>
      <w:tr>
        <w:trPr>
          <w:trHeight w:val="188"/>
        </w:trPr>
        <w:tc>
          <w:tcPr>
            <w:tcW w:w="10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June 30,</w:t>
            </w:r>
          </w:p>
        </w:tc>
        <w:tc>
          <w:tcPr>
            <w:tcW w:w="3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6"/>
                <w:szCs w:val="16"/>
                <w:color w:val="auto"/>
              </w:rPr>
            </w:pPr>
          </w:p>
        </w:tc>
      </w:tr>
      <w:tr>
        <w:trPr>
          <w:trHeight w:val="183"/>
        </w:trPr>
        <w:tc>
          <w:tcPr>
            <w:tcW w:w="100" w:type="dxa"/>
            <w:vAlign w:val="bottom"/>
          </w:tcPr>
          <w:p>
            <w:pPr>
              <w:spacing w:after="0"/>
              <w:rPr>
                <w:sz w:val="15"/>
                <w:szCs w:val="15"/>
                <w:color w:val="auto"/>
              </w:rPr>
            </w:pPr>
          </w:p>
        </w:tc>
        <w:tc>
          <w:tcPr>
            <w:tcW w:w="3880" w:type="dxa"/>
            <w:vAlign w:val="bottom"/>
            <w:tcBorders>
              <w:bottom w:val="single" w:sz="8" w:color="CCEEFF"/>
            </w:tcBorders>
          </w:tcPr>
          <w:p>
            <w:pPr>
              <w:spacing w:after="0"/>
              <w:rPr>
                <w:sz w:val="15"/>
                <w:szCs w:val="15"/>
                <w:color w:val="auto"/>
              </w:rPr>
            </w:pPr>
          </w:p>
        </w:tc>
        <w:tc>
          <w:tcPr>
            <w:tcW w:w="226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r>
      <w:tr>
        <w:trPr>
          <w:trHeight w:val="224"/>
        </w:trPr>
        <w:tc>
          <w:tcPr>
            <w:tcW w:w="100" w:type="dxa"/>
            <w:vAlign w:val="bottom"/>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Segment Adjusted EBITDA</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r>
      <w:tr>
        <w:trPr>
          <w:trHeight w:val="229"/>
        </w:trPr>
        <w:tc>
          <w:tcPr>
            <w:tcW w:w="100" w:type="dxa"/>
            <w:vAlign w:val="bottom"/>
          </w:tcPr>
          <w:p>
            <w:pPr>
              <w:spacing w:after="0"/>
              <w:rPr>
                <w:sz w:val="19"/>
                <w:szCs w:val="19"/>
                <w:color w:val="auto"/>
              </w:rPr>
            </w:pPr>
          </w:p>
        </w:tc>
        <w:tc>
          <w:tcPr>
            <w:tcW w:w="3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Facilities Segment Adjusted EBITDA</w:t>
            </w:r>
          </w:p>
        </w:tc>
        <w:tc>
          <w:tcPr>
            <w:tcW w:w="226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r>
      <w:tr>
        <w:trPr>
          <w:trHeight w:val="223"/>
        </w:trPr>
        <w:tc>
          <w:tcPr>
            <w:tcW w:w="100" w:type="dxa"/>
            <w:vAlign w:val="bottom"/>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Fee-based Segment Adjusted EBITDA</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1,132</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1,172</w:t>
            </w:r>
          </w:p>
        </w:tc>
      </w:tr>
      <w:tr>
        <w:trPr>
          <w:trHeight w:val="229"/>
        </w:trPr>
        <w:tc>
          <w:tcPr>
            <w:tcW w:w="10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9"/>
              </w:rPr>
              <w:t>Supply and Logistics Segment Adjusted EBITDA</w:t>
            </w:r>
          </w:p>
        </w:tc>
        <w:tc>
          <w:tcPr>
            <w:tcW w:w="2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30"/>
        </w:trPr>
        <w:tc>
          <w:tcPr>
            <w:tcW w:w="100" w:type="dxa"/>
            <w:vAlign w:val="bottom"/>
          </w:tcPr>
          <w:p>
            <w:pPr>
              <w:spacing w:after="0"/>
              <w:rPr>
                <w:sz w:val="19"/>
                <w:szCs w:val="19"/>
                <w:color w:val="auto"/>
              </w:rPr>
            </w:pPr>
          </w:p>
        </w:tc>
        <w:tc>
          <w:tcPr>
            <w:tcW w:w="388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 xml:space="preserve">Adjusted other income/(expense), net </w:t>
            </w:r>
            <w:r>
              <w:rPr>
                <w:rFonts w:ascii="Arial" w:cs="Arial" w:eastAsia="Arial" w:hAnsi="Arial"/>
                <w:sz w:val="23"/>
                <w:szCs w:val="23"/>
                <w:color w:val="auto"/>
                <w:vertAlign w:val="superscript"/>
              </w:rPr>
              <w:t>(1)</w:t>
            </w:r>
          </w:p>
        </w:tc>
        <w:tc>
          <w:tcPr>
            <w:tcW w:w="226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3980" w:type="dxa"/>
            <w:vAlign w:val="bottom"/>
            <w:gridSpan w:val="2"/>
          </w:tcPr>
          <w:p>
            <w:pPr>
              <w:spacing w:after="0" w:line="223"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(2)</w:t>
            </w:r>
          </w:p>
        </w:tc>
        <w:tc>
          <w:tcPr>
            <w:tcW w:w="2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579</w:t>
            </w: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524</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6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1,125</w:t>
            </w: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6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1,319</w:t>
            </w:r>
          </w:p>
        </w:tc>
      </w:tr>
      <w:tr>
        <w:trPr>
          <w:trHeight w:val="21"/>
        </w:trPr>
        <w:tc>
          <w:tcPr>
            <w:tcW w:w="1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3880" w:type="dxa"/>
            <w:vAlign w:val="bottom"/>
            <w:tcBorders>
              <w:bottom w:val="single" w:sz="8" w:color="auto"/>
            </w:tcBorders>
          </w:tcPr>
          <w:p>
            <w:pPr>
              <w:spacing w:after="0"/>
              <w:rPr>
                <w:sz w:val="18"/>
                <w:szCs w:val="18"/>
                <w:color w:val="auto"/>
              </w:rPr>
            </w:pPr>
          </w:p>
        </w:tc>
        <w:tc>
          <w:tcPr>
            <w:tcW w:w="2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r>
    </w:tbl>
    <w:p>
      <w:pPr>
        <w:spacing w:after="0" w:line="134" w:lineRule="exact"/>
        <w:rPr>
          <w:sz w:val="20"/>
          <w:szCs w:val="20"/>
          <w:color w:val="auto"/>
        </w:rPr>
      </w:pPr>
    </w:p>
    <w:p>
      <w:pPr>
        <w:ind w:left="440" w:right="40" w:hanging="332"/>
        <w:spacing w:after="0" w:line="234" w:lineRule="auto"/>
        <w:tabs>
          <w:tab w:leader="none" w:pos="428"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Represents “Other income/(expense), net” as reported on our Condensed Consolidated Statements of Operations, adjusted for selected items impacting comparability of $(83) million, $(17) million, $(22) million and $16 million for the three and six months ended June 30, 2021 and 2020, respectively. See the “Selected Items Impacting Comparability” table for additional information.</w:t>
      </w:r>
    </w:p>
    <w:p>
      <w:pPr>
        <w:spacing w:after="0" w:line="6" w:lineRule="exact"/>
        <w:rPr>
          <w:rFonts w:ascii="Arial" w:cs="Arial" w:eastAsia="Arial" w:hAnsi="Arial"/>
          <w:sz w:val="23"/>
          <w:szCs w:val="23"/>
          <w:color w:val="auto"/>
          <w:vertAlign w:val="superscript"/>
        </w:rPr>
      </w:pPr>
    </w:p>
    <w:p>
      <w:pPr>
        <w:ind w:left="420" w:hanging="312"/>
        <w:spacing w:after="0"/>
        <w:tabs>
          <w:tab w:leader="none" w:pos="420"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See the “Net Income/(Loss) to Adjusted EBITDA and Implied DCF Reconciliation” table for reconciliation to Net Income/(Loss).</w:t>
      </w:r>
    </w:p>
    <w:p>
      <w:pPr>
        <w:spacing w:after="0" w:line="33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Reconciliation of Segment Adjusted EBITDA to Segment Adjusted EBITDA further adjusted for impact of divested assets:</w:t>
      </w:r>
    </w:p>
    <w:p>
      <w:pPr>
        <w:spacing w:after="0" w:line="82"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June 30, 2021</w:t>
            </w:r>
          </w:p>
        </w:tc>
        <w:tc>
          <w:tcPr>
            <w:tcW w:w="10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June 30, 2020</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3"/>
            <w:vMerge w:val="restart"/>
          </w:tcPr>
          <w:p>
            <w:pPr>
              <w:ind w:left="40"/>
              <w:spacing w:after="0"/>
              <w:rPr>
                <w:sz w:val="20"/>
                <w:szCs w:val="20"/>
                <w:color w:val="auto"/>
              </w:rPr>
            </w:pPr>
            <w:r>
              <w:rPr>
                <w:rFonts w:ascii="Arial" w:cs="Arial" w:eastAsia="Arial" w:hAnsi="Arial"/>
                <w:sz w:val="15"/>
                <w:szCs w:val="15"/>
                <w:b w:val="1"/>
                <w:bCs w:val="1"/>
                <w:color w:val="auto"/>
              </w:rPr>
              <w:t>Transportation</w:t>
            </w:r>
          </w:p>
        </w:tc>
        <w:tc>
          <w:tcPr>
            <w:tcW w:w="180" w:type="dxa"/>
            <w:vAlign w:val="bottom"/>
          </w:tcPr>
          <w:p>
            <w:pPr>
              <w:spacing w:after="0"/>
              <w:rPr>
                <w:sz w:val="12"/>
                <w:szCs w:val="12"/>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5"/>
                <w:szCs w:val="15"/>
                <w:b w:val="1"/>
                <w:bCs w:val="1"/>
                <w:color w:val="auto"/>
                <w:w w:val="93"/>
              </w:rPr>
              <w:t>Facilities</w:t>
            </w:r>
          </w:p>
        </w:tc>
        <w:tc>
          <w:tcPr>
            <w:tcW w:w="1060" w:type="dxa"/>
            <w:vAlign w:val="bottom"/>
          </w:tcPr>
          <w:p>
            <w:pPr>
              <w:jc w:val="center"/>
              <w:ind w:left="199"/>
              <w:spacing w:after="0" w:line="144" w:lineRule="exact"/>
              <w:rPr>
                <w:sz w:val="20"/>
                <w:szCs w:val="20"/>
                <w:color w:val="auto"/>
              </w:rPr>
            </w:pPr>
            <w:r>
              <w:rPr>
                <w:rFonts w:ascii="Arial" w:cs="Arial" w:eastAsia="Arial" w:hAnsi="Arial"/>
                <w:sz w:val="15"/>
                <w:szCs w:val="15"/>
                <w:b w:val="1"/>
                <w:bCs w:val="1"/>
                <w:color w:val="auto"/>
                <w:w w:val="91"/>
              </w:rPr>
              <w:t>Supply and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rPr>
              <w:t>Transportation</w:t>
            </w:r>
          </w:p>
        </w:tc>
        <w:tc>
          <w:tcPr>
            <w:tcW w:w="180" w:type="dxa"/>
            <w:vAlign w:val="bottom"/>
          </w:tcPr>
          <w:p>
            <w:pPr>
              <w:spacing w:after="0"/>
              <w:rPr>
                <w:sz w:val="12"/>
                <w:szCs w:val="12"/>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5"/>
                <w:szCs w:val="15"/>
                <w:b w:val="1"/>
                <w:bCs w:val="1"/>
                <w:color w:val="auto"/>
                <w:w w:val="90"/>
              </w:rPr>
              <w:t>Facilities</w:t>
            </w:r>
          </w:p>
        </w:tc>
        <w:tc>
          <w:tcPr>
            <w:tcW w:w="200" w:type="dxa"/>
            <w:vAlign w:val="bottom"/>
          </w:tcPr>
          <w:p>
            <w:pPr>
              <w:spacing w:after="0"/>
              <w:rPr>
                <w:sz w:val="12"/>
                <w:szCs w:val="12"/>
                <w:color w:val="auto"/>
              </w:rPr>
            </w:pPr>
          </w:p>
        </w:tc>
        <w:tc>
          <w:tcPr>
            <w:tcW w:w="1140" w:type="dxa"/>
            <w:vAlign w:val="bottom"/>
          </w:tcPr>
          <w:p>
            <w:pPr>
              <w:jc w:val="center"/>
              <w:ind w:right="118"/>
              <w:spacing w:after="0" w:line="144" w:lineRule="exact"/>
              <w:rPr>
                <w:sz w:val="20"/>
                <w:szCs w:val="20"/>
                <w:color w:val="auto"/>
              </w:rPr>
            </w:pPr>
            <w:r>
              <w:rPr>
                <w:rFonts w:ascii="Arial" w:cs="Arial" w:eastAsia="Arial" w:hAnsi="Arial"/>
                <w:sz w:val="15"/>
                <w:szCs w:val="15"/>
                <w:b w:val="1"/>
                <w:bCs w:val="1"/>
                <w:color w:val="auto"/>
                <w:w w:val="91"/>
              </w:rPr>
              <w:t>Supply and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060" w:type="dxa"/>
            <w:vAlign w:val="bottom"/>
          </w:tcPr>
          <w:p>
            <w:pPr>
              <w:jc w:val="center"/>
              <w:ind w:left="199"/>
              <w:spacing w:after="0"/>
              <w:rPr>
                <w:sz w:val="20"/>
                <w:szCs w:val="20"/>
                <w:color w:val="auto"/>
              </w:rPr>
            </w:pPr>
            <w:r>
              <w:rPr>
                <w:rFonts w:ascii="Arial" w:cs="Arial" w:eastAsia="Arial" w:hAnsi="Arial"/>
                <w:sz w:val="15"/>
                <w:szCs w:val="15"/>
                <w:b w:val="1"/>
                <w:bCs w:val="1"/>
                <w:color w:val="auto"/>
                <w:w w:val="88"/>
              </w:rPr>
              <w:t>Logistics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center"/>
              <w:ind w:right="118"/>
              <w:spacing w:after="0"/>
              <w:rPr>
                <w:sz w:val="20"/>
                <w:szCs w:val="20"/>
                <w:color w:val="auto"/>
              </w:rPr>
            </w:pPr>
            <w:r>
              <w:rPr>
                <w:rFonts w:ascii="Arial" w:cs="Arial" w:eastAsia="Arial" w:hAnsi="Arial"/>
                <w:sz w:val="15"/>
                <w:szCs w:val="15"/>
                <w:b w:val="1"/>
                <w:bCs w:val="1"/>
                <w:color w:val="auto"/>
                <w:w w:val="88"/>
              </w:rPr>
              <w:t>Logistics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Segment Adjusted EBITDA</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433</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1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79"/>
              <w:spacing w:after="0"/>
              <w:rPr>
                <w:sz w:val="20"/>
                <w:szCs w:val="20"/>
                <w:color w:val="auto"/>
              </w:rPr>
            </w:pPr>
            <w:r>
              <w:rPr>
                <w:rFonts w:ascii="Arial" w:cs="Arial" w:eastAsia="Arial" w:hAnsi="Arial"/>
                <w:sz w:val="17"/>
                <w:szCs w:val="17"/>
                <w:color w:val="auto"/>
                <w:w w:val="84"/>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7"/>
                <w:szCs w:val="17"/>
                <w:color w:val="auto"/>
              </w:rPr>
              <w:t>174</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ind w:left="20"/>
              <w:spacing w:after="0" w:line="216" w:lineRule="exact"/>
              <w:rPr>
                <w:sz w:val="20"/>
                <w:szCs w:val="20"/>
                <w:color w:val="auto"/>
              </w:rPr>
            </w:pPr>
            <w:r>
              <w:rPr>
                <w:rFonts w:ascii="Arial" w:cs="Arial" w:eastAsia="Arial" w:hAnsi="Arial"/>
                <w:sz w:val="17"/>
                <w:szCs w:val="17"/>
                <w:color w:val="auto"/>
              </w:rPr>
              <w:t xml:space="preserve">Impact of divested assets </w:t>
            </w:r>
            <w:r>
              <w:rPr>
                <w:rFonts w:ascii="Arial" w:cs="Arial" w:eastAsia="Arial" w:hAnsi="Arial"/>
                <w:sz w:val="22"/>
                <w:szCs w:val="22"/>
                <w:color w:val="auto"/>
                <w:vertAlign w:val="superscript"/>
              </w:rPr>
              <w:t>(1)</w:t>
            </w:r>
          </w:p>
        </w:tc>
        <w:tc>
          <w:tcPr>
            <w:tcW w:w="140" w:type="dxa"/>
            <w:vAlign w:val="bottom"/>
          </w:tcPr>
          <w:p>
            <w:pPr>
              <w:spacing w:after="0"/>
              <w:rPr>
                <w:sz w:val="18"/>
                <w:szCs w:val="18"/>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60" w:type="dxa"/>
            <w:vAlign w:val="bottom"/>
          </w:tcPr>
          <w:p>
            <w:pPr>
              <w:spacing w:after="0"/>
              <w:rPr>
                <w:sz w:val="18"/>
                <w:szCs w:val="18"/>
                <w:color w:val="auto"/>
              </w:rPr>
            </w:pPr>
          </w:p>
        </w:tc>
        <w:tc>
          <w:tcPr>
            <w:tcW w:w="4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160" w:type="dxa"/>
            <w:vAlign w:val="bottom"/>
          </w:tcPr>
          <w:p>
            <w:pPr>
              <w:ind w:left="860"/>
              <w:spacing w:after="0"/>
              <w:rPr>
                <w:sz w:val="20"/>
                <w:szCs w:val="20"/>
                <w:color w:val="auto"/>
              </w:rPr>
            </w:pPr>
            <w:r>
              <w:rPr>
                <w:rFonts w:ascii="Arial" w:cs="Arial" w:eastAsia="Arial" w:hAnsi="Arial"/>
                <w:sz w:val="17"/>
                <w:szCs w:val="17"/>
                <w:color w:val="auto"/>
                <w:w w:val="92"/>
              </w:rPr>
              <w:t>(15)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6"/>
                <w:szCs w:val="16"/>
                <w:color w:val="auto"/>
              </w:rPr>
              <w:t>Segment Adjusted EBITDA</w:t>
            </w:r>
          </w:p>
        </w:tc>
        <w:tc>
          <w:tcPr>
            <w:tcW w:w="14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right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ind w:left="180"/>
              <w:spacing w:after="0" w:line="162" w:lineRule="exact"/>
              <w:rPr>
                <w:sz w:val="20"/>
                <w:szCs w:val="20"/>
                <w:color w:val="auto"/>
              </w:rPr>
            </w:pPr>
            <w:r>
              <w:rPr>
                <w:rFonts w:ascii="Arial" w:cs="Arial" w:eastAsia="Arial" w:hAnsi="Arial"/>
                <w:sz w:val="17"/>
                <w:szCs w:val="17"/>
                <w:color w:val="auto"/>
              </w:rPr>
              <w:t>further adjusted for impact of</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433</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879"/>
              <w:spacing w:after="0"/>
              <w:rPr>
                <w:sz w:val="20"/>
                <w:szCs w:val="20"/>
                <w:color w:val="auto"/>
              </w:rPr>
            </w:pPr>
            <w:r>
              <w:rPr>
                <w:rFonts w:ascii="Arial" w:cs="Arial" w:eastAsia="Arial" w:hAnsi="Arial"/>
                <w:sz w:val="17"/>
                <w:szCs w:val="17"/>
                <w:color w:val="auto"/>
                <w:w w:val="84"/>
              </w:rPr>
              <w: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346</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60" w:type="dxa"/>
            <w:vAlign w:val="bottom"/>
            <w:vMerge w:val="restart"/>
            <w:shd w:val="clear" w:color="auto" w:fill="CCEEFF"/>
          </w:tcPr>
          <w:p>
            <w:pPr>
              <w:ind w:left="840"/>
              <w:spacing w:after="0"/>
              <w:rPr>
                <w:sz w:val="20"/>
                <w:szCs w:val="20"/>
                <w:color w:val="auto"/>
              </w:rPr>
            </w:pPr>
            <w:r>
              <w:rPr>
                <w:rFonts w:ascii="Arial" w:cs="Arial" w:eastAsia="Arial" w:hAnsi="Arial"/>
                <w:sz w:val="17"/>
                <w:szCs w:val="17"/>
                <w:color w:val="auto"/>
              </w:rPr>
              <w:t>159</w:t>
            </w:r>
          </w:p>
        </w:tc>
        <w:tc>
          <w:tcPr>
            <w:tcW w:w="12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60" w:type="dxa"/>
            <w:vAlign w:val="bottom"/>
            <w:tcBorders>
              <w:bottom w:val="single" w:sz="8" w:color="CCEEFF"/>
            </w:tcBorders>
            <w:shd w:val="clear" w:color="auto" w:fill="CCEEFF"/>
          </w:tcPr>
          <w:p>
            <w:pPr>
              <w:ind w:left="180"/>
              <w:spacing w:after="0" w:line="189" w:lineRule="exact"/>
              <w:rPr>
                <w:sz w:val="20"/>
                <w:szCs w:val="20"/>
                <w:color w:val="auto"/>
              </w:rPr>
            </w:pPr>
            <w:r>
              <w:rPr>
                <w:rFonts w:ascii="Arial" w:cs="Arial" w:eastAsia="Arial" w:hAnsi="Arial"/>
                <w:sz w:val="17"/>
                <w:szCs w:val="17"/>
                <w:color w:val="auto"/>
              </w:rPr>
              <w:t>divested assets</w:t>
            </w: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Six Months Ended</w:t>
            </w: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Six Months Ended</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June 30, 2021</w:t>
            </w:r>
          </w:p>
        </w:tc>
        <w:tc>
          <w:tcPr>
            <w:tcW w:w="10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June 30, 2020</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3"/>
            <w:vMerge w:val="restart"/>
          </w:tcPr>
          <w:p>
            <w:pPr>
              <w:ind w:left="40"/>
              <w:spacing w:after="0"/>
              <w:rPr>
                <w:sz w:val="20"/>
                <w:szCs w:val="20"/>
                <w:color w:val="auto"/>
              </w:rPr>
            </w:pPr>
            <w:r>
              <w:rPr>
                <w:rFonts w:ascii="Arial" w:cs="Arial" w:eastAsia="Arial" w:hAnsi="Arial"/>
                <w:sz w:val="15"/>
                <w:szCs w:val="15"/>
                <w:b w:val="1"/>
                <w:bCs w:val="1"/>
                <w:color w:val="auto"/>
              </w:rPr>
              <w:t>Transportation</w:t>
            </w:r>
          </w:p>
        </w:tc>
        <w:tc>
          <w:tcPr>
            <w:tcW w:w="180" w:type="dxa"/>
            <w:vAlign w:val="bottom"/>
          </w:tcPr>
          <w:p>
            <w:pPr>
              <w:spacing w:after="0"/>
              <w:rPr>
                <w:sz w:val="12"/>
                <w:szCs w:val="12"/>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5"/>
                <w:szCs w:val="15"/>
                <w:b w:val="1"/>
                <w:bCs w:val="1"/>
                <w:color w:val="auto"/>
                <w:w w:val="93"/>
              </w:rPr>
              <w:t>Facilities</w:t>
            </w:r>
          </w:p>
        </w:tc>
        <w:tc>
          <w:tcPr>
            <w:tcW w:w="1060" w:type="dxa"/>
            <w:vAlign w:val="bottom"/>
          </w:tcPr>
          <w:p>
            <w:pPr>
              <w:jc w:val="center"/>
              <w:ind w:left="199"/>
              <w:spacing w:after="0" w:line="144" w:lineRule="exact"/>
              <w:rPr>
                <w:sz w:val="20"/>
                <w:szCs w:val="20"/>
                <w:color w:val="auto"/>
              </w:rPr>
            </w:pPr>
            <w:r>
              <w:rPr>
                <w:rFonts w:ascii="Arial" w:cs="Arial" w:eastAsia="Arial" w:hAnsi="Arial"/>
                <w:sz w:val="15"/>
                <w:szCs w:val="15"/>
                <w:b w:val="1"/>
                <w:bCs w:val="1"/>
                <w:color w:val="auto"/>
                <w:w w:val="91"/>
              </w:rPr>
              <w:t>Supply and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rPr>
              <w:t>Transportation</w:t>
            </w:r>
          </w:p>
        </w:tc>
        <w:tc>
          <w:tcPr>
            <w:tcW w:w="180" w:type="dxa"/>
            <w:vAlign w:val="bottom"/>
          </w:tcPr>
          <w:p>
            <w:pPr>
              <w:spacing w:after="0"/>
              <w:rPr>
                <w:sz w:val="12"/>
                <w:szCs w:val="12"/>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5"/>
                <w:szCs w:val="15"/>
                <w:b w:val="1"/>
                <w:bCs w:val="1"/>
                <w:color w:val="auto"/>
                <w:w w:val="90"/>
              </w:rPr>
              <w:t>Facilities</w:t>
            </w:r>
          </w:p>
        </w:tc>
        <w:tc>
          <w:tcPr>
            <w:tcW w:w="200" w:type="dxa"/>
            <w:vAlign w:val="bottom"/>
          </w:tcPr>
          <w:p>
            <w:pPr>
              <w:spacing w:after="0"/>
              <w:rPr>
                <w:sz w:val="12"/>
                <w:szCs w:val="12"/>
                <w:color w:val="auto"/>
              </w:rPr>
            </w:pPr>
          </w:p>
        </w:tc>
        <w:tc>
          <w:tcPr>
            <w:tcW w:w="1140" w:type="dxa"/>
            <w:vAlign w:val="bottom"/>
          </w:tcPr>
          <w:p>
            <w:pPr>
              <w:jc w:val="center"/>
              <w:ind w:right="118"/>
              <w:spacing w:after="0" w:line="144" w:lineRule="exact"/>
              <w:rPr>
                <w:sz w:val="20"/>
                <w:szCs w:val="20"/>
                <w:color w:val="auto"/>
              </w:rPr>
            </w:pPr>
            <w:r>
              <w:rPr>
                <w:rFonts w:ascii="Arial" w:cs="Arial" w:eastAsia="Arial" w:hAnsi="Arial"/>
                <w:sz w:val="15"/>
                <w:szCs w:val="15"/>
                <w:b w:val="1"/>
                <w:bCs w:val="1"/>
                <w:color w:val="auto"/>
                <w:w w:val="91"/>
              </w:rPr>
              <w:t>Supply and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060" w:type="dxa"/>
            <w:vAlign w:val="bottom"/>
          </w:tcPr>
          <w:p>
            <w:pPr>
              <w:jc w:val="center"/>
              <w:ind w:left="199"/>
              <w:spacing w:after="0"/>
              <w:rPr>
                <w:sz w:val="20"/>
                <w:szCs w:val="20"/>
                <w:color w:val="auto"/>
              </w:rPr>
            </w:pPr>
            <w:r>
              <w:rPr>
                <w:rFonts w:ascii="Arial" w:cs="Arial" w:eastAsia="Arial" w:hAnsi="Arial"/>
                <w:sz w:val="15"/>
                <w:szCs w:val="15"/>
                <w:b w:val="1"/>
                <w:bCs w:val="1"/>
                <w:color w:val="auto"/>
                <w:w w:val="88"/>
              </w:rPr>
              <w:t>Logistics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center"/>
              <w:ind w:right="118"/>
              <w:spacing w:after="0"/>
              <w:rPr>
                <w:sz w:val="20"/>
                <w:szCs w:val="20"/>
                <w:color w:val="auto"/>
              </w:rPr>
            </w:pPr>
            <w:r>
              <w:rPr>
                <w:rFonts w:ascii="Arial" w:cs="Arial" w:eastAsia="Arial" w:hAnsi="Arial"/>
                <w:sz w:val="15"/>
                <w:szCs w:val="15"/>
                <w:b w:val="1"/>
                <w:bCs w:val="1"/>
                <w:color w:val="auto"/>
                <w:w w:val="88"/>
              </w:rPr>
              <w:t>Logistics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Segment Adjusted EBITDA</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821</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311</w:t>
            </w:r>
          </w:p>
        </w:tc>
        <w:tc>
          <w:tcPr>
            <w:tcW w:w="1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79"/>
              <w:spacing w:after="0"/>
              <w:rPr>
                <w:sz w:val="20"/>
                <w:szCs w:val="20"/>
                <w:color w:val="auto"/>
              </w:rPr>
            </w:pPr>
            <w:r>
              <w:rPr>
                <w:rFonts w:ascii="Arial" w:cs="Arial" w:eastAsia="Arial" w:hAnsi="Arial"/>
                <w:sz w:val="17"/>
                <w:szCs w:val="17"/>
                <w:color w:val="auto"/>
                <w:w w:val="84"/>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7"/>
                <w:szCs w:val="17"/>
                <w:color w:val="auto"/>
              </w:rPr>
              <w:t>384</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ind w:left="20"/>
              <w:spacing w:after="0" w:line="216" w:lineRule="exact"/>
              <w:rPr>
                <w:sz w:val="20"/>
                <w:szCs w:val="20"/>
                <w:color w:val="auto"/>
              </w:rPr>
            </w:pPr>
            <w:r>
              <w:rPr>
                <w:rFonts w:ascii="Arial" w:cs="Arial" w:eastAsia="Arial" w:hAnsi="Arial"/>
                <w:sz w:val="17"/>
                <w:szCs w:val="17"/>
                <w:color w:val="auto"/>
              </w:rPr>
              <w:t xml:space="preserve">Impact of divested assets </w:t>
            </w:r>
            <w:r>
              <w:rPr>
                <w:rFonts w:ascii="Arial" w:cs="Arial" w:eastAsia="Arial" w:hAnsi="Arial"/>
                <w:sz w:val="22"/>
                <w:szCs w:val="22"/>
                <w:color w:val="auto"/>
                <w:vertAlign w:val="superscript"/>
              </w:rPr>
              <w:t>(1)</w:t>
            </w:r>
          </w:p>
        </w:tc>
        <w:tc>
          <w:tcPr>
            <w:tcW w:w="140" w:type="dxa"/>
            <w:vAlign w:val="bottom"/>
          </w:tcPr>
          <w:p>
            <w:pPr>
              <w:spacing w:after="0"/>
              <w:rPr>
                <w:sz w:val="18"/>
                <w:szCs w:val="18"/>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60" w:type="dxa"/>
            <w:vAlign w:val="bottom"/>
          </w:tcPr>
          <w:p>
            <w:pPr>
              <w:spacing w:after="0"/>
              <w:rPr>
                <w:sz w:val="18"/>
                <w:szCs w:val="18"/>
                <w:color w:val="auto"/>
              </w:rPr>
            </w:pPr>
          </w:p>
        </w:tc>
        <w:tc>
          <w:tcPr>
            <w:tcW w:w="4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ind w:left="860"/>
              <w:spacing w:after="0"/>
              <w:rPr>
                <w:sz w:val="20"/>
                <w:szCs w:val="20"/>
                <w:color w:val="auto"/>
              </w:rPr>
            </w:pPr>
            <w:r>
              <w:rPr>
                <w:rFonts w:ascii="Arial" w:cs="Arial" w:eastAsia="Arial" w:hAnsi="Arial"/>
                <w:sz w:val="17"/>
                <w:szCs w:val="17"/>
                <w:color w:val="auto"/>
                <w:w w:val="92"/>
              </w:rPr>
              <w:t>(33)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6"/>
                <w:szCs w:val="16"/>
                <w:color w:val="auto"/>
              </w:rPr>
              <w:t>Segment Adjusted EBITDA</w:t>
            </w:r>
          </w:p>
        </w:tc>
        <w:tc>
          <w:tcPr>
            <w:tcW w:w="14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right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ind w:left="180"/>
              <w:spacing w:after="0" w:line="162" w:lineRule="exact"/>
              <w:rPr>
                <w:sz w:val="20"/>
                <w:szCs w:val="20"/>
                <w:color w:val="auto"/>
              </w:rPr>
            </w:pPr>
            <w:r>
              <w:rPr>
                <w:rFonts w:ascii="Arial" w:cs="Arial" w:eastAsia="Arial" w:hAnsi="Arial"/>
                <w:sz w:val="17"/>
                <w:szCs w:val="17"/>
                <w:color w:val="auto"/>
              </w:rPr>
              <w:t>further adjusted for impact of</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821</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311</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879"/>
              <w:spacing w:after="0"/>
              <w:rPr>
                <w:sz w:val="20"/>
                <w:szCs w:val="20"/>
                <w:color w:val="auto"/>
              </w:rPr>
            </w:pPr>
            <w:r>
              <w:rPr>
                <w:rFonts w:ascii="Arial" w:cs="Arial" w:eastAsia="Arial" w:hAnsi="Arial"/>
                <w:sz w:val="17"/>
                <w:szCs w:val="17"/>
                <w:color w:val="auto"/>
                <w:w w:val="84"/>
              </w:rPr>
              <w: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787</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60" w:type="dxa"/>
            <w:vAlign w:val="bottom"/>
            <w:vMerge w:val="restart"/>
            <w:shd w:val="clear" w:color="auto" w:fill="CCEEFF"/>
          </w:tcPr>
          <w:p>
            <w:pPr>
              <w:ind w:left="840"/>
              <w:spacing w:after="0"/>
              <w:rPr>
                <w:sz w:val="20"/>
                <w:szCs w:val="20"/>
                <w:color w:val="auto"/>
              </w:rPr>
            </w:pPr>
            <w:r>
              <w:rPr>
                <w:rFonts w:ascii="Arial" w:cs="Arial" w:eastAsia="Arial" w:hAnsi="Arial"/>
                <w:sz w:val="17"/>
                <w:szCs w:val="17"/>
                <w:color w:val="auto"/>
              </w:rPr>
              <w:t>351</w:t>
            </w:r>
          </w:p>
        </w:tc>
        <w:tc>
          <w:tcPr>
            <w:tcW w:w="12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60" w:type="dxa"/>
            <w:vAlign w:val="bottom"/>
            <w:tcBorders>
              <w:bottom w:val="single" w:sz="8" w:color="CCEEFF"/>
            </w:tcBorders>
            <w:shd w:val="clear" w:color="auto" w:fill="CCEEFF"/>
          </w:tcPr>
          <w:p>
            <w:pPr>
              <w:ind w:left="180"/>
              <w:spacing w:after="0" w:line="189" w:lineRule="exact"/>
              <w:rPr>
                <w:sz w:val="20"/>
                <w:szCs w:val="20"/>
                <w:color w:val="auto"/>
              </w:rPr>
            </w:pPr>
            <w:r>
              <w:rPr>
                <w:rFonts w:ascii="Arial" w:cs="Arial" w:eastAsia="Arial" w:hAnsi="Arial"/>
                <w:sz w:val="17"/>
                <w:szCs w:val="17"/>
                <w:color w:val="auto"/>
              </w:rPr>
              <w:t>divested assets</w:t>
            </w: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Borders>
              <w:bottom w:val="single" w:sz="8" w:color="auto"/>
            </w:tcBorders>
          </w:tcPr>
          <w:p>
            <w:pPr>
              <w:spacing w:after="0"/>
              <w:rPr>
                <w:sz w:val="11"/>
                <w:szCs w:val="11"/>
                <w:color w:val="auto"/>
              </w:rPr>
            </w:pPr>
          </w:p>
        </w:tc>
        <w:tc>
          <w:tcPr>
            <w:tcW w:w="24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left="440" w:right="140" w:hanging="332"/>
        <w:spacing w:after="0" w:line="232" w:lineRule="auto"/>
        <w:tabs>
          <w:tab w:leader="none" w:pos="428" w:val="left"/>
        </w:tabs>
        <w:numPr>
          <w:ilvl w:val="0"/>
          <w:numId w:val="23"/>
        </w:numPr>
        <w:rPr>
          <w:rFonts w:ascii="Arial" w:cs="Arial" w:eastAsia="Arial" w:hAnsi="Arial"/>
          <w:sz w:val="22"/>
          <w:szCs w:val="22"/>
          <w:color w:val="auto"/>
          <w:vertAlign w:val="superscript"/>
        </w:rPr>
      </w:pPr>
      <w:r>
        <w:rPr>
          <w:rFonts w:ascii="Arial" w:cs="Arial" w:eastAsia="Arial" w:hAnsi="Arial"/>
          <w:sz w:val="17"/>
          <w:szCs w:val="17"/>
          <w:color w:val="auto"/>
        </w:rPr>
        <w:t>Estimated impact of divestitures completed during 2020 and 2021, assuming an effective date of January 1, 2020. Divested assets primarily included certain NGL storage terminals and Los Angeles Basin crude oil storage terminals that were previously included in our Facilities segment and the sale of a portion of our interest in a joint venture pipeline that was previously reported in our Transportation segment.</w:t>
      </w:r>
    </w:p>
    <w:p>
      <w:pPr>
        <w:spacing w:after="0" w:line="1" w:lineRule="exact"/>
        <w:rPr>
          <w:rFonts w:ascii="Arial" w:cs="Arial" w:eastAsia="Arial" w:hAnsi="Arial"/>
          <w:sz w:val="22"/>
          <w:szCs w:val="22"/>
          <w:color w:val="auto"/>
          <w:vertAlign w:val="superscript"/>
        </w:rPr>
      </w:pPr>
    </w:p>
    <w:p>
      <w:pPr>
        <w:ind w:left="5540" w:hanging="106"/>
        <w:spacing w:after="0"/>
        <w:tabs>
          <w:tab w:leader="none" w:pos="5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90170</wp:posOffset>
            </wp:positionV>
            <wp:extent cx="71151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9" w:lineRule="exact"/>
        <w:rPr>
          <w:sz w:val="20"/>
          <w:szCs w:val="20"/>
          <w:color w:val="auto"/>
        </w:rPr>
      </w:pPr>
    </w:p>
    <w:p>
      <w:pPr>
        <w:ind w:left="1760"/>
        <w:spacing w:after="0"/>
        <w:tabs>
          <w:tab w:leader="none" w:pos="4860" w:val="left"/>
          <w:tab w:leader="none" w:pos="75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320"/>
          </w:cols>
          <w:pgMar w:left="220" w:top="368"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Page 22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June 30, 2021</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June 30, 2020</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Consolidating</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Consolidating</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3"/>
          </w:tcPr>
          <w:p>
            <w:pPr>
              <w:ind w:left="160"/>
              <w:spacing w:after="0"/>
              <w:rPr>
                <w:sz w:val="20"/>
                <w:szCs w:val="20"/>
                <w:color w:val="auto"/>
              </w:rPr>
            </w:pPr>
            <w:r>
              <w:rPr>
                <w:rFonts w:ascii="Arial" w:cs="Arial" w:eastAsia="Arial" w:hAnsi="Arial"/>
                <w:sz w:val="14"/>
                <w:szCs w:val="14"/>
                <w:b w:val="1"/>
                <w:bCs w:val="1"/>
                <w:color w:val="auto"/>
              </w:rPr>
              <w:t>PAA</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line="201" w:lineRule="exact"/>
              <w:rPr>
                <w:sz w:val="20"/>
                <w:szCs w:val="20"/>
                <w:color w:val="auto"/>
              </w:rPr>
            </w:pPr>
            <w:r>
              <w:rPr>
                <w:rFonts w:ascii="Arial" w:cs="Arial" w:eastAsia="Arial" w:hAnsi="Arial"/>
                <w:sz w:val="14"/>
                <w:szCs w:val="14"/>
                <w:b w:val="1"/>
                <w:bCs w:val="1"/>
                <w:color w:val="auto"/>
                <w:w w:val="90"/>
              </w:rPr>
              <w:t xml:space="preserve">Adjustments </w:t>
            </w:r>
            <w:r>
              <w:rPr>
                <w:rFonts w:ascii="Arial" w:cs="Arial" w:eastAsia="Arial" w:hAnsi="Arial"/>
                <w:sz w:val="18"/>
                <w:szCs w:val="18"/>
                <w:b w:val="1"/>
                <w:bCs w:val="1"/>
                <w:color w:val="auto"/>
                <w:w w:val="90"/>
                <w:vertAlign w:val="superscript"/>
              </w:rPr>
              <w:t>(1)</w:t>
            </w:r>
          </w:p>
        </w:tc>
        <w:tc>
          <w:tcPr>
            <w:tcW w:w="260" w:type="dxa"/>
            <w:vAlign w:val="bottom"/>
          </w:tcPr>
          <w:p>
            <w:pPr>
              <w:spacing w:after="0"/>
              <w:rPr>
                <w:sz w:val="17"/>
                <w:szCs w:val="17"/>
                <w:color w:val="auto"/>
              </w:rPr>
            </w:pPr>
          </w:p>
        </w:tc>
        <w:tc>
          <w:tcPr>
            <w:tcW w:w="900" w:type="dxa"/>
            <w:vAlign w:val="bottom"/>
          </w:tcPr>
          <w:p>
            <w:pPr>
              <w:jc w:val="right"/>
              <w:ind w:right="291"/>
              <w:spacing w:after="0"/>
              <w:rPr>
                <w:sz w:val="20"/>
                <w:szCs w:val="20"/>
                <w:color w:val="auto"/>
              </w:rPr>
            </w:pPr>
            <w:r>
              <w:rPr>
                <w:rFonts w:ascii="Arial" w:cs="Arial" w:eastAsia="Arial" w:hAnsi="Arial"/>
                <w:sz w:val="14"/>
                <w:szCs w:val="14"/>
                <w:b w:val="1"/>
                <w:bCs w:val="1"/>
                <w:color w:val="auto"/>
              </w:rPr>
              <w:t>PAGP</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PAA</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line="201" w:lineRule="exact"/>
              <w:rPr>
                <w:sz w:val="20"/>
                <w:szCs w:val="20"/>
                <w:color w:val="auto"/>
              </w:rPr>
            </w:pPr>
            <w:r>
              <w:rPr>
                <w:rFonts w:ascii="Arial" w:cs="Arial" w:eastAsia="Arial" w:hAnsi="Arial"/>
                <w:sz w:val="14"/>
                <w:szCs w:val="14"/>
                <w:b w:val="1"/>
                <w:bCs w:val="1"/>
                <w:color w:val="auto"/>
                <w:w w:val="90"/>
              </w:rPr>
              <w:t xml:space="preserve">Adjustments </w:t>
            </w:r>
            <w:r>
              <w:rPr>
                <w:rFonts w:ascii="Arial" w:cs="Arial" w:eastAsia="Arial" w:hAnsi="Arial"/>
                <w:sz w:val="18"/>
                <w:szCs w:val="18"/>
                <w:b w:val="1"/>
                <w:bCs w:val="1"/>
                <w:color w:val="auto"/>
                <w:w w:val="90"/>
                <w:vertAlign w:val="superscript"/>
              </w:rPr>
              <w:t>(1)</w:t>
            </w:r>
          </w:p>
        </w:tc>
        <w:tc>
          <w:tcPr>
            <w:tcW w:w="260" w:type="dxa"/>
            <w:vAlign w:val="bottom"/>
          </w:tcPr>
          <w:p>
            <w:pPr>
              <w:spacing w:after="0"/>
              <w:rPr>
                <w:sz w:val="17"/>
                <w:szCs w:val="17"/>
                <w:color w:val="auto"/>
              </w:rPr>
            </w:pPr>
          </w:p>
        </w:tc>
        <w:tc>
          <w:tcPr>
            <w:tcW w:w="900" w:type="dxa"/>
            <w:vAlign w:val="bottom"/>
          </w:tcPr>
          <w:p>
            <w:pPr>
              <w:jc w:val="right"/>
              <w:ind w:right="291"/>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9,930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9,930</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3,225</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Purchases and related costs</w:t>
            </w: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9,277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9,277</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2,525</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175"/>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w w:val="96"/>
              </w:rPr>
              <w:t>(Gains)/losses on asset sales and asset</w:t>
            </w:r>
          </w:p>
        </w:tc>
        <w:tc>
          <w:tcPr>
            <w:tcW w:w="260" w:type="dxa"/>
            <w:vAlign w:val="bottom"/>
          </w:tcPr>
          <w:p>
            <w:pPr>
              <w:spacing w:after="0"/>
              <w:rPr>
                <w:sz w:val="15"/>
                <w:szCs w:val="15"/>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120" w:type="dxa"/>
            <w:vAlign w:val="bottom"/>
          </w:tcPr>
          <w:p>
            <w:pPr>
              <w:ind w:left="180"/>
              <w:spacing w:after="0"/>
              <w:rPr>
                <w:sz w:val="20"/>
                <w:szCs w:val="20"/>
                <w:color w:val="auto"/>
              </w:rPr>
            </w:pPr>
            <w:r>
              <w:rPr>
                <w:rFonts w:ascii="Arial" w:cs="Arial" w:eastAsia="Arial" w:hAnsi="Arial"/>
                <w:sz w:val="18"/>
                <w:szCs w:val="18"/>
                <w:color w:val="auto"/>
              </w:rPr>
              <w:t>impairments, net</w:t>
            </w:r>
          </w:p>
        </w:tc>
        <w:tc>
          <w:tcPr>
            <w:tcW w:w="26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10,166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10,169</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3,017</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INCOME/(LOSS)</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w w:val="92"/>
              </w:rPr>
              <w:t>Equity earnings in unconsolidated entities</w:t>
            </w: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Gain on/(impairment of) investments in</w:t>
            </w:r>
          </w:p>
        </w:tc>
        <w:tc>
          <w:tcPr>
            <w:tcW w:w="2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unconsolidated entities, net</w:t>
            </w: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income/(expense), net</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28"/>
        </w:trPr>
        <w:tc>
          <w:tcPr>
            <w:tcW w:w="31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INCOME/(LOSS) BEFORE TAX</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Current income tax expense</w:t>
            </w: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benefit</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29"/>
        </w:trPr>
        <w:tc>
          <w:tcPr>
            <w:tcW w:w="3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INCOME/(LOSS)</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line="176" w:lineRule="exact"/>
              <w:rPr>
                <w:sz w:val="20"/>
                <w:szCs w:val="20"/>
                <w:color w:val="auto"/>
              </w:rPr>
            </w:pPr>
            <w:r>
              <w:rPr>
                <w:rFonts w:ascii="Arial" w:cs="Arial" w:eastAsia="Arial" w:hAnsi="Arial"/>
                <w:sz w:val="18"/>
                <w:szCs w:val="18"/>
                <w:color w:val="auto"/>
              </w:rPr>
              <w:t>Net (income)/loss attributable to</w:t>
            </w:r>
          </w:p>
        </w:tc>
        <w:tc>
          <w:tcPr>
            <w:tcW w:w="260" w:type="dxa"/>
            <w:vAlign w:val="bottom"/>
          </w:tcPr>
          <w:p>
            <w:pPr>
              <w:spacing w:after="0"/>
              <w:rPr>
                <w:sz w:val="15"/>
                <w:szCs w:val="15"/>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9"/>
        </w:trPr>
        <w:tc>
          <w:tcPr>
            <w:tcW w:w="31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1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NET INCOME/(LOSS)</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right w:val="single" w:sz="8" w:color="auto"/>
            </w:tcBorders>
            <w:shd w:val="clear" w:color="auto" w:fill="CCEEFF"/>
          </w:tcPr>
          <w:p>
            <w:pPr>
              <w:spacing w:after="0"/>
              <w:rPr>
                <w:sz w:val="13"/>
                <w:szCs w:val="13"/>
                <w:color w:val="auto"/>
              </w:rPr>
            </w:pPr>
          </w:p>
        </w:tc>
        <w:tc>
          <w:tcPr>
            <w:tcW w:w="100" w:type="dxa"/>
            <w:vAlign w:val="bottom"/>
            <w:vMerge w:val="restart"/>
            <w:shd w:val="clear" w:color="auto" w:fill="CCEEFF"/>
          </w:tcPr>
          <w:p>
            <w:pPr>
              <w:spacing w:after="0"/>
              <w:rPr>
                <w:sz w:val="13"/>
                <w:szCs w:val="13"/>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312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b w:val="1"/>
                <w:bCs w:val="1"/>
                <w:color w:val="auto"/>
              </w:rPr>
              <w:t>ATTRIBUTABLE TO PAGP</w:t>
            </w: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gridSpan w:val="2"/>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12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5860" w:type="dxa"/>
            <w:vAlign w:val="bottom"/>
            <w:tcBorders>
              <w:bottom w:val="single" w:sz="8" w:color="CCEEFF"/>
            </w:tcBorders>
            <w:gridSpan w:val="8"/>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NET INCOME/(LOSS) PER CLASS A SHARE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gridSpan w:val="3"/>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5860" w:type="dxa"/>
            <w:vAlign w:val="bottom"/>
            <w:gridSpan w:val="8"/>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BASIC AND DILUTED WEIGHTED AVERAGE CLASS A SHARES</w:t>
            </w: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3"/>
        </w:trPr>
        <w:tc>
          <w:tcPr>
            <w:tcW w:w="312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OUTSTANDING</w:t>
            </w:r>
          </w:p>
        </w:tc>
        <w:tc>
          <w:tcPr>
            <w:tcW w:w="2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1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ind w:left="5440" w:hanging="106"/>
        <w:spacing w:after="0"/>
        <w:tabs>
          <w:tab w:leader="none" w:pos="54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9"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140"/>
          </w:cols>
          <w:pgMar w:left="320" w:top="368" w:right="4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auto"/>
        </w:rPr>
        <w:t>Page 23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Six Months Ended</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Six Months Ended</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June 30, 2021</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0"/>
              </w:rPr>
              <w:t>June 30, 2020</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Consolidating</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Consolidating</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3"/>
          </w:tcPr>
          <w:p>
            <w:pPr>
              <w:ind w:left="160"/>
              <w:spacing w:after="0"/>
              <w:rPr>
                <w:sz w:val="20"/>
                <w:szCs w:val="20"/>
                <w:color w:val="auto"/>
              </w:rPr>
            </w:pPr>
            <w:r>
              <w:rPr>
                <w:rFonts w:ascii="Arial" w:cs="Arial" w:eastAsia="Arial" w:hAnsi="Arial"/>
                <w:sz w:val="14"/>
                <w:szCs w:val="14"/>
                <w:b w:val="1"/>
                <w:bCs w:val="1"/>
                <w:color w:val="auto"/>
              </w:rPr>
              <w:t>PAA</w:t>
            </w:r>
          </w:p>
        </w:tc>
        <w:tc>
          <w:tcPr>
            <w:tcW w:w="140" w:type="dxa"/>
            <w:vAlign w:val="bottom"/>
          </w:tcPr>
          <w:p>
            <w:pPr>
              <w:spacing w:after="0"/>
              <w:rPr>
                <w:sz w:val="17"/>
                <w:szCs w:val="17"/>
                <w:color w:val="auto"/>
              </w:rPr>
            </w:pPr>
          </w:p>
        </w:tc>
        <w:tc>
          <w:tcPr>
            <w:tcW w:w="1380" w:type="dxa"/>
            <w:vAlign w:val="bottom"/>
            <w:gridSpan w:val="2"/>
          </w:tcPr>
          <w:p>
            <w:pPr>
              <w:jc w:val="center"/>
              <w:ind w:right="260"/>
              <w:spacing w:after="0" w:line="201" w:lineRule="exact"/>
              <w:rPr>
                <w:sz w:val="20"/>
                <w:szCs w:val="20"/>
                <w:color w:val="auto"/>
              </w:rPr>
            </w:pPr>
            <w:r>
              <w:rPr>
                <w:rFonts w:ascii="Arial" w:cs="Arial" w:eastAsia="Arial" w:hAnsi="Arial"/>
                <w:sz w:val="14"/>
                <w:szCs w:val="14"/>
                <w:b w:val="1"/>
                <w:bCs w:val="1"/>
                <w:color w:val="auto"/>
                <w:w w:val="88"/>
              </w:rPr>
              <w:t xml:space="preserve">Adjustments </w:t>
            </w:r>
            <w:r>
              <w:rPr>
                <w:rFonts w:ascii="Arial" w:cs="Arial" w:eastAsia="Arial" w:hAnsi="Arial"/>
                <w:sz w:val="18"/>
                <w:szCs w:val="18"/>
                <w:b w:val="1"/>
                <w:bCs w:val="1"/>
                <w:color w:val="auto"/>
                <w:w w:val="88"/>
                <w:vertAlign w:val="superscript"/>
              </w:rPr>
              <w:t>(1)</w:t>
            </w:r>
          </w:p>
        </w:tc>
        <w:tc>
          <w:tcPr>
            <w:tcW w:w="240" w:type="dxa"/>
            <w:vAlign w:val="bottom"/>
          </w:tcPr>
          <w:p>
            <w:pPr>
              <w:spacing w:after="0"/>
              <w:rPr>
                <w:sz w:val="17"/>
                <w:szCs w:val="17"/>
                <w:color w:val="auto"/>
              </w:rPr>
            </w:pPr>
          </w:p>
        </w:tc>
        <w:tc>
          <w:tcPr>
            <w:tcW w:w="920" w:type="dxa"/>
            <w:vAlign w:val="bottom"/>
          </w:tcPr>
          <w:p>
            <w:pPr>
              <w:jc w:val="right"/>
              <w:ind w:right="311"/>
              <w:spacing w:after="0"/>
              <w:rPr>
                <w:sz w:val="20"/>
                <w:szCs w:val="20"/>
                <w:color w:val="auto"/>
              </w:rPr>
            </w:pPr>
            <w:r>
              <w:rPr>
                <w:rFonts w:ascii="Arial" w:cs="Arial" w:eastAsia="Arial" w:hAnsi="Arial"/>
                <w:sz w:val="14"/>
                <w:szCs w:val="14"/>
                <w:b w:val="1"/>
                <w:bCs w:val="1"/>
                <w:color w:val="auto"/>
              </w:rPr>
              <w:t>PAGP</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PAA</w:t>
            </w:r>
          </w:p>
        </w:tc>
        <w:tc>
          <w:tcPr>
            <w:tcW w:w="140" w:type="dxa"/>
            <w:vAlign w:val="bottom"/>
          </w:tcPr>
          <w:p>
            <w:pPr>
              <w:spacing w:after="0"/>
              <w:rPr>
                <w:sz w:val="17"/>
                <w:szCs w:val="17"/>
                <w:color w:val="auto"/>
              </w:rPr>
            </w:pPr>
          </w:p>
        </w:tc>
        <w:tc>
          <w:tcPr>
            <w:tcW w:w="1380" w:type="dxa"/>
            <w:vAlign w:val="bottom"/>
            <w:gridSpan w:val="2"/>
          </w:tcPr>
          <w:p>
            <w:pPr>
              <w:jc w:val="center"/>
              <w:ind w:right="240"/>
              <w:spacing w:after="0" w:line="201" w:lineRule="exact"/>
              <w:rPr>
                <w:sz w:val="20"/>
                <w:szCs w:val="20"/>
                <w:color w:val="auto"/>
              </w:rPr>
            </w:pPr>
            <w:r>
              <w:rPr>
                <w:rFonts w:ascii="Arial" w:cs="Arial" w:eastAsia="Arial" w:hAnsi="Arial"/>
                <w:sz w:val="14"/>
                <w:szCs w:val="14"/>
                <w:b w:val="1"/>
                <w:bCs w:val="1"/>
                <w:color w:val="auto"/>
                <w:w w:val="90"/>
              </w:rPr>
              <w:t xml:space="preserve">Adjustments </w:t>
            </w:r>
            <w:r>
              <w:rPr>
                <w:rFonts w:ascii="Arial" w:cs="Arial" w:eastAsia="Arial" w:hAnsi="Arial"/>
                <w:sz w:val="18"/>
                <w:szCs w:val="18"/>
                <w:b w:val="1"/>
                <w:bCs w:val="1"/>
                <w:color w:val="auto"/>
                <w:w w:val="90"/>
                <w:vertAlign w:val="superscript"/>
              </w:rPr>
              <w:t>(1)</w:t>
            </w:r>
          </w:p>
        </w:tc>
        <w:tc>
          <w:tcPr>
            <w:tcW w:w="260" w:type="dxa"/>
            <w:vAlign w:val="bottom"/>
          </w:tcPr>
          <w:p>
            <w:pPr>
              <w:spacing w:after="0"/>
              <w:rPr>
                <w:sz w:val="17"/>
                <w:szCs w:val="17"/>
                <w:color w:val="auto"/>
              </w:rPr>
            </w:pPr>
          </w:p>
        </w:tc>
        <w:tc>
          <w:tcPr>
            <w:tcW w:w="900" w:type="dxa"/>
            <w:vAlign w:val="bottom"/>
          </w:tcPr>
          <w:p>
            <w:pPr>
              <w:jc w:val="right"/>
              <w:ind w:right="291"/>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18,313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18,313</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11,494</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Purchases and related costs</w:t>
            </w: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16,669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16,669</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9,893</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175"/>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w w:val="96"/>
              </w:rPr>
              <w:t>(Gains)/losses on asset sales and asset</w:t>
            </w:r>
          </w:p>
        </w:tc>
        <w:tc>
          <w:tcPr>
            <w:tcW w:w="260" w:type="dxa"/>
            <w:vAlign w:val="bottom"/>
          </w:tcPr>
          <w:p>
            <w:pPr>
              <w:spacing w:after="0"/>
              <w:rPr>
                <w:sz w:val="15"/>
                <w:szCs w:val="15"/>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30"/>
        </w:trPr>
        <w:tc>
          <w:tcPr>
            <w:tcW w:w="3120" w:type="dxa"/>
            <w:vAlign w:val="bottom"/>
          </w:tcPr>
          <w:p>
            <w:pPr>
              <w:ind w:left="180"/>
              <w:spacing w:after="0"/>
              <w:rPr>
                <w:sz w:val="20"/>
                <w:szCs w:val="20"/>
                <w:color w:val="auto"/>
              </w:rPr>
            </w:pPr>
            <w:r>
              <w:rPr>
                <w:rFonts w:ascii="Arial" w:cs="Arial" w:eastAsia="Arial" w:hAnsi="Arial"/>
                <w:sz w:val="18"/>
                <w:szCs w:val="18"/>
                <w:color w:val="auto"/>
              </w:rPr>
              <w:t>impairments, net</w:t>
            </w:r>
          </w:p>
        </w:tc>
        <w:tc>
          <w:tcPr>
            <w:tcW w:w="26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 losses</w:t>
            </w: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23"/>
        </w:trPr>
        <w:tc>
          <w:tcPr>
            <w:tcW w:w="3120" w:type="dxa"/>
            <w:vAlign w:val="bottom"/>
          </w:tcPr>
          <w:p>
            <w:pPr>
              <w:ind w:left="18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18,023</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18,027</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14,057</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14,062</w:t>
            </w:r>
          </w:p>
        </w:tc>
        <w:tc>
          <w:tcPr>
            <w:tcW w:w="0" w:type="dxa"/>
            <w:vAlign w:val="bottom"/>
          </w:tcPr>
          <w:p>
            <w:pPr>
              <w:spacing w:after="0"/>
              <w:rPr>
                <w:sz w:val="1"/>
                <w:szCs w:val="1"/>
                <w:color w:val="auto"/>
              </w:rPr>
            </w:pPr>
          </w:p>
        </w:tc>
      </w:tr>
      <w:tr>
        <w:trPr>
          <w:trHeight w:val="148"/>
        </w:trPr>
        <w:tc>
          <w:tcPr>
            <w:tcW w:w="3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OPERATING INCOME/(LOSS)</w:t>
            </w: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(2,568)</w:t>
            </w:r>
          </w:p>
        </w:tc>
        <w:tc>
          <w:tcPr>
            <w:tcW w:w="0" w:type="dxa"/>
            <w:vAlign w:val="bottom"/>
          </w:tcPr>
          <w:p>
            <w:pPr>
              <w:spacing w:after="0"/>
              <w:rPr>
                <w:sz w:val="1"/>
                <w:szCs w:val="1"/>
                <w:color w:val="auto"/>
              </w:rPr>
            </w:pPr>
          </w:p>
        </w:tc>
      </w:tr>
      <w:tr>
        <w:trPr>
          <w:trHeight w:val="148"/>
        </w:trPr>
        <w:tc>
          <w:tcPr>
            <w:tcW w:w="3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Equity earnings in unconsolidated entities</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175"/>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w w:val="99"/>
              </w:rPr>
              <w:t>Gain on/(impairment of) investments in</w:t>
            </w: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0"/>
        </w:trPr>
        <w:tc>
          <w:tcPr>
            <w:tcW w:w="3120" w:type="dxa"/>
            <w:vAlign w:val="bottom"/>
          </w:tcPr>
          <w:p>
            <w:pPr>
              <w:ind w:left="180"/>
              <w:spacing w:after="0"/>
              <w:rPr>
                <w:sz w:val="20"/>
                <w:szCs w:val="20"/>
                <w:color w:val="auto"/>
              </w:rPr>
            </w:pPr>
            <w:r>
              <w:rPr>
                <w:rFonts w:ascii="Arial" w:cs="Arial" w:eastAsia="Arial" w:hAnsi="Arial"/>
                <w:sz w:val="18"/>
                <w:szCs w:val="18"/>
                <w:color w:val="auto"/>
              </w:rPr>
              <w:t>unconsolidated entities, net</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28"/>
        </w:trPr>
        <w:tc>
          <w:tcPr>
            <w:tcW w:w="31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right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INCOME/(LOSS) BEFORE TAX</w:t>
            </w: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(2,696)</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expense</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 (expense)/benefit</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129"/>
        </w:trPr>
        <w:tc>
          <w:tcPr>
            <w:tcW w:w="3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NET INCOME/(LOSS)</w:t>
            </w: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(2,556)</w:t>
            </w:r>
          </w:p>
        </w:tc>
        <w:tc>
          <w:tcPr>
            <w:tcW w:w="0" w:type="dxa"/>
            <w:vAlign w:val="bottom"/>
          </w:tcPr>
          <w:p>
            <w:pPr>
              <w:spacing w:after="0"/>
              <w:rPr>
                <w:sz w:val="1"/>
                <w:szCs w:val="1"/>
                <w:color w:val="auto"/>
              </w:rPr>
            </w:pPr>
          </w:p>
        </w:tc>
      </w:tr>
      <w:tr>
        <w:trPr>
          <w:trHeight w:val="176"/>
        </w:trPr>
        <w:tc>
          <w:tcPr>
            <w:tcW w:w="31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Net (income)/loss attributable to</w:t>
            </w:r>
          </w:p>
        </w:tc>
        <w:tc>
          <w:tcPr>
            <w:tcW w:w="26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12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NET INCOME/(LOSS)</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13"/>
                <w:szCs w:val="13"/>
                <w:color w:val="auto"/>
              </w:rPr>
            </w:pPr>
          </w:p>
        </w:tc>
        <w:tc>
          <w:tcPr>
            <w:tcW w:w="36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(2,705)</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2,140</w:t>
            </w:r>
          </w:p>
        </w:tc>
        <w:tc>
          <w:tcPr>
            <w:tcW w:w="10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03"/>
        </w:trPr>
        <w:tc>
          <w:tcPr>
            <w:tcW w:w="312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ATTRIBUTABLE TO PAGP</w:t>
            </w:r>
          </w:p>
        </w:tc>
        <w:tc>
          <w:tcPr>
            <w:tcW w:w="260" w:type="dxa"/>
            <w:vAlign w:val="bottom"/>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5860" w:type="dxa"/>
            <w:vAlign w:val="bottom"/>
            <w:gridSpan w:val="8"/>
          </w:tcPr>
          <w:p>
            <w:pPr>
              <w:ind w:left="20"/>
              <w:spacing w:after="0"/>
              <w:rPr>
                <w:sz w:val="20"/>
                <w:szCs w:val="20"/>
                <w:color w:val="auto"/>
              </w:rPr>
            </w:pPr>
            <w:r>
              <w:rPr>
                <w:rFonts w:ascii="Arial" w:cs="Arial" w:eastAsia="Arial" w:hAnsi="Arial"/>
                <w:sz w:val="18"/>
                <w:szCs w:val="18"/>
                <w:b w:val="1"/>
                <w:bCs w:val="1"/>
                <w:color w:val="auto"/>
              </w:rPr>
              <w:t>BASIC AND DILUTED NET INCOME/(LOSS) PER CLASS A SHARE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5860" w:type="dxa"/>
            <w:vAlign w:val="bottom"/>
            <w:gridSpan w:val="8"/>
          </w:tcPr>
          <w:p>
            <w:pPr>
              <w:ind w:left="20"/>
              <w:spacing w:after="0" w:line="176" w:lineRule="exact"/>
              <w:rPr>
                <w:sz w:val="20"/>
                <w:szCs w:val="20"/>
                <w:color w:val="auto"/>
              </w:rPr>
            </w:pPr>
            <w:r>
              <w:rPr>
                <w:rFonts w:ascii="Arial" w:cs="Arial" w:eastAsia="Arial" w:hAnsi="Arial"/>
                <w:sz w:val="18"/>
                <w:szCs w:val="18"/>
                <w:b w:val="1"/>
                <w:bCs w:val="1"/>
                <w:color w:val="auto"/>
              </w:rPr>
              <w:t>BASIC AND DILUTED WEIGHTED AVERAGE CLASS A SHARES</w:t>
            </w: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OUTSTANDING</w:t>
            </w: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3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ind w:left="5440" w:hanging="106"/>
        <w:spacing w:after="0"/>
        <w:tabs>
          <w:tab w:leader="none" w:pos="54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9"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140"/>
          </w:cols>
          <w:pgMar w:left="320" w:top="368" w:right="4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auto"/>
        </w:rPr>
        <w:t>Page 24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June 30, 2021</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2020</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Consolidating</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Consolidating</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3"/>
          </w:tcPr>
          <w:p>
            <w:pPr>
              <w:ind w:left="160"/>
              <w:spacing w:after="0"/>
              <w:rPr>
                <w:sz w:val="20"/>
                <w:szCs w:val="20"/>
                <w:color w:val="auto"/>
              </w:rPr>
            </w:pPr>
            <w:r>
              <w:rPr>
                <w:rFonts w:ascii="Arial" w:cs="Arial" w:eastAsia="Arial" w:hAnsi="Arial"/>
                <w:sz w:val="14"/>
                <w:szCs w:val="14"/>
                <w:b w:val="1"/>
                <w:bCs w:val="1"/>
                <w:color w:val="auto"/>
              </w:rPr>
              <w:t>PAA</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line="201" w:lineRule="exact"/>
              <w:rPr>
                <w:sz w:val="20"/>
                <w:szCs w:val="20"/>
                <w:color w:val="auto"/>
              </w:rPr>
            </w:pPr>
            <w:r>
              <w:rPr>
                <w:rFonts w:ascii="Arial" w:cs="Arial" w:eastAsia="Arial" w:hAnsi="Arial"/>
                <w:sz w:val="14"/>
                <w:szCs w:val="14"/>
                <w:b w:val="1"/>
                <w:bCs w:val="1"/>
                <w:color w:val="auto"/>
                <w:w w:val="90"/>
              </w:rPr>
              <w:t xml:space="preserve">Adjustments </w:t>
            </w:r>
            <w:r>
              <w:rPr>
                <w:rFonts w:ascii="Arial" w:cs="Arial" w:eastAsia="Arial" w:hAnsi="Arial"/>
                <w:sz w:val="18"/>
                <w:szCs w:val="18"/>
                <w:b w:val="1"/>
                <w:bCs w:val="1"/>
                <w:color w:val="auto"/>
                <w:w w:val="90"/>
                <w:vertAlign w:val="superscript"/>
              </w:rPr>
              <w:t>(1)</w:t>
            </w:r>
          </w:p>
        </w:tc>
        <w:tc>
          <w:tcPr>
            <w:tcW w:w="260" w:type="dxa"/>
            <w:vAlign w:val="bottom"/>
          </w:tcPr>
          <w:p>
            <w:pPr>
              <w:spacing w:after="0"/>
              <w:rPr>
                <w:sz w:val="17"/>
                <w:szCs w:val="17"/>
                <w:color w:val="auto"/>
              </w:rPr>
            </w:pPr>
          </w:p>
        </w:tc>
        <w:tc>
          <w:tcPr>
            <w:tcW w:w="1120" w:type="dxa"/>
            <w:vAlign w:val="bottom"/>
            <w:gridSpan w:val="3"/>
          </w:tcPr>
          <w:p>
            <w:pPr>
              <w:ind w:left="140"/>
              <w:spacing w:after="0"/>
              <w:rPr>
                <w:sz w:val="20"/>
                <w:szCs w:val="20"/>
                <w:color w:val="auto"/>
              </w:rPr>
            </w:pPr>
            <w:r>
              <w:rPr>
                <w:rFonts w:ascii="Arial" w:cs="Arial" w:eastAsia="Arial" w:hAnsi="Arial"/>
                <w:sz w:val="14"/>
                <w:szCs w:val="14"/>
                <w:b w:val="1"/>
                <w:bCs w:val="1"/>
                <w:color w:val="auto"/>
              </w:rPr>
              <w:t>PAGP</w:t>
            </w:r>
          </w:p>
        </w:tc>
        <w:tc>
          <w:tcPr>
            <w:tcW w:w="280" w:type="dxa"/>
            <w:vAlign w:val="bottom"/>
          </w:tcPr>
          <w:p>
            <w:pPr>
              <w:spacing w:after="0"/>
              <w:rPr>
                <w:sz w:val="17"/>
                <w:szCs w:val="17"/>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7"/>
                <w:szCs w:val="17"/>
                <w:color w:val="auto"/>
              </w:rPr>
            </w:pPr>
          </w:p>
        </w:tc>
        <w:tc>
          <w:tcPr>
            <w:tcW w:w="1400" w:type="dxa"/>
            <w:vAlign w:val="bottom"/>
            <w:gridSpan w:val="2"/>
          </w:tcPr>
          <w:p>
            <w:pPr>
              <w:jc w:val="center"/>
              <w:ind w:right="240"/>
              <w:spacing w:after="0" w:line="201" w:lineRule="exact"/>
              <w:rPr>
                <w:sz w:val="20"/>
                <w:szCs w:val="20"/>
                <w:color w:val="auto"/>
              </w:rPr>
            </w:pPr>
            <w:r>
              <w:rPr>
                <w:rFonts w:ascii="Arial" w:cs="Arial" w:eastAsia="Arial" w:hAnsi="Arial"/>
                <w:sz w:val="14"/>
                <w:szCs w:val="14"/>
                <w:b w:val="1"/>
                <w:bCs w:val="1"/>
                <w:color w:val="auto"/>
                <w:w w:val="88"/>
              </w:rPr>
              <w:t xml:space="preserve">Adjustments </w:t>
            </w:r>
            <w:r>
              <w:rPr>
                <w:rFonts w:ascii="Arial" w:cs="Arial" w:eastAsia="Arial" w:hAnsi="Arial"/>
                <w:sz w:val="18"/>
                <w:szCs w:val="18"/>
                <w:b w:val="1"/>
                <w:bCs w:val="1"/>
                <w:color w:val="auto"/>
                <w:w w:val="88"/>
                <w:vertAlign w:val="superscript"/>
              </w:rPr>
              <w:t>(1)</w:t>
            </w:r>
          </w:p>
        </w:tc>
        <w:tc>
          <w:tcPr>
            <w:tcW w:w="240" w:type="dxa"/>
            <w:vAlign w:val="bottom"/>
          </w:tcPr>
          <w:p>
            <w:pPr>
              <w:spacing w:after="0"/>
              <w:rPr>
                <w:sz w:val="17"/>
                <w:szCs w:val="17"/>
                <w:color w:val="auto"/>
              </w:rPr>
            </w:pPr>
          </w:p>
        </w:tc>
        <w:tc>
          <w:tcPr>
            <w:tcW w:w="920" w:type="dxa"/>
            <w:vAlign w:val="bottom"/>
          </w:tcPr>
          <w:p>
            <w:pPr>
              <w:jc w:val="right"/>
              <w:ind w:right="291"/>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209"/>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5,676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5,678</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3,665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3,668</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13,458</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14,620</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Investments in unconsolidated entities</w:t>
            </w:r>
          </w:p>
        </w:tc>
        <w:tc>
          <w:tcPr>
            <w:tcW w:w="2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3,745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3,745</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3,764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3,764</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w:t>
            </w: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Linefill and base gas</w:t>
            </w:r>
          </w:p>
        </w:tc>
        <w:tc>
          <w:tcPr>
            <w:tcW w:w="2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909</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176"/>
        </w:trPr>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Long-term operating lease right-of-use</w:t>
            </w:r>
          </w:p>
        </w:tc>
        <w:tc>
          <w:tcPr>
            <w:tcW w:w="28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 net</w:t>
            </w:r>
          </w:p>
        </w:tc>
        <w:tc>
          <w:tcPr>
            <w:tcW w:w="28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Long-term inventory</w:t>
            </w:r>
          </w:p>
        </w:tc>
        <w:tc>
          <w:tcPr>
            <w:tcW w:w="2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210</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assets, net</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23"/>
        </w:trPr>
        <w:tc>
          <w:tcPr>
            <w:tcW w:w="312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25,391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26,812</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24,497</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25,951</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2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LIABILITIES AND PARTNERS’</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180"/>
              <w:spacing w:after="0"/>
              <w:rPr>
                <w:sz w:val="20"/>
                <w:szCs w:val="20"/>
                <w:color w:val="auto"/>
              </w:rPr>
            </w:pPr>
            <w:r>
              <w:rPr>
                <w:rFonts w:ascii="Arial" w:cs="Arial" w:eastAsia="Arial" w:hAnsi="Arial"/>
                <w:sz w:val="18"/>
                <w:szCs w:val="18"/>
                <w:b w:val="1"/>
                <w:bCs w:val="1"/>
                <w:color w:val="auto"/>
              </w:rPr>
              <w:t>CAPITAL</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6,163</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4,255</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Senior notes, net</w:t>
            </w:r>
          </w:p>
        </w:tc>
        <w:tc>
          <w:tcPr>
            <w:tcW w:w="2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8,326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8,326</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9,071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9,071</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debt, net</w:t>
            </w:r>
          </w:p>
        </w:tc>
        <w:tc>
          <w:tcPr>
            <w:tcW w:w="2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Long-term operating lease liabilities</w:t>
            </w:r>
          </w:p>
        </w:tc>
        <w:tc>
          <w:tcPr>
            <w:tcW w:w="2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289</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176"/>
        </w:trPr>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Other long-term liabilities and deferred</w:t>
            </w:r>
          </w:p>
        </w:tc>
        <w:tc>
          <w:tcPr>
            <w:tcW w:w="28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credits</w:t>
            </w:r>
          </w:p>
        </w:tc>
        <w:tc>
          <w:tcPr>
            <w:tcW w:w="28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2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15,751</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15,751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14,759</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14,761</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w w:val="94"/>
              </w:rPr>
              <w:t>Partners’ capital excluding noncontrolling</w:t>
            </w:r>
          </w:p>
        </w:tc>
        <w:tc>
          <w:tcPr>
            <w:tcW w:w="280" w:type="dxa"/>
            <w:vAlign w:val="bottom"/>
          </w:tcPr>
          <w:p>
            <w:pPr>
              <w:spacing w:after="0"/>
              <w:rPr>
                <w:sz w:val="15"/>
                <w:szCs w:val="15"/>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8"/>
                <w:szCs w:val="18"/>
                <w:color w:val="auto"/>
              </w:rPr>
              <w:t>9,495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(8,074)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1,421</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9,593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(8,129)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30"/>
        </w:trPr>
        <w:tc>
          <w:tcPr>
            <w:tcW w:w="3120" w:type="dxa"/>
            <w:vAlign w:val="bottom"/>
          </w:tcPr>
          <w:p>
            <w:pPr>
              <w:ind w:left="180"/>
              <w:spacing w:after="0"/>
              <w:rPr>
                <w:sz w:val="20"/>
                <w:szCs w:val="20"/>
                <w:color w:val="auto"/>
              </w:rPr>
            </w:pPr>
            <w:r>
              <w:rPr>
                <w:rFonts w:ascii="Arial" w:cs="Arial" w:eastAsia="Arial" w:hAnsi="Arial"/>
                <w:sz w:val="18"/>
                <w:szCs w:val="18"/>
                <w:color w:val="auto"/>
              </w:rPr>
              <w:t>interests</w:t>
            </w:r>
          </w:p>
        </w:tc>
        <w:tc>
          <w:tcPr>
            <w:tcW w:w="28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9,640</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9,726</w:t>
            </w:r>
          </w:p>
        </w:tc>
        <w:tc>
          <w:tcPr>
            <w:tcW w:w="0" w:type="dxa"/>
            <w:vAlign w:val="bottom"/>
          </w:tcPr>
          <w:p>
            <w:pPr>
              <w:spacing w:after="0"/>
              <w:rPr>
                <w:sz w:val="1"/>
                <w:szCs w:val="1"/>
                <w:color w:val="auto"/>
              </w:rPr>
            </w:pPr>
          </w:p>
        </w:tc>
      </w:tr>
      <w:tr>
        <w:trPr>
          <w:trHeight w:val="223"/>
        </w:trPr>
        <w:tc>
          <w:tcPr>
            <w:tcW w:w="31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partners’ capital</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9,640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11,061</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11,190</w:t>
            </w:r>
          </w:p>
        </w:tc>
        <w:tc>
          <w:tcPr>
            <w:tcW w:w="0" w:type="dxa"/>
            <w:vAlign w:val="bottom"/>
          </w:tcPr>
          <w:p>
            <w:pPr>
              <w:spacing w:after="0"/>
              <w:rPr>
                <w:sz w:val="1"/>
                <w:szCs w:val="1"/>
                <w:color w:val="auto"/>
              </w:rPr>
            </w:pPr>
          </w:p>
        </w:tc>
      </w:tr>
      <w:tr>
        <w:trPr>
          <w:trHeight w:val="248"/>
        </w:trPr>
        <w:tc>
          <w:tcPr>
            <w:tcW w:w="3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7"/>
              </w:rPr>
              <w:t>Total liabilities and partners’ capital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25,391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26,812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25,951</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auto"/>
        </w:rPr>
        <w:t>Page 25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NET INCOME/(LOSS) PER CLASS A SHARE</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share data)</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675"/>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38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36"/>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83"/>
        </w:trPr>
        <w:tc>
          <w:tcPr>
            <w:tcW w:w="3880" w:type="dxa"/>
            <w:vAlign w:val="bottom"/>
            <w:tcBorders>
              <w:bottom w:val="single" w:sz="8" w:color="CCEEFF"/>
            </w:tcBorders>
          </w:tcPr>
          <w:p>
            <w:pPr>
              <w:spacing w:after="0"/>
              <w:rPr>
                <w:sz w:val="15"/>
                <w:szCs w:val="15"/>
                <w:color w:val="auto"/>
              </w:rPr>
            </w:pPr>
          </w:p>
        </w:tc>
        <w:tc>
          <w:tcPr>
            <w:tcW w:w="196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r>
      <w:tr>
        <w:trPr>
          <w:trHeight w:val="211"/>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Net Income/(Loss) per Class A Share</w:t>
            </w: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5840" w:type="dxa"/>
            <w:vAlign w:val="bottom"/>
            <w:gridSpan w:val="2"/>
          </w:tcPr>
          <w:p>
            <w:pPr>
              <w:ind w:left="140"/>
              <w:spacing w:after="0"/>
              <w:rPr>
                <w:sz w:val="20"/>
                <w:szCs w:val="20"/>
                <w:color w:val="auto"/>
              </w:rPr>
            </w:pPr>
            <w:r>
              <w:rPr>
                <w:rFonts w:ascii="Arial" w:cs="Arial" w:eastAsia="Arial" w:hAnsi="Arial"/>
                <w:sz w:val="18"/>
                <w:szCs w:val="18"/>
                <w:color w:val="auto"/>
              </w:rPr>
              <w:t>Net income/(loss) attributable to PAGP</w:t>
            </w:r>
          </w:p>
        </w:tc>
        <w:tc>
          <w:tcPr>
            <w:tcW w:w="800" w:type="dxa"/>
            <w:vAlign w:val="bottom"/>
          </w:tcPr>
          <w:p>
            <w:pPr>
              <w:jc w:val="right"/>
              <w:ind w:right="619"/>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820" w:type="dxa"/>
            <w:vAlign w:val="bottom"/>
          </w:tcPr>
          <w:p>
            <w:pPr>
              <w:jc w:val="right"/>
              <w:ind w:right="636"/>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(565)</w:t>
            </w:r>
          </w:p>
        </w:tc>
      </w:tr>
      <w:tr>
        <w:trPr>
          <w:trHeight w:val="229"/>
        </w:trPr>
        <w:tc>
          <w:tcPr>
            <w:tcW w:w="5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Basic and diluted weighted average Class A shares outstanding</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57"/>
        </w:trPr>
        <w:tc>
          <w:tcPr>
            <w:tcW w:w="38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50"/>
        </w:trPr>
        <w:tc>
          <w:tcPr>
            <w:tcW w:w="5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Basic and diluted net income/(loss) per Class A share</w:t>
            </w: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(0.35)</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3880" w:type="dxa"/>
            <w:vAlign w:val="bottom"/>
            <w:tcBorders>
              <w:bottom w:val="single" w:sz="8" w:color="auto"/>
            </w:tcBorders>
          </w:tcPr>
          <w:p>
            <w:pPr>
              <w:spacing w:after="0"/>
              <w:rPr>
                <w:sz w:val="9"/>
                <w:szCs w:val="9"/>
                <w:color w:val="auto"/>
              </w:rPr>
            </w:pPr>
          </w:p>
        </w:tc>
        <w:tc>
          <w:tcPr>
            <w:tcW w:w="19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tcPr>
          <w:p>
            <w:pPr>
              <w:spacing w:after="0"/>
              <w:rPr>
                <w:sz w:val="9"/>
                <w:szCs w:val="9"/>
                <w:color w:val="auto"/>
              </w:rPr>
            </w:pPr>
          </w:p>
        </w:tc>
      </w:tr>
    </w:tbl>
    <w:p>
      <w:pPr>
        <w:spacing w:after="0" w:line="77" w:lineRule="exact"/>
        <w:rPr>
          <w:sz w:val="20"/>
          <w:szCs w:val="20"/>
          <w:color w:val="auto"/>
        </w:rPr>
      </w:pPr>
    </w:p>
    <w:p>
      <w:pPr>
        <w:ind w:left="340" w:right="260" w:hanging="332"/>
        <w:spacing w:after="0" w:line="224" w:lineRule="auto"/>
        <w:tabs>
          <w:tab w:leader="none" w:pos="334" w:val="left"/>
        </w:tabs>
        <w:numPr>
          <w:ilvl w:val="0"/>
          <w:numId w:val="27"/>
        </w:numPr>
        <w:rPr>
          <w:rFonts w:ascii="Arial" w:cs="Arial" w:eastAsia="Arial" w:hAnsi="Arial"/>
          <w:sz w:val="22"/>
          <w:szCs w:val="22"/>
          <w:color w:val="auto"/>
          <w:vertAlign w:val="superscript"/>
        </w:rPr>
      </w:pPr>
      <w:r>
        <w:rPr>
          <w:rFonts w:ascii="Arial" w:cs="Arial" w:eastAsia="Arial" w:hAnsi="Arial"/>
          <w:sz w:val="17"/>
          <w:szCs w:val="17"/>
          <w:color w:val="auto"/>
        </w:rPr>
        <w:t>For the three and six months ended June 30, 2021 and 2020, the possible exchange of AAP units and AAP Management units would not have had a dilutive effect on basic net income/(loss) per Class A share.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52"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the following:</w:t>
      </w:r>
    </w:p>
    <w:p>
      <w:pPr>
        <w:spacing w:after="0" w:line="251" w:lineRule="exact"/>
        <w:rPr>
          <w:sz w:val="20"/>
          <w:szCs w:val="20"/>
          <w:color w:val="auto"/>
        </w:rPr>
      </w:pPr>
    </w:p>
    <w:p>
      <w:pPr>
        <w:ind w:left="660" w:right="40" w:hanging="328"/>
        <w:spacing w:after="0" w:line="283" w:lineRule="auto"/>
        <w:tabs>
          <w:tab w:leader="none" w:pos="655" w:val="left"/>
        </w:tabs>
        <w:numPr>
          <w:ilvl w:val="0"/>
          <w:numId w:val="28"/>
        </w:numPr>
        <w:rPr>
          <w:rFonts w:ascii="Arial" w:cs="Arial" w:eastAsia="Arial" w:hAnsi="Arial"/>
          <w:sz w:val="19"/>
          <w:szCs w:val="19"/>
          <w:color w:val="auto"/>
        </w:rPr>
      </w:pPr>
      <w:r>
        <w:rPr>
          <w:rFonts w:ascii="Arial" w:cs="Arial" w:eastAsia="Arial" w:hAnsi="Arial"/>
          <w:sz w:val="16"/>
          <w:szCs w:val="16"/>
          <w:color w:val="auto"/>
        </w:rPr>
        <w:t>declines in global crude oil demand and crude oil prices (whether due to the COVID-19 pandemic, future pandemics or other factors) that correspondingly lead to a significant reduction of North American crude oil, natural gas liquids (“NGL”) and natural gas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commercial opportunities that might otherwise be available to us;</w:t>
      </w:r>
    </w:p>
    <w:p>
      <w:pPr>
        <w:spacing w:after="0" w:line="102" w:lineRule="exact"/>
        <w:rPr>
          <w:rFonts w:ascii="Arial" w:cs="Arial" w:eastAsia="Arial" w:hAnsi="Arial"/>
          <w:sz w:val="19"/>
          <w:szCs w:val="19"/>
          <w:color w:val="auto"/>
        </w:rPr>
      </w:pPr>
    </w:p>
    <w:p>
      <w:pPr>
        <w:ind w:left="660" w:right="100" w:hanging="328"/>
        <w:spacing w:after="0" w:line="297" w:lineRule="auto"/>
        <w:tabs>
          <w:tab w:leader="none" w:pos="655" w:val="left"/>
        </w:tabs>
        <w:numPr>
          <w:ilvl w:val="0"/>
          <w:numId w:val="28"/>
        </w:numPr>
        <w:rPr>
          <w:rFonts w:ascii="Arial" w:cs="Arial" w:eastAsia="Arial" w:hAnsi="Arial"/>
          <w:sz w:val="19"/>
          <w:szCs w:val="19"/>
          <w:color w:val="auto"/>
        </w:rPr>
      </w:pPr>
      <w:r>
        <w:rPr>
          <w:rFonts w:ascii="Arial" w:cs="Arial" w:eastAsia="Arial" w:hAnsi="Arial"/>
          <w:sz w:val="16"/>
          <w:szCs w:val="16"/>
          <w:color w:val="auto"/>
        </w:rPr>
        <w:t>the effects of competition and capacity overbuild in areas where we operate, including contract renewal risk and the risk of loss of business to other midstream operators who are willing or under pressure to aggressively reduce transportation rates in order to capture or preserve customers;</w:t>
      </w:r>
    </w:p>
    <w:p>
      <w:pPr>
        <w:spacing w:after="0" w:line="82" w:lineRule="exact"/>
        <w:rPr>
          <w:rFonts w:ascii="Arial" w:cs="Arial" w:eastAsia="Arial" w:hAnsi="Arial"/>
          <w:sz w:val="19"/>
          <w:szCs w:val="19"/>
          <w:color w:val="auto"/>
        </w:rPr>
      </w:pPr>
    </w:p>
    <w:p>
      <w:pPr>
        <w:ind w:left="660" w:right="180" w:hanging="328"/>
        <w:spacing w:after="0" w:line="251" w:lineRule="auto"/>
        <w:tabs>
          <w:tab w:leader="none" w:pos="655" w:val="left"/>
        </w:tabs>
        <w:numPr>
          <w:ilvl w:val="0"/>
          <w:numId w:val="28"/>
        </w:numPr>
        <w:rPr>
          <w:rFonts w:ascii="Arial" w:cs="Arial" w:eastAsia="Arial" w:hAnsi="Arial"/>
          <w:sz w:val="21"/>
          <w:szCs w:val="21"/>
          <w:color w:val="auto"/>
        </w:rPr>
      </w:pPr>
      <w:r>
        <w:rPr>
          <w:rFonts w:ascii="Arial" w:cs="Arial" w:eastAsia="Arial" w:hAnsi="Arial"/>
          <w:sz w:val="17"/>
          <w:szCs w:val="17"/>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100" w:lineRule="exact"/>
        <w:rPr>
          <w:rFonts w:ascii="Arial" w:cs="Arial" w:eastAsia="Arial" w:hAnsi="Arial"/>
          <w:sz w:val="21"/>
          <w:szCs w:val="21"/>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134" w:lineRule="exact"/>
        <w:rPr>
          <w:rFonts w:ascii="Arial" w:cs="Arial" w:eastAsia="Arial" w:hAnsi="Arial"/>
          <w:sz w:val="22"/>
          <w:szCs w:val="22"/>
          <w:color w:val="auto"/>
        </w:rPr>
      </w:pPr>
    </w:p>
    <w:p>
      <w:pPr>
        <w:ind w:left="660" w:right="260" w:hanging="328"/>
        <w:spacing w:after="0" w:line="232" w:lineRule="auto"/>
        <w:tabs>
          <w:tab w:leader="none" w:pos="655" w:val="left"/>
        </w:tabs>
        <w:numPr>
          <w:ilvl w:val="0"/>
          <w:numId w:val="28"/>
        </w:numPr>
        <w:rPr>
          <w:rFonts w:ascii="Arial" w:cs="Arial" w:eastAsia="Arial" w:hAnsi="Arial"/>
          <w:sz w:val="22"/>
          <w:szCs w:val="22"/>
          <w:color w:val="auto"/>
        </w:rPr>
      </w:pPr>
      <w:r>
        <w:rPr>
          <w:rFonts w:ascii="Arial" w:cs="Arial" w:eastAsia="Arial" w:hAnsi="Arial"/>
          <w:sz w:val="18"/>
          <w:szCs w:val="18"/>
          <w:color w:val="auto"/>
        </w:rPr>
        <w:t>fluctuations in refinery capacity in areas supplied by our mainlines and other factors affecting demand for various grades of crude oil, NGL and natural gas and resulting changes in pricing conditions or transportation throughput requirements;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Arial" w:cs="Arial" w:eastAsia="Arial" w:hAnsi="Arial"/>
          <w:sz w:val="18"/>
          <w:szCs w:val="18"/>
          <w:color w:val="auto"/>
        </w:rPr>
        <w:t>the availability of, and our ability to consummate, divestitures, joint ventures, acquisitions or other strategic opportunities;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53" w:lineRule="exact"/>
        <w:rPr>
          <w:rFonts w:ascii="Arial" w:cs="Arial" w:eastAsia="Arial" w:hAnsi="Arial"/>
          <w:sz w:val="22"/>
          <w:szCs w:val="22"/>
          <w:color w:val="auto"/>
        </w:rPr>
      </w:pPr>
    </w:p>
    <w:p>
      <w:pPr>
        <w:ind w:left="5440" w:hanging="106"/>
        <w:spacing w:after="0"/>
        <w:tabs>
          <w:tab w:leader="none" w:pos="54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auto"/>
        </w:rPr>
        <w:t>Page 26</w:t>
      </w:r>
    </w:p>
    <w:p>
      <w:pPr>
        <w:spacing w:after="0" w:line="200" w:lineRule="exact"/>
        <w:rPr>
          <w:sz w:val="20"/>
          <w:szCs w:val="20"/>
          <w:color w:val="auto"/>
        </w:rPr>
      </w:pPr>
    </w:p>
    <w:p>
      <w:pPr>
        <w:spacing w:after="0" w:line="282" w:lineRule="exact"/>
        <w:rPr>
          <w:sz w:val="20"/>
          <w:szCs w:val="20"/>
          <w:color w:val="auto"/>
        </w:rPr>
      </w:pPr>
    </w:p>
    <w:p>
      <w:pPr>
        <w:ind w:left="660" w:right="640" w:hanging="328"/>
        <w:spacing w:after="0" w:line="232" w:lineRule="auto"/>
        <w:tabs>
          <w:tab w:leader="none" w:pos="655" w:val="left"/>
        </w:tabs>
        <w:numPr>
          <w:ilvl w:val="0"/>
          <w:numId w:val="29"/>
        </w:numPr>
        <w:rPr>
          <w:rFonts w:ascii="Arial" w:cs="Arial" w:eastAsia="Arial" w:hAnsi="Arial"/>
          <w:sz w:val="22"/>
          <w:szCs w:val="22"/>
          <w:color w:val="auto"/>
        </w:rPr>
      </w:pPr>
      <w:r>
        <w:rPr>
          <w:rFonts w:ascii="Arial" w:cs="Arial" w:eastAsia="Arial" w:hAnsi="Arial"/>
          <w:sz w:val="18"/>
          <w:szCs w:val="18"/>
          <w:color w:val="auto"/>
        </w:rPr>
        <w:t>the occurrence of a natural disaster, catastrophe, terrorist attack (including eco-terrorist attacks) or other event that materially impacts our operations, including cyber or other attacks on our electronic and computer systems;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9"/>
        </w:numPr>
        <w:rPr>
          <w:rFonts w:ascii="Arial" w:cs="Arial" w:eastAsia="Arial" w:hAnsi="Arial"/>
          <w:sz w:val="22"/>
          <w:szCs w:val="22"/>
          <w:color w:val="auto"/>
        </w:rPr>
      </w:pPr>
      <w:r>
        <w:rPr>
          <w:rFonts w:ascii="Arial" w:cs="Arial" w:eastAsia="Arial" w:hAnsi="Arial"/>
          <w:sz w:val="18"/>
          <w:szCs w:val="18"/>
          <w:color w:val="auto"/>
        </w:rPr>
        <w:t>weather interference with business operations or project construction, including the impact of extreme weather events or conditions;</w:t>
      </w:r>
    </w:p>
    <w:p>
      <w:pPr>
        <w:spacing w:after="0" w:line="134" w:lineRule="exact"/>
        <w:rPr>
          <w:rFonts w:ascii="Arial" w:cs="Arial" w:eastAsia="Arial" w:hAnsi="Arial"/>
          <w:sz w:val="22"/>
          <w:szCs w:val="22"/>
          <w:color w:val="auto"/>
        </w:rPr>
      </w:pPr>
    </w:p>
    <w:p>
      <w:pPr>
        <w:ind w:left="660" w:hanging="328"/>
        <w:spacing w:after="0" w:line="284" w:lineRule="auto"/>
        <w:tabs>
          <w:tab w:leader="none" w:pos="655" w:val="left"/>
        </w:tabs>
        <w:numPr>
          <w:ilvl w:val="0"/>
          <w:numId w:val="29"/>
        </w:numPr>
        <w:rPr>
          <w:rFonts w:ascii="Arial" w:cs="Arial" w:eastAsia="Arial" w:hAnsi="Arial"/>
          <w:sz w:val="19"/>
          <w:szCs w:val="19"/>
          <w:color w:val="auto"/>
        </w:rPr>
      </w:pPr>
      <w:r>
        <w:rPr>
          <w:rFonts w:ascii="Arial" w:cs="Arial" w:eastAsia="Arial" w:hAnsi="Arial"/>
          <w:sz w:val="16"/>
          <w:szCs w:val="16"/>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100" w:lineRule="exact"/>
        <w:rPr>
          <w:rFonts w:ascii="Arial" w:cs="Arial" w:eastAsia="Arial" w:hAnsi="Arial"/>
          <w:sz w:val="19"/>
          <w:szCs w:val="19"/>
          <w:color w:val="auto"/>
        </w:rPr>
      </w:pPr>
    </w:p>
    <w:p>
      <w:pPr>
        <w:jc w:val="both"/>
        <w:ind w:left="660" w:right="640" w:hanging="328"/>
        <w:spacing w:after="0" w:line="297" w:lineRule="auto"/>
        <w:tabs>
          <w:tab w:leader="none" w:pos="655" w:val="left"/>
        </w:tabs>
        <w:numPr>
          <w:ilvl w:val="0"/>
          <w:numId w:val="29"/>
        </w:numPr>
        <w:rPr>
          <w:rFonts w:ascii="Arial" w:cs="Arial" w:eastAsia="Arial" w:hAnsi="Arial"/>
          <w:sz w:val="19"/>
          <w:szCs w:val="19"/>
          <w:color w:val="auto"/>
        </w:rPr>
      </w:pPr>
      <w:r>
        <w:rPr>
          <w:rFonts w:ascii="Arial" w:cs="Arial" w:eastAsia="Arial" w:hAnsi="Arial"/>
          <w:sz w:val="16"/>
          <w:szCs w:val="16"/>
          <w:color w:val="auto"/>
        </w:rPr>
        <w:t>our inability to perform our obligations under our contracts, whether due to non-performance by third parties, including our customers or counterparties, market constraints, third-party constraints, legal constraints (including governmental orders or guidance), or other factors;</w:t>
      </w:r>
    </w:p>
    <w:p>
      <w:pPr>
        <w:spacing w:after="0" w:line="59" w:lineRule="exact"/>
        <w:rPr>
          <w:rFonts w:ascii="Arial" w:cs="Arial" w:eastAsia="Arial" w:hAnsi="Arial"/>
          <w:sz w:val="19"/>
          <w:szCs w:val="19"/>
          <w:color w:val="auto"/>
        </w:rPr>
      </w:pPr>
    </w:p>
    <w:p>
      <w:pPr>
        <w:ind w:left="660" w:hanging="328"/>
        <w:spacing w:after="0"/>
        <w:tabs>
          <w:tab w:leader="none" w:pos="660" w:val="left"/>
        </w:tabs>
        <w:numPr>
          <w:ilvl w:val="0"/>
          <w:numId w:val="29"/>
        </w:numPr>
        <w:rPr>
          <w:rFonts w:ascii="Arial" w:cs="Arial" w:eastAsia="Arial" w:hAnsi="Arial"/>
          <w:sz w:val="22"/>
          <w:szCs w:val="22"/>
          <w:color w:val="auto"/>
        </w:rPr>
      </w:pPr>
      <w:r>
        <w:rPr>
          <w:rFonts w:ascii="Arial" w:cs="Arial" w:eastAsia="Arial" w:hAnsi="Arial"/>
          <w:sz w:val="18"/>
          <w:szCs w:val="18"/>
          <w:color w:val="auto"/>
        </w:rPr>
        <w:t>the incurrence of costs and expenses related to unexpected or unplanned capital expenditures, third-party claims or other factors;</w:t>
      </w:r>
    </w:p>
    <w:p>
      <w:pPr>
        <w:spacing w:after="0" w:line="134" w:lineRule="exact"/>
        <w:rPr>
          <w:rFonts w:ascii="Arial" w:cs="Arial" w:eastAsia="Arial" w:hAnsi="Arial"/>
          <w:sz w:val="22"/>
          <w:szCs w:val="22"/>
          <w:color w:val="auto"/>
        </w:rPr>
      </w:pPr>
    </w:p>
    <w:p>
      <w:pPr>
        <w:ind w:left="660" w:right="60" w:hanging="328"/>
        <w:spacing w:after="0" w:line="232" w:lineRule="auto"/>
        <w:tabs>
          <w:tab w:leader="none" w:pos="655" w:val="left"/>
        </w:tabs>
        <w:numPr>
          <w:ilvl w:val="0"/>
          <w:numId w:val="29"/>
        </w:numPr>
        <w:rPr>
          <w:rFonts w:ascii="Arial" w:cs="Arial" w:eastAsia="Arial" w:hAnsi="Arial"/>
          <w:sz w:val="22"/>
          <w:szCs w:val="22"/>
          <w:color w:val="auto"/>
        </w:rPr>
      </w:pPr>
      <w:r>
        <w:rPr>
          <w:rFonts w:ascii="Arial" w:cs="Arial" w:eastAsia="Arial" w:hAnsi="Arial"/>
          <w:sz w:val="18"/>
          <w:szCs w:val="18"/>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135" w:lineRule="exact"/>
        <w:rPr>
          <w:rFonts w:ascii="Arial" w:cs="Arial" w:eastAsia="Arial" w:hAnsi="Arial"/>
          <w:sz w:val="22"/>
          <w:szCs w:val="22"/>
          <w:color w:val="auto"/>
        </w:rPr>
      </w:pPr>
    </w:p>
    <w:p>
      <w:pPr>
        <w:ind w:left="660" w:right="340" w:hanging="328"/>
        <w:spacing w:after="0" w:line="232" w:lineRule="auto"/>
        <w:tabs>
          <w:tab w:leader="none" w:pos="655" w:val="left"/>
        </w:tabs>
        <w:numPr>
          <w:ilvl w:val="0"/>
          <w:numId w:val="29"/>
        </w:numPr>
        <w:rPr>
          <w:rFonts w:ascii="Arial" w:cs="Arial" w:eastAsia="Arial" w:hAnsi="Arial"/>
          <w:sz w:val="22"/>
          <w:szCs w:val="22"/>
          <w:color w:val="auto"/>
        </w:rPr>
      </w:pPr>
      <w:r>
        <w:rPr>
          <w:rFonts w:ascii="Arial" w:cs="Arial" w:eastAsia="Arial" w:hAnsi="Arial"/>
          <w:sz w:val="18"/>
          <w:szCs w:val="18"/>
          <w:color w:val="auto"/>
        </w:rPr>
        <w:t>failure to implement or capitalize, or delays in implementing or capitalizing, on investment capital projects, whether due to permitting delays, permitting withdrawals or other factors;</w:t>
      </w:r>
    </w:p>
    <w:p>
      <w:pPr>
        <w:spacing w:after="0" w:line="135" w:lineRule="exact"/>
        <w:rPr>
          <w:rFonts w:ascii="Arial" w:cs="Arial" w:eastAsia="Arial" w:hAnsi="Arial"/>
          <w:sz w:val="22"/>
          <w:szCs w:val="22"/>
          <w:color w:val="auto"/>
        </w:rPr>
      </w:pPr>
    </w:p>
    <w:p>
      <w:pPr>
        <w:ind w:left="660" w:right="500" w:hanging="328"/>
        <w:spacing w:after="0" w:line="232" w:lineRule="auto"/>
        <w:tabs>
          <w:tab w:leader="none" w:pos="655" w:val="left"/>
        </w:tabs>
        <w:numPr>
          <w:ilvl w:val="0"/>
          <w:numId w:val="29"/>
        </w:numPr>
        <w:rPr>
          <w:rFonts w:ascii="Arial" w:cs="Arial" w:eastAsia="Arial" w:hAnsi="Arial"/>
          <w:sz w:val="22"/>
          <w:szCs w:val="22"/>
          <w:color w:val="auto"/>
        </w:rPr>
      </w:pPr>
      <w:r>
        <w:rPr>
          <w:rFonts w:ascii="Arial" w:cs="Arial" w:eastAsia="Arial" w:hAnsi="Arial"/>
          <w:sz w:val="18"/>
          <w:szCs w:val="18"/>
          <w:color w:val="auto"/>
        </w:rPr>
        <w:t>disruptions to futures markets for crude oil, NGL and other petroleum products, which may impair our ability to execute our commercial or hedging strategies;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9"/>
        </w:numPr>
        <w:rPr>
          <w:rFonts w:ascii="Arial" w:cs="Arial" w:eastAsia="Arial" w:hAnsi="Arial"/>
          <w:sz w:val="22"/>
          <w:szCs w:val="22"/>
          <w:color w:val="auto"/>
        </w:rPr>
      </w:pPr>
      <w:r>
        <w:rPr>
          <w:rFonts w:ascii="Arial" w:cs="Arial" w:eastAsia="Arial" w:hAnsi="Arial"/>
          <w:sz w:val="18"/>
          <w:szCs w:val="18"/>
          <w:color w:val="auto"/>
        </w:rPr>
        <w:t>shortages or cost increases of supplies, materials or labor;</w:t>
      </w:r>
    </w:p>
    <w:p>
      <w:pPr>
        <w:spacing w:after="0" w:line="134" w:lineRule="exact"/>
        <w:rPr>
          <w:rFonts w:ascii="Arial" w:cs="Arial" w:eastAsia="Arial" w:hAnsi="Arial"/>
          <w:sz w:val="22"/>
          <w:szCs w:val="22"/>
          <w:color w:val="auto"/>
        </w:rPr>
      </w:pPr>
    </w:p>
    <w:p>
      <w:pPr>
        <w:ind w:left="660" w:hanging="328"/>
        <w:spacing w:after="0" w:line="258" w:lineRule="auto"/>
        <w:tabs>
          <w:tab w:leader="none" w:pos="655" w:val="left"/>
        </w:tabs>
        <w:numPr>
          <w:ilvl w:val="0"/>
          <w:numId w:val="29"/>
        </w:numPr>
        <w:rPr>
          <w:rFonts w:ascii="Arial" w:cs="Arial" w:eastAsia="Arial" w:hAnsi="Arial"/>
          <w:sz w:val="22"/>
          <w:szCs w:val="22"/>
          <w:color w:val="auto"/>
        </w:rPr>
      </w:pPr>
      <w:r>
        <w:rPr>
          <w:rFonts w:ascii="Arial" w:cs="Arial" w:eastAsia="Arial" w:hAnsi="Arial"/>
          <w:sz w:val="18"/>
          <w:szCs w:val="18"/>
          <w:color w:val="auto"/>
        </w:rPr>
        <w:t>the impact of current and future laws, rulings, governmental regulations, trade policies, accounting standards and statements, and related interpretations, including legislation or regulatory initiatives that prohibit, restrict or regulate hydraulic fracturing or that prohibit the development of oil and gas resources and the related infrastructure on lands dedicated to or served by our pipelines;</w:t>
      </w:r>
    </w:p>
    <w:p>
      <w:pPr>
        <w:spacing w:after="0" w:line="120" w:lineRule="exact"/>
        <w:rPr>
          <w:rFonts w:ascii="Arial" w:cs="Arial" w:eastAsia="Arial" w:hAnsi="Arial"/>
          <w:sz w:val="22"/>
          <w:szCs w:val="22"/>
          <w:color w:val="auto"/>
        </w:rPr>
      </w:pPr>
    </w:p>
    <w:p>
      <w:pPr>
        <w:ind w:left="660" w:right="20" w:hanging="328"/>
        <w:spacing w:after="0" w:line="297" w:lineRule="auto"/>
        <w:tabs>
          <w:tab w:leader="none" w:pos="655" w:val="left"/>
        </w:tabs>
        <w:numPr>
          <w:ilvl w:val="0"/>
          <w:numId w:val="29"/>
        </w:numPr>
        <w:rPr>
          <w:rFonts w:ascii="Arial" w:cs="Arial" w:eastAsia="Arial" w:hAnsi="Arial"/>
          <w:sz w:val="19"/>
          <w:szCs w:val="19"/>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59" w:lineRule="exact"/>
        <w:rPr>
          <w:rFonts w:ascii="Arial" w:cs="Arial" w:eastAsia="Arial" w:hAnsi="Arial"/>
          <w:sz w:val="19"/>
          <w:szCs w:val="19"/>
          <w:color w:val="auto"/>
        </w:rPr>
      </w:pPr>
    </w:p>
    <w:p>
      <w:pPr>
        <w:ind w:left="660" w:hanging="328"/>
        <w:spacing w:after="0"/>
        <w:tabs>
          <w:tab w:leader="none" w:pos="660" w:val="left"/>
        </w:tabs>
        <w:numPr>
          <w:ilvl w:val="0"/>
          <w:numId w:val="29"/>
        </w:numPr>
        <w:rPr>
          <w:rFonts w:ascii="Arial" w:cs="Arial" w:eastAsia="Arial" w:hAnsi="Arial"/>
          <w:sz w:val="22"/>
          <w:szCs w:val="22"/>
          <w:color w:val="auto"/>
        </w:rPr>
      </w:pPr>
      <w:r>
        <w:rPr>
          <w:rFonts w:ascii="Arial" w:cs="Arial" w:eastAsia="Arial" w:hAnsi="Arial"/>
          <w:sz w:val="18"/>
          <w:szCs w:val="18"/>
          <w:color w:val="auto"/>
        </w:rPr>
        <w:t>inability of producers, who have made commitments to our pipelines, to access capital to fund their drilling and completion activities;</w:t>
      </w:r>
    </w:p>
    <w:p>
      <w:pPr>
        <w:spacing w:after="0" w:line="134" w:lineRule="exact"/>
        <w:rPr>
          <w:rFonts w:ascii="Arial" w:cs="Arial" w:eastAsia="Arial" w:hAnsi="Arial"/>
          <w:sz w:val="22"/>
          <w:szCs w:val="22"/>
          <w:color w:val="auto"/>
        </w:rPr>
      </w:pPr>
    </w:p>
    <w:p>
      <w:pPr>
        <w:ind w:left="660" w:right="520" w:hanging="328"/>
        <w:spacing w:after="0" w:line="285" w:lineRule="auto"/>
        <w:tabs>
          <w:tab w:leader="none" w:pos="655" w:val="left"/>
        </w:tabs>
        <w:numPr>
          <w:ilvl w:val="0"/>
          <w:numId w:val="29"/>
        </w:numPr>
        <w:rPr>
          <w:rFonts w:ascii="Arial" w:cs="Arial" w:eastAsia="Arial" w:hAnsi="Arial"/>
          <w:sz w:val="19"/>
          <w:szCs w:val="19"/>
          <w:color w:val="auto"/>
        </w:rPr>
      </w:pPr>
      <w:r>
        <w:rPr>
          <w:rFonts w:ascii="Arial" w:cs="Arial" w:eastAsia="Arial" w:hAnsi="Arial"/>
          <w:sz w:val="16"/>
          <w:szCs w:val="16"/>
          <w:color w:val="auto"/>
        </w:rPr>
        <w:t>general economic, market or business conditions in the United States and elsewhere (including the potential for a recession or significant slowdown in economic activity levels and the timing, pace and extent of economic recovery) that impact demand for crude oil, drilling and production activities and therefore the demand for the midstream services we provide and commercial opportunities available to us;</w:t>
      </w:r>
    </w:p>
    <w:p>
      <w:pPr>
        <w:spacing w:after="0" w:line="77" w:lineRule="exact"/>
        <w:rPr>
          <w:rFonts w:ascii="Arial" w:cs="Arial" w:eastAsia="Arial" w:hAnsi="Arial"/>
          <w:sz w:val="19"/>
          <w:szCs w:val="19"/>
          <w:color w:val="auto"/>
        </w:rPr>
      </w:pPr>
    </w:p>
    <w:p>
      <w:pPr>
        <w:ind w:left="660" w:hanging="328"/>
        <w:spacing w:after="0"/>
        <w:tabs>
          <w:tab w:leader="none" w:pos="660" w:val="left"/>
        </w:tabs>
        <w:numPr>
          <w:ilvl w:val="0"/>
          <w:numId w:val="29"/>
        </w:numPr>
        <w:rPr>
          <w:rFonts w:ascii="Arial" w:cs="Arial" w:eastAsia="Arial" w:hAnsi="Arial"/>
          <w:sz w:val="22"/>
          <w:szCs w:val="22"/>
          <w:color w:val="auto"/>
        </w:rPr>
      </w:pPr>
      <w:r>
        <w:rPr>
          <w:rFonts w:ascii="Arial" w:cs="Arial" w:eastAsia="Arial" w:hAnsi="Arial"/>
          <w:sz w:val="18"/>
          <w:szCs w:val="18"/>
          <w:color w:val="auto"/>
        </w:rPr>
        <w:t>the amplification of other risks caused by volatile financial markets, capital constraints, liquidity concerns and inflation;</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9"/>
        </w:numPr>
        <w:rPr>
          <w:rFonts w:ascii="Arial" w:cs="Arial" w:eastAsia="Arial" w:hAnsi="Arial"/>
          <w:sz w:val="22"/>
          <w:szCs w:val="22"/>
          <w:color w:val="auto"/>
        </w:rPr>
      </w:pPr>
      <w:r>
        <w:rPr>
          <w:rFonts w:ascii="Arial" w:cs="Arial" w:eastAsia="Arial" w:hAnsi="Arial"/>
          <w:sz w:val="18"/>
          <w:szCs w:val="18"/>
          <w:color w:val="auto"/>
        </w:rPr>
        <w:t>the use or availability of third-party assets upon which our operations depend and over which we have little or no control;</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9"/>
        </w:numPr>
        <w:rPr>
          <w:rFonts w:ascii="Arial" w:cs="Arial" w:eastAsia="Arial" w:hAnsi="Arial"/>
          <w:sz w:val="22"/>
          <w:szCs w:val="22"/>
          <w:color w:val="auto"/>
        </w:rPr>
      </w:pPr>
      <w:r>
        <w:rPr>
          <w:rFonts w:ascii="Arial" w:cs="Arial" w:eastAsia="Arial" w:hAnsi="Arial"/>
          <w:sz w:val="18"/>
          <w:szCs w:val="18"/>
          <w:color w:val="auto"/>
        </w:rPr>
        <w:t>the currency exchange rate of the Canadian dollar to the United States dollar;</w:t>
      </w:r>
    </w:p>
    <w:p>
      <w:pPr>
        <w:spacing w:after="0" w:line="53" w:lineRule="exact"/>
        <w:rPr>
          <w:rFonts w:ascii="Arial" w:cs="Arial" w:eastAsia="Arial" w:hAnsi="Arial"/>
          <w:sz w:val="22"/>
          <w:szCs w:val="22"/>
          <w:color w:val="auto"/>
        </w:rPr>
      </w:pPr>
    </w:p>
    <w:p>
      <w:pPr>
        <w:ind w:left="5440" w:hanging="106"/>
        <w:spacing w:after="0"/>
        <w:tabs>
          <w:tab w:leader="none" w:pos="54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180"/>
          </w:cols>
          <w:pgMar w:left="320" w:top="368" w:right="39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auto"/>
        </w:rPr>
        <w:t>Page 27</w:t>
      </w:r>
    </w:p>
    <w:p>
      <w:pPr>
        <w:spacing w:after="0" w:line="200" w:lineRule="exact"/>
        <w:rPr>
          <w:sz w:val="20"/>
          <w:szCs w:val="20"/>
          <w:color w:val="auto"/>
        </w:rPr>
      </w:pPr>
    </w:p>
    <w:p>
      <w:pPr>
        <w:spacing w:after="0" w:line="282" w:lineRule="exact"/>
        <w:rPr>
          <w:sz w:val="20"/>
          <w:szCs w:val="20"/>
          <w:color w:val="auto"/>
        </w:rPr>
      </w:pPr>
    </w:p>
    <w:p>
      <w:pPr>
        <w:ind w:left="660" w:hanging="328"/>
        <w:spacing w:after="0" w:line="232" w:lineRule="auto"/>
        <w:tabs>
          <w:tab w:leader="none" w:pos="655" w:val="left"/>
        </w:tabs>
        <w:numPr>
          <w:ilvl w:val="0"/>
          <w:numId w:val="30"/>
        </w:numPr>
        <w:rPr>
          <w:rFonts w:ascii="Arial" w:cs="Arial" w:eastAsia="Arial" w:hAnsi="Arial"/>
          <w:sz w:val="22"/>
          <w:szCs w:val="22"/>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30"/>
        </w:numPr>
        <w:rPr>
          <w:rFonts w:ascii="Arial" w:cs="Arial" w:eastAsia="Arial" w:hAnsi="Arial"/>
          <w:sz w:val="22"/>
          <w:szCs w:val="22"/>
          <w:color w:val="auto"/>
        </w:rPr>
      </w:pPr>
      <w:r>
        <w:rPr>
          <w:rFonts w:ascii="Arial" w:cs="Arial" w:eastAsia="Arial" w:hAnsi="Arial"/>
          <w:sz w:val="18"/>
          <w:szCs w:val="18"/>
          <w:color w:val="auto"/>
        </w:rPr>
        <w:t>significant under-utilization of our assets and facilities;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0"/>
        </w:numPr>
        <w:rPr>
          <w:rFonts w:ascii="Arial" w:cs="Arial" w:eastAsia="Arial" w:hAnsi="Arial"/>
          <w:sz w:val="22"/>
          <w:szCs w:val="22"/>
          <w:color w:val="auto"/>
        </w:rPr>
      </w:pPr>
      <w:r>
        <w:rPr>
          <w:rFonts w:ascii="Arial" w:cs="Arial" w:eastAsia="Arial" w:hAnsi="Arial"/>
          <w:sz w:val="18"/>
          <w:szCs w:val="18"/>
          <w:color w:val="auto"/>
        </w:rPr>
        <w:t>increased costs, or lack of availability, of insurance;</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0"/>
        </w:numPr>
        <w:rPr>
          <w:rFonts w:ascii="Arial" w:cs="Arial" w:eastAsia="Arial" w:hAnsi="Arial"/>
          <w:sz w:val="22"/>
          <w:szCs w:val="22"/>
          <w:color w:val="auto"/>
        </w:rPr>
      </w:pPr>
      <w:r>
        <w:rPr>
          <w:rFonts w:ascii="Arial" w:cs="Arial" w:eastAsia="Arial" w:hAnsi="Arial"/>
          <w:sz w:val="18"/>
          <w:szCs w:val="18"/>
          <w:color w:val="auto"/>
        </w:rPr>
        <w:t>the effectiveness of our risk management activities;</w:t>
      </w:r>
    </w:p>
    <w:p>
      <w:pPr>
        <w:spacing w:after="0" w:line="123" w:lineRule="exact"/>
        <w:rPr>
          <w:rFonts w:ascii="Arial" w:cs="Arial" w:eastAsia="Arial" w:hAnsi="Arial"/>
          <w:sz w:val="22"/>
          <w:szCs w:val="22"/>
          <w:color w:val="auto"/>
        </w:rPr>
      </w:pPr>
    </w:p>
    <w:p>
      <w:pPr>
        <w:ind w:left="660" w:hanging="328"/>
        <w:spacing w:after="0"/>
        <w:tabs>
          <w:tab w:leader="none" w:pos="660" w:val="left"/>
        </w:tabs>
        <w:numPr>
          <w:ilvl w:val="0"/>
          <w:numId w:val="30"/>
        </w:numPr>
        <w:rPr>
          <w:rFonts w:ascii="Arial" w:cs="Arial" w:eastAsia="Arial" w:hAnsi="Arial"/>
          <w:sz w:val="21"/>
          <w:szCs w:val="21"/>
          <w:color w:val="auto"/>
        </w:rPr>
      </w:pPr>
      <w:r>
        <w:rPr>
          <w:rFonts w:ascii="Arial" w:cs="Arial" w:eastAsia="Arial" w:hAnsi="Arial"/>
          <w:sz w:val="17"/>
          <w:szCs w:val="17"/>
          <w:color w:val="auto"/>
        </w:rPr>
        <w:t>fluctuations in the debt and equity markets, including the price of our units at the time of vesting under our long-term incentive plans;</w:t>
      </w:r>
    </w:p>
    <w:p>
      <w:pPr>
        <w:spacing w:after="0" w:line="111" w:lineRule="exact"/>
        <w:rPr>
          <w:rFonts w:ascii="Arial" w:cs="Arial" w:eastAsia="Arial" w:hAnsi="Arial"/>
          <w:sz w:val="21"/>
          <w:szCs w:val="21"/>
          <w:color w:val="auto"/>
        </w:rPr>
      </w:pPr>
    </w:p>
    <w:p>
      <w:pPr>
        <w:ind w:left="660" w:hanging="328"/>
        <w:spacing w:after="0"/>
        <w:tabs>
          <w:tab w:leader="none" w:pos="660" w:val="left"/>
        </w:tabs>
        <w:numPr>
          <w:ilvl w:val="0"/>
          <w:numId w:val="30"/>
        </w:numPr>
        <w:rPr>
          <w:rFonts w:ascii="Arial" w:cs="Arial" w:eastAsia="Arial" w:hAnsi="Arial"/>
          <w:sz w:val="22"/>
          <w:szCs w:val="22"/>
          <w:color w:val="auto"/>
        </w:rPr>
      </w:pPr>
      <w:r>
        <w:rPr>
          <w:rFonts w:ascii="Arial" w:cs="Arial" w:eastAsia="Arial" w:hAnsi="Arial"/>
          <w:sz w:val="18"/>
          <w:szCs w:val="18"/>
          <w:color w:val="auto"/>
        </w:rPr>
        <w:t>risks related to the development and operation of our assets; and</w:t>
      </w:r>
    </w:p>
    <w:p>
      <w:pPr>
        <w:spacing w:after="0" w:line="134" w:lineRule="exact"/>
        <w:rPr>
          <w:rFonts w:ascii="Arial" w:cs="Arial" w:eastAsia="Arial" w:hAnsi="Arial"/>
          <w:sz w:val="22"/>
          <w:szCs w:val="22"/>
          <w:color w:val="auto"/>
        </w:rPr>
      </w:pPr>
    </w:p>
    <w:p>
      <w:pPr>
        <w:ind w:left="660" w:right="60" w:hanging="328"/>
        <w:spacing w:after="0" w:line="238" w:lineRule="auto"/>
        <w:tabs>
          <w:tab w:leader="none" w:pos="655" w:val="left"/>
        </w:tabs>
        <w:numPr>
          <w:ilvl w:val="0"/>
          <w:numId w:val="30"/>
        </w:numPr>
        <w:rPr>
          <w:rFonts w:ascii="Arial" w:cs="Arial" w:eastAsia="Arial" w:hAnsi="Arial"/>
          <w:sz w:val="22"/>
          <w:szCs w:val="22"/>
          <w:color w:val="auto"/>
        </w:rPr>
      </w:pPr>
      <w:r>
        <w:rPr>
          <w:rFonts w:ascii="Arial" w:cs="Arial" w:eastAsia="Arial" w:hAnsi="Arial"/>
          <w:sz w:val="18"/>
          <w:szCs w:val="18"/>
          <w:color w:val="auto"/>
        </w:rPr>
        <w:t>other factors and uncertainties inherent in the transportation, storage, terminalling and marketing of crude oil, as well as in the storage of natural gas and the processing, transportation, fractionation, storage and marketing of NGL as discussed in the Partnerships’ filings with the Securities and Exchange Commission.</w:t>
      </w:r>
    </w:p>
    <w:p>
      <w:pPr>
        <w:spacing w:after="0" w:line="25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PAA is a publicly traded master limited partnership that owns and operates midstream energy infrastructure and provides logistics services for crude oil, NGL and natural gas. PAA owns an extensive network of pipeline transportation, terminalling, storage and gathering assets in key crude oil and NGL producing basins and transportation corridors and at major market hubs in the United States and Canada. On average, PAA handles more than 5 million barrels per day of crude oil and NGL in its Transportation segment. PAA is headquartered in Houston, Texas. More information is available at www.plainsallamerican.com.</w:t>
      </w:r>
    </w:p>
    <w:p>
      <w:pPr>
        <w:spacing w:after="0" w:line="21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PAGP is a publicly traded entity that owns an indirect, non-economic controlling general partner interest in PAA and an indirect limited partner interest in PAA, one of the largest energy infrastructure and logistics companies in North America. PAGP is headquartered in Houston, Texas. More information is available at www.plainsallamerican.com.</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Contacts</w:t>
      </w:r>
      <w:r>
        <w:rPr>
          <w:rFonts w:ascii="Arial" w:cs="Arial" w:eastAsia="Arial" w:hAnsi="Arial"/>
          <w:sz w:val="18"/>
          <w:szCs w:val="18"/>
          <w:color w:val="auto"/>
        </w:rPr>
        <w: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Roy Lamoreaux</w:t>
      </w:r>
    </w:p>
    <w:p>
      <w:pPr>
        <w:spacing w:after="0" w:line="23" w:lineRule="exact"/>
        <w:rPr>
          <w:sz w:val="20"/>
          <w:szCs w:val="20"/>
          <w:color w:val="auto"/>
        </w:rPr>
      </w:pPr>
    </w:p>
    <w:p>
      <w:pPr>
        <w:ind w:left="20" w:right="5320"/>
        <w:spacing w:after="0" w:line="292" w:lineRule="auto"/>
        <w:rPr>
          <w:sz w:val="20"/>
          <w:szCs w:val="20"/>
          <w:color w:val="auto"/>
        </w:rPr>
      </w:pPr>
      <w:r>
        <w:rPr>
          <w:rFonts w:ascii="Arial" w:cs="Arial" w:eastAsia="Arial" w:hAnsi="Arial"/>
          <w:sz w:val="18"/>
          <w:szCs w:val="18"/>
          <w:color w:val="auto"/>
        </w:rPr>
        <w:t>Vice President, Investor Relations, Communications and Government Relations (866) 809-1291</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Brett Magill</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Director, Investor Relations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(866) 809-1291</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sectPr>
      <w:pgSz w:w="11900" w:h="16838" w:orient="portrait"/>
      <w:cols w:equalWidth="0" w:num="1">
        <w:col w:w="11080"/>
      </w:cols>
      <w:pgMar w:left="320" w:top="368"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amp;"/>
      <w:numFmt w:val="bullet"/>
      <w:start w:val="1"/>
    </w:lvl>
    <w:lvl w:ilvl="1">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1"/>
    </w:lvl>
    <w:lvl w:ilvl="1">
      <w:lvlJc w:val="left"/>
      <w:lvlText w:val="-"/>
      <w:numFmt w:val="bullet"/>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1)"/>
      <w:numFmt w:val="decimal"/>
      <w:start w:val="1"/>
    </w:lvl>
    <w:lvl w:ilvl="1">
      <w:lvlJc w:val="left"/>
      <w:lvlText w:val="-"/>
      <w:numFmt w:val="bullet"/>
      <w:start w:val="1"/>
    </w:lvl>
  </w:abstractNum>
  <w:abstractNum w:abstractNumId="9">
    <w:nsid w:val="62BBD95A"/>
    <w:multiLevelType w:val="hybridMultilevel"/>
    <w:lvl w:ilvl="0">
      <w:lvlJc w:val="left"/>
      <w:lvlText w:val="(%1)"/>
      <w:numFmt w:val="decimal"/>
      <w:start w:val="1"/>
    </w:lvl>
    <w:lvl w:ilvl="1">
      <w:lvlJc w:val="left"/>
      <w:lvlText w:val="-"/>
      <w:numFmt w:val="bullet"/>
      <w:start w:val="1"/>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decimal"/>
      <w:start w:val="1"/>
    </w:lvl>
    <w:lvl w:ilvl="1">
      <w:lvlJc w:val="left"/>
      <w:lvlText w:val="-"/>
      <w:numFmt w:val="bullet"/>
      <w:start w:val="1"/>
    </w:lvl>
  </w:abstractNum>
  <w:abstractNum w:abstractNumId="13">
    <w:nsid w:val="721DA317"/>
    <w:multiLevelType w:val="hybridMultilevel"/>
    <w:lvl w:ilvl="0">
      <w:lvlJc w:val="left"/>
      <w:lvlText w:val="(%1)"/>
      <w:numFmt w:val="decimal"/>
      <w:start w:val="1"/>
    </w:lvl>
    <w:lvl w:ilvl="1">
      <w:lvlJc w:val="left"/>
      <w:lvlText w:val="-"/>
      <w:numFmt w:val="bullet"/>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1"/>
    </w:lvl>
    <w:lvl w:ilvl="1">
      <w:lvlJc w:val="left"/>
      <w:lvlText w:val="-"/>
      <w:numFmt w:val="bullet"/>
      <w:start w:val="1"/>
    </w:lvl>
  </w:abstractNum>
  <w:abstractNum w:abstractNumId="16">
    <w:nsid w:val="6763845E"/>
    <w:multiLevelType w:val="hybridMultilevel"/>
    <w:lvl w:ilvl="0">
      <w:lvlJc w:val="left"/>
      <w:lvlText w:val="(%1)"/>
      <w:numFmt w:val="decimal"/>
      <w:start w:val="1"/>
    </w:lvl>
    <w:lvl w:ilvl="1">
      <w:lvlJc w:val="left"/>
      <w:lvlText w:val="-"/>
      <w:numFmt w:val="bullet"/>
      <w:start w:val="1"/>
    </w:lvl>
  </w:abstractNum>
  <w:abstractNum w:abstractNumId="17">
    <w:nsid w:val="75A2A8D4"/>
    <w:multiLevelType w:val="hybridMultilevel"/>
    <w:lvl w:ilvl="0">
      <w:lvlJc w:val="left"/>
      <w:lvlText w:val="(%1)"/>
      <w:numFmt w:val="decimal"/>
      <w:start w:val="1"/>
    </w:lvl>
    <w:lvl w:ilvl="1">
      <w:lvlJc w:val="left"/>
      <w:lvlText w:val="-"/>
      <w:numFmt w:val="bullet"/>
      <w:start w:val="1"/>
    </w:lvl>
  </w:abstractNum>
  <w:abstractNum w:abstractNumId="18">
    <w:nsid w:val="8EDBDAB"/>
    <w:multiLevelType w:val="hybridMultilevel"/>
    <w:lvl w:ilvl="0">
      <w:lvlJc w:val="left"/>
      <w:lvlText w:val="(%1)"/>
      <w:numFmt w:val="decimal"/>
      <w:start w:val="3"/>
    </w:lvl>
  </w:abstractNum>
  <w:abstractNum w:abstractNumId="19">
    <w:nsid w:val="79838CB2"/>
    <w:multiLevelType w:val="hybridMultilevel"/>
    <w:lvl w:ilvl="0">
      <w:lvlJc w:val="left"/>
      <w:lvlText w:val="(%1)"/>
      <w:numFmt w:val="decimal"/>
      <w:start w:val="3"/>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decimal"/>
      <w:start w:val="1"/>
    </w:lvl>
    <w:lvl w:ilvl="1">
      <w:lvlJc w:val="left"/>
      <w:lvlText w:val="-"/>
      <w:numFmt w:val="bullet"/>
      <w:start w:val="1"/>
    </w:lvl>
  </w:abstractNum>
  <w:abstractNum w:abstractNumId="23">
    <w:nsid w:val="54E49EB4"/>
    <w:multiLevelType w:val="hybridMultilevel"/>
    <w:lvl w:ilvl="0">
      <w:lvlJc w:val="left"/>
      <w:lvlText w:val="(%1)"/>
      <w:numFmt w:val="decimal"/>
      <w:start w:val="1"/>
    </w:lvl>
    <w:lvl w:ilvl="1">
      <w:lvlJc w:val="left"/>
      <w:lvlText w:val="-"/>
      <w:numFmt w:val="bullet"/>
      <w:start w:val="1"/>
    </w:lvl>
  </w:abstractNum>
  <w:abstractNum w:abstractNumId="24">
    <w:nsid w:val="71F32454"/>
    <w:multiLevelType w:val="hybridMultilevel"/>
    <w:lvl w:ilvl="0">
      <w:lvlJc w:val="left"/>
      <w:lvlText w:val="(%1)"/>
      <w:numFmt w:val="decimal"/>
      <w:start w:val="1"/>
    </w:lvl>
    <w:lvl w:ilvl="1">
      <w:lvlJc w:val="left"/>
      <w:lvlText w:val="-"/>
      <w:numFmt w:val="bullet"/>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decimal"/>
      <w:start w:val="1"/>
    </w:lvl>
  </w:abstractNum>
  <w:abstractNum w:abstractNumId="27">
    <w:nsid w:val="2901D82"/>
    <w:multiLevelType w:val="hybridMultilevel"/>
    <w:lvl w:ilvl="0">
      <w:lvlJc w:val="left"/>
      <w:lvlText w:val="•"/>
      <w:numFmt w:val="bullet"/>
      <w:start w:val="1"/>
    </w:lvl>
    <w:lvl w:ilvl="1">
      <w:lvlJc w:val="left"/>
      <w:lvlText w:val="-"/>
      <w:numFmt w:val="bullet"/>
      <w:start w:val="1"/>
    </w:lvl>
  </w:abstractNum>
  <w:abstractNum w:abstractNumId="28">
    <w:nsid w:val="3A95F874"/>
    <w:multiLevelType w:val="hybridMultilevel"/>
    <w:lvl w:ilvl="0">
      <w:lvlJc w:val="left"/>
      <w:lvlText w:val="•"/>
      <w:numFmt w:val="bullet"/>
      <w:start w:val="1"/>
    </w:lvl>
    <w:lvl w:ilvl="1">
      <w:lvlJc w:val="left"/>
      <w:lvlText w:val="-"/>
      <w:numFmt w:val="bullet"/>
      <w:start w:val="1"/>
    </w:lvl>
  </w:abstractNum>
  <w:abstractNum w:abstractNumId="29">
    <w:nsid w:val="813864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2021-08-03T15:50:10Z</dcterms:created>
  <dcterms:modified xsi:type="dcterms:W3CDTF">2021-08-03T15:50:10Z</dcterms:modified>
</cp:coreProperties>
</file>