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9"/>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208280</wp:posOffset>
            </wp:positionH>
            <wp:positionV relativeFrom="page">
              <wp:posOffset>311785</wp:posOffset>
            </wp:positionV>
            <wp:extent cx="7132320" cy="2603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26035"/>
                    </a:xfrm>
                    <a:prstGeom prst="rect">
                      <a:avLst/>
                    </a:prstGeom>
                    <a:noFill/>
                  </pic:spPr>
                </pic:pic>
              </a:graphicData>
            </a:graphic>
          </wp:anchor>
        </w:drawing>
        <w:drawing>
          <wp:anchor simplePos="0" relativeHeight="251657728" behindDoc="1" locked="0" layoutInCell="0" allowOverlap="1">
            <wp:simplePos x="0" y="0"/>
            <wp:positionH relativeFrom="page">
              <wp:posOffset>208280</wp:posOffset>
            </wp:positionH>
            <wp:positionV relativeFrom="page">
              <wp:posOffset>346075</wp:posOffset>
            </wp:positionV>
            <wp:extent cx="713232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8255"/>
                    </a:xfrm>
                    <a:prstGeom prst="rect">
                      <a:avLst/>
                    </a:prstGeom>
                    <a:noFill/>
                  </pic:spPr>
                </pic:pic>
              </a:graphicData>
            </a:graphic>
          </wp:anchor>
        </w:drawing>
        <w:t>UNITED STATES</w:t>
      </w:r>
    </w:p>
    <w:p>
      <w:pPr>
        <w:spacing w:after="0" w:line="27"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SECURITIES AND EXCHANGE COMMISSION</w:t>
      </w:r>
    </w:p>
    <w:p>
      <w:pPr>
        <w:spacing w:after="0" w:line="9"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Washington, D.C. 20549</w:t>
      </w:r>
    </w:p>
    <w:p>
      <w:pPr>
        <w:spacing w:after="0" w:line="184" w:lineRule="exact"/>
        <w:rPr>
          <w:sz w:val="24"/>
          <w:szCs w:val="24"/>
          <w:color w:val="auto"/>
        </w:rPr>
      </w:pPr>
    </w:p>
    <w:p>
      <w:pPr>
        <w:jc w:val="center"/>
        <w:ind w:right="-19"/>
        <w:spacing w:after="0"/>
        <w:rPr>
          <w:sz w:val="20"/>
          <w:szCs w:val="20"/>
          <w:color w:val="auto"/>
        </w:rPr>
      </w:pPr>
      <w:r>
        <w:rPr>
          <w:rFonts w:ascii="Arial" w:cs="Arial" w:eastAsia="Arial" w:hAnsi="Arial"/>
          <w:sz w:val="32"/>
          <w:szCs w:val="32"/>
          <w:b w:val="1"/>
          <w:bCs w:val="1"/>
          <w:color w:val="auto"/>
        </w:rPr>
        <w:t>FORM 8-K</w:t>
      </w:r>
    </w:p>
    <w:p>
      <w:pPr>
        <w:spacing w:after="0" w:line="235"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CURRENT REPORT</w:t>
      </w:r>
    </w:p>
    <w:p>
      <w:pPr>
        <w:spacing w:after="0" w:line="27" w:lineRule="exact"/>
        <w:rPr>
          <w:sz w:val="24"/>
          <w:szCs w:val="24"/>
          <w:color w:val="auto"/>
        </w:rPr>
      </w:pPr>
    </w:p>
    <w:p>
      <w:pPr>
        <w:jc w:val="center"/>
        <w:ind w:right="-19"/>
        <w:spacing w:after="0"/>
        <w:rPr>
          <w:sz w:val="20"/>
          <w:szCs w:val="20"/>
          <w:color w:val="auto"/>
        </w:rPr>
      </w:pPr>
      <w:r>
        <w:rPr>
          <w:rFonts w:ascii="Arial" w:cs="Arial" w:eastAsia="Arial" w:hAnsi="Arial"/>
          <w:sz w:val="16"/>
          <w:szCs w:val="16"/>
          <w:b w:val="1"/>
          <w:bCs w:val="1"/>
          <w:color w:val="auto"/>
        </w:rPr>
        <w:t>Pursuant to Section 13 or 15(d) of the Securities Exchange Act of 1934</w:t>
      </w:r>
    </w:p>
    <w:p>
      <w:pPr>
        <w:spacing w:after="0" w:line="230" w:lineRule="exact"/>
        <w:rPr>
          <w:sz w:val="24"/>
          <w:szCs w:val="24"/>
          <w:color w:val="auto"/>
        </w:rPr>
      </w:pPr>
    </w:p>
    <w:p>
      <w:pPr>
        <w:jc w:val="center"/>
        <w:ind w:right="-19"/>
        <w:spacing w:after="0"/>
        <w:rPr>
          <w:sz w:val="20"/>
          <w:szCs w:val="20"/>
          <w:color w:val="auto"/>
        </w:rPr>
      </w:pPr>
      <w:r>
        <w:rPr>
          <w:rFonts w:ascii="Arial" w:cs="Arial" w:eastAsia="Arial" w:hAnsi="Arial"/>
          <w:sz w:val="18"/>
          <w:szCs w:val="18"/>
          <w:color w:val="auto"/>
        </w:rPr>
        <w:t xml:space="preserve">Date of Report (Date of earliest event reported) — </w:t>
      </w:r>
      <w:r>
        <w:rPr>
          <w:rFonts w:ascii="Arial" w:cs="Arial" w:eastAsia="Arial" w:hAnsi="Arial"/>
          <w:sz w:val="18"/>
          <w:szCs w:val="18"/>
          <w:b w:val="1"/>
          <w:bCs w:val="1"/>
          <w:color w:val="auto"/>
        </w:rPr>
        <w:t>May 20, 2020</w:t>
      </w:r>
    </w:p>
    <w:p>
      <w:pPr>
        <w:spacing w:after="0" w:line="202" w:lineRule="exact"/>
        <w:rPr>
          <w:sz w:val="24"/>
          <w:szCs w:val="24"/>
          <w:color w:val="auto"/>
        </w:rPr>
      </w:pPr>
    </w:p>
    <w:p>
      <w:pPr>
        <w:jc w:val="center"/>
        <w:ind w:right="-19"/>
        <w:spacing w:after="0"/>
        <w:rPr>
          <w:sz w:val="20"/>
          <w:szCs w:val="20"/>
          <w:color w:val="auto"/>
        </w:rPr>
      </w:pPr>
      <w:r>
        <w:rPr>
          <w:rFonts w:ascii="Arial" w:cs="Arial" w:eastAsia="Arial" w:hAnsi="Arial"/>
          <w:sz w:val="32"/>
          <w:szCs w:val="32"/>
          <w:b w:val="1"/>
          <w:bCs w:val="1"/>
          <w:color w:val="auto"/>
        </w:rPr>
        <w:t>Plains GP Holdings, L.P.</w:t>
      </w:r>
    </w:p>
    <w:p>
      <w:pPr>
        <w:spacing w:after="0" w:line="39" w:lineRule="exact"/>
        <w:rPr>
          <w:sz w:val="24"/>
          <w:szCs w:val="24"/>
          <w:color w:val="auto"/>
        </w:rPr>
      </w:pPr>
    </w:p>
    <w:p>
      <w:pPr>
        <w:jc w:val="center"/>
        <w:ind w:right="-19"/>
        <w:spacing w:after="0"/>
        <w:rPr>
          <w:sz w:val="20"/>
          <w:szCs w:val="20"/>
          <w:color w:val="auto"/>
        </w:rPr>
      </w:pPr>
      <w:r>
        <w:rPr>
          <w:rFonts w:ascii="Arial" w:cs="Arial" w:eastAsia="Arial" w:hAnsi="Arial"/>
          <w:sz w:val="18"/>
          <w:szCs w:val="18"/>
          <w:color w:val="auto"/>
        </w:rPr>
        <w:t>(Exact name of registrant as specified in its charter)</w:t>
      </w:r>
    </w:p>
    <w:p>
      <w:pPr>
        <w:sectPr>
          <w:pgSz w:w="11900" w:h="16838" w:orient="portrait"/>
          <w:cols w:equalWidth="0" w:num="1">
            <w:col w:w="11240"/>
          </w:cols>
          <w:pgMar w:left="320" w:top="783" w:right="339" w:bottom="1440" w:gutter="0" w:footer="0" w:header="0"/>
        </w:sectPr>
      </w:pPr>
    </w:p>
    <w:p>
      <w:pPr>
        <w:spacing w:after="0" w:line="205" w:lineRule="exact"/>
        <w:rPr>
          <w:sz w:val="24"/>
          <w:szCs w:val="24"/>
          <w:color w:val="auto"/>
        </w:rPr>
      </w:pPr>
    </w:p>
    <w:p>
      <w:pPr>
        <w:jc w:val="center"/>
        <w:ind w:right="200"/>
        <w:spacing w:after="0"/>
        <w:rPr>
          <w:sz w:val="20"/>
          <w:szCs w:val="20"/>
          <w:color w:val="auto"/>
        </w:rPr>
      </w:pPr>
      <w:r>
        <w:rPr>
          <w:rFonts w:ascii="Arial" w:cs="Arial" w:eastAsia="Arial" w:hAnsi="Arial"/>
          <w:sz w:val="18"/>
          <w:szCs w:val="18"/>
          <w:b w:val="1"/>
          <w:bCs w:val="1"/>
          <w:color w:val="auto"/>
        </w:rPr>
        <w:t>Delaware</w:t>
      </w:r>
    </w:p>
    <w:p>
      <w:pPr>
        <w:spacing w:after="0" w:line="27" w:lineRule="exact"/>
        <w:rPr>
          <w:sz w:val="24"/>
          <w:szCs w:val="24"/>
          <w:color w:val="auto"/>
        </w:rPr>
      </w:pPr>
    </w:p>
    <w:p>
      <w:pPr>
        <w:jc w:val="center"/>
        <w:ind w:right="200"/>
        <w:spacing w:after="0"/>
        <w:rPr>
          <w:sz w:val="20"/>
          <w:szCs w:val="20"/>
          <w:color w:val="auto"/>
        </w:rPr>
      </w:pPr>
      <w:r>
        <w:rPr>
          <w:rFonts w:ascii="Arial" w:cs="Arial" w:eastAsia="Arial" w:hAnsi="Arial"/>
          <w:sz w:val="16"/>
          <w:szCs w:val="16"/>
          <w:color w:val="auto"/>
        </w:rPr>
        <w:t>(State or other jurisdiction of</w:t>
      </w:r>
    </w:p>
    <w:p>
      <w:pPr>
        <w:spacing w:after="0" w:line="20" w:lineRule="exact"/>
        <w:rPr>
          <w:sz w:val="24"/>
          <w:szCs w:val="24"/>
          <w:color w:val="auto"/>
        </w:rPr>
      </w:pPr>
      <w:r>
        <w:rPr>
          <w:sz w:val="24"/>
          <w:szCs w:val="24"/>
          <w:color w:val="auto"/>
        </w:rPr>
        <w:br w:type="column"/>
      </w:r>
    </w:p>
    <w:p>
      <w:pPr>
        <w:spacing w:after="0" w:line="185" w:lineRule="exact"/>
        <w:rPr>
          <w:sz w:val="24"/>
          <w:szCs w:val="24"/>
          <w:color w:val="auto"/>
        </w:rPr>
      </w:pPr>
    </w:p>
    <w:p>
      <w:pPr>
        <w:jc w:val="center"/>
        <w:ind w:right="820"/>
        <w:spacing w:after="0"/>
        <w:rPr>
          <w:sz w:val="20"/>
          <w:szCs w:val="20"/>
          <w:color w:val="auto"/>
        </w:rPr>
      </w:pPr>
      <w:r>
        <w:rPr>
          <w:rFonts w:ascii="Arial" w:cs="Arial" w:eastAsia="Arial" w:hAnsi="Arial"/>
          <w:sz w:val="18"/>
          <w:szCs w:val="18"/>
          <w:b w:val="1"/>
          <w:bCs w:val="1"/>
          <w:color w:val="auto"/>
        </w:rPr>
        <w:t>1-36132</w:t>
      </w:r>
    </w:p>
    <w:p>
      <w:pPr>
        <w:spacing w:after="0" w:line="27" w:lineRule="exact"/>
        <w:rPr>
          <w:sz w:val="24"/>
          <w:szCs w:val="24"/>
          <w:color w:val="auto"/>
        </w:rPr>
      </w:pPr>
    </w:p>
    <w:p>
      <w:pPr>
        <w:jc w:val="center"/>
        <w:ind w:right="820"/>
        <w:spacing w:after="0"/>
        <w:rPr>
          <w:sz w:val="20"/>
          <w:szCs w:val="20"/>
          <w:color w:val="auto"/>
        </w:rPr>
      </w:pPr>
      <w:r>
        <w:rPr>
          <w:rFonts w:ascii="Arial" w:cs="Arial" w:eastAsia="Arial" w:hAnsi="Arial"/>
          <w:sz w:val="16"/>
          <w:szCs w:val="16"/>
          <w:color w:val="auto"/>
        </w:rPr>
        <w:t>(Commission File Number)</w:t>
      </w:r>
    </w:p>
    <w:p>
      <w:pPr>
        <w:spacing w:after="0" w:line="20" w:lineRule="exact"/>
        <w:rPr>
          <w:sz w:val="24"/>
          <w:szCs w:val="24"/>
          <w:color w:val="auto"/>
        </w:rPr>
      </w:pPr>
      <w:r>
        <w:rPr>
          <w:sz w:val="24"/>
          <w:szCs w:val="24"/>
          <w:color w:val="auto"/>
        </w:rPr>
        <w:br w:type="column"/>
      </w:r>
    </w:p>
    <w:p>
      <w:pPr>
        <w:spacing w:after="0" w:line="185" w:lineRule="exact"/>
        <w:rPr>
          <w:sz w:val="24"/>
          <w:szCs w:val="24"/>
          <w:color w:val="auto"/>
        </w:rPr>
      </w:pPr>
    </w:p>
    <w:p>
      <w:pPr>
        <w:jc w:val="center"/>
        <w:ind w:right="620"/>
        <w:spacing w:after="0"/>
        <w:rPr>
          <w:sz w:val="20"/>
          <w:szCs w:val="20"/>
          <w:color w:val="auto"/>
        </w:rPr>
      </w:pPr>
      <w:r>
        <w:rPr>
          <w:rFonts w:ascii="Arial" w:cs="Arial" w:eastAsia="Arial" w:hAnsi="Arial"/>
          <w:sz w:val="18"/>
          <w:szCs w:val="18"/>
          <w:b w:val="1"/>
          <w:bCs w:val="1"/>
          <w:color w:val="auto"/>
        </w:rPr>
        <w:t>90-1005472</w:t>
      </w:r>
    </w:p>
    <w:p>
      <w:pPr>
        <w:spacing w:after="0" w:line="27" w:lineRule="exact"/>
        <w:rPr>
          <w:sz w:val="24"/>
          <w:szCs w:val="24"/>
          <w:color w:val="auto"/>
        </w:rPr>
      </w:pPr>
    </w:p>
    <w:p>
      <w:pPr>
        <w:jc w:val="center"/>
        <w:ind w:right="620"/>
        <w:spacing w:after="0"/>
        <w:rPr>
          <w:sz w:val="20"/>
          <w:szCs w:val="20"/>
          <w:color w:val="auto"/>
        </w:rPr>
      </w:pPr>
      <w:r>
        <w:rPr>
          <w:rFonts w:ascii="Arial" w:cs="Arial" w:eastAsia="Arial" w:hAnsi="Arial"/>
          <w:sz w:val="16"/>
          <w:szCs w:val="16"/>
          <w:color w:val="auto"/>
        </w:rPr>
        <w:t>(IRS Employer Identification No.)</w:t>
      </w:r>
    </w:p>
    <w:p>
      <w:pPr>
        <w:spacing w:after="0" w:line="46" w:lineRule="exact"/>
        <w:rPr>
          <w:sz w:val="24"/>
          <w:szCs w:val="24"/>
          <w:color w:val="auto"/>
        </w:rPr>
      </w:pPr>
    </w:p>
    <w:p>
      <w:pPr>
        <w:sectPr>
          <w:pgSz w:w="11900" w:h="16838" w:orient="portrait"/>
          <w:cols w:equalWidth="0" w:num="3">
            <w:col w:w="3920" w:space="720"/>
            <w:col w:w="2800" w:space="720"/>
            <w:col w:w="3080"/>
          </w:cols>
          <w:pgMar w:left="320" w:top="783" w:right="339" w:bottom="1440" w:gutter="0" w:footer="0" w:header="0"/>
          <w:type w:val="continuous"/>
        </w:sectPr>
      </w:pPr>
    </w:p>
    <w:p>
      <w:pPr>
        <w:ind w:left="1340"/>
        <w:spacing w:after="0"/>
        <w:rPr>
          <w:sz w:val="20"/>
          <w:szCs w:val="20"/>
          <w:color w:val="auto"/>
        </w:rPr>
      </w:pPr>
      <w:r>
        <w:rPr>
          <w:rFonts w:ascii="Arial" w:cs="Arial" w:eastAsia="Arial" w:hAnsi="Arial"/>
          <w:sz w:val="18"/>
          <w:szCs w:val="18"/>
          <w:color w:val="auto"/>
        </w:rPr>
        <w:t>incorporation)</w:t>
      </w:r>
    </w:p>
    <w:p>
      <w:pPr>
        <w:spacing w:after="0" w:line="220" w:lineRule="exact"/>
        <w:rPr>
          <w:sz w:val="24"/>
          <w:szCs w:val="24"/>
          <w:color w:val="auto"/>
        </w:rPr>
      </w:pPr>
    </w:p>
    <w:p>
      <w:pPr>
        <w:ind w:left="3720"/>
        <w:spacing w:after="0"/>
        <w:rPr>
          <w:sz w:val="20"/>
          <w:szCs w:val="20"/>
          <w:color w:val="auto"/>
        </w:rPr>
      </w:pPr>
      <w:r>
        <w:rPr>
          <w:rFonts w:ascii="Arial" w:cs="Arial" w:eastAsia="Arial" w:hAnsi="Arial"/>
          <w:sz w:val="16"/>
          <w:szCs w:val="16"/>
          <w:b w:val="1"/>
          <w:bCs w:val="1"/>
          <w:color w:val="auto"/>
        </w:rPr>
        <w:t>333 Clay Street, Suite 1600, Houston, Texas 77002</w:t>
      </w:r>
    </w:p>
    <w:p>
      <w:pPr>
        <w:spacing w:after="0" w:line="50" w:lineRule="exact"/>
        <w:rPr>
          <w:sz w:val="24"/>
          <w:szCs w:val="24"/>
          <w:color w:val="auto"/>
        </w:rPr>
      </w:pPr>
    </w:p>
    <w:p>
      <w:pPr>
        <w:ind w:left="3780"/>
        <w:spacing w:after="0"/>
        <w:rPr>
          <w:sz w:val="20"/>
          <w:szCs w:val="20"/>
          <w:color w:val="auto"/>
        </w:rPr>
      </w:pPr>
      <w:r>
        <w:rPr>
          <w:rFonts w:ascii="Arial" w:cs="Arial" w:eastAsia="Arial" w:hAnsi="Arial"/>
          <w:sz w:val="16"/>
          <w:szCs w:val="16"/>
          <w:color w:val="auto"/>
        </w:rPr>
        <w:t>(Address of principal executive offices) (Zip Code)</w:t>
      </w:r>
    </w:p>
    <w:p>
      <w:pPr>
        <w:spacing w:after="0" w:line="230"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713-646-4100</w:t>
      </w:r>
    </w:p>
    <w:p>
      <w:pPr>
        <w:spacing w:after="0" w:line="27" w:lineRule="exact"/>
        <w:rPr>
          <w:sz w:val="24"/>
          <w:szCs w:val="24"/>
          <w:color w:val="auto"/>
        </w:rPr>
      </w:pPr>
    </w:p>
    <w:p>
      <w:pPr>
        <w:jc w:val="center"/>
        <w:ind w:right="-19"/>
        <w:spacing w:after="0"/>
        <w:rPr>
          <w:sz w:val="20"/>
          <w:szCs w:val="20"/>
          <w:color w:val="auto"/>
        </w:rPr>
      </w:pPr>
      <w:r>
        <w:rPr>
          <w:rFonts w:ascii="Arial" w:cs="Arial" w:eastAsia="Arial" w:hAnsi="Arial"/>
          <w:sz w:val="16"/>
          <w:szCs w:val="16"/>
          <w:color w:val="auto"/>
        </w:rPr>
        <w:t>(Registrant’s telephone number, including area code)</w:t>
      </w:r>
    </w:p>
    <w:p>
      <w:pPr>
        <w:sectPr>
          <w:pgSz w:w="11900" w:h="16838" w:orient="portrait"/>
          <w:cols w:equalWidth="0" w:num="1">
            <w:col w:w="11240"/>
          </w:cols>
          <w:pgMar w:left="320" w:top="783" w:right="339" w:bottom="1440" w:gutter="0" w:footer="0" w:header="0"/>
          <w:type w:val="continuous"/>
        </w:sectPr>
      </w:pPr>
    </w:p>
    <w:p>
      <w:pPr>
        <w:spacing w:after="0" w:line="200" w:lineRule="exact"/>
        <w:rPr>
          <w:sz w:val="24"/>
          <w:szCs w:val="24"/>
          <w:color w:val="auto"/>
        </w:rPr>
      </w:pPr>
    </w:p>
    <w:p>
      <w:pPr>
        <w:spacing w:after="0" w:line="250"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(Former name or former address, if changed since last report)</w:t>
      </w:r>
    </w:p>
    <w:p>
      <w:pPr>
        <w:spacing w:after="0" w:line="225" w:lineRule="exact"/>
        <w:rPr>
          <w:sz w:val="24"/>
          <w:szCs w:val="24"/>
          <w:color w:val="auto"/>
        </w:rPr>
      </w:pPr>
    </w:p>
    <w:p>
      <w:pPr>
        <w:ind w:right="680"/>
        <w:spacing w:after="0" w:line="277" w:lineRule="auto"/>
        <w:rPr>
          <w:sz w:val="20"/>
          <w:szCs w:val="20"/>
          <w:color w:val="auto"/>
        </w:rPr>
      </w:pPr>
      <w:r>
        <w:rPr>
          <w:rFonts w:ascii="Arial" w:cs="Arial" w:eastAsia="Arial" w:hAnsi="Arial"/>
          <w:sz w:val="18"/>
          <w:szCs w:val="18"/>
          <w:color w:val="auto"/>
        </w:rPr>
        <w:t>Check the appropriate box below if the Form 8-K filing is intended to simultaneously satisfy the filing obligation of the registrant under any of the following provisions:</w:t>
      </w:r>
    </w:p>
    <w:p>
      <w:pPr>
        <w:spacing w:after="0" w:line="170" w:lineRule="exact"/>
        <w:rPr>
          <w:sz w:val="24"/>
          <w:szCs w:val="24"/>
          <w:color w:val="auto"/>
        </w:rPr>
      </w:pPr>
    </w:p>
    <w:p>
      <w:pPr>
        <w:ind w:left="340" w:hanging="332"/>
        <w:spacing w:after="0"/>
        <w:tabs>
          <w:tab w:leader="none" w:pos="34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Written communications pursuant to Rule 425 under the Securities Act (17 CFR 230.425)</w:t>
      </w:r>
    </w:p>
    <w:p>
      <w:pPr>
        <w:spacing w:after="0" w:line="225" w:lineRule="exact"/>
        <w:rPr>
          <w:rFonts w:ascii="MS PGothic" w:cs="MS PGothic" w:eastAsia="MS PGothic" w:hAnsi="MS PGothic"/>
          <w:sz w:val="18"/>
          <w:szCs w:val="18"/>
          <w:color w:val="auto"/>
        </w:rPr>
      </w:pPr>
    </w:p>
    <w:p>
      <w:pPr>
        <w:ind w:left="340" w:hanging="332"/>
        <w:spacing w:after="0"/>
        <w:tabs>
          <w:tab w:leader="none" w:pos="34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Soliciting material pursuant to Rule 14a-12 under the Exchange Act (17 CFR 240.14a-12)</w:t>
      </w:r>
    </w:p>
    <w:p>
      <w:pPr>
        <w:spacing w:after="0" w:line="225" w:lineRule="exact"/>
        <w:rPr>
          <w:rFonts w:ascii="MS PGothic" w:cs="MS PGothic" w:eastAsia="MS PGothic" w:hAnsi="MS PGothic"/>
          <w:sz w:val="18"/>
          <w:szCs w:val="18"/>
          <w:color w:val="auto"/>
        </w:rPr>
      </w:pPr>
    </w:p>
    <w:p>
      <w:pPr>
        <w:ind w:left="340" w:hanging="332"/>
        <w:spacing w:after="0"/>
        <w:tabs>
          <w:tab w:leader="none" w:pos="34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Pre-commencement communications pursuant to Rule 14d-2(b) under the Exchange Act (17 CFR 240.14d-2(b))</w:t>
      </w:r>
    </w:p>
    <w:p>
      <w:pPr>
        <w:spacing w:after="0" w:line="225" w:lineRule="exact"/>
        <w:rPr>
          <w:rFonts w:ascii="MS PGothic" w:cs="MS PGothic" w:eastAsia="MS PGothic" w:hAnsi="MS PGothic"/>
          <w:sz w:val="18"/>
          <w:szCs w:val="18"/>
          <w:color w:val="auto"/>
        </w:rPr>
      </w:pPr>
    </w:p>
    <w:p>
      <w:pPr>
        <w:ind w:right="2860" w:firstLine="8"/>
        <w:spacing w:after="0" w:line="498" w:lineRule="auto"/>
        <w:tabs>
          <w:tab w:leader="none" w:pos="324"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Pre-commencement communications pursuant to Rule 13e-4(c) under the Exchange Act (17 CFR 240.13e-4(c)) Securities registered pursuant to Section 12(b) of the Act:</w:t>
      </w:r>
    </w:p>
    <w:p>
      <w:pPr>
        <w:spacing w:after="0" w:line="1" w:lineRule="exact"/>
        <w:rPr>
          <w:sz w:val="24"/>
          <w:szCs w:val="24"/>
          <w:color w:val="auto"/>
        </w:rPr>
      </w:pPr>
    </w:p>
    <w:tbl>
      <w:tblPr>
        <w:tblLayout w:type="fixed"/>
        <w:tblInd w:w="0" w:type="dxa"/>
        <w:tblCellMar>
          <w:top w:w="0" w:type="dxa"/>
          <w:left w:w="0" w:type="dxa"/>
          <w:bottom w:w="0" w:type="dxa"/>
          <w:right w:w="0" w:type="dxa"/>
        </w:tblCellMar>
      </w:tblPr>
      <w:tr>
        <w:trPr>
          <w:trHeight w:val="234"/>
        </w:trPr>
        <w:tc>
          <w:tcPr>
            <w:tcW w:w="3840" w:type="dxa"/>
            <w:vAlign w:val="bottom"/>
            <w:gridSpan w:val="2"/>
          </w:tcPr>
          <w:p>
            <w:pPr>
              <w:jc w:val="center"/>
              <w:ind w:right="220"/>
              <w:spacing w:after="0"/>
              <w:rPr>
                <w:sz w:val="20"/>
                <w:szCs w:val="20"/>
                <w:color w:val="auto"/>
              </w:rPr>
            </w:pPr>
            <w:r>
              <w:rPr>
                <w:rFonts w:ascii="Arial" w:cs="Arial" w:eastAsia="Arial" w:hAnsi="Arial"/>
                <w:sz w:val="18"/>
                <w:szCs w:val="18"/>
                <w:b w:val="1"/>
                <w:bCs w:val="1"/>
                <w:color w:val="auto"/>
                <w:w w:val="86"/>
              </w:rPr>
              <w:t>Title of each class</w:t>
            </w:r>
          </w:p>
        </w:tc>
        <w:tc>
          <w:tcPr>
            <w:tcW w:w="3800" w:type="dxa"/>
            <w:vAlign w:val="bottom"/>
            <w:gridSpan w:val="2"/>
          </w:tcPr>
          <w:p>
            <w:pPr>
              <w:jc w:val="center"/>
              <w:ind w:right="200"/>
              <w:spacing w:after="0"/>
              <w:rPr>
                <w:sz w:val="20"/>
                <w:szCs w:val="20"/>
                <w:color w:val="auto"/>
              </w:rPr>
            </w:pPr>
            <w:r>
              <w:rPr>
                <w:rFonts w:ascii="Arial" w:cs="Arial" w:eastAsia="Arial" w:hAnsi="Arial"/>
                <w:sz w:val="18"/>
                <w:szCs w:val="18"/>
                <w:b w:val="1"/>
                <w:bCs w:val="1"/>
                <w:color w:val="auto"/>
                <w:w w:val="91"/>
              </w:rPr>
              <w:t>Trading Symbol(s)</w:t>
            </w:r>
          </w:p>
        </w:tc>
        <w:tc>
          <w:tcPr>
            <w:tcW w:w="3600" w:type="dxa"/>
            <w:vAlign w:val="bottom"/>
          </w:tcPr>
          <w:p>
            <w:pPr>
              <w:jc w:val="center"/>
              <w:spacing w:after="0"/>
              <w:rPr>
                <w:sz w:val="20"/>
                <w:szCs w:val="20"/>
                <w:color w:val="auto"/>
              </w:rPr>
            </w:pPr>
            <w:r>
              <w:rPr>
                <w:rFonts w:ascii="Arial" w:cs="Arial" w:eastAsia="Arial" w:hAnsi="Arial"/>
                <w:sz w:val="18"/>
                <w:szCs w:val="18"/>
                <w:b w:val="1"/>
                <w:bCs w:val="1"/>
                <w:color w:val="auto"/>
                <w:w w:val="87"/>
              </w:rPr>
              <w:t>Name of each exchange on which registered</w:t>
            </w:r>
          </w:p>
        </w:tc>
      </w:tr>
      <w:tr>
        <w:trPr>
          <w:trHeight w:val="224"/>
        </w:trPr>
        <w:tc>
          <w:tcPr>
            <w:tcW w:w="3620" w:type="dxa"/>
            <w:vAlign w:val="bottom"/>
            <w:tcBorders>
              <w:top w:val="single" w:sz="8" w:color="auto"/>
            </w:tcBorders>
          </w:tcPr>
          <w:p>
            <w:pPr>
              <w:jc w:val="center"/>
              <w:spacing w:after="0"/>
              <w:rPr>
                <w:sz w:val="20"/>
                <w:szCs w:val="20"/>
                <w:color w:val="auto"/>
              </w:rPr>
            </w:pPr>
            <w:r>
              <w:rPr>
                <w:rFonts w:ascii="Arial" w:cs="Arial" w:eastAsia="Arial" w:hAnsi="Arial"/>
                <w:sz w:val="18"/>
                <w:szCs w:val="18"/>
                <w:color w:val="auto"/>
                <w:w w:val="88"/>
              </w:rPr>
              <w:t>Class A Shares</w:t>
            </w:r>
          </w:p>
        </w:tc>
        <w:tc>
          <w:tcPr>
            <w:tcW w:w="220" w:type="dxa"/>
            <w:vAlign w:val="bottom"/>
          </w:tcPr>
          <w:p>
            <w:pPr>
              <w:spacing w:after="0"/>
              <w:rPr>
                <w:sz w:val="19"/>
                <w:szCs w:val="19"/>
                <w:color w:val="auto"/>
              </w:rPr>
            </w:pPr>
          </w:p>
        </w:tc>
        <w:tc>
          <w:tcPr>
            <w:tcW w:w="3600" w:type="dxa"/>
            <w:vAlign w:val="bottom"/>
            <w:tcBorders>
              <w:top w:val="single" w:sz="8" w:color="auto"/>
            </w:tcBorders>
          </w:tcPr>
          <w:p>
            <w:pPr>
              <w:jc w:val="center"/>
              <w:spacing w:after="0"/>
              <w:rPr>
                <w:sz w:val="20"/>
                <w:szCs w:val="20"/>
                <w:color w:val="auto"/>
              </w:rPr>
            </w:pPr>
            <w:r>
              <w:rPr>
                <w:rFonts w:ascii="Arial" w:cs="Arial" w:eastAsia="Arial" w:hAnsi="Arial"/>
                <w:sz w:val="18"/>
                <w:szCs w:val="18"/>
                <w:color w:val="auto"/>
                <w:w w:val="87"/>
              </w:rPr>
              <w:t>PAGP</w:t>
            </w:r>
          </w:p>
        </w:tc>
        <w:tc>
          <w:tcPr>
            <w:tcW w:w="200" w:type="dxa"/>
            <w:vAlign w:val="bottom"/>
          </w:tcPr>
          <w:p>
            <w:pPr>
              <w:spacing w:after="0"/>
              <w:rPr>
                <w:sz w:val="19"/>
                <w:szCs w:val="19"/>
                <w:color w:val="auto"/>
              </w:rPr>
            </w:pPr>
          </w:p>
        </w:tc>
        <w:tc>
          <w:tcPr>
            <w:tcW w:w="3600" w:type="dxa"/>
            <w:vAlign w:val="bottom"/>
            <w:tcBorders>
              <w:top w:val="single" w:sz="8" w:color="auto"/>
            </w:tcBorders>
          </w:tcPr>
          <w:p>
            <w:pPr>
              <w:jc w:val="center"/>
              <w:spacing w:after="0"/>
              <w:rPr>
                <w:sz w:val="20"/>
                <w:szCs w:val="20"/>
                <w:color w:val="auto"/>
              </w:rPr>
            </w:pPr>
            <w:r>
              <w:rPr>
                <w:rFonts w:ascii="Arial" w:cs="Arial" w:eastAsia="Arial" w:hAnsi="Arial"/>
                <w:sz w:val="18"/>
                <w:szCs w:val="18"/>
                <w:color w:val="auto"/>
                <w:w w:val="91"/>
              </w:rPr>
              <w:t>New York Stock Exchange</w:t>
            </w:r>
          </w:p>
        </w:tc>
      </w:tr>
    </w:tbl>
    <w:p>
      <w:pPr>
        <w:spacing w:after="0" w:line="201" w:lineRule="exact"/>
        <w:rPr>
          <w:sz w:val="24"/>
          <w:szCs w:val="24"/>
          <w:color w:val="auto"/>
        </w:rPr>
      </w:pPr>
    </w:p>
    <w:p>
      <w:pPr>
        <w:ind w:right="280"/>
        <w:spacing w:after="0" w:line="277" w:lineRule="auto"/>
        <w:rPr>
          <w:sz w:val="20"/>
          <w:szCs w:val="20"/>
          <w:color w:val="auto"/>
        </w:rPr>
      </w:pPr>
      <w:r>
        <w:rPr>
          <w:rFonts w:ascii="Arial" w:cs="Arial" w:eastAsia="Arial" w:hAnsi="Arial"/>
          <w:sz w:val="18"/>
          <w:szCs w:val="18"/>
          <w:color w:val="auto"/>
        </w:rPr>
        <w:t>Indicate by check mark whether the registrant is an emerging growth company as defined in Rule 405 of the Securities Act of 1933 or Rule 12b-2 of the Securities Exchange Act of 1934.</w:t>
      </w:r>
    </w:p>
    <w:p>
      <w:pPr>
        <w:spacing w:after="0" w:line="138" w:lineRule="exact"/>
        <w:rPr>
          <w:sz w:val="24"/>
          <w:szCs w:val="24"/>
          <w:color w:val="auto"/>
        </w:rPr>
      </w:pPr>
    </w:p>
    <w:p>
      <w:pPr>
        <w:spacing w:after="0" w:line="207" w:lineRule="exact"/>
        <w:rPr>
          <w:sz w:val="20"/>
          <w:szCs w:val="20"/>
          <w:color w:val="auto"/>
        </w:rPr>
      </w:pPr>
      <w:r>
        <w:rPr>
          <w:rFonts w:ascii="Arial" w:cs="Arial" w:eastAsia="Arial" w:hAnsi="Arial"/>
          <w:sz w:val="18"/>
          <w:szCs w:val="18"/>
          <w:color w:val="auto"/>
        </w:rPr>
        <w:t xml:space="preserve">Emerging growth company </w:t>
      </w:r>
      <w:r>
        <w:rPr>
          <w:rFonts w:ascii="MS PGothic" w:cs="MS PGothic" w:eastAsia="MS PGothic" w:hAnsi="MS PGothic"/>
          <w:sz w:val="18"/>
          <w:szCs w:val="18"/>
          <w:color w:val="auto"/>
        </w:rPr>
        <w:t>☐</w:t>
      </w:r>
    </w:p>
    <w:p>
      <w:pPr>
        <w:spacing w:after="0" w:line="258" w:lineRule="exact"/>
        <w:rPr>
          <w:sz w:val="24"/>
          <w:szCs w:val="24"/>
          <w:color w:val="auto"/>
        </w:rPr>
      </w:pPr>
    </w:p>
    <w:p>
      <w:pPr>
        <w:ind w:right="160"/>
        <w:spacing w:after="0" w:line="233" w:lineRule="exact"/>
        <w:rPr>
          <w:sz w:val="20"/>
          <w:szCs w:val="20"/>
          <w:color w:val="auto"/>
        </w:rPr>
      </w:pPr>
      <w:r>
        <w:rPr>
          <w:rFonts w:ascii="Arial" w:cs="Arial" w:eastAsia="Arial" w:hAnsi="Arial"/>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8"/>
          <w:szCs w:val="18"/>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125095</wp:posOffset>
            </wp:positionV>
            <wp:extent cx="7132320"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142240</wp:posOffset>
            </wp:positionV>
            <wp:extent cx="7132320" cy="2540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32320" cy="2540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596265</wp:posOffset>
            </wp:positionV>
            <wp:extent cx="7132320"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783" w:right="339" w:bottom="1440" w:gutter="0" w:footer="0" w:header="0"/>
          <w:type w:val="continuous"/>
        </w:sectPr>
      </w:pPr>
    </w:p>
    <w:bookmarkStart w:id="1" w:name="page2"/>
    <w:bookmarkEnd w:id="1"/>
    <w:p>
      <w:pPr>
        <w:spacing w:after="0"/>
        <w:tabs>
          <w:tab w:leader="none" w:pos="960" w:val="left"/>
        </w:tabs>
        <w:rPr>
          <w:sz w:val="20"/>
          <w:szCs w:val="20"/>
          <w:color w:val="auto"/>
        </w:rPr>
      </w:pPr>
      <w:r>
        <w:rPr>
          <w:rFonts w:ascii="Arial" w:cs="Arial" w:eastAsia="Arial" w:hAnsi="Arial"/>
          <w:sz w:val="18"/>
          <w:szCs w:val="18"/>
          <w:b w:val="1"/>
          <w:bCs w:val="1"/>
          <w:color w:val="auto"/>
        </w:rPr>
        <w:t>Item 5.07</w:t>
      </w:r>
      <w:r>
        <w:rPr>
          <w:sz w:val="20"/>
          <w:szCs w:val="20"/>
          <w:color w:val="auto"/>
        </w:rPr>
        <w:tab/>
      </w:r>
      <w:r>
        <w:rPr>
          <w:rFonts w:ascii="Arial" w:cs="Arial" w:eastAsia="Arial" w:hAnsi="Arial"/>
          <w:sz w:val="16"/>
          <w:szCs w:val="16"/>
          <w:b w:val="1"/>
          <w:bCs w:val="1"/>
          <w:color w:val="auto"/>
        </w:rPr>
        <w:t>Submission of Matters to a Vote of Security Holders.</w:t>
      </w:r>
    </w:p>
    <w:p>
      <w:pPr>
        <w:spacing w:after="0" w:line="229" w:lineRule="exact"/>
        <w:rPr>
          <w:sz w:val="20"/>
          <w:szCs w:val="20"/>
          <w:color w:val="auto"/>
        </w:rPr>
      </w:pPr>
    </w:p>
    <w:p>
      <w:pPr>
        <w:ind w:right="140" w:firstLine="324"/>
        <w:spacing w:after="0" w:line="291" w:lineRule="auto"/>
        <w:rPr>
          <w:sz w:val="20"/>
          <w:szCs w:val="20"/>
          <w:color w:val="auto"/>
        </w:rPr>
      </w:pPr>
      <w:r>
        <w:rPr>
          <w:rFonts w:ascii="Arial" w:cs="Arial" w:eastAsia="Arial" w:hAnsi="Arial"/>
          <w:sz w:val="16"/>
          <w:szCs w:val="16"/>
          <w:color w:val="auto"/>
        </w:rPr>
        <w:t>The 2020 annual meeting of Class A, Class B and Class C shareholders (collectively, the “Shareholders”) of Plains GP Holdings, L.P. (“PAGP” or the “Partnership”) was held on May 20, 2020. At the annual meeting, the Shareholders considered, voted on and approved each of the following matters:</w:t>
      </w:r>
    </w:p>
    <w:p>
      <w:pPr>
        <w:ind w:right="20" w:firstLine="8"/>
        <w:spacing w:after="0" w:line="277" w:lineRule="auto"/>
        <w:tabs>
          <w:tab w:leader="none" w:pos="215" w:val="left"/>
        </w:tabs>
        <w:numPr>
          <w:ilvl w:val="0"/>
          <w:numId w:val="2"/>
        </w:numPr>
        <w:rPr>
          <w:rFonts w:ascii="Arial" w:cs="Arial" w:eastAsia="Arial" w:hAnsi="Arial"/>
          <w:sz w:val="17"/>
          <w:szCs w:val="17"/>
          <w:color w:val="auto"/>
        </w:rPr>
      </w:pPr>
      <w:r>
        <w:rPr>
          <w:rFonts w:ascii="Arial" w:cs="Arial" w:eastAsia="Arial" w:hAnsi="Arial"/>
          <w:sz w:val="17"/>
          <w:szCs w:val="17"/>
          <w:color w:val="auto"/>
        </w:rPr>
        <w:t>the election of two Class I directors to serve on the board of directors of PAA GP Holdings LLC until the 2023 annual meeting; (ii) the ratification of the appointment of PricewaterhouseCoopers LLP as PAGP’s and Plains All American Pipeline, L.P.’s independent registered public accounting firm for the fiscal year ending December 31, 2020; and (iii) the approval, on a non-binding advisory basis, of our named executive officer compensation.</w:t>
      </w:r>
    </w:p>
    <w:p>
      <w:pPr>
        <w:spacing w:after="0" w:line="173" w:lineRule="exact"/>
        <w:rPr>
          <w:sz w:val="20"/>
          <w:szCs w:val="20"/>
          <w:color w:val="auto"/>
        </w:rPr>
      </w:pPr>
    </w:p>
    <w:p>
      <w:pPr>
        <w:ind w:right="280" w:firstLine="324"/>
        <w:spacing w:after="0" w:line="308" w:lineRule="auto"/>
        <w:rPr>
          <w:sz w:val="20"/>
          <w:szCs w:val="20"/>
          <w:color w:val="auto"/>
        </w:rPr>
      </w:pPr>
      <w:r>
        <w:rPr>
          <w:rFonts w:ascii="Arial" w:cs="Arial" w:eastAsia="Arial" w:hAnsi="Arial"/>
          <w:sz w:val="17"/>
          <w:szCs w:val="17"/>
          <w:color w:val="auto"/>
        </w:rPr>
        <w:t>All matters presented at the PAGP annual meeting were approved; the voting results for each matter were as follows (note, for Items 1 and 3 below, which are considered non-routine matters, broker non-votes are not considered votes cast and have no impact on the outcome):</w:t>
      </w:r>
    </w:p>
    <w:p>
      <w:pPr>
        <w:spacing w:after="0" w:line="146" w:lineRule="exact"/>
        <w:rPr>
          <w:sz w:val="20"/>
          <w:szCs w:val="20"/>
          <w:color w:val="auto"/>
        </w:rPr>
      </w:pPr>
    </w:p>
    <w:p>
      <w:pPr>
        <w:ind w:left="1620" w:hanging="640"/>
        <w:spacing w:after="0"/>
        <w:tabs>
          <w:tab w:leader="none" w:pos="1620" w:val="left"/>
        </w:tabs>
        <w:numPr>
          <w:ilvl w:val="0"/>
          <w:numId w:val="3"/>
        </w:numPr>
        <w:rPr>
          <w:rFonts w:ascii="Arial" w:cs="Arial" w:eastAsia="Arial" w:hAnsi="Arial"/>
          <w:sz w:val="17"/>
          <w:szCs w:val="17"/>
          <w:color w:val="auto"/>
        </w:rPr>
      </w:pPr>
      <w:r>
        <w:rPr>
          <w:rFonts w:ascii="Arial" w:cs="Arial" w:eastAsia="Arial" w:hAnsi="Arial"/>
          <w:sz w:val="17"/>
          <w:szCs w:val="17"/>
          <w:color w:val="auto"/>
        </w:rPr>
        <w:t>The election of two Class I directors to serve on the board of directors of PAA GP Holdings LLC until the 2023 annual meeting.</w:t>
      </w:r>
    </w:p>
    <w:p>
      <w:pPr>
        <w:spacing w:after="0" w:line="246"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160" w:type="dxa"/>
            <w:vAlign w:val="bottom"/>
          </w:tcPr>
          <w:p>
            <w:pPr>
              <w:spacing w:after="0"/>
              <w:rPr>
                <w:sz w:val="20"/>
                <w:szCs w:val="20"/>
                <w:color w:val="auto"/>
              </w:rPr>
            </w:pPr>
          </w:p>
        </w:tc>
        <w:tc>
          <w:tcPr>
            <w:tcW w:w="2560" w:type="dxa"/>
            <w:vAlign w:val="bottom"/>
            <w:gridSpan w:val="2"/>
          </w:tcPr>
          <w:p>
            <w:pPr>
              <w:ind w:left="760"/>
              <w:spacing w:after="0"/>
              <w:rPr>
                <w:sz w:val="20"/>
                <w:szCs w:val="20"/>
                <w:color w:val="auto"/>
              </w:rPr>
            </w:pPr>
            <w:r>
              <w:rPr>
                <w:rFonts w:ascii="Arial" w:cs="Arial" w:eastAsia="Arial" w:hAnsi="Arial"/>
                <w:sz w:val="18"/>
                <w:szCs w:val="18"/>
                <w:b w:val="1"/>
                <w:bCs w:val="1"/>
                <w:color w:val="auto"/>
              </w:rPr>
              <w:t>Nominees</w:t>
            </w:r>
          </w:p>
        </w:tc>
        <w:tc>
          <w:tcPr>
            <w:tcW w:w="2820" w:type="dxa"/>
            <w:vAlign w:val="bottom"/>
            <w:gridSpan w:val="2"/>
          </w:tcPr>
          <w:p>
            <w:pPr>
              <w:ind w:left="1160"/>
              <w:spacing w:after="0"/>
              <w:rPr>
                <w:sz w:val="20"/>
                <w:szCs w:val="20"/>
                <w:color w:val="auto"/>
              </w:rPr>
            </w:pPr>
            <w:r>
              <w:rPr>
                <w:rFonts w:ascii="Arial" w:cs="Arial" w:eastAsia="Arial" w:hAnsi="Arial"/>
                <w:sz w:val="18"/>
                <w:szCs w:val="18"/>
                <w:b w:val="1"/>
                <w:bCs w:val="1"/>
                <w:color w:val="auto"/>
              </w:rPr>
              <w:t>For</w:t>
            </w:r>
          </w:p>
        </w:tc>
        <w:tc>
          <w:tcPr>
            <w:tcW w:w="2900" w:type="dxa"/>
            <w:vAlign w:val="bottom"/>
            <w:gridSpan w:val="2"/>
          </w:tcPr>
          <w:p>
            <w:pPr>
              <w:ind w:left="980"/>
              <w:spacing w:after="0"/>
              <w:rPr>
                <w:sz w:val="20"/>
                <w:szCs w:val="20"/>
                <w:color w:val="auto"/>
              </w:rPr>
            </w:pPr>
            <w:r>
              <w:rPr>
                <w:rFonts w:ascii="Arial" w:cs="Arial" w:eastAsia="Arial" w:hAnsi="Arial"/>
                <w:sz w:val="18"/>
                <w:szCs w:val="18"/>
                <w:b w:val="1"/>
                <w:bCs w:val="1"/>
                <w:color w:val="auto"/>
              </w:rPr>
              <w:t>Withheld</w:t>
            </w:r>
          </w:p>
        </w:tc>
        <w:tc>
          <w:tcPr>
            <w:tcW w:w="2800" w:type="dxa"/>
            <w:vAlign w:val="bottom"/>
            <w:gridSpan w:val="2"/>
          </w:tcPr>
          <w:p>
            <w:pPr>
              <w:ind w:left="660"/>
              <w:spacing w:after="0"/>
              <w:rPr>
                <w:sz w:val="20"/>
                <w:szCs w:val="20"/>
                <w:color w:val="auto"/>
              </w:rPr>
            </w:pPr>
            <w:r>
              <w:rPr>
                <w:rFonts w:ascii="Arial" w:cs="Arial" w:eastAsia="Arial" w:hAnsi="Arial"/>
                <w:sz w:val="18"/>
                <w:szCs w:val="18"/>
                <w:b w:val="1"/>
                <w:bCs w:val="1"/>
                <w:color w:val="auto"/>
              </w:rPr>
              <w:t>Broker Non-Votes</w:t>
            </w:r>
          </w:p>
        </w:tc>
      </w:tr>
      <w:tr>
        <w:trPr>
          <w:trHeight w:val="209"/>
        </w:trPr>
        <w:tc>
          <w:tcPr>
            <w:tcW w:w="1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1.</w:t>
            </w:r>
          </w:p>
        </w:tc>
        <w:tc>
          <w:tcPr>
            <w:tcW w:w="2440" w:type="dxa"/>
            <w:vAlign w:val="bottom"/>
            <w:tcBorders>
              <w:top w:val="single" w:sz="8" w:color="auto"/>
            </w:tcBorders>
            <w:shd w:val="clear" w:color="auto" w:fill="CCEEFF"/>
          </w:tcPr>
          <w:p>
            <w:pPr>
              <w:ind w:left="20"/>
              <w:spacing w:after="0"/>
              <w:rPr>
                <w:sz w:val="20"/>
                <w:szCs w:val="20"/>
                <w:color w:val="auto"/>
              </w:rPr>
            </w:pPr>
            <w:r>
              <w:rPr>
                <w:rFonts w:ascii="Arial" w:cs="Arial" w:eastAsia="Arial" w:hAnsi="Arial"/>
                <w:sz w:val="18"/>
                <w:szCs w:val="18"/>
                <w:color w:val="auto"/>
              </w:rPr>
              <w:t>Alexandra Pruner</w:t>
            </w:r>
          </w:p>
        </w:tc>
        <w:tc>
          <w:tcPr>
            <w:tcW w:w="120" w:type="dxa"/>
            <w:vAlign w:val="bottom"/>
            <w:tcBorders>
              <w:top w:val="single" w:sz="8" w:color="CCEEFF"/>
            </w:tcBorders>
            <w:shd w:val="clear" w:color="auto" w:fill="CCEEFF"/>
          </w:tcPr>
          <w:p>
            <w:pPr>
              <w:spacing w:after="0"/>
              <w:rPr>
                <w:sz w:val="18"/>
                <w:szCs w:val="18"/>
                <w:color w:val="auto"/>
              </w:rPr>
            </w:pPr>
          </w:p>
        </w:tc>
        <w:tc>
          <w:tcPr>
            <w:tcW w:w="2600" w:type="dxa"/>
            <w:vAlign w:val="bottom"/>
            <w:tcBorders>
              <w:top w:val="single" w:sz="8" w:color="auto"/>
            </w:tcBorders>
            <w:shd w:val="clear" w:color="auto" w:fill="CCEEFF"/>
          </w:tcPr>
          <w:p>
            <w:pPr>
              <w:jc w:val="right"/>
              <w:ind w:right="690"/>
              <w:spacing w:after="0"/>
              <w:rPr>
                <w:sz w:val="20"/>
                <w:szCs w:val="20"/>
                <w:color w:val="auto"/>
              </w:rPr>
            </w:pPr>
            <w:r>
              <w:rPr>
                <w:rFonts w:ascii="Arial" w:cs="Arial" w:eastAsia="Arial" w:hAnsi="Arial"/>
                <w:sz w:val="18"/>
                <w:szCs w:val="18"/>
                <w:color w:val="auto"/>
              </w:rPr>
              <w:t>541,647,499</w:t>
            </w:r>
          </w:p>
        </w:tc>
        <w:tc>
          <w:tcPr>
            <w:tcW w:w="220" w:type="dxa"/>
            <w:vAlign w:val="bottom"/>
            <w:tcBorders>
              <w:top w:val="single" w:sz="8" w:color="CCEEFF"/>
            </w:tcBorders>
            <w:shd w:val="clear" w:color="auto" w:fill="CCEEFF"/>
          </w:tcPr>
          <w:p>
            <w:pPr>
              <w:spacing w:after="0"/>
              <w:rPr>
                <w:sz w:val="18"/>
                <w:szCs w:val="18"/>
                <w:color w:val="auto"/>
              </w:rPr>
            </w:pPr>
          </w:p>
        </w:tc>
        <w:tc>
          <w:tcPr>
            <w:tcW w:w="2680" w:type="dxa"/>
            <w:vAlign w:val="bottom"/>
            <w:tcBorders>
              <w:top w:val="single" w:sz="8" w:color="auto"/>
            </w:tcBorders>
            <w:shd w:val="clear" w:color="auto" w:fill="CCEEFF"/>
          </w:tcPr>
          <w:p>
            <w:pPr>
              <w:ind w:left="1000"/>
              <w:spacing w:after="0"/>
              <w:rPr>
                <w:sz w:val="20"/>
                <w:szCs w:val="20"/>
                <w:color w:val="auto"/>
              </w:rPr>
            </w:pPr>
            <w:r>
              <w:rPr>
                <w:rFonts w:ascii="Arial" w:cs="Arial" w:eastAsia="Arial" w:hAnsi="Arial"/>
                <w:sz w:val="18"/>
                <w:szCs w:val="18"/>
                <w:color w:val="auto"/>
              </w:rPr>
              <w:t>16,714,356</w:t>
            </w:r>
          </w:p>
        </w:tc>
        <w:tc>
          <w:tcPr>
            <w:tcW w:w="220" w:type="dxa"/>
            <w:vAlign w:val="bottom"/>
            <w:tcBorders>
              <w:top w:val="single" w:sz="8" w:color="CCEEFF"/>
            </w:tcBorders>
            <w:shd w:val="clear" w:color="auto" w:fill="CCEEFF"/>
          </w:tcPr>
          <w:p>
            <w:pPr>
              <w:spacing w:after="0"/>
              <w:rPr>
                <w:sz w:val="18"/>
                <w:szCs w:val="18"/>
                <w:color w:val="auto"/>
              </w:rPr>
            </w:pPr>
          </w:p>
        </w:tc>
        <w:tc>
          <w:tcPr>
            <w:tcW w:w="2700" w:type="dxa"/>
            <w:vAlign w:val="bottom"/>
            <w:tcBorders>
              <w:top w:val="single" w:sz="8" w:color="auto"/>
            </w:tcBorders>
            <w:shd w:val="clear" w:color="auto" w:fill="CCEEFF"/>
          </w:tcPr>
          <w:p>
            <w:pPr>
              <w:jc w:val="right"/>
              <w:ind w:right="750"/>
              <w:spacing w:after="0"/>
              <w:rPr>
                <w:sz w:val="20"/>
                <w:szCs w:val="20"/>
                <w:color w:val="auto"/>
              </w:rPr>
            </w:pPr>
            <w:r>
              <w:rPr>
                <w:rFonts w:ascii="Arial" w:cs="Arial" w:eastAsia="Arial" w:hAnsi="Arial"/>
                <w:sz w:val="18"/>
                <w:szCs w:val="18"/>
                <w:color w:val="auto"/>
              </w:rPr>
              <w:t>135,989,093</w:t>
            </w:r>
          </w:p>
        </w:tc>
        <w:tc>
          <w:tcPr>
            <w:tcW w:w="100" w:type="dxa"/>
            <w:vAlign w:val="bottom"/>
            <w:tcBorders>
              <w:top w:val="single" w:sz="8" w:color="CCEEFF"/>
            </w:tcBorders>
            <w:shd w:val="clear" w:color="auto" w:fill="CCEEFF"/>
          </w:tcPr>
          <w:p>
            <w:pPr>
              <w:spacing w:after="0"/>
              <w:rPr>
                <w:sz w:val="18"/>
                <w:szCs w:val="18"/>
                <w:color w:val="auto"/>
              </w:rPr>
            </w:pPr>
          </w:p>
        </w:tc>
      </w:tr>
      <w:tr>
        <w:trPr>
          <w:trHeight w:val="230"/>
        </w:trPr>
        <w:tc>
          <w:tcPr>
            <w:tcW w:w="160" w:type="dxa"/>
            <w:vAlign w:val="bottom"/>
          </w:tcPr>
          <w:p>
            <w:pPr>
              <w:jc w:val="right"/>
              <w:spacing w:after="0"/>
              <w:rPr>
                <w:sz w:val="20"/>
                <w:szCs w:val="20"/>
                <w:color w:val="auto"/>
              </w:rPr>
            </w:pPr>
            <w:r>
              <w:rPr>
                <w:rFonts w:ascii="Arial" w:cs="Arial" w:eastAsia="Arial" w:hAnsi="Arial"/>
                <w:sz w:val="18"/>
                <w:szCs w:val="18"/>
                <w:color w:val="auto"/>
                <w:w w:val="79"/>
              </w:rPr>
              <w:t>2.</w:t>
            </w:r>
          </w:p>
        </w:tc>
        <w:tc>
          <w:tcPr>
            <w:tcW w:w="2560" w:type="dxa"/>
            <w:vAlign w:val="bottom"/>
            <w:gridSpan w:val="2"/>
          </w:tcPr>
          <w:p>
            <w:pPr>
              <w:ind w:left="20"/>
              <w:spacing w:after="0"/>
              <w:rPr>
                <w:sz w:val="20"/>
                <w:szCs w:val="20"/>
                <w:color w:val="auto"/>
              </w:rPr>
            </w:pPr>
            <w:r>
              <w:rPr>
                <w:rFonts w:ascii="Arial" w:cs="Arial" w:eastAsia="Arial" w:hAnsi="Arial"/>
                <w:sz w:val="18"/>
                <w:szCs w:val="18"/>
                <w:color w:val="auto"/>
              </w:rPr>
              <w:t>Lawrence Ziemba</w:t>
            </w:r>
          </w:p>
        </w:tc>
        <w:tc>
          <w:tcPr>
            <w:tcW w:w="2600" w:type="dxa"/>
            <w:vAlign w:val="bottom"/>
          </w:tcPr>
          <w:p>
            <w:pPr>
              <w:jc w:val="right"/>
              <w:ind w:right="690"/>
              <w:spacing w:after="0"/>
              <w:rPr>
                <w:sz w:val="20"/>
                <w:szCs w:val="20"/>
                <w:color w:val="auto"/>
              </w:rPr>
            </w:pPr>
            <w:r>
              <w:rPr>
                <w:rFonts w:ascii="Arial" w:cs="Arial" w:eastAsia="Arial" w:hAnsi="Arial"/>
                <w:sz w:val="18"/>
                <w:szCs w:val="18"/>
                <w:color w:val="auto"/>
              </w:rPr>
              <w:t>546,465,302</w:t>
            </w:r>
          </w:p>
        </w:tc>
        <w:tc>
          <w:tcPr>
            <w:tcW w:w="220" w:type="dxa"/>
            <w:vAlign w:val="bottom"/>
          </w:tcPr>
          <w:p>
            <w:pPr>
              <w:spacing w:after="0"/>
              <w:rPr>
                <w:sz w:val="20"/>
                <w:szCs w:val="20"/>
                <w:color w:val="auto"/>
              </w:rPr>
            </w:pPr>
          </w:p>
        </w:tc>
        <w:tc>
          <w:tcPr>
            <w:tcW w:w="2680" w:type="dxa"/>
            <w:vAlign w:val="bottom"/>
          </w:tcPr>
          <w:p>
            <w:pPr>
              <w:ind w:left="1000"/>
              <w:spacing w:after="0"/>
              <w:rPr>
                <w:sz w:val="20"/>
                <w:szCs w:val="20"/>
                <w:color w:val="auto"/>
              </w:rPr>
            </w:pPr>
            <w:r>
              <w:rPr>
                <w:rFonts w:ascii="Arial" w:cs="Arial" w:eastAsia="Arial" w:hAnsi="Arial"/>
                <w:sz w:val="18"/>
                <w:szCs w:val="18"/>
                <w:color w:val="auto"/>
              </w:rPr>
              <w:t>11,896,553</w:t>
            </w:r>
          </w:p>
        </w:tc>
        <w:tc>
          <w:tcPr>
            <w:tcW w:w="220" w:type="dxa"/>
            <w:vAlign w:val="bottom"/>
          </w:tcPr>
          <w:p>
            <w:pPr>
              <w:spacing w:after="0"/>
              <w:rPr>
                <w:sz w:val="20"/>
                <w:szCs w:val="20"/>
                <w:color w:val="auto"/>
              </w:rPr>
            </w:pPr>
          </w:p>
        </w:tc>
        <w:tc>
          <w:tcPr>
            <w:tcW w:w="2700" w:type="dxa"/>
            <w:vAlign w:val="bottom"/>
          </w:tcPr>
          <w:p>
            <w:pPr>
              <w:jc w:val="right"/>
              <w:ind w:right="750"/>
              <w:spacing w:after="0"/>
              <w:rPr>
                <w:sz w:val="20"/>
                <w:szCs w:val="20"/>
                <w:color w:val="auto"/>
              </w:rPr>
            </w:pPr>
            <w:r>
              <w:rPr>
                <w:rFonts w:ascii="Arial" w:cs="Arial" w:eastAsia="Arial" w:hAnsi="Arial"/>
                <w:sz w:val="18"/>
                <w:szCs w:val="18"/>
                <w:color w:val="auto"/>
              </w:rPr>
              <w:t>135,989,093</w:t>
            </w:r>
          </w:p>
        </w:tc>
        <w:tc>
          <w:tcPr>
            <w:tcW w:w="100" w:type="dxa"/>
            <w:vAlign w:val="bottom"/>
          </w:tcPr>
          <w:p>
            <w:pPr>
              <w:spacing w:after="0"/>
              <w:rPr>
                <w:sz w:val="20"/>
                <w:szCs w:val="20"/>
                <w:color w:val="auto"/>
              </w:rPr>
            </w:pPr>
          </w:p>
        </w:tc>
      </w:tr>
    </w:tbl>
    <w:p>
      <w:pPr>
        <w:spacing w:after="0" w:line="187" w:lineRule="exact"/>
        <w:rPr>
          <w:sz w:val="20"/>
          <w:szCs w:val="20"/>
          <w:color w:val="auto"/>
        </w:rPr>
      </w:pPr>
    </w:p>
    <w:p>
      <w:pPr>
        <w:ind w:left="1620" w:hanging="640"/>
        <w:spacing w:after="0" w:line="277" w:lineRule="auto"/>
        <w:tabs>
          <w:tab w:leader="none" w:pos="1620" w:val="left"/>
        </w:tabs>
        <w:numPr>
          <w:ilvl w:val="0"/>
          <w:numId w:val="4"/>
        </w:numPr>
        <w:rPr>
          <w:rFonts w:ascii="Arial" w:cs="Arial" w:eastAsia="Arial" w:hAnsi="Arial"/>
          <w:sz w:val="18"/>
          <w:szCs w:val="18"/>
          <w:color w:val="auto"/>
        </w:rPr>
      </w:pPr>
      <w:r>
        <w:rPr>
          <w:rFonts w:ascii="Arial" w:cs="Arial" w:eastAsia="Arial" w:hAnsi="Arial"/>
          <w:sz w:val="18"/>
          <w:szCs w:val="18"/>
          <w:color w:val="auto"/>
        </w:rPr>
        <w:t>The ratification of the appointment of PricewaterhouseCoopers LLP as PAGP’s and Plains All American Pipeline, L.P.’s independent registered public accounting firm for the fiscal year ending December 31, 2020.</w:t>
      </w:r>
    </w:p>
    <w:p>
      <w:pPr>
        <w:spacing w:after="0" w:line="180"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2960" w:type="dxa"/>
            <w:vAlign w:val="bottom"/>
            <w:gridSpan w:val="2"/>
          </w:tcPr>
          <w:p>
            <w:pPr>
              <w:ind w:left="1220"/>
              <w:spacing w:after="0"/>
              <w:rPr>
                <w:sz w:val="20"/>
                <w:szCs w:val="20"/>
                <w:color w:val="auto"/>
              </w:rPr>
            </w:pPr>
            <w:r>
              <w:rPr>
                <w:rFonts w:ascii="Arial" w:cs="Arial" w:eastAsia="Arial" w:hAnsi="Arial"/>
                <w:sz w:val="18"/>
                <w:szCs w:val="18"/>
                <w:b w:val="1"/>
                <w:bCs w:val="1"/>
                <w:color w:val="auto"/>
              </w:rPr>
              <w:t>For</w:t>
            </w:r>
          </w:p>
        </w:tc>
        <w:tc>
          <w:tcPr>
            <w:tcW w:w="2800" w:type="dxa"/>
            <w:vAlign w:val="bottom"/>
            <w:gridSpan w:val="2"/>
          </w:tcPr>
          <w:p>
            <w:pPr>
              <w:ind w:left="1000"/>
              <w:spacing w:after="0"/>
              <w:rPr>
                <w:sz w:val="20"/>
                <w:szCs w:val="20"/>
                <w:color w:val="auto"/>
              </w:rPr>
            </w:pPr>
            <w:r>
              <w:rPr>
                <w:rFonts w:ascii="Arial" w:cs="Arial" w:eastAsia="Arial" w:hAnsi="Arial"/>
                <w:sz w:val="18"/>
                <w:szCs w:val="18"/>
                <w:b w:val="1"/>
                <w:bCs w:val="1"/>
                <w:color w:val="auto"/>
              </w:rPr>
              <w:t>Against</w:t>
            </w:r>
          </w:p>
        </w:tc>
        <w:tc>
          <w:tcPr>
            <w:tcW w:w="2800" w:type="dxa"/>
            <w:vAlign w:val="bottom"/>
            <w:gridSpan w:val="2"/>
          </w:tcPr>
          <w:p>
            <w:pPr>
              <w:ind w:left="900"/>
              <w:spacing w:after="0"/>
              <w:rPr>
                <w:sz w:val="20"/>
                <w:szCs w:val="20"/>
                <w:color w:val="auto"/>
              </w:rPr>
            </w:pPr>
            <w:r>
              <w:rPr>
                <w:rFonts w:ascii="Arial" w:cs="Arial" w:eastAsia="Arial" w:hAnsi="Arial"/>
                <w:sz w:val="18"/>
                <w:szCs w:val="18"/>
                <w:b w:val="1"/>
                <w:bCs w:val="1"/>
                <w:color w:val="auto"/>
              </w:rPr>
              <w:t>Abstained</w:t>
            </w:r>
          </w:p>
        </w:tc>
        <w:tc>
          <w:tcPr>
            <w:tcW w:w="2680" w:type="dxa"/>
            <w:vAlign w:val="bottom"/>
            <w:gridSpan w:val="2"/>
          </w:tcPr>
          <w:p>
            <w:pPr>
              <w:ind w:left="600"/>
              <w:spacing w:after="0"/>
              <w:rPr>
                <w:sz w:val="20"/>
                <w:szCs w:val="20"/>
                <w:color w:val="auto"/>
              </w:rPr>
            </w:pPr>
            <w:r>
              <w:rPr>
                <w:rFonts w:ascii="Arial" w:cs="Arial" w:eastAsia="Arial" w:hAnsi="Arial"/>
                <w:sz w:val="18"/>
                <w:szCs w:val="18"/>
                <w:b w:val="1"/>
                <w:bCs w:val="1"/>
                <w:color w:val="auto"/>
              </w:rPr>
              <w:t>Broker Non-Votes</w:t>
            </w:r>
          </w:p>
        </w:tc>
      </w:tr>
      <w:tr>
        <w:trPr>
          <w:trHeight w:val="210"/>
        </w:trPr>
        <w:tc>
          <w:tcPr>
            <w:tcW w:w="2720" w:type="dxa"/>
            <w:vAlign w:val="bottom"/>
            <w:tcBorders>
              <w:top w:val="single" w:sz="8" w:color="auto"/>
            </w:tcBorders>
            <w:shd w:val="clear" w:color="auto" w:fill="CCEEFF"/>
          </w:tcPr>
          <w:p>
            <w:pPr>
              <w:jc w:val="right"/>
              <w:ind w:right="750"/>
              <w:spacing w:after="0"/>
              <w:rPr>
                <w:sz w:val="20"/>
                <w:szCs w:val="20"/>
                <w:color w:val="auto"/>
              </w:rPr>
            </w:pPr>
            <w:r>
              <w:rPr>
                <w:rFonts w:ascii="Arial" w:cs="Arial" w:eastAsia="Arial" w:hAnsi="Arial"/>
                <w:sz w:val="18"/>
                <w:szCs w:val="18"/>
                <w:color w:val="auto"/>
              </w:rPr>
              <w:t>662,665,162</w:t>
            </w:r>
          </w:p>
        </w:tc>
        <w:tc>
          <w:tcPr>
            <w:tcW w:w="240" w:type="dxa"/>
            <w:vAlign w:val="bottom"/>
            <w:tcBorders>
              <w:top w:val="single" w:sz="8" w:color="CCEEFF"/>
            </w:tcBorders>
            <w:shd w:val="clear" w:color="auto" w:fill="CCEEFF"/>
          </w:tcPr>
          <w:p>
            <w:pPr>
              <w:spacing w:after="0"/>
              <w:rPr>
                <w:sz w:val="18"/>
                <w:szCs w:val="18"/>
                <w:color w:val="auto"/>
              </w:rPr>
            </w:pPr>
          </w:p>
        </w:tc>
        <w:tc>
          <w:tcPr>
            <w:tcW w:w="2580" w:type="dxa"/>
            <w:vAlign w:val="bottom"/>
            <w:tcBorders>
              <w:top w:val="single" w:sz="8" w:color="auto"/>
            </w:tcBorders>
            <w:shd w:val="clear" w:color="auto" w:fill="CCEEFF"/>
          </w:tcPr>
          <w:p>
            <w:pPr>
              <w:jc w:val="right"/>
              <w:ind w:right="730"/>
              <w:spacing w:after="0"/>
              <w:rPr>
                <w:sz w:val="20"/>
                <w:szCs w:val="20"/>
                <w:color w:val="auto"/>
              </w:rPr>
            </w:pPr>
            <w:r>
              <w:rPr>
                <w:rFonts w:ascii="Arial" w:cs="Arial" w:eastAsia="Arial" w:hAnsi="Arial"/>
                <w:sz w:val="18"/>
                <w:szCs w:val="18"/>
                <w:color w:val="auto"/>
              </w:rPr>
              <w:t>29,478,237</w:t>
            </w:r>
          </w:p>
        </w:tc>
        <w:tc>
          <w:tcPr>
            <w:tcW w:w="220" w:type="dxa"/>
            <w:vAlign w:val="bottom"/>
            <w:tcBorders>
              <w:top w:val="single" w:sz="8" w:color="CCEEFF"/>
            </w:tcBorders>
            <w:shd w:val="clear" w:color="auto" w:fill="CCEEFF"/>
          </w:tcPr>
          <w:p>
            <w:pPr>
              <w:spacing w:after="0"/>
              <w:rPr>
                <w:sz w:val="18"/>
                <w:szCs w:val="18"/>
                <w:color w:val="auto"/>
              </w:rPr>
            </w:pPr>
          </w:p>
        </w:tc>
        <w:tc>
          <w:tcPr>
            <w:tcW w:w="2580" w:type="dxa"/>
            <w:vAlign w:val="bottom"/>
            <w:tcBorders>
              <w:top w:val="single" w:sz="8" w:color="auto"/>
            </w:tcBorders>
            <w:shd w:val="clear" w:color="auto" w:fill="CCEEFF"/>
          </w:tcPr>
          <w:p>
            <w:pPr>
              <w:jc w:val="right"/>
              <w:ind w:right="790"/>
              <w:spacing w:after="0"/>
              <w:rPr>
                <w:sz w:val="20"/>
                <w:szCs w:val="20"/>
                <w:color w:val="auto"/>
              </w:rPr>
            </w:pPr>
            <w:r>
              <w:rPr>
                <w:rFonts w:ascii="Arial" w:cs="Arial" w:eastAsia="Arial" w:hAnsi="Arial"/>
                <w:sz w:val="18"/>
                <w:szCs w:val="18"/>
                <w:color w:val="auto"/>
              </w:rPr>
              <w:t>2,207,549</w:t>
            </w:r>
          </w:p>
        </w:tc>
        <w:tc>
          <w:tcPr>
            <w:tcW w:w="220" w:type="dxa"/>
            <w:vAlign w:val="bottom"/>
            <w:tcBorders>
              <w:top w:val="single" w:sz="8" w:color="CCEEFF"/>
            </w:tcBorders>
            <w:shd w:val="clear" w:color="auto" w:fill="CCEEFF"/>
          </w:tcPr>
          <w:p>
            <w:pPr>
              <w:spacing w:after="0"/>
              <w:rPr>
                <w:sz w:val="18"/>
                <w:szCs w:val="18"/>
                <w:color w:val="auto"/>
              </w:rPr>
            </w:pPr>
          </w:p>
        </w:tc>
        <w:tc>
          <w:tcPr>
            <w:tcW w:w="2580" w:type="dxa"/>
            <w:vAlign w:val="bottom"/>
            <w:tcBorders>
              <w:top w:val="single" w:sz="8" w:color="auto"/>
            </w:tcBorders>
            <w:shd w:val="clear" w:color="auto" w:fill="CCEEFF"/>
          </w:tcPr>
          <w:p>
            <w:pPr>
              <w:jc w:val="right"/>
              <w:ind w:right="1050"/>
              <w:spacing w:after="0"/>
              <w:rPr>
                <w:sz w:val="20"/>
                <w:szCs w:val="20"/>
                <w:color w:val="auto"/>
              </w:rPr>
            </w:pPr>
            <w:r>
              <w:rPr>
                <w:rFonts w:ascii="Arial" w:cs="Arial" w:eastAsia="Arial" w:hAnsi="Arial"/>
                <w:sz w:val="18"/>
                <w:szCs w:val="18"/>
                <w:color w:val="auto"/>
              </w:rPr>
              <w:t>-0-</w:t>
            </w:r>
          </w:p>
        </w:tc>
        <w:tc>
          <w:tcPr>
            <w:tcW w:w="100" w:type="dxa"/>
            <w:vAlign w:val="bottom"/>
            <w:tcBorders>
              <w:top w:val="single" w:sz="8" w:color="CCEEFF"/>
            </w:tcBorders>
            <w:shd w:val="clear" w:color="auto" w:fill="CCEEFF"/>
          </w:tcPr>
          <w:p>
            <w:pPr>
              <w:spacing w:after="0"/>
              <w:rPr>
                <w:sz w:val="18"/>
                <w:szCs w:val="18"/>
                <w:color w:val="auto"/>
              </w:rPr>
            </w:pPr>
          </w:p>
        </w:tc>
      </w:tr>
    </w:tbl>
    <w:p>
      <w:pPr>
        <w:spacing w:after="0" w:line="202" w:lineRule="exact"/>
        <w:rPr>
          <w:sz w:val="20"/>
          <w:szCs w:val="20"/>
          <w:color w:val="auto"/>
        </w:rPr>
      </w:pPr>
    </w:p>
    <w:p>
      <w:pPr>
        <w:ind w:left="1620" w:hanging="640"/>
        <w:spacing w:after="0"/>
        <w:tabs>
          <w:tab w:leader="none" w:pos="1620" w:val="left"/>
        </w:tabs>
        <w:numPr>
          <w:ilvl w:val="0"/>
          <w:numId w:val="5"/>
        </w:numPr>
        <w:rPr>
          <w:rFonts w:ascii="Arial" w:cs="Arial" w:eastAsia="Arial" w:hAnsi="Arial"/>
          <w:sz w:val="18"/>
          <w:szCs w:val="18"/>
          <w:color w:val="auto"/>
        </w:rPr>
      </w:pPr>
      <w:r>
        <w:rPr>
          <w:rFonts w:ascii="Arial" w:cs="Arial" w:eastAsia="Arial" w:hAnsi="Arial"/>
          <w:sz w:val="18"/>
          <w:szCs w:val="18"/>
          <w:color w:val="auto"/>
        </w:rPr>
        <w:t>The approval, on a non-binding advisory basis, of our named executive officer compensation.</w:t>
      </w:r>
    </w:p>
    <w:p>
      <w:pPr>
        <w:spacing w:after="0" w:line="235"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2960" w:type="dxa"/>
            <w:vAlign w:val="bottom"/>
            <w:gridSpan w:val="2"/>
          </w:tcPr>
          <w:p>
            <w:pPr>
              <w:ind w:left="1220"/>
              <w:spacing w:after="0"/>
              <w:rPr>
                <w:sz w:val="20"/>
                <w:szCs w:val="20"/>
                <w:color w:val="auto"/>
              </w:rPr>
            </w:pPr>
            <w:r>
              <w:rPr>
                <w:rFonts w:ascii="Arial" w:cs="Arial" w:eastAsia="Arial" w:hAnsi="Arial"/>
                <w:sz w:val="18"/>
                <w:szCs w:val="18"/>
                <w:b w:val="1"/>
                <w:bCs w:val="1"/>
                <w:color w:val="auto"/>
              </w:rPr>
              <w:t>For</w:t>
            </w:r>
          </w:p>
        </w:tc>
        <w:tc>
          <w:tcPr>
            <w:tcW w:w="2800" w:type="dxa"/>
            <w:vAlign w:val="bottom"/>
            <w:gridSpan w:val="2"/>
          </w:tcPr>
          <w:p>
            <w:pPr>
              <w:ind w:left="1000"/>
              <w:spacing w:after="0"/>
              <w:rPr>
                <w:sz w:val="20"/>
                <w:szCs w:val="20"/>
                <w:color w:val="auto"/>
              </w:rPr>
            </w:pPr>
            <w:r>
              <w:rPr>
                <w:rFonts w:ascii="Arial" w:cs="Arial" w:eastAsia="Arial" w:hAnsi="Arial"/>
                <w:sz w:val="18"/>
                <w:szCs w:val="18"/>
                <w:b w:val="1"/>
                <w:bCs w:val="1"/>
                <w:color w:val="auto"/>
              </w:rPr>
              <w:t>Against</w:t>
            </w:r>
          </w:p>
        </w:tc>
        <w:tc>
          <w:tcPr>
            <w:tcW w:w="2800" w:type="dxa"/>
            <w:vAlign w:val="bottom"/>
            <w:gridSpan w:val="2"/>
          </w:tcPr>
          <w:p>
            <w:pPr>
              <w:ind w:left="900"/>
              <w:spacing w:after="0"/>
              <w:rPr>
                <w:sz w:val="20"/>
                <w:szCs w:val="20"/>
                <w:color w:val="auto"/>
              </w:rPr>
            </w:pPr>
            <w:r>
              <w:rPr>
                <w:rFonts w:ascii="Arial" w:cs="Arial" w:eastAsia="Arial" w:hAnsi="Arial"/>
                <w:sz w:val="18"/>
                <w:szCs w:val="18"/>
                <w:b w:val="1"/>
                <w:bCs w:val="1"/>
                <w:color w:val="auto"/>
              </w:rPr>
              <w:t>Abstained</w:t>
            </w:r>
          </w:p>
        </w:tc>
        <w:tc>
          <w:tcPr>
            <w:tcW w:w="2680" w:type="dxa"/>
            <w:vAlign w:val="bottom"/>
            <w:gridSpan w:val="2"/>
          </w:tcPr>
          <w:p>
            <w:pPr>
              <w:ind w:left="600"/>
              <w:spacing w:after="0"/>
              <w:rPr>
                <w:sz w:val="20"/>
                <w:szCs w:val="20"/>
                <w:color w:val="auto"/>
              </w:rPr>
            </w:pPr>
            <w:r>
              <w:rPr>
                <w:rFonts w:ascii="Arial" w:cs="Arial" w:eastAsia="Arial" w:hAnsi="Arial"/>
                <w:sz w:val="18"/>
                <w:szCs w:val="18"/>
                <w:b w:val="1"/>
                <w:bCs w:val="1"/>
                <w:color w:val="auto"/>
              </w:rPr>
              <w:t>Broker Non-Votes</w:t>
            </w:r>
          </w:p>
        </w:tc>
      </w:tr>
      <w:tr>
        <w:trPr>
          <w:trHeight w:val="210"/>
        </w:trPr>
        <w:tc>
          <w:tcPr>
            <w:tcW w:w="2720" w:type="dxa"/>
            <w:vAlign w:val="bottom"/>
            <w:tcBorders>
              <w:top w:val="single" w:sz="8" w:color="auto"/>
            </w:tcBorders>
            <w:shd w:val="clear" w:color="auto" w:fill="CCEEFF"/>
          </w:tcPr>
          <w:p>
            <w:pPr>
              <w:jc w:val="right"/>
              <w:ind w:right="750"/>
              <w:spacing w:after="0"/>
              <w:rPr>
                <w:sz w:val="20"/>
                <w:szCs w:val="20"/>
                <w:color w:val="auto"/>
              </w:rPr>
            </w:pPr>
            <w:r>
              <w:rPr>
                <w:rFonts w:ascii="Arial" w:cs="Arial" w:eastAsia="Arial" w:hAnsi="Arial"/>
                <w:sz w:val="18"/>
                <w:szCs w:val="18"/>
                <w:color w:val="auto"/>
              </w:rPr>
              <w:t>322,220,368</w:t>
            </w:r>
          </w:p>
        </w:tc>
        <w:tc>
          <w:tcPr>
            <w:tcW w:w="240" w:type="dxa"/>
            <w:vAlign w:val="bottom"/>
            <w:tcBorders>
              <w:top w:val="single" w:sz="8" w:color="CCEEFF"/>
            </w:tcBorders>
            <w:shd w:val="clear" w:color="auto" w:fill="CCEEFF"/>
          </w:tcPr>
          <w:p>
            <w:pPr>
              <w:spacing w:after="0"/>
              <w:rPr>
                <w:sz w:val="18"/>
                <w:szCs w:val="18"/>
                <w:color w:val="auto"/>
              </w:rPr>
            </w:pPr>
          </w:p>
        </w:tc>
        <w:tc>
          <w:tcPr>
            <w:tcW w:w="2580" w:type="dxa"/>
            <w:vAlign w:val="bottom"/>
            <w:tcBorders>
              <w:top w:val="single" w:sz="8" w:color="auto"/>
            </w:tcBorders>
            <w:shd w:val="clear" w:color="auto" w:fill="CCEEFF"/>
          </w:tcPr>
          <w:p>
            <w:pPr>
              <w:jc w:val="right"/>
              <w:ind w:right="690"/>
              <w:spacing w:after="0"/>
              <w:rPr>
                <w:sz w:val="20"/>
                <w:szCs w:val="20"/>
                <w:color w:val="auto"/>
              </w:rPr>
            </w:pPr>
            <w:r>
              <w:rPr>
                <w:rFonts w:ascii="Arial" w:cs="Arial" w:eastAsia="Arial" w:hAnsi="Arial"/>
                <w:sz w:val="18"/>
                <w:szCs w:val="18"/>
                <w:color w:val="auto"/>
              </w:rPr>
              <w:t>228,010,658</w:t>
            </w:r>
          </w:p>
        </w:tc>
        <w:tc>
          <w:tcPr>
            <w:tcW w:w="220" w:type="dxa"/>
            <w:vAlign w:val="bottom"/>
            <w:tcBorders>
              <w:top w:val="single" w:sz="8" w:color="CCEEFF"/>
            </w:tcBorders>
            <w:shd w:val="clear" w:color="auto" w:fill="CCEEFF"/>
          </w:tcPr>
          <w:p>
            <w:pPr>
              <w:spacing w:after="0"/>
              <w:rPr>
                <w:sz w:val="18"/>
                <w:szCs w:val="18"/>
                <w:color w:val="auto"/>
              </w:rPr>
            </w:pPr>
          </w:p>
        </w:tc>
        <w:tc>
          <w:tcPr>
            <w:tcW w:w="2580" w:type="dxa"/>
            <w:vAlign w:val="bottom"/>
            <w:tcBorders>
              <w:top w:val="single" w:sz="8" w:color="auto"/>
            </w:tcBorders>
            <w:shd w:val="clear" w:color="auto" w:fill="CCEEFF"/>
          </w:tcPr>
          <w:p>
            <w:pPr>
              <w:jc w:val="right"/>
              <w:ind w:right="790"/>
              <w:spacing w:after="0"/>
              <w:rPr>
                <w:sz w:val="20"/>
                <w:szCs w:val="20"/>
                <w:color w:val="auto"/>
              </w:rPr>
            </w:pPr>
            <w:r>
              <w:rPr>
                <w:rFonts w:ascii="Arial" w:cs="Arial" w:eastAsia="Arial" w:hAnsi="Arial"/>
                <w:sz w:val="18"/>
                <w:szCs w:val="18"/>
                <w:color w:val="auto"/>
              </w:rPr>
              <w:t>8,130,829</w:t>
            </w:r>
          </w:p>
        </w:tc>
        <w:tc>
          <w:tcPr>
            <w:tcW w:w="220" w:type="dxa"/>
            <w:vAlign w:val="bottom"/>
            <w:tcBorders>
              <w:top w:val="single" w:sz="8" w:color="CCEEFF"/>
            </w:tcBorders>
            <w:shd w:val="clear" w:color="auto" w:fill="CCEEFF"/>
          </w:tcPr>
          <w:p>
            <w:pPr>
              <w:spacing w:after="0"/>
              <w:rPr>
                <w:sz w:val="18"/>
                <w:szCs w:val="18"/>
                <w:color w:val="auto"/>
              </w:rPr>
            </w:pPr>
          </w:p>
        </w:tc>
        <w:tc>
          <w:tcPr>
            <w:tcW w:w="2580" w:type="dxa"/>
            <w:vAlign w:val="bottom"/>
            <w:tcBorders>
              <w:top w:val="single" w:sz="8" w:color="auto"/>
            </w:tcBorders>
            <w:shd w:val="clear" w:color="auto" w:fill="CCEEFF"/>
          </w:tcPr>
          <w:p>
            <w:pPr>
              <w:jc w:val="right"/>
              <w:ind w:right="710"/>
              <w:spacing w:after="0"/>
              <w:rPr>
                <w:sz w:val="20"/>
                <w:szCs w:val="20"/>
                <w:color w:val="auto"/>
              </w:rPr>
            </w:pPr>
            <w:r>
              <w:rPr>
                <w:rFonts w:ascii="Arial" w:cs="Arial" w:eastAsia="Arial" w:hAnsi="Arial"/>
                <w:sz w:val="18"/>
                <w:szCs w:val="18"/>
                <w:color w:val="auto"/>
              </w:rPr>
              <w:t>135,989,093</w:t>
            </w:r>
          </w:p>
        </w:tc>
        <w:tc>
          <w:tcPr>
            <w:tcW w:w="100" w:type="dxa"/>
            <w:vAlign w:val="bottom"/>
            <w:tcBorders>
              <w:top w:val="single" w:sz="8" w:color="CCEEFF"/>
            </w:tcBorders>
            <w:shd w:val="clear" w:color="auto" w:fill="CCEEFF"/>
          </w:tcPr>
          <w:p>
            <w:pPr>
              <w:spacing w:after="0"/>
              <w:rPr>
                <w:sz w:val="18"/>
                <w:szCs w:val="18"/>
                <w:color w:val="auto"/>
              </w:rPr>
            </w:pPr>
          </w:p>
        </w:tc>
      </w:tr>
      <w:tr>
        <w:trPr>
          <w:trHeight w:val="432"/>
        </w:trPr>
        <w:tc>
          <w:tcPr>
            <w:tcW w:w="2960" w:type="dxa"/>
            <w:vAlign w:val="bottom"/>
            <w:gridSpan w:val="2"/>
          </w:tcPr>
          <w:p>
            <w:pPr>
              <w:spacing w:after="0"/>
              <w:rPr>
                <w:sz w:val="20"/>
                <w:szCs w:val="20"/>
                <w:color w:val="auto"/>
              </w:rPr>
            </w:pPr>
            <w:r>
              <w:rPr>
                <w:rFonts w:ascii="Arial" w:cs="Arial" w:eastAsia="Arial" w:hAnsi="Arial"/>
                <w:sz w:val="18"/>
                <w:szCs w:val="18"/>
                <w:b w:val="1"/>
                <w:bCs w:val="1"/>
                <w:color w:val="auto"/>
              </w:rPr>
              <w:t>Item 8.01   Other Events.</w:t>
            </w:r>
          </w:p>
        </w:tc>
        <w:tc>
          <w:tcPr>
            <w:tcW w:w="25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5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580" w:type="dxa"/>
            <w:vAlign w:val="bottom"/>
          </w:tcPr>
          <w:p>
            <w:pPr>
              <w:spacing w:after="0"/>
              <w:rPr>
                <w:sz w:val="24"/>
                <w:szCs w:val="24"/>
                <w:color w:val="auto"/>
              </w:rPr>
            </w:pPr>
          </w:p>
        </w:tc>
        <w:tc>
          <w:tcPr>
            <w:tcW w:w="100" w:type="dxa"/>
            <w:vAlign w:val="bottom"/>
          </w:tcPr>
          <w:p>
            <w:pPr>
              <w:spacing w:after="0"/>
              <w:rPr>
                <w:sz w:val="24"/>
                <w:szCs w:val="24"/>
                <w:color w:val="auto"/>
              </w:rPr>
            </w:pPr>
          </w:p>
        </w:tc>
      </w:tr>
    </w:tbl>
    <w:p>
      <w:pPr>
        <w:spacing w:after="0" w:line="202" w:lineRule="exact"/>
        <w:rPr>
          <w:sz w:val="20"/>
          <w:szCs w:val="20"/>
          <w:color w:val="auto"/>
        </w:rPr>
      </w:pPr>
    </w:p>
    <w:p>
      <w:pPr>
        <w:ind w:left="340"/>
        <w:spacing w:after="0"/>
        <w:rPr>
          <w:sz w:val="20"/>
          <w:szCs w:val="20"/>
          <w:color w:val="auto"/>
        </w:rPr>
      </w:pPr>
      <w:r>
        <w:rPr>
          <w:rFonts w:ascii="Arial" w:cs="Arial" w:eastAsia="Arial" w:hAnsi="Arial"/>
          <w:sz w:val="17"/>
          <w:szCs w:val="17"/>
          <w:color w:val="auto"/>
        </w:rPr>
        <w:t>On May 21, 2020, the board of directors of Plains GP Holdings LLC approved the following changes to the composition of its committees:</w:t>
      </w:r>
    </w:p>
    <w:p>
      <w:pPr>
        <w:spacing w:after="0" w:line="237" w:lineRule="exact"/>
        <w:rPr>
          <w:sz w:val="20"/>
          <w:szCs w:val="20"/>
          <w:color w:val="auto"/>
        </w:rPr>
      </w:pPr>
    </w:p>
    <w:p>
      <w:pPr>
        <w:jc w:val="both"/>
        <w:ind w:left="980" w:right="40" w:hanging="324"/>
        <w:spacing w:after="0" w:line="255" w:lineRule="auto"/>
        <w:tabs>
          <w:tab w:leader="none" w:pos="980" w:val="left"/>
        </w:tabs>
        <w:numPr>
          <w:ilvl w:val="0"/>
          <w:numId w:val="6"/>
        </w:numPr>
        <w:rPr>
          <w:rFonts w:ascii="Arial" w:cs="Arial" w:eastAsia="Arial" w:hAnsi="Arial"/>
          <w:sz w:val="18"/>
          <w:szCs w:val="18"/>
          <w:color w:val="auto"/>
        </w:rPr>
      </w:pPr>
      <w:r>
        <w:rPr>
          <w:rFonts w:ascii="Arial" w:cs="Arial" w:eastAsia="Arial" w:hAnsi="Arial"/>
          <w:sz w:val="18"/>
          <w:szCs w:val="18"/>
          <w:color w:val="auto"/>
        </w:rPr>
        <w:t>Audit Committee – The appointment of Lawrence Ziemba to serve as a member of the Audit Committee, replacing Taft Symonds whose term expired on May 20, 2020. Effective May 21, 2020, the Audit Committee consists of Victor Burk (Chairman), Alexandra Pruner and Lawrence Ziemba.</w:t>
      </w:r>
    </w:p>
    <w:p>
      <w:pPr>
        <w:spacing w:after="0" w:line="2" w:lineRule="exact"/>
        <w:rPr>
          <w:rFonts w:ascii="Arial" w:cs="Arial" w:eastAsia="Arial" w:hAnsi="Arial"/>
          <w:sz w:val="18"/>
          <w:szCs w:val="18"/>
          <w:color w:val="auto"/>
        </w:rPr>
      </w:pPr>
    </w:p>
    <w:p>
      <w:pPr>
        <w:ind w:left="980" w:right="40" w:hanging="324"/>
        <w:spacing w:after="0" w:line="250" w:lineRule="auto"/>
        <w:tabs>
          <w:tab w:leader="none" w:pos="980" w:val="left"/>
        </w:tabs>
        <w:numPr>
          <w:ilvl w:val="0"/>
          <w:numId w:val="6"/>
        </w:numPr>
        <w:rPr>
          <w:rFonts w:ascii="Arial" w:cs="Arial" w:eastAsia="Arial" w:hAnsi="Arial"/>
          <w:sz w:val="18"/>
          <w:szCs w:val="18"/>
          <w:color w:val="auto"/>
        </w:rPr>
      </w:pPr>
      <w:r>
        <w:rPr>
          <w:rFonts w:ascii="Arial" w:cs="Arial" w:eastAsia="Arial" w:hAnsi="Arial"/>
          <w:sz w:val="18"/>
          <w:szCs w:val="18"/>
          <w:color w:val="auto"/>
        </w:rPr>
        <w:t>Governance Committee – The appointment of Alexandra Pruner to serve as a member of the Governance Committee, replacing Taft Symonds whose term expired on May 20, 2020. Effective May 21, 2020, the Governance Committee consists of Bobby Shackouls (Chairman), Gary Petersen and Alexandra Pruner.</w:t>
      </w:r>
    </w:p>
    <w:p>
      <w:pPr>
        <w:spacing w:after="0" w:line="1" w:lineRule="exact"/>
        <w:rPr>
          <w:rFonts w:ascii="Arial" w:cs="Arial" w:eastAsia="Arial" w:hAnsi="Arial"/>
          <w:sz w:val="18"/>
          <w:szCs w:val="18"/>
          <w:color w:val="auto"/>
        </w:rPr>
      </w:pPr>
    </w:p>
    <w:p>
      <w:pPr>
        <w:ind w:left="980" w:right="440" w:hanging="324"/>
        <w:spacing w:after="0" w:line="255" w:lineRule="auto"/>
        <w:tabs>
          <w:tab w:leader="none" w:pos="980" w:val="left"/>
        </w:tabs>
        <w:numPr>
          <w:ilvl w:val="0"/>
          <w:numId w:val="6"/>
        </w:numPr>
        <w:rPr>
          <w:rFonts w:ascii="Arial" w:cs="Arial" w:eastAsia="Arial" w:hAnsi="Arial"/>
          <w:sz w:val="18"/>
          <w:szCs w:val="18"/>
          <w:color w:val="auto"/>
        </w:rPr>
      </w:pPr>
      <w:r>
        <w:rPr>
          <w:rFonts w:ascii="Arial" w:cs="Arial" w:eastAsia="Arial" w:hAnsi="Arial"/>
          <w:sz w:val="18"/>
          <w:szCs w:val="18"/>
          <w:color w:val="auto"/>
        </w:rPr>
        <w:t>Compensation Committee – The rotation of the Compensation Committee chair role from Robert Sinnott to John Raymond, with Robert Sinnott continuing to serve as a Director and member of the Compensation Committee. Effective May 21, 2020, the Compensation Committee consists of John Raymond (Chairman), Gary Petersen and Robert Sinnott.</w:t>
      </w:r>
    </w:p>
    <w:p>
      <w:pPr>
        <w:spacing w:after="0" w:line="200" w:lineRule="exact"/>
        <w:rPr>
          <w:sz w:val="20"/>
          <w:szCs w:val="20"/>
          <w:color w:val="auto"/>
        </w:rPr>
      </w:pPr>
    </w:p>
    <w:p>
      <w:pPr>
        <w:spacing w:after="0" w:line="20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2" w:name="page3"/>
    <w:bookmarkEnd w:id="2"/>
    <w:p>
      <w:pPr>
        <w:jc w:val="center"/>
        <w:ind w:right="-319"/>
        <w:spacing w:after="0"/>
        <w:rPr>
          <w:sz w:val="20"/>
          <w:szCs w:val="20"/>
          <w:color w:val="auto"/>
        </w:rPr>
      </w:pPr>
      <w:r>
        <w:rPr>
          <w:rFonts w:ascii="Arial" w:cs="Arial" w:eastAsia="Arial" w:hAnsi="Arial"/>
          <w:sz w:val="18"/>
          <w:szCs w:val="18"/>
          <w:b w:val="1"/>
          <w:bCs w:val="1"/>
          <w:color w:val="auto"/>
        </w:rPr>
        <w:t>SIGNATURES</w:t>
      </w:r>
    </w:p>
    <w:p>
      <w:pPr>
        <w:spacing w:after="0" w:line="229" w:lineRule="exact"/>
        <w:rPr>
          <w:sz w:val="20"/>
          <w:szCs w:val="20"/>
          <w:color w:val="auto"/>
        </w:rPr>
      </w:pPr>
    </w:p>
    <w:p>
      <w:pPr>
        <w:ind w:firstLine="648"/>
        <w:spacing w:after="0" w:line="277"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hereunto duly authorized.</w:t>
      </w:r>
    </w:p>
    <w:p>
      <w:pPr>
        <w:spacing w:after="0" w:line="170" w:lineRule="exact"/>
        <w:rPr>
          <w:sz w:val="20"/>
          <w:szCs w:val="20"/>
          <w:color w:val="auto"/>
        </w:rPr>
      </w:pPr>
    </w:p>
    <w:p>
      <w:pPr>
        <w:ind w:left="5540"/>
        <w:spacing w:after="0"/>
        <w:rPr>
          <w:sz w:val="20"/>
          <w:szCs w:val="20"/>
          <w:color w:val="auto"/>
        </w:rPr>
      </w:pPr>
      <w:r>
        <w:rPr>
          <w:rFonts w:ascii="Arial" w:cs="Arial" w:eastAsia="Arial" w:hAnsi="Arial"/>
          <w:sz w:val="18"/>
          <w:szCs w:val="18"/>
          <w:color w:val="auto"/>
        </w:rPr>
        <w:t>PLAINS GP HOLDINGS, L.P.</w:t>
      </w:r>
    </w:p>
    <w:p>
      <w:pPr>
        <w:spacing w:after="0" w:line="225" w:lineRule="exact"/>
        <w:rPr>
          <w:sz w:val="20"/>
          <w:szCs w:val="20"/>
          <w:color w:val="auto"/>
        </w:rPr>
      </w:pPr>
    </w:p>
    <w:p>
      <w:pPr>
        <w:spacing w:after="0"/>
        <w:tabs>
          <w:tab w:leader="none" w:pos="5520" w:val="left"/>
        </w:tabs>
        <w:rPr>
          <w:sz w:val="20"/>
          <w:szCs w:val="20"/>
          <w:color w:val="auto"/>
        </w:rPr>
      </w:pPr>
      <w:r>
        <w:rPr>
          <w:rFonts w:ascii="Arial" w:cs="Arial" w:eastAsia="Arial" w:hAnsi="Arial"/>
          <w:sz w:val="18"/>
          <w:szCs w:val="18"/>
          <w:color w:val="auto"/>
        </w:rPr>
        <w:t>Date: May 27, 2020</w:t>
      </w:r>
      <w:r>
        <w:rPr>
          <w:sz w:val="20"/>
          <w:szCs w:val="20"/>
          <w:color w:val="auto"/>
        </w:rPr>
        <w:tab/>
      </w:r>
      <w:r>
        <w:rPr>
          <w:rFonts w:ascii="Arial" w:cs="Arial" w:eastAsia="Arial" w:hAnsi="Arial"/>
          <w:sz w:val="17"/>
          <w:szCs w:val="17"/>
          <w:color w:val="auto"/>
        </w:rPr>
        <w:t>By: PAA GP Holdings LLC, its general partner</w:t>
      </w:r>
    </w:p>
    <w:p>
      <w:pPr>
        <w:spacing w:after="0" w:line="225" w:lineRule="exact"/>
        <w:rPr>
          <w:sz w:val="20"/>
          <w:szCs w:val="20"/>
          <w:color w:val="auto"/>
        </w:rPr>
      </w:pPr>
    </w:p>
    <w:p>
      <w:pPr>
        <w:ind w:left="5540"/>
        <w:spacing w:after="0"/>
        <w:rPr>
          <w:sz w:val="20"/>
          <w:szCs w:val="20"/>
          <w:color w:val="auto"/>
        </w:rPr>
      </w:pPr>
      <w:r>
        <w:rPr>
          <w:rFonts w:ascii="Arial" w:cs="Arial" w:eastAsia="Arial" w:hAnsi="Arial"/>
          <w:sz w:val="18"/>
          <w:szCs w:val="18"/>
          <w:color w:val="auto"/>
        </w:rPr>
        <w:t>By:  /s/ Richard McGee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3742690</wp:posOffset>
            </wp:positionH>
            <wp:positionV relativeFrom="paragraph">
              <wp:posOffset>14605</wp:posOffset>
            </wp:positionV>
            <wp:extent cx="3394710"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3394710" cy="8255"/>
                    </a:xfrm>
                    <a:prstGeom prst="rect">
                      <a:avLst/>
                    </a:prstGeom>
                    <a:noFill/>
                  </pic:spPr>
                </pic:pic>
              </a:graphicData>
            </a:graphic>
          </wp:anchor>
        </w:drawing>
      </w:r>
    </w:p>
    <w:p>
      <w:pPr>
        <w:spacing w:after="0" w:line="3" w:lineRule="exact"/>
        <w:rPr>
          <w:sz w:val="20"/>
          <w:szCs w:val="20"/>
          <w:color w:val="auto"/>
        </w:rPr>
      </w:pPr>
    </w:p>
    <w:p>
      <w:pPr>
        <w:ind w:left="5900"/>
        <w:spacing w:after="0"/>
        <w:rPr>
          <w:sz w:val="20"/>
          <w:szCs w:val="20"/>
          <w:color w:val="auto"/>
        </w:rPr>
      </w:pPr>
      <w:r>
        <w:rPr>
          <w:rFonts w:ascii="Arial" w:cs="Arial" w:eastAsia="Arial" w:hAnsi="Arial"/>
          <w:sz w:val="18"/>
          <w:szCs w:val="18"/>
          <w:color w:val="auto"/>
        </w:rPr>
        <w:t>Name: Richard McGee</w:t>
      </w:r>
    </w:p>
    <w:p>
      <w:pPr>
        <w:spacing w:after="0" w:line="23" w:lineRule="exact"/>
        <w:rPr>
          <w:sz w:val="20"/>
          <w:szCs w:val="20"/>
          <w:color w:val="auto"/>
        </w:rPr>
      </w:pPr>
    </w:p>
    <w:p>
      <w:pPr>
        <w:ind w:left="5900"/>
        <w:spacing w:after="0"/>
        <w:tabs>
          <w:tab w:leader="none" w:pos="6460" w:val="left"/>
        </w:tabs>
        <w:rPr>
          <w:sz w:val="20"/>
          <w:szCs w:val="20"/>
          <w:color w:val="auto"/>
        </w:rPr>
      </w:pPr>
      <w:r>
        <w:rPr>
          <w:rFonts w:ascii="Arial" w:cs="Arial" w:eastAsia="Arial" w:hAnsi="Arial"/>
          <w:sz w:val="18"/>
          <w:szCs w:val="18"/>
          <w:color w:val="auto"/>
        </w:rPr>
        <w:t>Title:</w:t>
        <w:tab/>
        <w:t>Executive Vice President</w:t>
      </w:r>
    </w:p>
    <w:p>
      <w:pPr>
        <w:spacing w:after="0" w:line="200" w:lineRule="exact"/>
        <w:rPr>
          <w:sz w:val="20"/>
          <w:szCs w:val="20"/>
          <w:color w:val="auto"/>
        </w:rPr>
      </w:pPr>
    </w:p>
    <w:p>
      <w:pPr>
        <w:spacing w:after="0" w:line="227" w:lineRule="exact"/>
        <w:rPr>
          <w:sz w:val="20"/>
          <w:szCs w:val="20"/>
          <w:color w:val="auto"/>
        </w:rPr>
      </w:pPr>
    </w:p>
    <w:p>
      <w:pPr>
        <w:jc w:val="center"/>
        <w:ind w:right="-319"/>
        <w:spacing w:after="0"/>
        <w:rPr>
          <w:sz w:val="20"/>
          <w:szCs w:val="20"/>
          <w:color w:val="auto"/>
        </w:rPr>
      </w:pPr>
      <w:r>
        <w:rPr>
          <w:rFonts w:ascii="Arial" w:cs="Arial" w:eastAsia="Arial" w:hAnsi="Arial"/>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25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sectPr>
      <w:pgSz w:w="11900" w:h="16838" w:orient="portrait"/>
      <w:cols w:equalWidth="0" w:num="1">
        <w:col w:w="10920"/>
      </w:cols>
      <w:pgMar w:left="320" w:top="904" w:right="65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2AE8944A"/>
    <w:multiLevelType w:val="hybridMultilevel"/>
    <w:lvl w:ilvl="0">
      <w:lvlJc w:val="left"/>
      <w:lvlText w:val="☐"/>
      <w:numFmt w:val="bullet"/>
      <w:start w:val="1"/>
    </w:lvl>
  </w:abstractNum>
  <w:abstractNum w:abstractNumId="1">
    <w:nsid w:val="625558EC"/>
    <w:multiLevelType w:val="hybridMultilevel"/>
    <w:lvl w:ilvl="0">
      <w:lvlJc w:val="left"/>
      <w:lvlText w:val="(%1)"/>
      <w:numFmt w:val="lowerRoman"/>
      <w:start w:val="1"/>
    </w:lvl>
  </w:abstractNum>
  <w:abstractNum w:abstractNumId="2">
    <w:nsid w:val="238E1F29"/>
    <w:multiLevelType w:val="hybridMultilevel"/>
    <w:lvl w:ilvl="0">
      <w:lvlJc w:val="left"/>
      <w:lvlText w:val="%1."/>
      <w:numFmt w:val="decimal"/>
      <w:start w:val="1"/>
    </w:lvl>
  </w:abstractNum>
  <w:abstractNum w:abstractNumId="3">
    <w:nsid w:val="46E87CCD"/>
    <w:multiLevelType w:val="hybridMultilevel"/>
    <w:lvl w:ilvl="0">
      <w:lvlJc w:val="left"/>
      <w:lvlText w:val="%1."/>
      <w:numFmt w:val="decimal"/>
      <w:start w:val="2"/>
    </w:lvl>
  </w:abstractNum>
  <w:abstractNum w:abstractNumId="4">
    <w:nsid w:val="3D1B58BA"/>
    <w:multiLevelType w:val="hybridMultilevel"/>
    <w:lvl w:ilvl="0">
      <w:lvlJc w:val="left"/>
      <w:lvlText w:val="%1."/>
      <w:numFmt w:val="decimal"/>
      <w:start w:val="3"/>
    </w:lvl>
  </w:abstractNum>
  <w:abstractNum w:abstractNumId="5">
    <w:nsid w:val="507ED7AB"/>
    <w:multiLevelType w:val="hybridMultilevel"/>
    <w:lvl w:ilvl="0">
      <w:lvlJc w:val="left"/>
      <w:lvlText w:val="·"/>
      <w:numFmt w:val="bullet"/>
      <w:start w:val="1"/>
    </w:lvl>
  </w:abstractNum>
  <w:num w:numId="1">
    <w:abstractNumId w:val="0"/>
  </w:num>
  <w:num w:numId="2">
    <w:abstractNumId w:val="1"/>
  </w:num>
  <w:num w:numId="3">
    <w:abstractNumId w:val="2"/>
  </w:num>
  <w:num w:numId="4">
    <w:abstractNumId w:val="3"/>
  </w:num>
  <w:num w:numId="5">
    <w:abstractNumId w:val="4"/>
  </w:num>
  <w:num w:numId="6">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2020-05-27T15:22:57Z</dcterms:created>
  <dcterms:modified xsi:type="dcterms:W3CDTF">2020-05-27T15:22:57Z</dcterms:modified>
</cp:coreProperties>
</file>