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11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1111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60" w:type="dxa"/>
            <w:vAlign w:val="bottom"/>
            <w:gridSpan w:val="8"/>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McCarthy Kevin S</w:t>
              </w:r>
            </w:hyperlink>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9"/>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PLAINS GP HOLDINGS LP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PAGP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gridSpan w:val="2"/>
            <w:vMerge w:val="restart"/>
          </w:tcPr>
          <w:p>
            <w:pPr>
              <w:ind w:left="180"/>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80"/>
              <w:spacing w:after="0"/>
              <w:rPr>
                <w:sz w:val="20"/>
                <w:szCs w:val="20"/>
                <w:color w:val="auto"/>
              </w:rPr>
            </w:pPr>
            <w:r>
              <w:rPr>
                <w:rFonts w:ascii="Arial" w:cs="Arial" w:eastAsia="Arial" w:hAnsi="Arial"/>
                <w:sz w:val="13"/>
                <w:szCs w:val="13"/>
                <w:color w:val="auto"/>
              </w:rPr>
              <w:t>Director</w:t>
            </w:r>
          </w:p>
        </w:tc>
        <w:tc>
          <w:tcPr>
            <w:tcW w:w="1660" w:type="dxa"/>
            <w:vAlign w:val="bottom"/>
            <w:gridSpan w:val="3"/>
            <w:vMerge w:val="restart"/>
          </w:tcPr>
          <w:p>
            <w:pPr>
              <w:ind w:left="52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8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3"/>
            <w:vMerge w:val="restart"/>
          </w:tcPr>
          <w:p>
            <w:pPr>
              <w:ind w:left="52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6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8"/>
            <w:vMerge w:val="restart"/>
          </w:tcPr>
          <w:p>
            <w:pPr>
              <w:ind w:left="80"/>
              <w:spacing w:after="0"/>
              <w:rPr>
                <w:sz w:val="20"/>
                <w:szCs w:val="20"/>
                <w:color w:val="auto"/>
              </w:rPr>
            </w:pPr>
            <w:r>
              <w:rPr>
                <w:rFonts w:ascii="Arial" w:cs="Arial" w:eastAsia="Arial" w:hAnsi="Arial"/>
                <w:sz w:val="13"/>
                <w:szCs w:val="13"/>
                <w:color w:val="auto"/>
                <w:w w:val="99"/>
              </w:rPr>
              <w:t>3. Date of Earliest Transaction (Month/Day/Year)</w:t>
            </w: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8"/>
            <w:vMerge w:val="continue"/>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Arial" w:cs="Arial" w:eastAsia="Arial" w:hAnsi="Arial"/>
                <w:sz w:val="13"/>
                <w:szCs w:val="13"/>
                <w:color w:val="auto"/>
              </w:rPr>
              <w:t>below)</w:t>
            </w:r>
          </w:p>
        </w:tc>
        <w:tc>
          <w:tcPr>
            <w:tcW w:w="1660" w:type="dxa"/>
            <w:vAlign w:val="bottom"/>
            <w:gridSpan w:val="3"/>
          </w:tcPr>
          <w:p>
            <w:pPr>
              <w:ind w:left="5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6"/>
              </w:rPr>
              <w:t>811 MAIN STREET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gridSpan w:val="5"/>
          </w:tcPr>
          <w:p>
            <w:pPr>
              <w:ind w:left="280"/>
              <w:spacing w:after="0"/>
              <w:rPr>
                <w:sz w:val="20"/>
                <w:szCs w:val="20"/>
                <w:color w:val="auto"/>
              </w:rPr>
            </w:pPr>
            <w:r>
              <w:rPr>
                <w:rFonts w:ascii="Arial" w:cs="Arial" w:eastAsia="Arial" w:hAnsi="Arial"/>
                <w:sz w:val="17"/>
                <w:szCs w:val="17"/>
                <w:color w:val="0000FF"/>
              </w:rPr>
              <w:t>06/30/2021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7"/>
                <w:szCs w:val="17"/>
                <w:color w:val="0000FF"/>
              </w:rPr>
              <w:t>14TH FLOOR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9"/>
            <w:vMerge w:val="restart"/>
          </w:tcPr>
          <w:p>
            <w:pPr>
              <w:ind w:left="80"/>
              <w:spacing w:after="0"/>
              <w:rPr>
                <w:sz w:val="20"/>
                <w:szCs w:val="20"/>
                <w:color w:val="auto"/>
              </w:rPr>
            </w:pPr>
            <w:r>
              <w:rPr>
                <w:rFonts w:ascii="Arial" w:cs="Arial" w:eastAsia="Arial" w:hAnsi="Arial"/>
                <w:sz w:val="13"/>
                <w:szCs w:val="13"/>
                <w:color w:val="auto"/>
                <w:w w:val="97"/>
              </w:rPr>
              <w:t>4. If Amendment, Date of Original Filed (Month/Day/Year)</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60" w:type="dxa"/>
            <w:vAlign w:val="bottom"/>
            <w:gridSpan w:val="8"/>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340" w:type="dxa"/>
            <w:vAlign w:val="bottom"/>
            <w:gridSpan w:val="9"/>
            <w:vMerge w:val="continue"/>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60" w:type="dxa"/>
            <w:vAlign w:val="bottom"/>
            <w:gridSpan w:val="8"/>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gridSpan w:val="3"/>
            <w:vMerge w:val="restart"/>
          </w:tcPr>
          <w:p>
            <w:pPr>
              <w:ind w:left="20"/>
              <w:spacing w:after="0"/>
              <w:rPr>
                <w:sz w:val="20"/>
                <w:szCs w:val="20"/>
                <w:color w:val="auto"/>
              </w:rPr>
            </w:pPr>
            <w:r>
              <w:rPr>
                <w:rFonts w:ascii="Arial" w:cs="Arial" w:eastAsia="Arial" w:hAnsi="Arial"/>
                <w:sz w:val="13"/>
                <w:szCs w:val="13"/>
                <w:color w:val="auto"/>
              </w:rPr>
              <w:t>Line)</w:t>
            </w: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gridSpan w:val="7"/>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7"/>
                <w:szCs w:val="17"/>
                <w:color w:val="0000FF"/>
              </w:rPr>
              <w:t>HOUSTON</w:t>
            </w:r>
          </w:p>
        </w:tc>
        <w:tc>
          <w:tcPr>
            <w:tcW w:w="260" w:type="dxa"/>
            <w:vAlign w:val="bottom"/>
          </w:tcPr>
          <w:p>
            <w:pPr>
              <w:ind w:left="40"/>
              <w:spacing w:after="0"/>
              <w:rPr>
                <w:sz w:val="20"/>
                <w:szCs w:val="20"/>
                <w:color w:val="auto"/>
              </w:rPr>
            </w:pPr>
            <w:r>
              <w:rPr>
                <w:rFonts w:ascii="Arial" w:cs="Arial" w:eastAsia="Arial" w:hAnsi="Arial"/>
                <w:sz w:val="17"/>
                <w:szCs w:val="17"/>
                <w:color w:val="0000FF"/>
                <w:w w:val="91"/>
              </w:rPr>
              <w:t>TX</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ind w:left="10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100"/>
              <w:spacing w:after="0" w:line="128" w:lineRule="exact"/>
              <w:rPr>
                <w:sz w:val="20"/>
                <w:szCs w:val="20"/>
                <w:color w:val="auto"/>
              </w:rPr>
            </w:pPr>
            <w:r>
              <w:rPr>
                <w:rFonts w:ascii="Arial" w:cs="Arial" w:eastAsia="Arial" w:hAnsi="Arial"/>
                <w:sz w:val="13"/>
                <w:szCs w:val="13"/>
                <w:color w:val="auto"/>
              </w:rPr>
              <w:t>Person</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6"/>
          </w:tcPr>
          <w:p>
            <w:pPr>
              <w:spacing w:after="0"/>
              <w:rPr>
                <w:sz w:val="10"/>
                <w:szCs w:val="10"/>
                <w:color w:val="auto"/>
              </w:rPr>
            </w:pPr>
          </w:p>
        </w:tc>
        <w:tc>
          <w:tcPr>
            <w:tcW w:w="136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660" w:type="dxa"/>
            <w:vAlign w:val="bottom"/>
            <w:tcBorders>
              <w:top w:val="single" w:sz="8" w:color="2C2C2C"/>
            </w:tcBorders>
            <w:gridSpan w:val="21"/>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6"/>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1960" w:type="dxa"/>
            <w:vAlign w:val="bottom"/>
            <w:gridSpan w:val="9"/>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00" w:type="dxa"/>
            <w:vAlign w:val="bottom"/>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9"/>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11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5"/>
          </w:tcPr>
          <w:p>
            <w:pPr>
              <w:ind w:left="84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gridSpan w:val="2"/>
          </w:tcPr>
          <w:p>
            <w:pPr>
              <w:ind w:left="60"/>
              <w:spacing w:after="0"/>
              <w:rPr>
                <w:sz w:val="20"/>
                <w:szCs w:val="20"/>
                <w:color w:val="auto"/>
              </w:rPr>
            </w:pPr>
            <w:r>
              <w:rPr>
                <w:rFonts w:ascii="Arial" w:cs="Arial" w:eastAsia="Arial" w:hAnsi="Arial"/>
                <w:sz w:val="11"/>
                <w:szCs w:val="11"/>
                <w:b w:val="1"/>
                <w:bCs w:val="1"/>
                <w:color w:val="auto"/>
              </w:rPr>
              <w:t>5)</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jc w:val="right"/>
              <w:ind w:right="263"/>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rPr>
                <w:sz w:val="20"/>
                <w:szCs w:val="20"/>
                <w:color w:val="auto"/>
              </w:rPr>
            </w:pPr>
            <w:r>
              <w:rPr>
                <w:rFonts w:ascii="Arial" w:cs="Arial" w:eastAsia="Arial" w:hAnsi="Arial"/>
                <w:sz w:val="11"/>
                <w:szCs w:val="11"/>
                <w:b w:val="1"/>
                <w:bCs w:val="1"/>
                <w:color w:val="auto"/>
              </w:rPr>
              <w:t>Owned Following</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74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5"/>
            <w:vMerge w:val="continue"/>
          </w:tcPr>
          <w:p>
            <w:pPr>
              <w:spacing w:after="0"/>
              <w:rPr>
                <w:sz w:val="7"/>
                <w:szCs w:val="7"/>
                <w:color w:val="auto"/>
              </w:rPr>
            </w:pPr>
          </w:p>
        </w:tc>
        <w:tc>
          <w:tcPr>
            <w:tcW w:w="11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620" w:type="dxa"/>
            <w:vAlign w:val="bottom"/>
            <w:gridSpan w:val="8"/>
          </w:tcPr>
          <w:p>
            <w:pPr>
              <w:ind w:left="60"/>
              <w:spacing w:after="0"/>
              <w:rPr>
                <w:sz w:val="20"/>
                <w:szCs w:val="20"/>
                <w:color w:val="auto"/>
              </w:rPr>
            </w:pPr>
            <w:r>
              <w:rPr>
                <w:rFonts w:ascii="Arial" w:cs="Arial" w:eastAsia="Arial" w:hAnsi="Arial"/>
                <w:sz w:val="17"/>
                <w:szCs w:val="17"/>
                <w:color w:val="0000FF"/>
              </w:rPr>
              <w:t>Class A Shares representing limited partner</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restart"/>
          </w:tcPr>
          <w:p>
            <w:pPr>
              <w:ind w:left="60"/>
              <w:spacing w:after="0"/>
              <w:rPr>
                <w:sz w:val="20"/>
                <w:szCs w:val="20"/>
                <w:color w:val="auto"/>
              </w:rPr>
            </w:pPr>
            <w:r>
              <w:rPr>
                <w:rFonts w:ascii="Arial" w:cs="Arial" w:eastAsia="Arial" w:hAnsi="Arial"/>
                <w:sz w:val="17"/>
                <w:szCs w:val="17"/>
                <w:color w:val="0000FF"/>
              </w:rPr>
              <w:t>99,069</w:t>
            </w:r>
          </w:p>
        </w:tc>
        <w:tc>
          <w:tcPr>
            <w:tcW w:w="80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7"/>
                <w:szCs w:val="17"/>
                <w:color w:val="0000FF"/>
                <w:w w:val="99"/>
              </w:rPr>
              <w:t>interests</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400" w:type="dxa"/>
            <w:vAlign w:val="bottom"/>
            <w:tcBorders>
              <w:bottom w:val="single" w:sz="8" w:color="2C2C2C"/>
            </w:tcBorders>
            <w:gridSpan w:val="6"/>
          </w:tcPr>
          <w:p>
            <w:pPr>
              <w:spacing w:after="0"/>
              <w:rPr>
                <w:sz w:val="8"/>
                <w:szCs w:val="8"/>
                <w:color w:val="auto"/>
              </w:rPr>
            </w:pPr>
          </w:p>
        </w:tc>
        <w:tc>
          <w:tcPr>
            <w:tcW w:w="1440" w:type="dxa"/>
            <w:vAlign w:val="bottom"/>
            <w:tcBorders>
              <w:bottom w:val="single" w:sz="8" w:color="2C2C2C"/>
            </w:tcBorders>
            <w:gridSpan w:val="6"/>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78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Security (Instr. 3</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and 4)</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or</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gridSpan w:val="3"/>
          </w:tcPr>
          <w:p>
            <w:pPr>
              <w:ind w:left="6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3"/>
          </w:tcPr>
          <w:p>
            <w:pPr>
              <w:ind w:left="120"/>
              <w:spacing w:after="0"/>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3"/>
          </w:tcPr>
          <w:p>
            <w:pPr>
              <w:ind w:left="12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Class A</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97"/>
              </w:rPr>
              <w:t>Units/Class</w:t>
            </w:r>
          </w:p>
        </w:tc>
        <w:tc>
          <w:tcPr>
            <w:tcW w:w="5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260" w:type="dxa"/>
            <w:vAlign w:val="bottom"/>
          </w:tcPr>
          <w:p>
            <w:pPr>
              <w:spacing w:after="0"/>
              <w:rPr>
                <w:sz w:val="17"/>
                <w:szCs w:val="17"/>
                <w:color w:val="auto"/>
              </w:rPr>
            </w:pPr>
          </w:p>
        </w:tc>
        <w:tc>
          <w:tcPr>
            <w:tcW w:w="98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0000FF"/>
              </w:rPr>
              <w:t>06/30/2021</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vMerge w:val="restart"/>
          </w:tcPr>
          <w:p>
            <w:pPr>
              <w:ind w:left="4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ind w:left="400"/>
              <w:spacing w:after="0"/>
              <w:rPr>
                <w:sz w:val="20"/>
                <w:szCs w:val="20"/>
                <w:color w:val="auto"/>
              </w:rPr>
            </w:pPr>
            <w:r>
              <w:rPr>
                <w:rFonts w:ascii="Arial" w:cs="Arial" w:eastAsia="Arial" w:hAnsi="Arial"/>
                <w:sz w:val="13"/>
                <w:szCs w:val="13"/>
                <w:color w:val="0000FF"/>
              </w:rPr>
              <w:t>25,554</w:t>
            </w:r>
          </w:p>
        </w:tc>
        <w:tc>
          <w:tcPr>
            <w:tcW w:w="240" w:type="dxa"/>
            <w:vAlign w:val="bottom"/>
          </w:tcPr>
          <w:p>
            <w:pPr>
              <w:spacing w:after="0"/>
              <w:rPr>
                <w:sz w:val="17"/>
                <w:szCs w:val="17"/>
                <w:color w:val="auto"/>
              </w:rPr>
            </w:pPr>
          </w:p>
        </w:tc>
        <w:tc>
          <w:tcPr>
            <w:tcW w:w="480" w:type="dxa"/>
            <w:vAlign w:val="bottom"/>
            <w:vMerge w:val="restart"/>
          </w:tcPr>
          <w:p>
            <w:pPr>
              <w:jc w:val="right"/>
              <w:ind w:right="143"/>
              <w:spacing w:after="0"/>
              <w:rPr>
                <w:sz w:val="20"/>
                <w:szCs w:val="20"/>
                <w:color w:val="auto"/>
              </w:rPr>
            </w:pPr>
            <w:r>
              <w:rPr>
                <w:rFonts w:ascii="Arial" w:cs="Arial" w:eastAsia="Arial" w:hAnsi="Arial"/>
                <w:sz w:val="11"/>
                <w:szCs w:val="11"/>
                <w:color w:val="008000"/>
                <w:w w:val="96"/>
              </w:rPr>
              <w:t>(1)(2)</w:t>
            </w:r>
          </w:p>
        </w:tc>
        <w:tc>
          <w:tcPr>
            <w:tcW w:w="280" w:type="dxa"/>
            <w:vAlign w:val="bottom"/>
          </w:tcPr>
          <w:p>
            <w:pPr>
              <w:spacing w:after="0"/>
              <w:rPr>
                <w:sz w:val="17"/>
                <w:szCs w:val="17"/>
                <w:color w:val="auto"/>
              </w:rPr>
            </w:pPr>
          </w:p>
        </w:tc>
        <w:tc>
          <w:tcPr>
            <w:tcW w:w="520" w:type="dxa"/>
            <w:vAlign w:val="bottom"/>
            <w:gridSpan w:val="2"/>
            <w:vMerge w:val="restart"/>
          </w:tcPr>
          <w:p>
            <w:pPr>
              <w:spacing w:after="0"/>
              <w:rPr>
                <w:sz w:val="20"/>
                <w:szCs w:val="20"/>
                <w:color w:val="auto"/>
              </w:rPr>
            </w:pPr>
            <w:r>
              <w:rPr>
                <w:rFonts w:ascii="Arial" w:cs="Arial" w:eastAsia="Arial" w:hAnsi="Arial"/>
                <w:sz w:val="11"/>
                <w:szCs w:val="11"/>
                <w:color w:val="008000"/>
              </w:rPr>
              <w:t>(1)(2)</w:t>
            </w:r>
          </w:p>
        </w:tc>
        <w:tc>
          <w:tcPr>
            <w:tcW w:w="440" w:type="dxa"/>
            <w:vAlign w:val="bottom"/>
          </w:tcPr>
          <w:p>
            <w:pPr>
              <w:ind w:left="60"/>
              <w:spacing w:after="0"/>
              <w:rPr>
                <w:sz w:val="20"/>
                <w:szCs w:val="20"/>
                <w:color w:val="auto"/>
              </w:rPr>
            </w:pPr>
            <w:r>
              <w:rPr>
                <w:rFonts w:ascii="Arial" w:cs="Arial" w:eastAsia="Arial" w:hAnsi="Arial"/>
                <w:sz w:val="13"/>
                <w:szCs w:val="13"/>
                <w:color w:val="0000FF"/>
              </w:rPr>
              <w:t>Class</w:t>
            </w:r>
          </w:p>
        </w:tc>
        <w:tc>
          <w:tcPr>
            <w:tcW w:w="540" w:type="dxa"/>
            <w:vAlign w:val="bottom"/>
            <w:gridSpan w:val="3"/>
            <w:vMerge w:val="restart"/>
          </w:tcPr>
          <w:p>
            <w:pPr>
              <w:ind w:left="60"/>
              <w:spacing w:after="0"/>
              <w:rPr>
                <w:sz w:val="20"/>
                <w:szCs w:val="20"/>
                <w:color w:val="auto"/>
              </w:rPr>
            </w:pPr>
            <w:r>
              <w:rPr>
                <w:rFonts w:ascii="Arial" w:cs="Arial" w:eastAsia="Arial" w:hAnsi="Arial"/>
                <w:sz w:val="17"/>
                <w:szCs w:val="17"/>
                <w:color w:val="0000FF"/>
                <w:w w:val="88"/>
              </w:rPr>
              <w:t>25,554</w:t>
            </w:r>
          </w:p>
        </w:tc>
        <w:tc>
          <w:tcPr>
            <w:tcW w:w="460" w:type="dxa"/>
            <w:vAlign w:val="bottom"/>
            <w:gridSpan w:val="3"/>
            <w:vMerge w:val="restart"/>
          </w:tcPr>
          <w:p>
            <w:pPr>
              <w:ind w:left="320"/>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240" w:type="dxa"/>
            <w:vAlign w:val="bottom"/>
          </w:tcPr>
          <w:p>
            <w:pPr>
              <w:spacing w:after="0"/>
              <w:rPr>
                <w:sz w:val="17"/>
                <w:szCs w:val="17"/>
                <w:color w:val="auto"/>
              </w:rPr>
            </w:pPr>
          </w:p>
        </w:tc>
        <w:tc>
          <w:tcPr>
            <w:tcW w:w="900" w:type="dxa"/>
            <w:vAlign w:val="bottom"/>
            <w:vMerge w:val="restart"/>
          </w:tcPr>
          <w:p>
            <w:pPr>
              <w:ind w:left="140"/>
              <w:spacing w:after="0"/>
              <w:rPr>
                <w:sz w:val="20"/>
                <w:szCs w:val="20"/>
                <w:color w:val="auto"/>
              </w:rPr>
            </w:pPr>
            <w:r>
              <w:rPr>
                <w:rFonts w:ascii="Arial" w:cs="Arial" w:eastAsia="Arial" w:hAnsi="Arial"/>
                <w:sz w:val="13"/>
                <w:szCs w:val="13"/>
                <w:color w:val="0000FF"/>
                <w:w w:val="90"/>
              </w:rPr>
              <w:t>15,273,461</w:t>
            </w:r>
            <w:r>
              <w:rPr>
                <w:rFonts w:ascii="Arial" w:cs="Arial" w:eastAsia="Arial" w:hAnsi="Arial"/>
                <w:sz w:val="21"/>
                <w:szCs w:val="21"/>
                <w:color w:val="008000"/>
                <w:w w:val="90"/>
                <w:vertAlign w:val="superscript"/>
              </w:rPr>
              <w:t>(4)</w:t>
            </w: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860" w:type="dxa"/>
            <w:vAlign w:val="bottom"/>
            <w:gridSpan w:val="2"/>
          </w:tcPr>
          <w:p>
            <w:pPr>
              <w:ind w:left="40"/>
              <w:spacing w:after="0" w:line="200" w:lineRule="exact"/>
              <w:rPr>
                <w:sz w:val="20"/>
                <w:szCs w:val="20"/>
                <w:color w:val="auto"/>
              </w:rPr>
            </w:pPr>
            <w:r>
              <w:rPr>
                <w:rFonts w:ascii="Arial" w:cs="Arial" w:eastAsia="Arial" w:hAnsi="Arial"/>
                <w:sz w:val="13"/>
                <w:szCs w:val="13"/>
                <w:color w:val="0000FF"/>
                <w:w w:val="82"/>
              </w:rPr>
              <w:t>See footnotes</w:t>
            </w:r>
            <w:r>
              <w:rPr>
                <w:rFonts w:ascii="Arial" w:cs="Arial" w:eastAsia="Arial" w:hAnsi="Arial"/>
                <w:sz w:val="21"/>
                <w:szCs w:val="21"/>
                <w:color w:val="008000"/>
                <w:w w:val="82"/>
                <w:vertAlign w:val="superscript"/>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3"/>
          </w:tcPr>
          <w:p>
            <w:pPr>
              <w:ind w:left="60"/>
              <w:spacing w:after="0" w:line="91" w:lineRule="exact"/>
              <w:rPr>
                <w:sz w:val="20"/>
                <w:szCs w:val="20"/>
                <w:color w:val="auto"/>
              </w:rPr>
            </w:pPr>
            <w:r>
              <w:rPr>
                <w:rFonts w:ascii="Arial" w:cs="Arial" w:eastAsia="Arial" w:hAnsi="Arial"/>
                <w:sz w:val="10"/>
                <w:szCs w:val="10"/>
                <w:color w:val="0000FF"/>
              </w:rPr>
              <w:t>B</w:t>
            </w: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440" w:type="dxa"/>
            <w:vAlign w:val="bottom"/>
          </w:tcPr>
          <w:p>
            <w:pPr>
              <w:ind w:left="140"/>
              <w:spacing w:after="0" w:line="91" w:lineRule="exact"/>
              <w:rPr>
                <w:sz w:val="20"/>
                <w:szCs w:val="20"/>
                <w:color w:val="auto"/>
              </w:rPr>
            </w:pPr>
            <w:r>
              <w:rPr>
                <w:rFonts w:ascii="Arial" w:cs="Arial" w:eastAsia="Arial" w:hAnsi="Arial"/>
                <w:sz w:val="10"/>
                <w:szCs w:val="10"/>
                <w:color w:val="0000FF"/>
              </w:rPr>
              <w:t>A</w:t>
            </w:r>
          </w:p>
        </w:tc>
        <w:tc>
          <w:tcPr>
            <w:tcW w:w="540" w:type="dxa"/>
            <w:vAlign w:val="bottom"/>
            <w:gridSpan w:val="3"/>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tcPr>
          <w:p>
            <w:pPr>
              <w:ind w:left="40"/>
              <w:spacing w:after="0" w:line="91" w:lineRule="exact"/>
              <w:rPr>
                <w:sz w:val="20"/>
                <w:szCs w:val="20"/>
                <w:color w:val="auto"/>
              </w:rPr>
            </w:pPr>
            <w:r>
              <w:rPr>
                <w:rFonts w:ascii="Arial" w:cs="Arial" w:eastAsia="Arial" w:hAnsi="Arial"/>
                <w:sz w:val="10"/>
                <w:szCs w:val="10"/>
                <w:color w:val="008000"/>
              </w:rPr>
              <w:t>(2)(3)</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Shares/GP</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ind w:left="20"/>
              <w:spacing w:after="0" w:line="140" w:lineRule="exact"/>
              <w:rPr>
                <w:sz w:val="20"/>
                <w:szCs w:val="20"/>
                <w:color w:val="auto"/>
              </w:rPr>
            </w:pPr>
            <w:r>
              <w:rPr>
                <w:rFonts w:ascii="Arial" w:cs="Arial" w:eastAsia="Arial" w:hAnsi="Arial"/>
                <w:sz w:val="13"/>
                <w:szCs w:val="13"/>
                <w:color w:val="0000FF"/>
                <w:w w:val="97"/>
              </w:rPr>
              <w:t>Shares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180"/>
        <w:spacing w:after="0" w:line="244"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is the Vice Chairman of Kayne Anderson Capital Advisors, L.P. ("KACALP"), the managing member of the manager of KAFU Holdings (QP), L.P. ("KAFU"), and therefore he may be deemed to be the beneficial owner of all of the interests held by KAFU.</w:t>
      </w:r>
    </w:p>
    <w:p>
      <w:pPr>
        <w:spacing w:after="0" w:line="27" w:lineRule="exact"/>
        <w:rPr>
          <w:rFonts w:ascii="Arial" w:cs="Arial" w:eastAsia="Arial" w:hAnsi="Arial"/>
          <w:sz w:val="13"/>
          <w:szCs w:val="13"/>
          <w:color w:val="008000"/>
        </w:rPr>
      </w:pPr>
    </w:p>
    <w:p>
      <w:pPr>
        <w:ind w:left="40" w:right="180"/>
        <w:spacing w:after="0" w:line="231"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limited partnership agreement of Plains AAP, L.P. ("AAP") provides that each limited partner of AAP, including KAFU, has the right at any time (without expiration) and from time to time, to exchange (the "Exchange Right") its Class A Units in AAP (the "AAP Units"), along with the associated Class B shares in the Issuer (the "Class B Shares") and GP Units in PAA GP Holdings LLC (the "GP Units") for Class A Shares of the Issuer on a one-for-one basis. The Exchange Right may be settled in cash at the option of the Issuer and, as a result, the Reporting Person may not be deemed to beneficially own any of the securities reported herein as indirectly owned. For reporting purposes, however, the number of securities reported as indirectly owned represents the number of AAP Units, Class B Shares and GP Units owned by KAFU that are potentially exchangeable for an equivalent number of Class A Shares.</w:t>
      </w:r>
    </w:p>
    <w:p>
      <w:pPr>
        <w:spacing w:after="0" w:line="3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disclaims beneficial ownership of the securities held by KAFU, except to the extent of his pecuniary interest therein.</w:t>
      </w:r>
    </w:p>
    <w:p>
      <w:pPr>
        <w:spacing w:after="0" w:line="41" w:lineRule="exact"/>
        <w:rPr>
          <w:rFonts w:ascii="Arial" w:cs="Arial" w:eastAsia="Arial" w:hAnsi="Arial"/>
          <w:sz w:val="13"/>
          <w:szCs w:val="13"/>
          <w:color w:val="008000"/>
        </w:rPr>
      </w:pPr>
    </w:p>
    <w:p>
      <w:pPr>
        <w:ind w:left="40" w:right="34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535,009 Class A units. As a result, such Class A units were cancelled and 535,009 Common Units of Plains All American Pipeline, L.P. were distributed by AAP to KAFU. The number of derivative securities owned reflects both the exchange transaction reported herein and the simultaneous redemption transaction.</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Kevin S. McCarthy</w:t>
            </w:r>
          </w:p>
        </w:tc>
        <w:tc>
          <w:tcPr>
            <w:tcW w:w="760" w:type="dxa"/>
            <w:vAlign w:val="bottom"/>
          </w:tcPr>
          <w:p>
            <w:pPr>
              <w:spacing w:after="0"/>
              <w:rPr>
                <w:sz w:val="20"/>
                <w:szCs w:val="20"/>
                <w:color w:val="auto"/>
              </w:rPr>
            </w:pPr>
            <w:r>
              <w:rPr>
                <w:rFonts w:ascii="Arial" w:cs="Arial" w:eastAsia="Arial" w:hAnsi="Arial"/>
                <w:sz w:val="17"/>
                <w:szCs w:val="17"/>
                <w:color w:val="0000FF"/>
                <w:w w:val="86"/>
              </w:rPr>
              <w:t>07/02/2021</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4183"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2021-07-02T11:14:39Z</dcterms:created>
  <dcterms:modified xsi:type="dcterms:W3CDTF">2021-07-02T11:14:39Z</dcterms:modified>
</cp:coreProperties>
</file>