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314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31419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McGee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1600</w:t>
      </w:r>
    </w:p>
    <w:p>
      <w:pPr>
        <w:spacing w:after="0" w:line="3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8" w:lineRule="exact"/>
        <w:rPr>
          <w:sz w:val="24"/>
          <w:szCs w:val="24"/>
          <w:color w:val="auto"/>
        </w:rPr>
      </w:pPr>
    </w:p>
    <w:p>
      <w:pPr>
        <w:ind w:left="120"/>
        <w:spacing w:after="0"/>
        <w:tabs>
          <w:tab w:leader="none" w:pos="1380" w:val="left"/>
        </w:tabs>
        <w:rPr>
          <w:sz w:val="20"/>
          <w:szCs w:val="20"/>
          <w:color w:val="auto"/>
        </w:rPr>
      </w:pPr>
      <w:r>
        <w:rPr>
          <w:rFonts w:ascii="Arial" w:cs="Arial" w:eastAsia="Arial" w:hAnsi="Arial"/>
          <w:sz w:val="17"/>
          <w:szCs w:val="17"/>
          <w:color w:val="0000FF"/>
        </w:rPr>
        <w:t>HOUSTON</w:t>
      </w:r>
      <w:r>
        <w:rPr>
          <w:sz w:val="20"/>
          <w:szCs w:val="20"/>
          <w:color w:val="auto"/>
        </w:rPr>
        <w:tab/>
      </w:r>
      <w:r>
        <w:rPr>
          <w:rFonts w:ascii="Arial" w:cs="Arial" w:eastAsia="Arial" w:hAnsi="Arial"/>
          <w:sz w:val="17"/>
          <w:szCs w:val="17"/>
          <w:color w:val="0000FF"/>
        </w:rPr>
        <w:t>TX</w:t>
      </w:r>
    </w:p>
    <w:p>
      <w:pPr>
        <w:spacing w:after="0" w:line="34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920" w:type="dxa"/>
            <w:vAlign w:val="bottom"/>
            <w:gridSpan w:val="2"/>
          </w:tcPr>
          <w:p>
            <w:pPr>
              <w:spacing w:after="0" w:line="20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PLAINS ALL AMERICAN PIPELINE LP </w:t>
              </w:r>
            </w:hyperlink>
            <w:r>
              <w:rPr>
                <w:rFonts w:ascii="Arial" w:cs="Arial" w:eastAsia="Arial" w:hAnsi="Arial"/>
                <w:sz w:val="21"/>
                <w:szCs w:val="21"/>
                <w:color w:val="000000"/>
              </w:rPr>
              <w:t>[</w:t>
            </w:r>
          </w:p>
        </w:tc>
        <w:tc>
          <w:tcPr>
            <w:tcW w:w="190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80" w:type="dxa"/>
            <w:vAlign w:val="bottom"/>
          </w:tcPr>
          <w:p>
            <w:pPr>
              <w:spacing w:after="0"/>
              <w:rPr>
                <w:sz w:val="11"/>
                <w:szCs w:val="11"/>
                <w:color w:val="auto"/>
              </w:rPr>
            </w:pPr>
          </w:p>
        </w:tc>
        <w:tc>
          <w:tcPr>
            <w:tcW w:w="366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1"/>
                <w:szCs w:val="21"/>
                <w:color w:val="000000"/>
              </w:rPr>
              <w:t>]</w:t>
            </w:r>
          </w:p>
        </w:tc>
        <w:tc>
          <w:tcPr>
            <w:tcW w:w="260" w:type="dxa"/>
            <w:vAlign w:val="bottom"/>
            <w:vMerge w:val="restart"/>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tcPr>
          <w:p>
            <w:pPr>
              <w:ind w:left="100"/>
              <w:spacing w:after="0" w:line="131" w:lineRule="exact"/>
              <w:rPr>
                <w:sz w:val="20"/>
                <w:szCs w:val="20"/>
                <w:color w:val="auto"/>
              </w:rPr>
            </w:pPr>
            <w:r>
              <w:rPr>
                <w:rFonts w:ascii="Arial" w:cs="Arial" w:eastAsia="Arial" w:hAnsi="Arial"/>
                <w:sz w:val="13"/>
                <w:szCs w:val="13"/>
                <w:color w:val="auto"/>
              </w:rPr>
              <w:t>Director</w:t>
            </w:r>
          </w:p>
        </w:tc>
        <w:tc>
          <w:tcPr>
            <w:tcW w:w="1500" w:type="dxa"/>
            <w:vAlign w:val="bottom"/>
          </w:tcPr>
          <w:p>
            <w:pPr>
              <w:ind w:left="340"/>
              <w:spacing w:after="0" w:line="13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66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8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80" w:type="dxa"/>
            <w:vAlign w:val="bottom"/>
          </w:tcPr>
          <w:p>
            <w:pPr>
              <w:spacing w:after="0"/>
              <w:rPr>
                <w:sz w:val="4"/>
                <w:szCs w:val="4"/>
                <w:color w:val="auto"/>
              </w:rPr>
            </w:pPr>
          </w:p>
        </w:tc>
        <w:tc>
          <w:tcPr>
            <w:tcW w:w="392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9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900" w:type="dxa"/>
            <w:vAlign w:val="bottom"/>
            <w:gridSpan w:val="2"/>
            <w:vMerge w:val="restart"/>
          </w:tcPr>
          <w:p>
            <w:pPr>
              <w:ind w:left="180"/>
              <w:spacing w:after="0"/>
              <w:rPr>
                <w:sz w:val="20"/>
                <w:szCs w:val="20"/>
                <w:color w:val="auto"/>
              </w:rPr>
            </w:pPr>
            <w:r>
              <w:rPr>
                <w:rFonts w:ascii="Arial" w:cs="Arial" w:eastAsia="Arial" w:hAnsi="Arial"/>
                <w:sz w:val="17"/>
                <w:szCs w:val="17"/>
                <w:color w:val="0000FF"/>
              </w:rPr>
              <w:t>EVP, General Counsel &amp; Sec.</w:t>
            </w:r>
          </w:p>
        </w:tc>
        <w:tc>
          <w:tcPr>
            <w:tcW w:w="0" w:type="dxa"/>
            <w:vAlign w:val="bottom"/>
          </w:tcPr>
          <w:p>
            <w:pPr>
              <w:spacing w:after="0"/>
              <w:rPr>
                <w:sz w:val="1"/>
                <w:szCs w:val="1"/>
                <w:color w:val="auto"/>
              </w:rPr>
            </w:pPr>
          </w:p>
        </w:tc>
      </w:tr>
      <w:tr>
        <w:trPr>
          <w:trHeight w:val="111"/>
        </w:trPr>
        <w:tc>
          <w:tcPr>
            <w:tcW w:w="3740" w:type="dxa"/>
            <w:vAlign w:val="bottom"/>
            <w:gridSpan w:val="2"/>
            <w:vMerge w:val="restart"/>
          </w:tcPr>
          <w:p>
            <w:pPr>
              <w:ind w:left="80"/>
              <w:spacing w:after="0"/>
              <w:rPr>
                <w:sz w:val="20"/>
                <w:szCs w:val="20"/>
                <w:color w:val="auto"/>
              </w:rPr>
            </w:pPr>
            <w:r>
              <w:rPr>
                <w:rFonts w:ascii="Arial" w:cs="Arial" w:eastAsia="Arial" w:hAnsi="Arial"/>
                <w:sz w:val="17"/>
                <w:szCs w:val="17"/>
                <w:color w:val="0000FF"/>
              </w:rPr>
              <w:t>08/25/2016</w:t>
            </w: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7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80" w:type="dxa"/>
            <w:vAlign w:val="bottom"/>
            <w:tcBorders>
              <w:bottom w:val="single" w:sz="8" w:color="2C2C2C"/>
            </w:tcBorders>
          </w:tcPr>
          <w:p>
            <w:pPr>
              <w:spacing w:after="0"/>
              <w:rPr>
                <w:sz w:val="11"/>
                <w:szCs w:val="11"/>
                <w:color w:val="auto"/>
              </w:rPr>
            </w:pPr>
          </w:p>
        </w:tc>
        <w:tc>
          <w:tcPr>
            <w:tcW w:w="3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34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8" w:lineRule="auto"/>
        <w:tabs>
          <w:tab w:leader="none" w:pos="46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620"/>
        <w:spacing w:after="0"/>
        <w:rPr>
          <w:sz w:val="20"/>
          <w:szCs w:val="20"/>
          <w:color w:val="auto"/>
        </w:rPr>
      </w:pPr>
      <w:r>
        <w:rPr>
          <w:rFonts w:ascii="Arial" w:cs="Arial" w:eastAsia="Arial" w:hAnsi="Arial"/>
          <w:sz w:val="13"/>
          <w:szCs w:val="13"/>
          <w:color w:val="auto"/>
        </w:rPr>
        <w:t>Form filed by More than One Reporting</w:t>
      </w:r>
    </w:p>
    <w:p>
      <w:pPr>
        <w:ind w:left="4620"/>
        <w:spacing w:after="0"/>
        <w:rPr>
          <w:sz w:val="20"/>
          <w:szCs w:val="20"/>
          <w:color w:val="auto"/>
        </w:rPr>
      </w:pPr>
      <w:r>
        <w:rPr>
          <w:rFonts w:ascii="Arial" w:cs="Arial" w:eastAsia="Arial" w:hAnsi="Arial"/>
          <w:sz w:val="13"/>
          <w:szCs w:val="13"/>
          <w:color w:val="auto"/>
        </w:rPr>
        <w:t>Person</w:t>
      </w:r>
    </w:p>
    <w:p>
      <w:pPr>
        <w:spacing w:after="0" w:line="309" w:lineRule="exact"/>
        <w:rPr>
          <w:sz w:val="24"/>
          <w:szCs w:val="24"/>
          <w:color w:val="auto"/>
        </w:rPr>
      </w:pPr>
    </w:p>
    <w:p>
      <w:pPr>
        <w:sectPr>
          <w:pgSz w:w="11900" w:h="16838" w:orient="portrait"/>
          <w:cols w:equalWidth="0" w:num="2">
            <w:col w:w="3280" w:space="72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20" w:type="dxa"/>
            <w:vAlign w:val="bottom"/>
            <w:vMerge w:val="restart"/>
          </w:tcPr>
          <w:p>
            <w:pPr>
              <w:jc w:val="right"/>
              <w:ind w:right="199"/>
              <w:spacing w:after="0"/>
              <w:rPr>
                <w:sz w:val="20"/>
                <w:szCs w:val="20"/>
                <w:color w:val="auto"/>
              </w:rPr>
            </w:pPr>
            <w:r>
              <w:rPr>
                <w:rFonts w:ascii="Arial" w:cs="Arial" w:eastAsia="Arial" w:hAnsi="Arial"/>
                <w:sz w:val="13"/>
                <w:szCs w:val="13"/>
                <w:color w:val="0000FF"/>
              </w:rPr>
              <w:t>08/25/2016</w:t>
            </w:r>
          </w:p>
        </w:tc>
        <w:tc>
          <w:tcPr>
            <w:tcW w:w="1120" w:type="dxa"/>
            <w:vAlign w:val="bottom"/>
          </w:tcPr>
          <w:p>
            <w:pPr>
              <w:spacing w:after="0"/>
              <w:rPr>
                <w:sz w:val="16"/>
                <w:szCs w:val="16"/>
                <w:color w:val="auto"/>
              </w:rPr>
            </w:pP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640" w:type="dxa"/>
            <w:vAlign w:val="bottom"/>
            <w:vMerge w:val="restart"/>
          </w:tcPr>
          <w:p>
            <w:pPr>
              <w:ind w:left="80"/>
              <w:spacing w:after="0"/>
              <w:rPr>
                <w:sz w:val="20"/>
                <w:szCs w:val="20"/>
                <w:color w:val="auto"/>
              </w:rPr>
            </w:pPr>
            <w:r>
              <w:rPr>
                <w:rFonts w:ascii="Arial" w:cs="Arial" w:eastAsia="Arial" w:hAnsi="Arial"/>
                <w:sz w:val="13"/>
                <w:szCs w:val="13"/>
                <w:color w:val="0000FF"/>
              </w:rPr>
              <w:t>138,000</w:t>
            </w:r>
          </w:p>
        </w:tc>
        <w:tc>
          <w:tcPr>
            <w:tcW w:w="240" w:type="dxa"/>
            <w:vAlign w:val="bottom"/>
          </w:tcPr>
          <w:p>
            <w:pPr>
              <w:spacing w:after="0"/>
              <w:rPr>
                <w:sz w:val="16"/>
                <w:szCs w:val="16"/>
                <w:color w:val="auto"/>
              </w:rPr>
            </w:pP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(3)(4)</w:t>
            </w:r>
          </w:p>
        </w:tc>
        <w:tc>
          <w:tcPr>
            <w:tcW w:w="740" w:type="dxa"/>
            <w:vAlign w:val="bottom"/>
            <w:vMerge w:val="restart"/>
          </w:tcPr>
          <w:p>
            <w:pPr>
              <w:jc w:val="right"/>
              <w:ind w:right="182"/>
              <w:spacing w:after="0"/>
              <w:rPr>
                <w:sz w:val="20"/>
                <w:szCs w:val="20"/>
                <w:color w:val="auto"/>
              </w:rPr>
            </w:pPr>
            <w:r>
              <w:rPr>
                <w:rFonts w:ascii="Arial" w:cs="Arial" w:eastAsia="Arial" w:hAnsi="Arial"/>
                <w:sz w:val="11"/>
                <w:szCs w:val="11"/>
                <w:color w:val="008000"/>
              </w:rPr>
              <w:t>(3)(4)</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138,000</w:t>
            </w: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ind w:left="280"/>
              <w:spacing w:after="0"/>
              <w:rPr>
                <w:sz w:val="20"/>
                <w:szCs w:val="20"/>
                <w:color w:val="auto"/>
              </w:rPr>
            </w:pPr>
            <w:r>
              <w:rPr>
                <w:rFonts w:ascii="Arial" w:cs="Arial" w:eastAsia="Arial" w:hAnsi="Arial"/>
                <w:sz w:val="13"/>
                <w:szCs w:val="13"/>
                <w:color w:val="0000FF"/>
              </w:rPr>
              <w:t>138,000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700" w:type="dxa"/>
            <w:vAlign w:val="bottom"/>
          </w:tcPr>
          <w:p>
            <w:pPr>
              <w:ind w:left="60"/>
              <w:spacing w:after="0" w:line="67"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8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tcPr>
          <w:p>
            <w:pPr>
              <w:ind w:left="180"/>
              <w:spacing w:after="0" w:line="67" w:lineRule="exact"/>
              <w:rPr>
                <w:sz w:val="20"/>
                <w:szCs w:val="20"/>
                <w:color w:val="auto"/>
              </w:rPr>
            </w:pPr>
            <w:r>
              <w:rPr>
                <w:rFonts w:ascii="Arial" w:cs="Arial" w:eastAsia="Arial" w:hAnsi="Arial"/>
                <w:sz w:val="7"/>
                <w:szCs w:val="7"/>
                <w:color w:val="0000FF"/>
              </w:rPr>
              <w:t>Units</w:t>
            </w:r>
          </w:p>
        </w:tc>
        <w:tc>
          <w:tcPr>
            <w:tcW w:w="6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 of Phantom Units under Long-Term Incentive Plan (includes associated distribution equivalent rights (payable in cash)).</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common unit is deliverable, upon vesting, for each phantom unit that vests.</w:t>
      </w:r>
    </w:p>
    <w:p>
      <w:pPr>
        <w:spacing w:after="0" w:line="49" w:lineRule="exact"/>
        <w:rPr>
          <w:rFonts w:ascii="Arial" w:cs="Arial" w:eastAsia="Arial" w:hAnsi="Arial"/>
          <w:sz w:val="13"/>
          <w:szCs w:val="13"/>
          <w:color w:val="008000"/>
        </w:rPr>
      </w:pPr>
    </w:p>
    <w:p>
      <w:pPr>
        <w:ind w:left="40" w:right="200" w:firstLine="6"/>
        <w:spacing w:after="0" w:line="242"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units will vest as follows: (i) one-third shall vest on the August 2019 distribution date, (ii) one-sixth shall vest on the August 2020 distribution date, (iii) one-sixth shall vest on the August 2021 distribution date, (iv) one-sixth shall vest on the date on which the Partnership pays an annualized quarterly distribution of at least $2.50 per unit; however, in the event the $2.50 distribution threshold is not met prior to the August 2022 distribution date, the applicable phantom units will vest on such distribution date provided that on or prior to such date, PAA shall have achieved a minimum annualized distribution rate of $2.30 per unit, and</w:t>
      </w:r>
    </w:p>
    <w:p>
      <w:pPr>
        <w:spacing w:after="0" w:line="32" w:lineRule="exact"/>
        <w:rPr>
          <w:rFonts w:ascii="Arial" w:cs="Arial" w:eastAsia="Arial" w:hAnsi="Arial"/>
          <w:sz w:val="13"/>
          <w:szCs w:val="13"/>
          <w:color w:val="008000"/>
        </w:rPr>
      </w:pPr>
    </w:p>
    <w:p>
      <w:pPr>
        <w:jc w:val="both"/>
        <w:ind w:left="40" w:right="160" w:firstLine="6"/>
        <w:spacing w:after="0" w:line="247"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 one-sixth shall vest on the date on which the Partnership pays an annualized quarterly distribution of at least $2.65 per unit; however, in the event the $2.65 distribution threshold is not met prior to the August 2022 distribution date, the applicable phantom units will vest on such distribution date provided that on or prior to such date, PAA shall have achieved a minimum annualized distribution rate of $2.30 per unit. Any phantom units that have not vested as of the August 2022 distribution date will be forfeited.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Richard K. McGee</w:t>
            </w:r>
          </w:p>
        </w:tc>
        <w:tc>
          <w:tcPr>
            <w:tcW w:w="7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08/29/2016</w:t>
            </w:r>
          </w:p>
        </w:tc>
      </w:tr>
      <w:tr>
        <w:trPr>
          <w:trHeight w:val="230"/>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0023"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2020-01-19T08:51:30Z</dcterms:created>
  <dcterms:modified xsi:type="dcterms:W3CDTF">2020-01-19T08:51:30Z</dcterms:modified>
</cp:coreProperties>
</file>