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163293z424b5.htm"/>
      <w:bookmarkStart w:id="1" w:name="ksa2163293z424b5"/>
      <w:bookmarkStart w:id="2" w:name="a2163293z424b5.htm"/>
      <w:bookmarkStart w:id="3" w:name="ksa2163293z424b5"/>
      <w:bookmarkEnd w:id="2"/>
      <w:bookmarkEnd w:id="3"/>
    </w:p>
    <w:p>
      <w:pPr>
        <w:pStyle w:val="TextBody"/>
        <w:rPr/>
      </w:pPr>
      <w:r>
        <w:rPr>
          <w:sz w:val="24"/>
        </w:rPr>
        <w:t>Use these links to rapidly review the document</w:t>
        <w:br/>
      </w:r>
      <w:hyperlink w:anchor="bg1493_table_of_contents">
        <w:r>
          <w:rPr>
            <w:rStyle w:val="InternetLink"/>
            <w:sz w:val="24"/>
          </w:rPr>
          <w:t>TABLE OF CONTENTS</w:t>
        </w:r>
      </w:hyperlink>
      <w:r>
        <w:rPr>
          <w:sz w:val="24"/>
        </w:rPr>
        <w:t xml:space="preserve"> </w:t>
        <w:br/>
      </w:r>
      <w:hyperlink w:anchor="bg1403_table_of_contents">
        <w:r>
          <w:rPr>
            <w:rStyle w:val="InternetLink"/>
            <w:sz w:val="24"/>
          </w:rPr>
          <w:t>Table of Contents</w:t>
        </w:r>
      </w:hyperlink>
    </w:p>
    <w:p>
      <w:pPr>
        <w:pStyle w:val="TextBody"/>
        <w:rPr>
          <w:b/>
          <w:sz w:val="20"/>
        </w:rPr>
      </w:pPr>
      <w:r>
        <w:rPr>
          <w:b/>
          <w:sz w:val="20"/>
        </w:rPr>
        <w:t>PROSPECTUS SUPPLEMENT</w:t>
        <w:br/>
        <w:t xml:space="preserve">(To Prospectus Dated July 22, 2005) </w:t>
      </w:r>
    </w:p>
    <w:p>
      <w:pPr>
        <w:pStyle w:val="TextBody"/>
        <w:jc w:val="center"/>
        <w:rPr/>
      </w:pPr>
      <w:r>
        <w:rPr/>
        <w:drawing>
          <wp:inline distT="0" distB="0" distL="0" distR="0">
            <wp:extent cx="2714625"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4625" cy="838200"/>
                    </a:xfrm>
                    <a:prstGeom prst="rect">
                      <a:avLst/>
                    </a:prstGeom>
                  </pic:spPr>
                </pic:pic>
              </a:graphicData>
            </a:graphic>
          </wp:inline>
        </w:drawing>
      </w:r>
      <w:r>
        <w:rPr/>
        <w:t xml:space="preserve"> </w:t>
      </w:r>
    </w:p>
    <w:p>
      <w:pPr>
        <w:pStyle w:val="TextBody"/>
        <w:jc w:val="center"/>
        <w:rPr>
          <w:b/>
          <w:sz w:val="28"/>
        </w:rPr>
      </w:pPr>
      <w:r>
        <w:rPr>
          <w:b/>
          <w:sz w:val="28"/>
        </w:rPr>
        <w:t>679,000 Common Units</w:t>
        <w:br/>
        <w:t xml:space="preserve">Representing Limited Partner Interests </w:t>
      </w:r>
    </w:p>
    <w:p>
      <w:pPr>
        <w:pStyle w:val="HorizontalLine"/>
        <w:pBdr>
          <w:bottom w:val="single" w:sz="20" w:space="0" w:color="808080"/>
        </w:pBdr>
        <w:rPr/>
      </w:pPr>
      <w:r>
        <w:rPr/>
      </w:r>
    </w:p>
    <w:p>
      <w:pPr>
        <w:pStyle w:val="TextBody"/>
        <w:rPr/>
      </w:pPr>
      <w:r>
        <w:rPr/>
        <w:t>        </w:t>
      </w:r>
      <w:r>
        <w:rPr>
          <w:sz w:val="20"/>
        </w:rPr>
        <w:t xml:space="preserve">We are offering 679,000 common units directly to two investment funds affiliated with Kayne Anderson Capital Advisors, L.P. in a privately negotiated transaction at a price of $40.512 per unit. We will receive net proceeds of approximately $28.0 million, including our general partner's proportionate capital contribution after deducting offering expenses, from this sale of our common units. </w:t>
      </w:r>
    </w:p>
    <w:p>
      <w:pPr>
        <w:pStyle w:val="HorizontalLine"/>
        <w:pBdr>
          <w:bottom w:val="single" w:sz="20" w:space="0" w:color="808080"/>
        </w:pBdr>
        <w:rPr/>
      </w:pPr>
      <w:r>
        <w:rPr/>
      </w:r>
    </w:p>
    <w:p>
      <w:pPr>
        <w:pStyle w:val="TextBody"/>
        <w:rPr/>
      </w:pPr>
      <w:r>
        <w:rPr/>
        <w:t>        </w:t>
      </w:r>
      <w:r>
        <w:rPr>
          <w:sz w:val="20"/>
        </w:rPr>
        <w:t xml:space="preserve">Our common units are listed on The New York Stock Exchange under the symbol "PAA." The last reported sale price of our common units on the New York Stock Exchange on September 22, 2005 was $42.20 per share. </w:t>
      </w:r>
    </w:p>
    <w:p>
      <w:pPr>
        <w:pStyle w:val="HorizontalLine"/>
        <w:pBdr>
          <w:bottom w:val="single" w:sz="20" w:space="0" w:color="808080"/>
        </w:pBdr>
        <w:rPr/>
      </w:pPr>
      <w:r>
        <w:rPr/>
      </w:r>
    </w:p>
    <w:p>
      <w:pPr>
        <w:pStyle w:val="TextBody"/>
        <w:rPr/>
      </w:pPr>
      <w:r>
        <w:rPr/>
        <w:t>        </w:t>
      </w:r>
      <w:r>
        <w:rPr>
          <w:b/>
          <w:sz w:val="24"/>
        </w:rPr>
        <w:t>Investing in our shares involves risks. See "Risk Factors" beginning on page S-4 of this prospectus supplement and beginning on page 5 of the accompanying prospectus.</w:t>
      </w:r>
    </w:p>
    <w:p>
      <w:pPr>
        <w:pStyle w:val="HorizontalLine"/>
        <w:pBdr>
          <w:bottom w:val="single" w:sz="20" w:space="0" w:color="808080"/>
        </w:pBdr>
        <w:rPr/>
      </w:pPr>
      <w:r>
        <w:rPr/>
      </w:r>
    </w:p>
    <w:p>
      <w:pPr>
        <w:pStyle w:val="TextBody"/>
        <w:rPr/>
      </w:pPr>
      <w:r>
        <w:rPr/>
        <w:t>        </w:t>
      </w:r>
      <w:r>
        <w:rPr>
          <w:b/>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jc w:val="center"/>
        <w:rPr>
          <w:sz w:val="20"/>
        </w:rPr>
      </w:pPr>
      <w:r>
        <w:rPr>
          <w:sz w:val="20"/>
        </w:rPr>
        <w:t xml:space="preserve">The date of this prospectus supplement is September 23, 2005. </w:t>
      </w:r>
    </w:p>
    <w:p>
      <w:pPr>
        <w:pStyle w:val="HorizontalLine"/>
        <w:pBdr>
          <w:bottom w:val="single" w:sz="20" w:space="0" w:color="808080"/>
        </w:pBdr>
        <w:rPr/>
      </w:pPr>
      <w:r>
        <w:rPr/>
      </w:r>
      <w:r>
        <w:br w:type="page"/>
      </w:r>
    </w:p>
    <w:p>
      <w:pPr>
        <w:pStyle w:val="TextBody"/>
        <w:rPr/>
      </w:pPr>
      <w:bookmarkStart w:id="4" w:name="page_bg1493_1_1"/>
      <w:bookmarkEnd w:id="4"/>
      <w:r>
        <w:rPr/>
        <w:t>        </w:t>
      </w:r>
      <w:r>
        <w:rPr>
          <w:sz w:val="20"/>
        </w:rPr>
        <w:t xml:space="preserve">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If the description of the offering varies between the prospectus supplement and the base prospectus, you should rely on the information in the prospectus supplement. </w:t>
      </w:r>
    </w:p>
    <w:p>
      <w:pPr>
        <w:pStyle w:val="TextBody"/>
        <w:rPr/>
      </w:pPr>
      <w:r>
        <w:rPr/>
        <w:t>        </w:t>
      </w:r>
      <w:r>
        <w:rPr>
          <w:sz w:val="20"/>
        </w:rPr>
        <w:t xml:space="preserve">You should rely only on the information contained in or incorporated by reference in this prospectus. We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 </w:t>
      </w:r>
    </w:p>
    <w:p>
      <w:pPr>
        <w:pStyle w:val="TextBody"/>
        <w:rPr/>
      </w:pPr>
      <w:r>
        <w:rPr/>
        <w:t>        </w:t>
      </w:r>
      <w:r>
        <w:rPr>
          <w:sz w:val="20"/>
        </w:rPr>
        <w:t xml:space="preserve">The information in this prospectus supplement is not complete. You should review carefully all of the detailed information appearing in this prospectus supplement, the accompanying prospectus and the documents we have incorporated by reference before making any investment decision. </w:t>
      </w:r>
    </w:p>
    <w:p>
      <w:pPr>
        <w:pStyle w:val="TextBody"/>
        <w:jc w:val="center"/>
        <w:rPr/>
      </w:pPr>
      <w:bookmarkStart w:id="5" w:name="bg1493_table_of_contents"/>
      <w:bookmarkEnd w:id="5"/>
      <w:r>
        <w:rPr>
          <w:sz w:val="20"/>
        </w:rPr>
        <w:br/>
      </w:r>
      <w:r>
        <w:rPr>
          <w:b/>
          <w:sz w:val="20"/>
        </w:rPr>
        <w:t xml:space="preserve">TABLE OF CONTENTS </w:t>
      </w:r>
    </w:p>
    <w:p>
      <w:pPr>
        <w:pStyle w:val="Normal"/>
        <w:spacing w:before="0" w:after="0"/>
        <w:rPr>
          <w:sz w:val="4"/>
          <w:szCs w:val="4"/>
        </w:rPr>
      </w:pPr>
      <w:r>
        <w:rPr>
          <w:sz w:val="4"/>
          <w:szCs w:val="4"/>
        </w:rPr>
      </w:r>
      <w:bookmarkStart w:id="6" w:name="BG1493_TOC"/>
      <w:bookmarkStart w:id="7" w:name="BG1493_TOC"/>
      <w:bookmarkEnd w:id="7"/>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center"/>
              <w:rPr>
                <w:b/>
                <w:sz w:val="20"/>
              </w:rPr>
            </w:pPr>
            <w:r>
              <w:rPr>
                <w:b/>
                <w:sz w:val="20"/>
              </w:rPr>
              <w:t>Prospectus Supplement</w:t>
            </w:r>
          </w:p>
        </w:tc>
      </w:tr>
      <w:tr>
        <w:trPr/>
        <w:tc>
          <w:tcPr>
            <w:tcW w:w="10205" w:type="dxa"/>
            <w:tcBorders/>
            <w:shd w:fill="auto" w:val="clear"/>
          </w:tcPr>
          <w:p>
            <w:pPr>
              <w:pStyle w:val="TableContents"/>
              <w:spacing w:before="0" w:after="283"/>
              <w:rPr/>
            </w:pPr>
            <w:hyperlink w:anchor="ca1493_plains_all_american_pipeline,_l.p.">
              <w:r>
                <w:rPr>
                  <w:rStyle w:val="InternetLink"/>
                  <w:sz w:val="20"/>
                </w:rPr>
                <w:br/>
                <w:t>Plains All American Pipeline, L.P.</w:t>
              </w:r>
            </w:hyperlink>
          </w:p>
        </w:tc>
      </w:tr>
      <w:tr>
        <w:trPr/>
        <w:tc>
          <w:tcPr>
            <w:tcW w:w="10205" w:type="dxa"/>
            <w:tcBorders/>
            <w:shd w:fill="auto" w:val="clear"/>
          </w:tcPr>
          <w:p>
            <w:pPr>
              <w:pStyle w:val="TableContents"/>
              <w:spacing w:before="0" w:after="283"/>
              <w:rPr/>
            </w:pPr>
            <w:hyperlink w:anchor="cc1493_risk_factors">
              <w:r>
                <w:rPr>
                  <w:rStyle w:val="InternetLink"/>
                  <w:sz w:val="20"/>
                </w:rPr>
                <w:t>Risk Factors</w:t>
              </w:r>
            </w:hyperlink>
          </w:p>
        </w:tc>
      </w:tr>
      <w:tr>
        <w:trPr/>
        <w:tc>
          <w:tcPr>
            <w:tcW w:w="10205" w:type="dxa"/>
            <w:tcBorders/>
            <w:shd w:fill="auto" w:val="clear"/>
          </w:tcPr>
          <w:p>
            <w:pPr>
              <w:pStyle w:val="TableContents"/>
              <w:spacing w:before="0" w:after="283"/>
              <w:rPr/>
            </w:pPr>
            <w:hyperlink w:anchor="ce1493_use_of_proceeds">
              <w:r>
                <w:rPr>
                  <w:rStyle w:val="InternetLink"/>
                  <w:sz w:val="20"/>
                </w:rPr>
                <w:t>Use of Proceeds</w:t>
              </w:r>
            </w:hyperlink>
          </w:p>
        </w:tc>
      </w:tr>
      <w:tr>
        <w:trPr/>
        <w:tc>
          <w:tcPr>
            <w:tcW w:w="10205" w:type="dxa"/>
            <w:tcBorders/>
            <w:shd w:fill="auto" w:val="clear"/>
          </w:tcPr>
          <w:p>
            <w:pPr>
              <w:pStyle w:val="TableContents"/>
              <w:spacing w:before="0" w:after="283"/>
              <w:rPr/>
            </w:pPr>
            <w:hyperlink w:anchor="ce1493_price_range_of_common_units_and_distributions">
              <w:r>
                <w:rPr>
                  <w:rStyle w:val="InternetLink"/>
                  <w:sz w:val="20"/>
                </w:rPr>
                <w:t>Price Range of Common Units and Distributions</w:t>
              </w:r>
            </w:hyperlink>
          </w:p>
        </w:tc>
      </w:tr>
      <w:tr>
        <w:trPr/>
        <w:tc>
          <w:tcPr>
            <w:tcW w:w="10205" w:type="dxa"/>
            <w:tcBorders/>
            <w:shd w:fill="auto" w:val="clear"/>
          </w:tcPr>
          <w:p>
            <w:pPr>
              <w:pStyle w:val="TableContents"/>
              <w:spacing w:before="0" w:after="283"/>
              <w:rPr/>
            </w:pPr>
            <w:hyperlink w:anchor="ce1493_plan_of_distribution">
              <w:r>
                <w:rPr>
                  <w:rStyle w:val="InternetLink"/>
                  <w:sz w:val="20"/>
                </w:rPr>
                <w:t>Plan of Distribution</w:t>
              </w:r>
            </w:hyperlink>
          </w:p>
        </w:tc>
      </w:tr>
      <w:tr>
        <w:trPr/>
        <w:tc>
          <w:tcPr>
            <w:tcW w:w="10205" w:type="dxa"/>
            <w:tcBorders/>
            <w:shd w:fill="auto" w:val="clear"/>
          </w:tcPr>
          <w:p>
            <w:pPr>
              <w:pStyle w:val="TableContents"/>
              <w:spacing w:before="0" w:after="283"/>
              <w:rPr/>
            </w:pPr>
            <w:hyperlink w:anchor="cg1493_where_you_can_find_more_information">
              <w:r>
                <w:rPr>
                  <w:rStyle w:val="InternetLink"/>
                  <w:sz w:val="20"/>
                </w:rPr>
                <w:t>Where You Can Find Information</w:t>
              </w:r>
            </w:hyperlink>
          </w:p>
        </w:tc>
      </w:tr>
      <w:tr>
        <w:trPr/>
        <w:tc>
          <w:tcPr>
            <w:tcW w:w="10205" w:type="dxa"/>
            <w:tcBorders/>
            <w:shd w:fill="auto" w:val="clear"/>
          </w:tcPr>
          <w:p>
            <w:pPr>
              <w:pStyle w:val="TableContents"/>
              <w:spacing w:before="0" w:after="283"/>
              <w:rPr/>
            </w:pPr>
            <w:hyperlink w:anchor="cg1493_forward-looking_statements">
              <w:r>
                <w:rPr>
                  <w:rStyle w:val="InternetLink"/>
                  <w:sz w:val="20"/>
                </w:rPr>
                <w:t>Forward-Looking Statements</w:t>
              </w:r>
            </w:hyperlink>
          </w:p>
        </w:tc>
      </w:tr>
      <w:tr>
        <w:trPr/>
        <w:tc>
          <w:tcPr>
            <w:tcW w:w="10205" w:type="dxa"/>
            <w:tcBorders/>
            <w:shd w:fill="auto" w:val="clear"/>
          </w:tcPr>
          <w:p>
            <w:pPr>
              <w:pStyle w:val="TableContents"/>
              <w:spacing w:before="0" w:after="283"/>
              <w:jc w:val="center"/>
              <w:rPr/>
            </w:pPr>
            <w:r>
              <w:rPr/>
              <w:br/>
            </w:r>
            <w:r>
              <w:rPr>
                <w:b/>
                <w:sz w:val="20"/>
              </w:rPr>
              <w:t>Prospectus</w:t>
            </w:r>
          </w:p>
        </w:tc>
      </w:tr>
      <w:tr>
        <w:trPr/>
        <w:tc>
          <w:tcPr>
            <w:tcW w:w="10205" w:type="dxa"/>
            <w:tcBorders/>
            <w:shd w:fill="auto" w:val="clear"/>
          </w:tcPr>
          <w:p>
            <w:pPr>
              <w:pStyle w:val="TableContents"/>
              <w:spacing w:before="0" w:after="283"/>
              <w:rPr/>
            </w:pPr>
            <w:hyperlink w:anchor="bg1403_about_this_prospectus">
              <w:r>
                <w:rPr>
                  <w:rStyle w:val="InternetLink"/>
                  <w:sz w:val="20"/>
                </w:rPr>
                <w:br/>
                <w:t>About this Prospectus</w:t>
              </w:r>
            </w:hyperlink>
          </w:p>
        </w:tc>
      </w:tr>
      <w:tr>
        <w:trPr/>
        <w:tc>
          <w:tcPr>
            <w:tcW w:w="10205" w:type="dxa"/>
            <w:tcBorders/>
            <w:shd w:fill="auto" w:val="clear"/>
          </w:tcPr>
          <w:p>
            <w:pPr>
              <w:pStyle w:val="TableContents"/>
              <w:spacing w:before="0" w:after="283"/>
              <w:rPr/>
            </w:pPr>
            <w:hyperlink w:anchor="de1403_where_you_can_find_more_information">
              <w:r>
                <w:rPr>
                  <w:rStyle w:val="InternetLink"/>
                  <w:sz w:val="20"/>
                </w:rPr>
                <w:t>Where You Can Find Information</w:t>
              </w:r>
            </w:hyperlink>
          </w:p>
        </w:tc>
      </w:tr>
      <w:tr>
        <w:trPr/>
        <w:tc>
          <w:tcPr>
            <w:tcW w:w="10205" w:type="dxa"/>
            <w:tcBorders/>
            <w:shd w:fill="auto" w:val="clear"/>
          </w:tcPr>
          <w:p>
            <w:pPr>
              <w:pStyle w:val="TableContents"/>
              <w:spacing w:before="0" w:after="283"/>
              <w:rPr/>
            </w:pPr>
            <w:hyperlink w:anchor="de1403_forward-looking_statements">
              <w:r>
                <w:rPr>
                  <w:rStyle w:val="InternetLink"/>
                  <w:sz w:val="20"/>
                </w:rPr>
                <w:t>Forward-Looking Statements</w:t>
              </w:r>
            </w:hyperlink>
          </w:p>
        </w:tc>
      </w:tr>
      <w:tr>
        <w:trPr/>
        <w:tc>
          <w:tcPr>
            <w:tcW w:w="10205" w:type="dxa"/>
            <w:tcBorders/>
            <w:shd w:fill="auto" w:val="clear"/>
          </w:tcPr>
          <w:p>
            <w:pPr>
              <w:pStyle w:val="TableContents"/>
              <w:spacing w:before="0" w:after="283"/>
              <w:rPr/>
            </w:pPr>
            <w:hyperlink w:anchor="de1403_who_we_are">
              <w:r>
                <w:rPr>
                  <w:rStyle w:val="InternetLink"/>
                  <w:sz w:val="20"/>
                </w:rPr>
                <w:t>Who We Are</w:t>
              </w:r>
            </w:hyperlink>
          </w:p>
        </w:tc>
      </w:tr>
      <w:tr>
        <w:trPr/>
        <w:tc>
          <w:tcPr>
            <w:tcW w:w="10205" w:type="dxa"/>
            <w:tcBorders/>
            <w:shd w:fill="auto" w:val="clear"/>
          </w:tcPr>
          <w:p>
            <w:pPr>
              <w:pStyle w:val="TableContents"/>
              <w:spacing w:before="0" w:after="283"/>
              <w:rPr/>
            </w:pPr>
            <w:hyperlink w:anchor="de1403_risk_factors">
              <w:r>
                <w:rPr>
                  <w:rStyle w:val="InternetLink"/>
                  <w:sz w:val="20"/>
                </w:rPr>
                <w:t>Risk Factors</w:t>
              </w:r>
            </w:hyperlink>
          </w:p>
        </w:tc>
      </w:tr>
      <w:tr>
        <w:trPr/>
        <w:tc>
          <w:tcPr>
            <w:tcW w:w="10205" w:type="dxa"/>
            <w:tcBorders/>
            <w:shd w:fill="auto" w:val="clear"/>
          </w:tcPr>
          <w:p>
            <w:pPr>
              <w:pStyle w:val="TableContents"/>
              <w:spacing w:before="0" w:after="283"/>
              <w:rPr/>
            </w:pPr>
            <w:hyperlink w:anchor="dg1403_use_of_proceeds">
              <w:r>
                <w:rPr>
                  <w:rStyle w:val="InternetLink"/>
                  <w:sz w:val="20"/>
                </w:rPr>
                <w:t>Use of Proceeds</w:t>
              </w:r>
            </w:hyperlink>
          </w:p>
        </w:tc>
      </w:tr>
      <w:tr>
        <w:trPr/>
        <w:tc>
          <w:tcPr>
            <w:tcW w:w="10205" w:type="dxa"/>
            <w:tcBorders/>
            <w:shd w:fill="auto" w:val="clear"/>
          </w:tcPr>
          <w:p>
            <w:pPr>
              <w:pStyle w:val="TableContents"/>
              <w:spacing w:before="0" w:after="283"/>
              <w:rPr/>
            </w:pPr>
            <w:hyperlink w:anchor="dg1403_ratio_of_earnings_to_fixed_charges">
              <w:r>
                <w:rPr>
                  <w:rStyle w:val="InternetLink"/>
                  <w:sz w:val="20"/>
                </w:rPr>
                <w:t>Ratios of Earnings to Fixed Charges</w:t>
              </w:r>
            </w:hyperlink>
          </w:p>
        </w:tc>
      </w:tr>
      <w:tr>
        <w:trPr/>
        <w:tc>
          <w:tcPr>
            <w:tcW w:w="10205" w:type="dxa"/>
            <w:tcBorders/>
            <w:shd w:fill="auto" w:val="clear"/>
          </w:tcPr>
          <w:p>
            <w:pPr>
              <w:pStyle w:val="TableContents"/>
              <w:spacing w:before="0" w:after="283"/>
              <w:rPr/>
            </w:pPr>
            <w:hyperlink w:anchor="dg1403_description_of_our_debt_securities">
              <w:r>
                <w:rPr>
                  <w:rStyle w:val="InternetLink"/>
                  <w:sz w:val="20"/>
                </w:rPr>
                <w:t>Description of Our Debt Securities</w:t>
              </w:r>
            </w:hyperlink>
          </w:p>
        </w:tc>
      </w:tr>
      <w:tr>
        <w:trPr/>
        <w:tc>
          <w:tcPr>
            <w:tcW w:w="10205" w:type="dxa"/>
            <w:tcBorders/>
            <w:shd w:fill="auto" w:val="clear"/>
          </w:tcPr>
          <w:p>
            <w:pPr>
              <w:pStyle w:val="TableContents"/>
              <w:spacing w:before="0" w:after="283"/>
              <w:rPr/>
            </w:pPr>
            <w:hyperlink w:anchor="di1403_description_of_our_common_units">
              <w:r>
                <w:rPr>
                  <w:rStyle w:val="InternetLink"/>
                  <w:sz w:val="20"/>
                </w:rPr>
                <w:t>Description of Our Common Units</w:t>
              </w:r>
            </w:hyperlink>
          </w:p>
        </w:tc>
      </w:tr>
      <w:tr>
        <w:trPr/>
        <w:tc>
          <w:tcPr>
            <w:tcW w:w="10205" w:type="dxa"/>
            <w:tcBorders/>
            <w:shd w:fill="auto" w:val="clear"/>
          </w:tcPr>
          <w:p>
            <w:pPr>
              <w:pStyle w:val="TableContents"/>
              <w:spacing w:before="0" w:after="283"/>
              <w:rPr/>
            </w:pPr>
            <w:hyperlink w:anchor="di1403_cash_distribution_policy">
              <w:r>
                <w:rPr>
                  <w:rStyle w:val="InternetLink"/>
                  <w:sz w:val="20"/>
                </w:rPr>
                <w:t>Cash Distribution Policy</w:t>
              </w:r>
            </w:hyperlink>
          </w:p>
        </w:tc>
      </w:tr>
      <w:tr>
        <w:trPr/>
        <w:tc>
          <w:tcPr>
            <w:tcW w:w="10205" w:type="dxa"/>
            <w:tcBorders/>
            <w:shd w:fill="auto" w:val="clear"/>
          </w:tcPr>
          <w:p>
            <w:pPr>
              <w:pStyle w:val="TableContents"/>
              <w:spacing w:before="0" w:after="283"/>
              <w:rPr/>
            </w:pPr>
            <w:hyperlink w:anchor="di1403_description_of_our_partnership_agreement">
              <w:r>
                <w:rPr>
                  <w:rStyle w:val="InternetLink"/>
                  <w:sz w:val="20"/>
                </w:rPr>
                <w:t>Description of Our Partnership Agreement</w:t>
              </w:r>
            </w:hyperlink>
          </w:p>
        </w:tc>
      </w:tr>
      <w:tr>
        <w:trPr/>
        <w:tc>
          <w:tcPr>
            <w:tcW w:w="10205" w:type="dxa"/>
            <w:tcBorders/>
            <w:shd w:fill="auto" w:val="clear"/>
          </w:tcPr>
          <w:p>
            <w:pPr>
              <w:pStyle w:val="TableContents"/>
              <w:spacing w:before="0" w:after="283"/>
              <w:rPr/>
            </w:pPr>
            <w:hyperlink w:anchor="dk1403_tax_considerations">
              <w:r>
                <w:rPr>
                  <w:rStyle w:val="InternetLink"/>
                  <w:sz w:val="20"/>
                </w:rPr>
                <w:t>Tax Considerations</w:t>
              </w:r>
            </w:hyperlink>
          </w:p>
        </w:tc>
      </w:tr>
      <w:tr>
        <w:trPr/>
        <w:tc>
          <w:tcPr>
            <w:tcW w:w="10205" w:type="dxa"/>
            <w:tcBorders/>
            <w:shd w:fill="auto" w:val="clear"/>
          </w:tcPr>
          <w:p>
            <w:pPr>
              <w:pStyle w:val="TableContents"/>
              <w:spacing w:before="0" w:after="283"/>
              <w:rPr/>
            </w:pPr>
            <w:hyperlink w:anchor="dm1403_plan_of_distribution">
              <w:r>
                <w:rPr>
                  <w:rStyle w:val="InternetLink"/>
                  <w:sz w:val="20"/>
                </w:rPr>
                <w:t>Plan of Distribution</w:t>
              </w:r>
            </w:hyperlink>
          </w:p>
        </w:tc>
      </w:tr>
      <w:tr>
        <w:trPr/>
        <w:tc>
          <w:tcPr>
            <w:tcW w:w="10205" w:type="dxa"/>
            <w:tcBorders/>
            <w:shd w:fill="auto" w:val="clear"/>
          </w:tcPr>
          <w:p>
            <w:pPr>
              <w:pStyle w:val="TableContents"/>
              <w:spacing w:before="0" w:after="283"/>
              <w:rPr/>
            </w:pPr>
            <w:hyperlink w:anchor="dm1403_legal_matters">
              <w:r>
                <w:rPr>
                  <w:rStyle w:val="InternetLink"/>
                  <w:sz w:val="20"/>
                </w:rPr>
                <w:t>Legal Matters</w:t>
              </w:r>
            </w:hyperlink>
          </w:p>
        </w:tc>
      </w:tr>
      <w:tr>
        <w:trPr/>
        <w:tc>
          <w:tcPr>
            <w:tcW w:w="10205" w:type="dxa"/>
            <w:tcBorders/>
            <w:shd w:fill="auto" w:val="clear"/>
          </w:tcPr>
          <w:p>
            <w:pPr>
              <w:pStyle w:val="TableContents"/>
              <w:spacing w:before="0" w:after="283"/>
              <w:rPr/>
            </w:pPr>
            <w:hyperlink w:anchor="dm1403_experts">
              <w:r>
                <w:rPr>
                  <w:rStyle w:val="InternetLink"/>
                  <w:sz w:val="20"/>
                </w:rPr>
                <w:t>Experts</w:t>
              </w:r>
            </w:hyperlink>
          </w:p>
        </w:tc>
      </w:tr>
    </w:tbl>
    <w:p>
      <w:pPr>
        <w:pStyle w:val="TextBody"/>
        <w:jc w:val="center"/>
        <w:rPr>
          <w:sz w:val="20"/>
        </w:rPr>
      </w:pPr>
      <w:r>
        <w:rPr>
          <w:sz w:val="20"/>
        </w:rPr>
        <w:t>i</w:t>
      </w:r>
    </w:p>
    <w:p>
      <w:pPr>
        <w:pStyle w:val="HorizontalLine"/>
        <w:pBdr>
          <w:bottom w:val="single" w:sz="20" w:space="0" w:color="808080"/>
        </w:pBdr>
        <w:rPr/>
      </w:pPr>
      <w:r>
        <w:rPr/>
      </w:r>
      <w:r>
        <w:br w:type="page"/>
      </w:r>
    </w:p>
    <w:p>
      <w:pPr>
        <w:pStyle w:val="TextBody"/>
        <w:jc w:val="center"/>
        <w:rPr/>
      </w:pPr>
      <w:bookmarkStart w:id="8" w:name="toc_ca1493_1"/>
      <w:bookmarkStart w:id="9" w:name="ca1493_plains_all_american_pipeline,_l.p"/>
      <w:bookmarkStart w:id="10" w:name="page_ca1493_1_1"/>
      <w:bookmarkEnd w:id="8"/>
      <w:bookmarkEnd w:id="9"/>
      <w:bookmarkEnd w:id="10"/>
      <w:r>
        <w:rPr>
          <w:sz w:val="20"/>
        </w:rPr>
        <w:br/>
      </w:r>
      <w:r>
        <w:rPr>
          <w:b/>
          <w:sz w:val="20"/>
        </w:rPr>
        <w:t xml:space="preserve">PLAINS ALL AMERICAN PIPELINE, L.P. </w:t>
      </w:r>
    </w:p>
    <w:p>
      <w:pPr>
        <w:pStyle w:val="TextBody"/>
        <w:rPr/>
      </w:pPr>
      <w:r>
        <w:rPr/>
        <w:t>        </w:t>
      </w:r>
      <w:r>
        <w:rPr>
          <w:sz w:val="20"/>
        </w:rPr>
        <w:t xml:space="preserve">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w:t>
      </w:r>
    </w:p>
    <w:p>
      <w:pPr>
        <w:pStyle w:val="TextBody"/>
        <w:rPr/>
      </w:pPr>
      <w:r>
        <w:rPr/>
        <w:t>        </w:t>
      </w:r>
      <w:r>
        <w:rPr>
          <w:sz w:val="20"/>
        </w:rPr>
        <w:t xml:space="preserve">Our operations can be categorized into two primary business activities: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pPr>
      <w:r>
        <w:rPr>
          <w:b/>
          <w:i/>
          <w:sz w:val="20"/>
        </w:rPr>
        <w:t>Crude Oil Pipeline Transportation Operations.</w:t>
      </w:r>
      <w:r>
        <w:rPr/>
        <w:t>    </w:t>
      </w:r>
      <w:r>
        <w:rPr>
          <w:sz w:val="20"/>
        </w:rPr>
        <w:t xml:space="preserve">As of June 30, 2005, we owned approximately 15,000 miles of active gathering and mainline crude oil pipelines located throughout the United States and Canada, of which 13,000 miles are included in our pipeline segment. Our activities from pipeline operations generally consist of transporting crude oil for a fee, third party leases of pipeline capacity, barrel exchanges and buy/sell arrangements.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pPr>
      <w:r>
        <w:rPr>
          <w:b/>
          <w:i/>
          <w:sz w:val="20"/>
        </w:rPr>
        <w:t>Gathering, Marketing, Terminalling and Storage Operations.</w:t>
      </w:r>
      <w:r>
        <w:rPr/>
        <w:t>    </w:t>
      </w:r>
      <w:r>
        <w:rPr>
          <w:sz w:val="20"/>
        </w:rPr>
        <w:t xml:space="preserve">As of June 30, 2005, we owned and operated approximately 37.0 million barrels of above ground crude oil terminalling and storage facilities, including approximately 23 million barrels of tankage that are associated with our pipeline operations within our pipeline segment. These facilities include a crude oil terminalling and storage facility at Cushing, Oklahoma. Cushing, which we refer to in this prospectus supplement as the Cushing Interchange, is one of the largest crude oil market hubs in the United States and the designated delivery point for New York Mercantile Exchange ("NYMEX") crude oil futures contracts. We also utilize our storage tanks to counter cyclically balance our gathering and marketing operations and to execute different hedging strategies to stabilize profits and reduce the negative impact of crude oil market volatility. Our terminalling and storage operations generate revenue through a combination of storage and throughput charges to third parties. We also own approximately 1.8 million barrels of LPG storage. Our gathering and marketing operations include: </w:t>
      </w:r>
    </w:p>
    <w:p>
      <w:pPr>
        <w:pStyle w:val="ListHeading"/>
        <w:numPr>
          <w:ilvl w:val="0"/>
          <w:numId w:val="0"/>
        </w:numPr>
        <w:spacing w:before="0" w:after="0"/>
        <w:ind w:left="1274" w:right="0" w:hanging="0"/>
        <w:rPr>
          <w:sz w:val="20"/>
        </w:rPr>
      </w:pPr>
      <w:r>
        <w:rPr>
          <w:sz w:val="20"/>
        </w:rPr>
        <w:t></w:t>
      </w:r>
    </w:p>
    <w:p>
      <w:pPr>
        <w:pStyle w:val="ListContents"/>
        <w:numPr>
          <w:ilvl w:val="0"/>
          <w:numId w:val="0"/>
        </w:numPr>
        <w:spacing w:before="0" w:after="283"/>
        <w:ind w:left="1841" w:right="0" w:hanging="0"/>
        <w:rPr>
          <w:sz w:val="20"/>
        </w:rPr>
      </w:pPr>
      <w:r>
        <w:rPr>
          <w:sz w:val="20"/>
        </w:rPr>
        <w:t xml:space="preserve">the purchase of crude oil at the wellhead and the bulk purchase of crude oil at pipeline and terminal facilities as well as foreign cargoes; </w:t>
      </w:r>
    </w:p>
    <w:p>
      <w:pPr>
        <w:pStyle w:val="ListHeading"/>
        <w:numPr>
          <w:ilvl w:val="0"/>
          <w:numId w:val="0"/>
        </w:numPr>
        <w:spacing w:before="0" w:after="0"/>
        <w:ind w:left="1274" w:right="0" w:hanging="0"/>
        <w:rPr>
          <w:sz w:val="20"/>
        </w:rPr>
      </w:pPr>
      <w:r>
        <w:rPr>
          <w:sz w:val="20"/>
        </w:rPr>
        <w:t></w:t>
      </w:r>
    </w:p>
    <w:p>
      <w:pPr>
        <w:pStyle w:val="ListContents"/>
        <w:numPr>
          <w:ilvl w:val="0"/>
          <w:numId w:val="0"/>
        </w:numPr>
        <w:spacing w:before="0" w:after="283"/>
        <w:ind w:left="1841" w:right="0" w:hanging="0"/>
        <w:rPr>
          <w:sz w:val="20"/>
        </w:rPr>
      </w:pPr>
      <w:r>
        <w:rPr>
          <w:sz w:val="20"/>
        </w:rPr>
        <w:t xml:space="preserve">the transportation of crude oil on trucks, barges and pipelines; </w:t>
      </w:r>
    </w:p>
    <w:p>
      <w:pPr>
        <w:pStyle w:val="ListHeading"/>
        <w:numPr>
          <w:ilvl w:val="0"/>
          <w:numId w:val="0"/>
        </w:numPr>
        <w:spacing w:before="0" w:after="0"/>
        <w:ind w:left="1274" w:right="0" w:hanging="0"/>
        <w:rPr>
          <w:sz w:val="20"/>
        </w:rPr>
      </w:pPr>
      <w:r>
        <w:rPr>
          <w:sz w:val="20"/>
        </w:rPr>
        <w:t></w:t>
      </w:r>
    </w:p>
    <w:p>
      <w:pPr>
        <w:pStyle w:val="ListContents"/>
        <w:numPr>
          <w:ilvl w:val="0"/>
          <w:numId w:val="0"/>
        </w:numPr>
        <w:spacing w:before="0" w:after="283"/>
        <w:ind w:left="1841" w:right="0" w:hanging="0"/>
        <w:rPr>
          <w:sz w:val="20"/>
        </w:rPr>
      </w:pPr>
      <w:r>
        <w:rPr>
          <w:sz w:val="20"/>
        </w:rPr>
        <w:t xml:space="preserve">the subsequent resale or exchange of crude oil at various points along the crude oil distribution chain; and </w:t>
      </w:r>
    </w:p>
    <w:p>
      <w:pPr>
        <w:pStyle w:val="ListHeading"/>
        <w:numPr>
          <w:ilvl w:val="0"/>
          <w:numId w:val="0"/>
        </w:numPr>
        <w:spacing w:before="0" w:after="0"/>
        <w:ind w:left="1274" w:right="0" w:hanging="0"/>
        <w:rPr>
          <w:sz w:val="20"/>
        </w:rPr>
      </w:pPr>
      <w:r>
        <w:rPr>
          <w:sz w:val="20"/>
        </w:rPr>
        <w:t></w:t>
      </w:r>
    </w:p>
    <w:p>
      <w:pPr>
        <w:pStyle w:val="ListContents"/>
        <w:numPr>
          <w:ilvl w:val="0"/>
          <w:numId w:val="0"/>
        </w:numPr>
        <w:spacing w:before="0" w:after="283"/>
        <w:ind w:left="1841" w:right="0" w:hanging="0"/>
        <w:rPr>
          <w:sz w:val="20"/>
        </w:rPr>
      </w:pPr>
      <w:r>
        <w:rPr>
          <w:sz w:val="20"/>
        </w:rPr>
        <w:t xml:space="preserve">the purchase of LPG from producers, refiners and other marketers, the storage of LPG at storage facilities owned by us or third parties and the sale of LPG to wholesalers, retailers and industrial end users. </w:t>
      </w:r>
    </w:p>
    <w:p>
      <w:pPr>
        <w:pStyle w:val="TextBody"/>
        <w:rPr/>
      </w:pPr>
      <w:r>
        <w:rPr/>
        <w:t>        </w:t>
      </w:r>
      <w:r>
        <w:rPr>
          <w:sz w:val="20"/>
        </w:rPr>
        <w:t xml:space="preserve">On September 14, 2005, PAA/Vulcan Gas Storage, LLC ("Plains/Vulcan"), a joint venture in which we own 50%, acquired Energy Center Investments ("ECI"), an indirect subsidiary of Sempra Energy that operates and develops natural gas storage facilities. See "Recent DevelopmentsAcquisition of Natural Gas Storage Facilities." </w:t>
      </w:r>
    </w:p>
    <w:p>
      <w:pPr>
        <w:pStyle w:val="TextBody"/>
        <w:rPr>
          <w:b/>
          <w:sz w:val="20"/>
        </w:rPr>
      </w:pPr>
      <w:r>
        <w:rPr>
          <w:b/>
          <w:sz w:val="20"/>
        </w:rPr>
        <w:t xml:space="preserve">Recent Developments </w:t>
      </w:r>
    </w:p>
    <w:p>
      <w:pPr>
        <w:pStyle w:val="TextBody"/>
        <w:rPr>
          <w:i/>
          <w:sz w:val="20"/>
        </w:rPr>
      </w:pPr>
      <w:r>
        <w:rPr>
          <w:i/>
          <w:sz w:val="20"/>
        </w:rPr>
        <w:t xml:space="preserve">Acquisition of Natural Gas Storage Facilities </w:t>
      </w:r>
    </w:p>
    <w:p>
      <w:pPr>
        <w:pStyle w:val="TextBody"/>
        <w:rPr/>
      </w:pPr>
      <w:r>
        <w:rPr/>
        <w:t>        </w:t>
      </w:r>
      <w:r>
        <w:rPr>
          <w:sz w:val="20"/>
        </w:rPr>
        <w:t xml:space="preserve">On September 14, 2005, Plains/Vulcan completed the acquisition of all of the equity interests of ECI, an indirect subsidiary of Sempra Energy that develops and operates underground natural gas storage facilities. Plains/Vulcan is owned 50% by us and 50% by a subsidiary of Vulcan Capital, the investment arm of Paul G. Allen ("Vulcan Capital"). The total purchase price, excluding transaction </w:t>
      </w:r>
    </w:p>
    <w:p>
      <w:pPr>
        <w:pStyle w:val="TextBody"/>
        <w:jc w:val="center"/>
        <w:rPr>
          <w:sz w:val="20"/>
        </w:rPr>
      </w:pPr>
      <w:r>
        <w:rPr>
          <w:sz w:val="20"/>
        </w:rPr>
        <w:t>S-1</w:t>
      </w:r>
    </w:p>
    <w:p>
      <w:pPr>
        <w:pStyle w:val="HorizontalLine"/>
        <w:pBdr>
          <w:bottom w:val="single" w:sz="20" w:space="0" w:color="808080"/>
        </w:pBdr>
        <w:rPr/>
      </w:pPr>
      <w:r>
        <w:rPr/>
      </w:r>
      <w:r>
        <w:br w:type="page"/>
      </w:r>
    </w:p>
    <w:p>
      <w:pPr>
        <w:pStyle w:val="TextBody"/>
        <w:rPr/>
      </w:pPr>
      <w:r>
        <w:rPr/>
      </w:r>
      <w:bookmarkStart w:id="11" w:name="page_ca1493_1_2"/>
      <w:bookmarkStart w:id="12" w:name="page_ca1493_1_2"/>
      <w:bookmarkEnd w:id="12"/>
    </w:p>
    <w:p>
      <w:pPr>
        <w:pStyle w:val="TextBody"/>
        <w:rPr>
          <w:sz w:val="20"/>
        </w:rPr>
      </w:pPr>
      <w:r>
        <w:rPr>
          <w:sz w:val="20"/>
        </w:rPr>
        <w:t xml:space="preserve">costs, for the ECI equity interests was approximately $250 million. Plains/Vulcan anticipates that it will make additional expenditures of approximately $260 million over the next several years to complete a project under construction. Plains/Vulcan anticipates entering into a credit facility to cover a portion of these costs and base gas requirements. </w:t>
      </w:r>
    </w:p>
    <w:p>
      <w:pPr>
        <w:pStyle w:val="TextBody"/>
        <w:rPr/>
      </w:pPr>
      <w:r>
        <w:rPr/>
        <w:t>        </w:t>
      </w:r>
      <w:r>
        <w:rPr>
          <w:sz w:val="20"/>
        </w:rPr>
        <w:t xml:space="preserve">We and Vulcan Capital each made an initial cash investment of $112.5 million ($225 million in the aggregate to Plains/Vulcan), and a subsidiary of Plains/Vulcan placed a $90 million credit facility contemporaneously with closing. Our portion of the purchase price was funded with a combination of the $112.5 million cash investment, borrowed under our senior unsecured revolving credit facility, and our indirect share of the borrowings under the Plains/Vulcan subsidiary-level credit facility, with excess funds from such sources used for closing costs and future liquidity. </w:t>
      </w:r>
    </w:p>
    <w:p>
      <w:pPr>
        <w:pStyle w:val="TextBody"/>
        <w:rPr/>
      </w:pPr>
      <w:r>
        <w:rPr/>
        <w:t>        </w:t>
      </w:r>
      <w:r>
        <w:rPr>
          <w:sz w:val="20"/>
        </w:rPr>
        <w:t xml:space="preserve">ECI's principal assets consist of (i) Bluewater Gas Storage, an operating natural gas storage facility in Michigan with current natural gas storage working capacity of approximately 20 Bcf; (ii) Pine Prairie Energy Center ("Pine Prairie"), a 24 Bcf salt dome natural gas storage facility under development in Louisiana; and (iii) other similar projects and opportunities under various stages of review and evaluation. </w:t>
      </w:r>
    </w:p>
    <w:p>
      <w:pPr>
        <w:pStyle w:val="TextBody"/>
        <w:rPr/>
      </w:pPr>
      <w:r>
        <w:rPr/>
        <w:t>        </w:t>
      </w:r>
      <w:r>
        <w:rPr>
          <w:sz w:val="20"/>
        </w:rPr>
        <w:t xml:space="preserve">Based on current estimates, we expect the initial capital requirements associated with our proportionate ownership of Plains/Vulcan to be approximately $255 million, which includes our initial cash payment of $112.5 million and our indirect share of the Plains/Vulcan subsidiary-level credit facility, as well as future capital contributions. Actual costs may differ materially from current estimates because of factors beyond our control such as shortages or cost increases of power supplies, materials or labor (including the direct and indirect effects of Hurricanes Katrina and Rita on the availability of materials, the cost of natural gas and the demand for oil-field services). </w:t>
      </w:r>
    </w:p>
    <w:p>
      <w:pPr>
        <w:pStyle w:val="TextBody"/>
        <w:rPr/>
      </w:pPr>
      <w:r>
        <w:rPr/>
        <w:t>        </w:t>
      </w:r>
      <w:r>
        <w:rPr>
          <w:sz w:val="20"/>
        </w:rPr>
        <w:t xml:space="preserve">The Board of Directors of Plains/Vulcan, which will include an equal number of representatives from us and Vulcan Capital, will be responsible for providing strategic direction and policy-making, and we will be responsible for the day-to-day operations of Plains/Vulcan. </w:t>
      </w:r>
    </w:p>
    <w:p>
      <w:pPr>
        <w:pStyle w:val="TextBody"/>
        <w:rPr/>
      </w:pPr>
      <w:r>
        <w:rPr/>
        <w:t>        </w:t>
      </w:r>
      <w:r>
        <w:rPr>
          <w:sz w:val="20"/>
        </w:rPr>
        <w:t xml:space="preserve">Through its affiliates, Vulcan Capital owns approximately 54% of our general partner and approximately 20% of our outstanding common units. </w:t>
      </w:r>
    </w:p>
    <w:p>
      <w:pPr>
        <w:pStyle w:val="TextBody"/>
        <w:rPr>
          <w:i/>
          <w:sz w:val="20"/>
        </w:rPr>
      </w:pPr>
      <w:r>
        <w:rPr>
          <w:i/>
          <w:sz w:val="20"/>
        </w:rPr>
        <w:t xml:space="preserve">Concurrent Issuance of Common Units </w:t>
      </w:r>
    </w:p>
    <w:p>
      <w:pPr>
        <w:pStyle w:val="TextBody"/>
        <w:rPr/>
      </w:pPr>
      <w:r>
        <w:rPr/>
        <w:t>        </w:t>
      </w:r>
      <w:r>
        <w:rPr>
          <w:sz w:val="20"/>
        </w:rPr>
        <w:t xml:space="preserve">Immediately prior to the closing of this offering, we have agreed to issue 4,500,000 common units pursuant to our existing shelf registration statement in an underwritten public offering (the "Concurrent Sale"). We expect to receive approximately $185.9 million of net proceeds, including our general partner's proportionate capital contribution after deducting estimated offering expenses, from the Concurrent Sale. The Concurrent Sale is not conditioned on the consummation of this offering of common units, but the consummation of this offering of common units to you is conditioned upon consummation of the Concurrent Sale. </w:t>
      </w:r>
    </w:p>
    <w:p>
      <w:pPr>
        <w:pStyle w:val="TextBody"/>
        <w:rPr>
          <w:i/>
          <w:sz w:val="20"/>
        </w:rPr>
      </w:pPr>
      <w:r>
        <w:rPr>
          <w:i/>
          <w:sz w:val="20"/>
        </w:rPr>
        <w:t xml:space="preserve">Impact of Hurricanes Katrina and Rita </w:t>
      </w:r>
    </w:p>
    <w:p>
      <w:pPr>
        <w:pStyle w:val="TextBody"/>
        <w:rPr/>
      </w:pPr>
      <w:r>
        <w:rPr/>
        <w:t>        </w:t>
      </w:r>
      <w:r>
        <w:rPr>
          <w:sz w:val="20"/>
        </w:rPr>
        <w:t xml:space="preserve">Our preliminary damage assessment of the impact of Hurricanes Katrina and Rita on our Gulf Coast assets indicates that, in most cases, the extent of physical damage is not significant, and the bulk of associated costs will be covered by insurance. Because of lost power and communications and extensive flooding, access to certain assets remains difficult. For those assets rendered nonfunctional because of the hurricanes, we expect to encounter shortages of equipment and personnel to effect repairs, which could extend the time and increase the costs associated with returning such assets to service. </w:t>
      </w:r>
    </w:p>
    <w:p>
      <w:pPr>
        <w:pStyle w:val="TextBody"/>
        <w:rPr/>
      </w:pPr>
      <w:r>
        <w:rPr/>
        <w:t>        </w:t>
      </w:r>
      <w:r>
        <w:rPr>
          <w:sz w:val="20"/>
        </w:rPr>
        <w:t xml:space="preserve">We are continuing to assess damage to our Gulf Coast assets. The cumulative impact of the hurricanes on our operations, however, may not be known for some time and will be dependent upon </w:t>
      </w:r>
    </w:p>
    <w:p>
      <w:pPr>
        <w:pStyle w:val="TextBody"/>
        <w:jc w:val="center"/>
        <w:rPr>
          <w:sz w:val="20"/>
        </w:rPr>
      </w:pPr>
      <w:r>
        <w:rPr>
          <w:sz w:val="20"/>
        </w:rPr>
        <w:t>S-2</w:t>
      </w:r>
    </w:p>
    <w:p>
      <w:pPr>
        <w:pStyle w:val="HorizontalLine"/>
        <w:pBdr>
          <w:bottom w:val="single" w:sz="20" w:space="0" w:color="808080"/>
        </w:pBdr>
        <w:rPr/>
      </w:pPr>
      <w:r>
        <w:rPr/>
      </w:r>
      <w:r>
        <w:br w:type="page"/>
      </w:r>
    </w:p>
    <w:p>
      <w:pPr>
        <w:pStyle w:val="TextBody"/>
        <w:rPr/>
      </w:pPr>
      <w:r>
        <w:rPr/>
      </w:r>
      <w:bookmarkStart w:id="13" w:name="page_ca1493_1_3"/>
      <w:bookmarkStart w:id="14" w:name="page_ca1493_1_3"/>
      <w:bookmarkEnd w:id="14"/>
    </w:p>
    <w:p>
      <w:pPr>
        <w:pStyle w:val="TextBody"/>
        <w:rPr>
          <w:sz w:val="20"/>
        </w:rPr>
      </w:pPr>
      <w:r>
        <w:rPr>
          <w:sz w:val="20"/>
        </w:rPr>
        <w:t xml:space="preserve">when power is restored to our facilities, the extent of damage to our and third-party assets, the potential impact of shut-in crude oil production and refining capacity and the extent of any environmental exposure. The profitability of our pipeline operations depends on the volume of crude oil shipped, and the profitability of our gathering and marketing activities is generally dependent on the volumes of crude oil we purchase and gather. Also, the success of our business strategy to increase and optimize throughput on our pipeline and gathering assets is dependent on our securing additional supplies of crude oil. The interruption in the production of oil from the Gulf Coast region caused by Hurricanes Katrina and Rita has reduced the production and limited the supply of crude oil available in the market and therefore decreased the volumes shipped on our pipelines and the volumes available for us to purchase in the market. Although substantial uncertainty remains, as of September 27, 2005 we do not expect the effects of Hurricanes Katrina and Rita will have a material impact on our results of operations. </w:t>
      </w:r>
    </w:p>
    <w:p>
      <w:pPr>
        <w:pStyle w:val="TextBody"/>
        <w:rPr>
          <w:i/>
          <w:sz w:val="20"/>
        </w:rPr>
      </w:pPr>
      <w:r>
        <w:rPr>
          <w:i/>
          <w:sz w:val="20"/>
        </w:rPr>
        <w:t xml:space="preserve">Ownership Changes at Our General Partner </w:t>
      </w:r>
    </w:p>
    <w:p>
      <w:pPr>
        <w:pStyle w:val="TextBody"/>
        <w:rPr/>
      </w:pPr>
      <w:r>
        <w:rPr/>
        <w:t>        </w:t>
      </w:r>
      <w:r>
        <w:rPr>
          <w:sz w:val="20"/>
        </w:rPr>
        <w:t xml:space="preserve">On August 12, 2005, Sable Investments, L.P., a 19.0% owner of our general partner, sold its interest to the remaining owners of our general partner. This transaction resulted from the exercise of a right of first refusal by all of the remaining owners in response to an offer to purchase the Sable interest. As a result of this transaction, Vulcan Energy Corporation ("Vulcan"), an affiliate of Vulcan Capital, increased its ownership interest in our general partner from 44% to approximately 54%, which effectively would have enabled Vulcan to elect five of our general partner's eight board members. </w:t>
      </w:r>
    </w:p>
    <w:p>
      <w:pPr>
        <w:pStyle w:val="TextBody"/>
        <w:rPr/>
      </w:pPr>
      <w:r>
        <w:rPr/>
        <w:t>        </w:t>
      </w:r>
      <w:r>
        <w:rPr>
          <w:sz w:val="20"/>
        </w:rPr>
        <w:t xml:space="preserve">In conjunction with the transaction, our general partner entered into an excess voting rights agreement with Vulcan pursuant to which Vulcan has agreed to restrict certain of its voting rights to help preserve a balanced board. Specifically, Vulcan agreed that with respect to any action taken by the members for the election or removal of an independent director, Vulcan will vote all of its membership interest in excess of 49.9% in the same manner as, and proportionate to, the votes of all membership interests other than Vulcan's. Vulcan has the right at any time to give notice of termination of the agreement. The time between notice and termination depends on the circumstances, but would never be longer than one year. Upon any breach by Vulcan of, or notice of termination under, the agreement, the employment agreement waivers described below would terminate. In addition, Lynx Holdings, L.P., similarly agreed that, in the same circumstances, it will vote all of its 1.23% membership interest in the same manner as, and proportionate to, the votes of all membership interests other than Vulcan's and Lynx Holdings'. Also in connection with the transaction, the chief executive officer and the chief operating officer of our general partner agreed to waive certain change-of-control payment rights that would otherwise have been triggered as a result of the increase in Vulcan's ownership interest in the general partner to approximately 54%. </w:t>
      </w:r>
    </w:p>
    <w:p>
      <w:pPr>
        <w:pStyle w:val="TextBody"/>
        <w:jc w:val="center"/>
        <w:rPr>
          <w:sz w:val="20"/>
        </w:rPr>
      </w:pPr>
      <w:r>
        <w:rPr>
          <w:sz w:val="20"/>
        </w:rPr>
        <w:t>S-3</w:t>
      </w:r>
    </w:p>
    <w:p>
      <w:pPr>
        <w:pStyle w:val="HorizontalLine"/>
        <w:pBdr>
          <w:bottom w:val="single" w:sz="20" w:space="0" w:color="808080"/>
        </w:pBdr>
        <w:rPr/>
      </w:pPr>
      <w:r>
        <w:rPr/>
      </w:r>
      <w:r>
        <w:br w:type="page"/>
      </w:r>
    </w:p>
    <w:p>
      <w:pPr>
        <w:pStyle w:val="TextBody"/>
        <w:jc w:val="center"/>
        <w:rPr/>
      </w:pPr>
      <w:bookmarkStart w:id="15" w:name="toc_cc1493_1"/>
      <w:bookmarkStart w:id="16" w:name="cc1493_risk_factors"/>
      <w:bookmarkStart w:id="17" w:name="page_cc1493_1_4"/>
      <w:bookmarkEnd w:id="15"/>
      <w:bookmarkEnd w:id="16"/>
      <w:bookmarkEnd w:id="17"/>
      <w:r>
        <w:rPr>
          <w:sz w:val="20"/>
        </w:rPr>
        <w:br/>
      </w:r>
      <w:r>
        <w:rPr>
          <w:b/>
          <w:sz w:val="20"/>
        </w:rPr>
        <w:t xml:space="preserve">RISK FACTORS </w:t>
      </w:r>
    </w:p>
    <w:p>
      <w:pPr>
        <w:pStyle w:val="TextBody"/>
        <w:rPr/>
      </w:pPr>
      <w:r>
        <w:rPr/>
        <w:t>        </w:t>
      </w:r>
      <w:r>
        <w:rPr>
          <w:sz w:val="20"/>
        </w:rPr>
        <w:t xml:space="preserve">You should read carefully the discussion of the material risks relating to an investment in the common units offered by us under the caption "Risk Factors" beginning on page 5 of the accompanying base prospectus, as well as those risks discussed in our Annual Report on Form 10-K for the year ended December 31, 2004, and our Quarterly Reports on Form 10-Q for the quarters ended March 31, 2005 and June 30, 2005, which are incorporated by reference into this prospectus supplement. </w:t>
      </w:r>
    </w:p>
    <w:p>
      <w:pPr>
        <w:pStyle w:val="TextBody"/>
        <w:rPr/>
      </w:pPr>
      <w:r>
        <w:rPr/>
        <w:t>        </w:t>
      </w:r>
      <w:r>
        <w:rPr>
          <w:sz w:val="20"/>
        </w:rPr>
        <w:t xml:space="preserve">You should also consider the risks associated with our operating lines of business that are distinct and separate from our historical operations, as well as the following additional risks before deciding to purchase common units in this offering. </w:t>
      </w:r>
    </w:p>
    <w:p>
      <w:pPr>
        <w:pStyle w:val="TextBody"/>
        <w:rPr>
          <w:b/>
          <w:sz w:val="20"/>
        </w:rPr>
      </w:pPr>
      <w:r>
        <w:rPr>
          <w:b/>
          <w:sz w:val="20"/>
        </w:rPr>
        <w:t xml:space="preserve">Risks Related to Our Business </w:t>
      </w:r>
    </w:p>
    <w:p>
      <w:pPr>
        <w:pStyle w:val="TextBody"/>
        <w:rPr>
          <w:b/>
          <w:i/>
          <w:sz w:val="20"/>
        </w:rPr>
      </w:pPr>
      <w:r>
        <w:rPr>
          <w:b/>
          <w:i/>
          <w:sz w:val="20"/>
        </w:rPr>
        <w:t xml:space="preserve">The effects of Hurricanes Katrina and Rita and other hurricanes may adversely affect our business. </w:t>
      </w:r>
    </w:p>
    <w:p>
      <w:pPr>
        <w:pStyle w:val="TextBody"/>
        <w:rPr/>
      </w:pPr>
      <w:r>
        <w:rPr/>
        <w:t>        </w:t>
      </w:r>
      <w:r>
        <w:rPr>
          <w:sz w:val="20"/>
        </w:rPr>
        <w:t xml:space="preserve">Our preliminary damage assessment of the impact of Hurricanes Katrina and Rita on our Gulf Coast assets indicates that, in most cases, the extent of physical damage is not significant, and the bulk of associated costs will be covered by insurance. Because of lost power and communications and extensive flooding, access to certain assets remains difficult. For those assets rendered nonfunctional because of the hurricanes, we expect to encounter shortages of equipment and personnel to effect repairs, which could extend the time and increase the costs associated with returning such assets to service. </w:t>
      </w:r>
    </w:p>
    <w:p>
      <w:pPr>
        <w:pStyle w:val="TextBody"/>
        <w:rPr/>
      </w:pPr>
      <w:r>
        <w:rPr/>
        <w:t>        </w:t>
      </w:r>
      <w:r>
        <w:rPr>
          <w:sz w:val="20"/>
        </w:rPr>
        <w:t xml:space="preserve">We are continuing to assess damage to our Gulf Coast assets. The cumulative impact of the hurricanes on our operations, however, may not be known for some time and will be dependent upon when power is restored to our facilities, the extent of damage to our and third-party assets, the potential impact of shut-in crude oil production and refining capacity and the extent of any environmental exposure. The profitability of our pipeline operations depends on the volume of crude oil shipped, and the profitability of our gathering and marketing activities is generally dependent on the volumes of crude oil we purchase and gather. Also, the success of our business strategy to increase and optimize throughput on our pipeline and gathering assets is dependent on our securing additional supplies of crude oil. The interruption in the production of oil from the Gulf Coast region caused by Hurricanes Katrina and Rita has reduced the production and limited the supply of crude oil available in the market and therefore decreased the volumes shipped on our pipelines and the volumes available for us to purchase in the market. Although substantial uncertainty remains, as of September 27, 2005 we do not expect the effects of Hurricanes Katrina and Rita will have a material impact on our results of operations. </w:t>
      </w:r>
    </w:p>
    <w:p>
      <w:pPr>
        <w:pStyle w:val="TextBody"/>
        <w:rPr/>
      </w:pPr>
      <w:r>
        <w:rPr/>
        <w:t>        </w:t>
      </w:r>
      <w:r>
        <w:rPr>
          <w:sz w:val="20"/>
        </w:rPr>
        <w:t xml:space="preserve">Future hurricanes could have effects similar to and worse than Hurricanes Katrina and Rita, and could materially impact our results of operations. </w:t>
      </w:r>
    </w:p>
    <w:p>
      <w:pPr>
        <w:pStyle w:val="TextBody"/>
        <w:rPr>
          <w:b/>
          <w:sz w:val="20"/>
        </w:rPr>
      </w:pPr>
      <w:r>
        <w:rPr>
          <w:b/>
          <w:sz w:val="20"/>
        </w:rPr>
        <w:t xml:space="preserve">Risks Related to Marine Transportation </w:t>
      </w:r>
    </w:p>
    <w:p>
      <w:pPr>
        <w:pStyle w:val="TextBody"/>
        <w:rPr>
          <w:b/>
          <w:i/>
          <w:sz w:val="20"/>
        </w:rPr>
      </w:pPr>
      <w:r>
        <w:rPr>
          <w:b/>
          <w:i/>
          <w:sz w:val="20"/>
        </w:rPr>
        <w:t xml:space="preserve">Marine transportation of crude oil has inherent operating risks. </w:t>
      </w:r>
    </w:p>
    <w:p>
      <w:pPr>
        <w:pStyle w:val="TextBody"/>
        <w:rPr/>
      </w:pPr>
      <w:r>
        <w:rPr/>
        <w:t>        </w:t>
      </w:r>
      <w:r>
        <w:rPr>
          <w:sz w:val="20"/>
        </w:rPr>
        <w:t xml:space="preserve">Our gathering and marketing operations include purchasing crude oil that is carried on third party tankers. Our water-borne cargoes of crude oil are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While certain of these risks may be covered under our insurance program, any </w:t>
      </w:r>
    </w:p>
    <w:p>
      <w:pPr>
        <w:pStyle w:val="TextBody"/>
        <w:jc w:val="center"/>
        <w:rPr>
          <w:sz w:val="20"/>
        </w:rPr>
      </w:pPr>
      <w:r>
        <w:rPr>
          <w:sz w:val="20"/>
        </w:rPr>
        <w:t>S-4</w:t>
      </w:r>
    </w:p>
    <w:p>
      <w:pPr>
        <w:pStyle w:val="HorizontalLine"/>
        <w:pBdr>
          <w:bottom w:val="single" w:sz="20" w:space="0" w:color="808080"/>
        </w:pBdr>
        <w:rPr/>
      </w:pPr>
      <w:r>
        <w:rPr/>
      </w:r>
      <w:r>
        <w:br w:type="page"/>
      </w:r>
    </w:p>
    <w:p>
      <w:pPr>
        <w:pStyle w:val="TextBody"/>
        <w:rPr/>
      </w:pPr>
      <w:r>
        <w:rPr/>
      </w:r>
      <w:bookmarkStart w:id="18" w:name="page_cc1493_1_5"/>
      <w:bookmarkStart w:id="19" w:name="page_cc1493_1_5"/>
      <w:bookmarkEnd w:id="19"/>
    </w:p>
    <w:p>
      <w:pPr>
        <w:pStyle w:val="TextBody"/>
        <w:rPr>
          <w:sz w:val="20"/>
        </w:rPr>
      </w:pPr>
      <w:r>
        <w:rPr>
          <w:sz w:val="20"/>
        </w:rPr>
        <w:t xml:space="preserve">of these circumstances or events could increase our costs or lower our revenues, which could result in a reduction in the market price of our equity or debt securities. </w:t>
      </w:r>
    </w:p>
    <w:p>
      <w:pPr>
        <w:pStyle w:val="TextBody"/>
        <w:rPr>
          <w:b/>
          <w:i/>
          <w:sz w:val="20"/>
        </w:rPr>
      </w:pPr>
      <w:r>
        <w:rPr>
          <w:b/>
          <w:i/>
          <w:sz w:val="20"/>
        </w:rPr>
        <w:t xml:space="preserve">Maritime claimants could arrest the vessels carrying our cargoes. </w:t>
      </w:r>
    </w:p>
    <w:p>
      <w:pPr>
        <w:pStyle w:val="TextBody"/>
        <w:rPr/>
      </w:pPr>
      <w:r>
        <w:rPr/>
        <w:t>        </w:t>
      </w:r>
      <w:r>
        <w:rPr>
          <w:sz w:val="20"/>
        </w:rPr>
        <w:t xml:space="preserve">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 </w:t>
      </w:r>
    </w:p>
    <w:p>
      <w:pPr>
        <w:pStyle w:val="TextBody"/>
        <w:rPr/>
      </w:pPr>
      <w:r>
        <w:rPr/>
        <w:t>        </w:t>
      </w:r>
      <w:r>
        <w:rPr>
          <w:sz w:val="20"/>
        </w:rPr>
        <w:t xml:space="preserve">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 </w:t>
      </w:r>
    </w:p>
    <w:p>
      <w:pPr>
        <w:pStyle w:val="TextBody"/>
        <w:rPr>
          <w:b/>
          <w:sz w:val="20"/>
        </w:rPr>
      </w:pPr>
      <w:r>
        <w:rPr>
          <w:b/>
          <w:sz w:val="20"/>
        </w:rPr>
        <w:t>Risks Related to Our Investment in the Natural Gas Storage Business</w:t>
      </w:r>
    </w:p>
    <w:p>
      <w:pPr>
        <w:pStyle w:val="TextBody"/>
        <w:rPr>
          <w:b/>
          <w:i/>
          <w:sz w:val="20"/>
        </w:rPr>
      </w:pPr>
      <w:r>
        <w:rPr>
          <w:b/>
          <w:i/>
          <w:sz w:val="20"/>
        </w:rPr>
        <w:t xml:space="preserve">Our facilities are new and have limited operating history. </w:t>
      </w:r>
    </w:p>
    <w:p>
      <w:pPr>
        <w:pStyle w:val="TextBody"/>
        <w:rPr/>
      </w:pPr>
      <w:r>
        <w:rPr/>
        <w:t>        </w:t>
      </w:r>
      <w:r>
        <w:rPr>
          <w:sz w:val="20"/>
        </w:rPr>
        <w:t xml:space="preserve">Although we believe that our operating facilities are designed substantially to meet our contractual obligations with respect to injection and withdrawal volumes and specifications, the facilities are new and have a limited operating history. If we fail to receive or deliver natural gas at contracted rates, or cannot deliver natural gas consistent with contractual quality specifications, we could incur significant costs to maintain compliance with our contracts. </w:t>
      </w:r>
    </w:p>
    <w:p>
      <w:pPr>
        <w:pStyle w:val="TextBody"/>
        <w:rPr>
          <w:b/>
          <w:i/>
          <w:sz w:val="20"/>
        </w:rPr>
      </w:pPr>
      <w:r>
        <w:rPr>
          <w:b/>
          <w:i/>
          <w:sz w:val="20"/>
        </w:rPr>
        <w:t xml:space="preserve">We have no history operating natural gas storage facilities. </w:t>
      </w:r>
    </w:p>
    <w:p>
      <w:pPr>
        <w:pStyle w:val="TextBody"/>
        <w:rPr/>
      </w:pPr>
      <w:r>
        <w:rPr/>
        <w:t>        </w:t>
      </w:r>
      <w:r>
        <w:rPr>
          <w:sz w:val="20"/>
        </w:rPr>
        <w:t xml:space="preserve">Although many aspects of the natural gas storage industry are similar in many respects to our crude oil gathering, marketing, terminalling and storage operations, our current management does not have any experience in operating natural gas storage facilities. There are significant risks and costs inherent in our efforts to undertake entering into natural gas storage operations, including the risk that our new line of business may not be profitable and that we might not be able to operate the natural gas storage business or implement our operating policies and strategies successfully. </w:t>
      </w:r>
    </w:p>
    <w:p>
      <w:pPr>
        <w:pStyle w:val="TextBody"/>
        <w:rPr/>
      </w:pPr>
      <w:r>
        <w:rPr/>
        <w:t>        </w:t>
      </w:r>
      <w:r>
        <w:rPr>
          <w:sz w:val="20"/>
        </w:rPr>
        <w:t xml:space="preserve">We will be required to devote a great deal of capital, management time and other resources by entering into the natural gas storage business. The devotion of these resources to natural gas storage operations could adversely affect our existing business. Entering into the natural gas storage industry may require substantial changes, including acquisition costs, capital development expenditures, adding management and employees who possess the skills we believe we will need to operate a natural gas storage business, and realigning our current organization to reflect this new line of business. Entering into the natural gas storage industry will require an investment in personnel and assets and the assumption of risks that may be greater than we have previously assumed. </w:t>
      </w:r>
    </w:p>
    <w:p>
      <w:pPr>
        <w:pStyle w:val="TextBody"/>
        <w:rPr>
          <w:b/>
          <w:i/>
          <w:sz w:val="20"/>
        </w:rPr>
      </w:pPr>
      <w:r>
        <w:rPr>
          <w:b/>
          <w:i/>
          <w:sz w:val="20"/>
        </w:rPr>
        <w:t xml:space="preserve">Federal, state or local regulatory measures could adversely affect our business. </w:t>
      </w:r>
    </w:p>
    <w:p>
      <w:pPr>
        <w:pStyle w:val="TextBody"/>
        <w:rPr/>
      </w:pPr>
      <w:r>
        <w:rPr/>
        <w:t>        </w:t>
      </w:r>
      <w:r>
        <w:rPr>
          <w:sz w:val="20"/>
        </w:rPr>
        <w:t xml:space="preserve">Our natural gas storage operations are subject to federal, state and local regulatory authorities. Specifically, our natural gas storage facilities and related assets are or will be subject to regulation by the Federal Energy Regulatory Commission or the Michigan Public Service Commission. Our facilities essentially have market-based rate authority from such agencies. Any loss of market-based rate authority could have an adverse impact on our revenues associated with providing storage services. </w:t>
      </w:r>
    </w:p>
    <w:p>
      <w:pPr>
        <w:pStyle w:val="TextBody"/>
        <w:rPr/>
      </w:pPr>
      <w:r>
        <w:rPr/>
        <w:t>        </w:t>
      </w:r>
      <w:r>
        <w:rPr>
          <w:sz w:val="20"/>
        </w:rPr>
        <w:t xml:space="preserve">In addition, failure to comply with applicable regulations under the Natural Gas Act of 1938, Natural Gas Policy Act of 1978, and certain other state laws could result in the imposition of administrative, civil and criminal remedies. </w:t>
      </w:r>
    </w:p>
    <w:p>
      <w:pPr>
        <w:pStyle w:val="TextBody"/>
        <w:jc w:val="center"/>
        <w:rPr>
          <w:sz w:val="20"/>
        </w:rPr>
      </w:pPr>
      <w:r>
        <w:rPr>
          <w:sz w:val="20"/>
        </w:rPr>
        <w:t>S-5</w:t>
      </w:r>
    </w:p>
    <w:p>
      <w:pPr>
        <w:pStyle w:val="HorizontalLine"/>
        <w:pBdr>
          <w:bottom w:val="single" w:sz="20" w:space="0" w:color="808080"/>
        </w:pBdr>
        <w:rPr/>
      </w:pPr>
      <w:r>
        <w:rPr/>
      </w:r>
      <w:r>
        <w:br w:type="page"/>
      </w:r>
    </w:p>
    <w:p>
      <w:pPr>
        <w:pStyle w:val="TextBody"/>
        <w:rPr/>
      </w:pPr>
      <w:r>
        <w:rPr/>
      </w:r>
      <w:bookmarkStart w:id="20" w:name="page_cc1493_1_6"/>
      <w:bookmarkStart w:id="21" w:name="page_cc1493_1_6"/>
      <w:bookmarkEnd w:id="21"/>
    </w:p>
    <w:p>
      <w:pPr>
        <w:pStyle w:val="TextBody"/>
        <w:rPr>
          <w:b/>
          <w:i/>
          <w:sz w:val="20"/>
        </w:rPr>
      </w:pPr>
      <w:r>
        <w:rPr>
          <w:b/>
          <w:i/>
          <w:sz w:val="20"/>
        </w:rPr>
        <w:t xml:space="preserve">Our gas storage business depends on third-party pipelines to transport natural gas. </w:t>
      </w:r>
    </w:p>
    <w:p>
      <w:pPr>
        <w:pStyle w:val="TextBody"/>
        <w:rPr/>
      </w:pPr>
      <w:r>
        <w:rPr/>
        <w:t>        </w:t>
      </w:r>
      <w:r>
        <w:rPr>
          <w:sz w:val="20"/>
        </w:rPr>
        <w:t xml:space="preserve">We depend on third-party pipelines to move natural gas for our customers to and from our facilities. Any interruption of service on the pipelines or lateral connections or adverse change in the terms and conditions of service could have a material adverse effect on our ability, and the ability of our customers, to transport natural gas to and from our facilities, and could have a corresponding material adverse effect on our storage revenues. In addition, the rates charged by the interconnected pipeline for transportation to and from our facilities affect the utilization and value of our storage services. Significant changes in the rates charged by the pipeline or the rates charged by other pipelines with which the interconnected pipelines compete could also have a material adverse effect on our storage revenues. </w:t>
      </w:r>
    </w:p>
    <w:p>
      <w:pPr>
        <w:pStyle w:val="TextBody"/>
        <w:rPr>
          <w:b/>
          <w:i/>
          <w:sz w:val="20"/>
        </w:rPr>
      </w:pPr>
      <w:r>
        <w:rPr>
          <w:b/>
          <w:i/>
          <w:sz w:val="20"/>
        </w:rPr>
        <w:t xml:space="preserve">We encounter competition from a variety of sources. </w:t>
      </w:r>
    </w:p>
    <w:p>
      <w:pPr>
        <w:pStyle w:val="TextBody"/>
        <w:rPr/>
      </w:pPr>
      <w:r>
        <w:rPr/>
        <w:t>        </w:t>
      </w:r>
      <w:r>
        <w:rPr>
          <w:sz w:val="20"/>
        </w:rPr>
        <w:t xml:space="preserve">We compete with other storage providers, including local distribution companies ("LDCs"), utilities and affiliates of LDCs and utilities. Certain major pipeline companies have existing storage facilities connected to their systems that compete with certain of our facilities. Construction of new capacity could have an adverse impact on our competitive position. </w:t>
      </w:r>
    </w:p>
    <w:p>
      <w:pPr>
        <w:pStyle w:val="TextBody"/>
        <w:rPr>
          <w:b/>
          <w:i/>
          <w:sz w:val="20"/>
        </w:rPr>
      </w:pPr>
      <w:r>
        <w:rPr>
          <w:b/>
          <w:i/>
          <w:sz w:val="20"/>
        </w:rPr>
        <w:t xml:space="preserve">Expanding our business by constructing new storage facilities subjects us to construction risks; there is no guarantee that Pine Prairie will be developed in the expected time frame or at the expected cost or generate the expected returns. </w:t>
      </w:r>
    </w:p>
    <w:p>
      <w:pPr>
        <w:pStyle w:val="TextBody"/>
        <w:rPr/>
      </w:pPr>
      <w:r>
        <w:rPr/>
        <w:t>        </w:t>
      </w:r>
      <w:r>
        <w:rPr>
          <w:sz w:val="20"/>
        </w:rPr>
        <w:t xml:space="preserve">One of the ways we intend to grow our business is through the construction and development of new storage facilities or additions to our existing facilities. The construction of additional storage facilities or new pipeline interconnects involves numerous regulatory, environmental, political and legal uncertainties beyond our control, and requires the expenditure of significant amounts of capital. As we undertake these projects, they may be completed behind schedule or over the budgeted cost. Because of increased demand for materials, equipment and services in the wake of Hurricanes Katrina and Rita, there could be shortages and cost increases associated with construction projects. Moreover, our revenues will not increase immediately upon the expenditure of funds on a particular project. We may also construct facilities in anticipation of market growth that may never materialize. For example, Pine Prairie is currently under development and there is no guarantee that it will be fully developed in the expected time frame or at the expected cost or generate the expected returns. </w:t>
      </w:r>
    </w:p>
    <w:p>
      <w:pPr>
        <w:pStyle w:val="TextBody"/>
        <w:rPr>
          <w:b/>
          <w:i/>
          <w:sz w:val="20"/>
        </w:rPr>
      </w:pPr>
      <w:r>
        <w:rPr>
          <w:b/>
          <w:i/>
          <w:sz w:val="20"/>
        </w:rPr>
        <w:t xml:space="preserve">We may not be able to retain existing customers or acquire new customers, which would reduce our revenues and limit our future profitability. </w:t>
      </w:r>
    </w:p>
    <w:p>
      <w:pPr>
        <w:pStyle w:val="TextBody"/>
        <w:rPr/>
      </w:pPr>
      <w:r>
        <w:rPr/>
        <w:t>        </w:t>
      </w:r>
      <w:r>
        <w:rPr>
          <w:sz w:val="20"/>
        </w:rPr>
        <w:t xml:space="preserve">The renewal or replacement of existing contracts with our customers at rates sufficient to maintain or exceed current or anticipated revenues and cash flows depends on a number of factors beyond our control, including competition from other storage providers and the supply of and demand for natural gas in the markets we serve. The inability to renew or replace our current contracts as they expire and to respond appropriately to changing market conditions could have a negative effect on our profitability. </w:t>
      </w:r>
    </w:p>
    <w:p>
      <w:pPr>
        <w:pStyle w:val="TextBody"/>
        <w:rPr>
          <w:b/>
          <w:i/>
          <w:sz w:val="20"/>
        </w:rPr>
      </w:pPr>
      <w:r>
        <w:rPr>
          <w:b/>
          <w:i/>
          <w:sz w:val="20"/>
        </w:rPr>
        <w:t xml:space="preserve">Third parties' obligations under storage agreements may be suspended in some circumstances. </w:t>
      </w:r>
    </w:p>
    <w:p>
      <w:pPr>
        <w:pStyle w:val="TextBody"/>
        <w:rPr/>
      </w:pPr>
      <w:r>
        <w:rPr/>
        <w:t>        </w:t>
      </w:r>
      <w:r>
        <w:rPr>
          <w:sz w:val="20"/>
        </w:rPr>
        <w:t xml:space="preserve">Some third parties' obligations under their agreements with us may be permanently or temporarily reduced upon the occurrence of certain events, some of which are beyond our control, including force majeure. Force majeure events include (but are not limited to) revolutions, wars, acts of enemies, embargoes, import or export restrictions, strikes, lockouts, fires, storms, floods, acts of God, explosions and mechanical or physical failures of our equipment or facilities or the equipment or facilities of third parties. </w:t>
      </w:r>
    </w:p>
    <w:p>
      <w:pPr>
        <w:pStyle w:val="TextBody"/>
        <w:jc w:val="center"/>
        <w:rPr>
          <w:sz w:val="20"/>
        </w:rPr>
      </w:pPr>
      <w:r>
        <w:rPr>
          <w:sz w:val="20"/>
        </w:rPr>
        <w:t>S-6</w:t>
      </w:r>
    </w:p>
    <w:p>
      <w:pPr>
        <w:pStyle w:val="HorizontalLine"/>
        <w:pBdr>
          <w:bottom w:val="single" w:sz="20" w:space="0" w:color="808080"/>
        </w:pBdr>
        <w:rPr/>
      </w:pPr>
      <w:r>
        <w:rPr/>
      </w:r>
      <w:r>
        <w:br w:type="page"/>
      </w:r>
    </w:p>
    <w:p>
      <w:pPr>
        <w:pStyle w:val="TextBody"/>
        <w:rPr/>
      </w:pPr>
      <w:r>
        <w:rPr/>
      </w:r>
      <w:bookmarkStart w:id="22" w:name="page_cc1493_1_7"/>
      <w:bookmarkStart w:id="23" w:name="page_cc1493_1_7"/>
      <w:bookmarkEnd w:id="23"/>
    </w:p>
    <w:p>
      <w:pPr>
        <w:pStyle w:val="TextBody"/>
        <w:rPr>
          <w:b/>
          <w:i/>
          <w:sz w:val="20"/>
        </w:rPr>
      </w:pPr>
      <w:r>
        <w:rPr>
          <w:b/>
          <w:i/>
          <w:sz w:val="20"/>
        </w:rPr>
        <w:t xml:space="preserve">The nature of our investment in natural gas storage assets and business could expose us to significant compliance costs and liabilities. </w:t>
      </w:r>
    </w:p>
    <w:p>
      <w:pPr>
        <w:pStyle w:val="TextBody"/>
        <w:rPr/>
      </w:pPr>
      <w:r>
        <w:rPr/>
        <w:t>        </w:t>
      </w:r>
      <w:r>
        <w:rPr>
          <w:sz w:val="20"/>
        </w:rPr>
        <w:t xml:space="preserve">Our operations involving the storage of natural gas are subject to stringent federal, state and local laws and regulations governing the discharge of materials into the environment,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and the issuance of injunctions that may restrict or prohibit our operations or even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materials into the environment could, to the extent such event is not insured, subject us to substantial expense, including both the cost to comply with applicable laws and regulations and liability to private parties for personal injury or property damage. </w:t>
      </w:r>
    </w:p>
    <w:p>
      <w:pPr>
        <w:pStyle w:val="TextBody"/>
        <w:rPr>
          <w:b/>
          <w:i/>
          <w:sz w:val="20"/>
        </w:rPr>
      </w:pPr>
      <w:r>
        <w:rPr>
          <w:b/>
          <w:i/>
          <w:sz w:val="20"/>
        </w:rPr>
        <w:t xml:space="preserve">Joint venture structures can create operational difficulties. </w:t>
      </w:r>
    </w:p>
    <w:p>
      <w:pPr>
        <w:pStyle w:val="TextBody"/>
        <w:rPr/>
      </w:pPr>
      <w:r>
        <w:rPr/>
        <w:t>        </w:t>
      </w:r>
      <w:r>
        <w:rPr>
          <w:sz w:val="20"/>
        </w:rPr>
        <w:t xml:space="preserve">Our natural gas storage operations are conducted through Plains/Vulcan, a joint venture between us and a subsidiary of Vulcan Capital, with each of us owning 50%. The board of directors of Plains/Vulcan, which will include an equal number of representatives from us and Vulcan Capital, will be responsible for providing strategic direction and policy-making, and we will be responsible for the day-to-day operations of Plains/Vulcan. </w:t>
      </w:r>
    </w:p>
    <w:p>
      <w:pPr>
        <w:pStyle w:val="TextBody"/>
        <w:rPr/>
      </w:pPr>
      <w:r>
        <w:rPr/>
        <w:t>        </w:t>
      </w:r>
      <w:r>
        <w:rPr>
          <w:sz w:val="20"/>
        </w:rPr>
        <w:t xml:space="preserve">As with any such joint venture arrangements, differences in views among the joint venture participants may result in delayed decisions or in failures to agree on major matters, potentially adversely affecting the business and operations of the joint ventures and in turn our business and operations. </w:t>
      </w:r>
    </w:p>
    <w:p>
      <w:pPr>
        <w:pStyle w:val="TextBody"/>
        <w:jc w:val="center"/>
        <w:rPr>
          <w:sz w:val="20"/>
        </w:rPr>
      </w:pPr>
      <w:r>
        <w:rPr>
          <w:sz w:val="20"/>
        </w:rPr>
        <w:t>S-7</w:t>
      </w:r>
    </w:p>
    <w:p>
      <w:pPr>
        <w:pStyle w:val="HorizontalLine"/>
        <w:pBdr>
          <w:bottom w:val="single" w:sz="20" w:space="0" w:color="808080"/>
        </w:pBdr>
        <w:rPr/>
      </w:pPr>
      <w:r>
        <w:rPr/>
      </w:r>
      <w:r>
        <w:br w:type="page"/>
      </w:r>
    </w:p>
    <w:p>
      <w:pPr>
        <w:pStyle w:val="TextBody"/>
        <w:jc w:val="center"/>
        <w:rPr/>
      </w:pPr>
      <w:bookmarkStart w:id="24" w:name="toc_ce1493_1"/>
      <w:bookmarkStart w:id="25" w:name="ce1493_use_of_proceeds"/>
      <w:bookmarkStart w:id="26" w:name="page_ce1493_1_8"/>
      <w:bookmarkEnd w:id="24"/>
      <w:bookmarkEnd w:id="25"/>
      <w:bookmarkEnd w:id="26"/>
      <w:r>
        <w:rPr>
          <w:sz w:val="20"/>
        </w:rPr>
        <w:br/>
      </w:r>
      <w:r>
        <w:rPr>
          <w:b/>
          <w:sz w:val="20"/>
        </w:rPr>
        <w:t xml:space="preserve">USE OF PROCEEDS </w:t>
      </w:r>
    </w:p>
    <w:p>
      <w:pPr>
        <w:pStyle w:val="TextBody"/>
        <w:rPr/>
      </w:pPr>
      <w:r>
        <w:rPr/>
        <w:t>        </w:t>
      </w:r>
      <w:r>
        <w:rPr>
          <w:sz w:val="20"/>
        </w:rPr>
        <w:t xml:space="preserve">The net proceeds of this offering will be approximately $28.0 million, including our general partner's proportionate capital contribution after deducting estimated offering expenses. We intend to use the net proceeds of this offering to repay indebtedness outstanding under our senior unsecured revolving credit facility, which was incurred to fund the ECI acquisition, and for general partnership purposes. </w:t>
      </w:r>
    </w:p>
    <w:p>
      <w:pPr>
        <w:pStyle w:val="TextBody"/>
        <w:rPr/>
      </w:pPr>
      <w:r>
        <w:rPr/>
        <w:t>        </w:t>
      </w:r>
      <w:r>
        <w:rPr>
          <w:sz w:val="20"/>
        </w:rPr>
        <w:t xml:space="preserve">Indebtedness under our senior unsecured revolving credit facility was approximately $420.7 million as of September 19, 2005, and had an annual interest rate of 4.6%. Our $900 million senior unsecured revolving credit facility matures in November 2009. Substantially all of the outstanding indebtedness under the facility was incurred to fund acquisitions, working capital requirements and the purchase of hedged inventory. </w:t>
      </w:r>
    </w:p>
    <w:p>
      <w:pPr>
        <w:pStyle w:val="TextBody"/>
        <w:jc w:val="center"/>
        <w:rPr/>
      </w:pPr>
      <w:bookmarkStart w:id="27" w:name="toc_ce1493_2"/>
      <w:bookmarkStart w:id="28" w:name="ce1493_price_range_of_common_units_and_d"/>
      <w:bookmarkEnd w:id="27"/>
      <w:bookmarkEnd w:id="28"/>
      <w:r>
        <w:rPr>
          <w:sz w:val="20"/>
        </w:rPr>
        <w:br/>
      </w:r>
      <w:r>
        <w:rPr>
          <w:b/>
          <w:sz w:val="20"/>
        </w:rPr>
        <w:t xml:space="preserve">PRICE RANGE OF COMMON UNITS AND DISTRIBUTIONS </w:t>
      </w:r>
    </w:p>
    <w:p>
      <w:pPr>
        <w:pStyle w:val="TextBody"/>
        <w:rPr/>
      </w:pPr>
      <w:r>
        <w:rPr/>
        <w:t>        </w:t>
      </w:r>
      <w:r>
        <w:rPr>
          <w:sz w:val="20"/>
        </w:rPr>
        <w:t xml:space="preserve">As of September 19, 2005, we had 67,914,576 common units outstanding, held by approximately 32,000 holders, including common units held in street name. Our common units are traded on the New York Stock Exchange under the symbol "PAA." </w:t>
      </w:r>
    </w:p>
    <w:p>
      <w:pPr>
        <w:pStyle w:val="TextBody"/>
        <w:rPr/>
      </w:pPr>
      <w:r>
        <w:rPr/>
        <w:t>        </w:t>
      </w:r>
      <w:r>
        <w:rPr>
          <w:sz w:val="20"/>
        </w:rPr>
        <w:t xml:space="preserve">The following table sets forth, for the periods indicated, the high and low sales prices for the common units, as reported on the New York Stock Exchange Composite Transactions Tape, and quarterly cash distributions declared per common unit and subordinated unit. The last reported sale price of common units on the New York Stock Exchange on September 22, 2005 was $42.20 per common unit. </w:t>
      </w:r>
    </w:p>
    <w:tbl>
      <w:tblPr>
        <w:tblW w:w="4400" w:type="pct"/>
        <w:jc w:val="left"/>
        <w:tblInd w:w="0" w:type="dxa"/>
        <w:tblCellMar>
          <w:top w:w="0" w:type="dxa"/>
          <w:left w:w="0" w:type="dxa"/>
          <w:bottom w:w="0" w:type="dxa"/>
          <w:right w:w="0" w:type="dxa"/>
        </w:tblCellMar>
      </w:tblPr>
      <w:tblGrid>
        <w:gridCol w:w="5481"/>
        <w:gridCol w:w="179"/>
        <w:gridCol w:w="178"/>
        <w:gridCol w:w="629"/>
        <w:gridCol w:w="179"/>
        <w:gridCol w:w="179"/>
        <w:gridCol w:w="629"/>
        <w:gridCol w:w="179"/>
        <w:gridCol w:w="179"/>
        <w:gridCol w:w="1168"/>
      </w:tblGrid>
      <w:tr>
        <w:trPr/>
        <w:tc>
          <w:tcPr>
            <w:tcW w:w="5481" w:type="dxa"/>
            <w:tcBorders/>
            <w:shd w:fill="auto" w:val="clear"/>
            <w:vAlign w:val="bottom"/>
          </w:tcPr>
          <w:p>
            <w:pPr>
              <w:pStyle w:val="TableHeading"/>
              <w:spacing w:before="0" w:after="283"/>
              <w:jc w:val="left"/>
              <w:rPr/>
            </w:pPr>
            <w:r>
              <w:rPr/>
              <w:t> </w:t>
            </w:r>
          </w:p>
        </w:tc>
        <w:tc>
          <w:tcPr>
            <w:tcW w:w="179" w:type="dxa"/>
            <w:vMerge w:val="restart"/>
            <w:tcBorders/>
            <w:shd w:fill="auto" w:val="clear"/>
            <w:vAlign w:val="bottom"/>
          </w:tcPr>
          <w:p>
            <w:pPr>
              <w:pStyle w:val="TableHeading"/>
              <w:suppressLineNumbers/>
              <w:spacing w:before="0" w:after="283"/>
              <w:jc w:val="center"/>
              <w:rPr/>
            </w:pPr>
            <w:r>
              <w:rPr/>
              <w:t> </w:t>
            </w:r>
          </w:p>
        </w:tc>
        <w:tc>
          <w:tcPr>
            <w:tcW w:w="1794" w:type="dxa"/>
            <w:gridSpan w:val="5"/>
            <w:vMerge w:val="restart"/>
            <w:tcBorders/>
            <w:shd w:fill="auto" w:val="clear"/>
            <w:vAlign w:val="bottom"/>
          </w:tcPr>
          <w:p>
            <w:pPr>
              <w:pStyle w:val="TableHeading"/>
              <w:spacing w:before="0" w:after="0"/>
              <w:jc w:val="center"/>
              <w:rPr>
                <w:b/>
                <w:sz w:val="14"/>
              </w:rPr>
            </w:pPr>
            <w:r>
              <w:rPr>
                <w:b/>
                <w:sz w:val="14"/>
              </w:rPr>
              <w:t>Price Range</w:t>
            </w:r>
          </w:p>
          <w:p>
            <w:pPr>
              <w:pStyle w:val="HorizontalLine"/>
              <w:pBdr>
                <w:bottom w:val="single" w:sz="20" w:space="0" w:color="808080"/>
              </w:pBdr>
              <w:spacing w:before="0" w:after="283"/>
              <w:rPr/>
            </w:pPr>
            <w:r>
              <w:rPr/>
            </w:r>
          </w:p>
        </w:tc>
        <w:tc>
          <w:tcPr>
            <w:tcW w:w="179" w:type="dxa"/>
            <w:tcBorders/>
            <w:shd w:fill="auto" w:val="clear"/>
            <w:vAlign w:val="bottom"/>
          </w:tcPr>
          <w:p>
            <w:pPr>
              <w:pStyle w:val="TableHeading"/>
              <w:suppressLineNumbers/>
              <w:spacing w:before="0" w:after="283"/>
              <w:jc w:val="center"/>
              <w:rPr/>
            </w:pPr>
            <w:r>
              <w:rPr/>
              <w:t> </w:t>
            </w:r>
          </w:p>
        </w:tc>
        <w:tc>
          <w:tcPr>
            <w:tcW w:w="1347" w:type="dxa"/>
            <w:gridSpan w:val="2"/>
            <w:tcBorders/>
            <w:shd w:fill="auto" w:val="clear"/>
            <w:vAlign w:val="bottom"/>
          </w:tcPr>
          <w:p>
            <w:pPr>
              <w:pStyle w:val="TableHeading"/>
              <w:spacing w:before="0" w:after="283"/>
              <w:jc w:val="left"/>
              <w:rPr/>
            </w:pPr>
            <w:r>
              <w:rPr/>
              <w:t> </w:t>
            </w:r>
          </w:p>
        </w:tc>
      </w:tr>
      <w:tr>
        <w:trPr/>
        <w:tc>
          <w:tcPr>
            <w:tcW w:w="5481" w:type="dxa"/>
            <w:tcBorders/>
            <w:shd w:fill="auto" w:val="clear"/>
            <w:vAlign w:val="bottom"/>
          </w:tcPr>
          <w:p>
            <w:pPr>
              <w:pStyle w:val="TableHeading"/>
              <w:spacing w:before="0" w:after="283"/>
              <w:jc w:val="left"/>
              <w:rPr/>
            </w:pPr>
            <w:r>
              <w:rPr/>
              <w:t> </w:t>
            </w:r>
          </w:p>
        </w:tc>
        <w:tc>
          <w:tcPr>
            <w:tcW w:w="179" w:type="dxa"/>
            <w:vMerge w:val="continue"/>
            <w:tcBorders/>
            <w:shd w:fill="auto" w:val="clear"/>
            <w:vAlign w:val="bottom"/>
          </w:tcPr>
          <w:p>
            <w:pPr>
              <w:pStyle w:val="Normal"/>
              <w:rPr/>
            </w:pPr>
            <w:r>
              <w:rPr/>
            </w:r>
          </w:p>
        </w:tc>
        <w:tc>
          <w:tcPr>
            <w:tcW w:w="1794" w:type="dxa"/>
            <w:gridSpan w:val="5"/>
            <w:vMerge w:val="continue"/>
            <w:tcBorders/>
            <w:shd w:fill="auto" w:val="clear"/>
            <w:vAlign w:val="bottom"/>
          </w:tcPr>
          <w:p>
            <w:pPr>
              <w:pStyle w:val="Normal"/>
              <w:rPr/>
            </w:pPr>
            <w:r>
              <w:rPr/>
            </w:r>
          </w:p>
        </w:tc>
        <w:tc>
          <w:tcPr>
            <w:tcW w:w="179" w:type="dxa"/>
            <w:vMerge w:val="restart"/>
            <w:tcBorders/>
            <w:shd w:fill="auto" w:val="clear"/>
            <w:vAlign w:val="bottom"/>
          </w:tcPr>
          <w:p>
            <w:pPr>
              <w:pStyle w:val="TableHeading"/>
              <w:suppressLineNumbers/>
              <w:spacing w:before="0" w:after="283"/>
              <w:jc w:val="center"/>
              <w:rPr/>
            </w:pPr>
            <w:r>
              <w:rPr/>
              <w:t> </w:t>
            </w:r>
          </w:p>
        </w:tc>
        <w:tc>
          <w:tcPr>
            <w:tcW w:w="1347" w:type="dxa"/>
            <w:gridSpan w:val="2"/>
            <w:vMerge w:val="restart"/>
            <w:tcBorders/>
            <w:shd w:fill="auto" w:val="clear"/>
            <w:vAlign w:val="bottom"/>
          </w:tcPr>
          <w:p>
            <w:pPr>
              <w:pStyle w:val="TableHeading"/>
              <w:spacing w:before="0" w:after="0"/>
              <w:jc w:val="center"/>
              <w:rPr>
                <w:b/>
                <w:sz w:val="14"/>
              </w:rPr>
            </w:pPr>
            <w:r>
              <w:rPr>
                <w:b/>
                <w:sz w:val="14"/>
              </w:rPr>
              <w:t>Cash</w:t>
              <w:br/>
              <w:t>Distributions</w:t>
              <w:br/>
              <w:t>per Unit(1)</w:t>
            </w:r>
          </w:p>
          <w:p>
            <w:pPr>
              <w:pStyle w:val="HorizontalLine"/>
              <w:pBdr>
                <w:bottom w:val="single" w:sz="20" w:space="0" w:color="808080"/>
              </w:pBdr>
              <w:spacing w:before="0" w:after="283"/>
              <w:rPr/>
            </w:pPr>
            <w:r>
              <w:rPr/>
            </w:r>
          </w:p>
        </w:tc>
      </w:tr>
      <w:tr>
        <w:trPr/>
        <w:tc>
          <w:tcPr>
            <w:tcW w:w="5481" w:type="dxa"/>
            <w:tcBorders/>
            <w:shd w:fill="auto" w:val="clear"/>
            <w:vAlign w:val="bottom"/>
          </w:tcPr>
          <w:p>
            <w:pPr>
              <w:pStyle w:val="TableHeading"/>
              <w:spacing w:before="0" w:after="283"/>
              <w:jc w:val="left"/>
              <w:rPr/>
            </w:pPr>
            <w:r>
              <w:rPr/>
              <w:t> </w:t>
            </w:r>
          </w:p>
        </w:tc>
        <w:tc>
          <w:tcPr>
            <w:tcW w:w="179" w:type="dxa"/>
            <w:tcBorders/>
            <w:shd w:fill="auto" w:val="clear"/>
            <w:vAlign w:val="bottom"/>
          </w:tcPr>
          <w:p>
            <w:pPr>
              <w:pStyle w:val="TableHeading"/>
              <w:suppressLineNumbers/>
              <w:spacing w:before="0" w:after="283"/>
              <w:jc w:val="center"/>
              <w:rPr/>
            </w:pPr>
            <w:r>
              <w:rPr/>
              <w:t> </w:t>
            </w:r>
          </w:p>
        </w:tc>
        <w:tc>
          <w:tcPr>
            <w:tcW w:w="807" w:type="dxa"/>
            <w:gridSpan w:val="2"/>
            <w:tcBorders/>
            <w:shd w:fill="auto" w:val="clear"/>
            <w:vAlign w:val="bottom"/>
          </w:tcPr>
          <w:p>
            <w:pPr>
              <w:pStyle w:val="TableHeading"/>
              <w:spacing w:before="0" w:after="0"/>
              <w:jc w:val="center"/>
              <w:rPr>
                <w:b/>
                <w:sz w:val="14"/>
              </w:rPr>
            </w:pPr>
            <w:r>
              <w:rPr>
                <w:b/>
                <w:sz w:val="14"/>
              </w:rPr>
              <w:t>High</w:t>
            </w:r>
          </w:p>
          <w:p>
            <w:pPr>
              <w:pStyle w:val="HorizontalLine"/>
              <w:pBdr>
                <w:bottom w:val="single" w:sz="20" w:space="0" w:color="808080"/>
              </w:pBdr>
              <w:spacing w:before="0" w:after="283"/>
              <w:rPr/>
            </w:pPr>
            <w:r>
              <w:rPr/>
            </w:r>
          </w:p>
        </w:tc>
        <w:tc>
          <w:tcPr>
            <w:tcW w:w="179" w:type="dxa"/>
            <w:tcBorders/>
            <w:shd w:fill="auto" w:val="clear"/>
            <w:vAlign w:val="bottom"/>
          </w:tcPr>
          <w:p>
            <w:pPr>
              <w:pStyle w:val="TableHeading"/>
              <w:suppressLineNumbers/>
              <w:spacing w:before="0" w:after="283"/>
              <w:jc w:val="center"/>
              <w:rPr/>
            </w:pPr>
            <w:r>
              <w:rPr/>
              <w:t> </w:t>
            </w:r>
          </w:p>
        </w:tc>
        <w:tc>
          <w:tcPr>
            <w:tcW w:w="808" w:type="dxa"/>
            <w:gridSpan w:val="2"/>
            <w:tcBorders/>
            <w:shd w:fill="auto" w:val="clear"/>
            <w:vAlign w:val="bottom"/>
          </w:tcPr>
          <w:p>
            <w:pPr>
              <w:pStyle w:val="TableHeading"/>
              <w:spacing w:before="0" w:after="0"/>
              <w:jc w:val="center"/>
              <w:rPr>
                <w:b/>
                <w:sz w:val="14"/>
              </w:rPr>
            </w:pPr>
            <w:r>
              <w:rPr>
                <w:b/>
                <w:sz w:val="14"/>
              </w:rPr>
              <w:t>Low</w:t>
            </w:r>
          </w:p>
          <w:p>
            <w:pPr>
              <w:pStyle w:val="HorizontalLine"/>
              <w:pBdr>
                <w:bottom w:val="single" w:sz="20" w:space="0" w:color="808080"/>
              </w:pBdr>
              <w:spacing w:before="0" w:after="283"/>
              <w:rPr/>
            </w:pPr>
            <w:r>
              <w:rPr/>
            </w:r>
          </w:p>
        </w:tc>
        <w:tc>
          <w:tcPr>
            <w:tcW w:w="179" w:type="dxa"/>
            <w:vMerge w:val="continue"/>
            <w:tcBorders/>
            <w:shd w:fill="auto" w:val="clear"/>
            <w:vAlign w:val="bottom"/>
          </w:tcPr>
          <w:p>
            <w:pPr>
              <w:pStyle w:val="Normal"/>
              <w:rPr/>
            </w:pPr>
            <w:r>
              <w:rPr/>
            </w:r>
          </w:p>
        </w:tc>
        <w:tc>
          <w:tcPr>
            <w:tcW w:w="1347" w:type="dxa"/>
            <w:gridSpan w:val="2"/>
            <w:vMerge w:val="continue"/>
            <w:tcBorders/>
            <w:shd w:fill="auto" w:val="clear"/>
            <w:vAlign w:val="bottom"/>
          </w:tcPr>
          <w:p>
            <w:pPr>
              <w:pStyle w:val="Normal"/>
              <w:rPr/>
            </w:pPr>
            <w:r>
              <w:rPr/>
            </w:r>
          </w:p>
        </w:tc>
      </w:tr>
      <w:tr>
        <w:trPr/>
        <w:tc>
          <w:tcPr>
            <w:tcW w:w="5481" w:type="dxa"/>
            <w:tcBorders/>
            <w:shd w:fill="CCEEFF" w:val="clear"/>
          </w:tcPr>
          <w:p>
            <w:pPr>
              <w:pStyle w:val="TableContents"/>
              <w:spacing w:before="0" w:after="283"/>
              <w:rPr>
                <w:b/>
                <w:sz w:val="20"/>
              </w:rPr>
            </w:pPr>
            <w:r>
              <w:rPr>
                <w:b/>
                <w:sz w:val="20"/>
              </w:rPr>
              <w:t>2003</w:t>
            </w:r>
          </w:p>
        </w:tc>
        <w:tc>
          <w:tcPr>
            <w:tcW w:w="179"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1168" w:type="dxa"/>
            <w:tcBorders/>
            <w:shd w:fill="CCEEFF" w:val="clear"/>
          </w:tcPr>
          <w:p>
            <w:pPr>
              <w:pStyle w:val="TableContents"/>
              <w:spacing w:before="0" w:after="283"/>
              <w:rPr/>
            </w:pPr>
            <w:r>
              <w:rPr/>
              <w:t> </w:t>
            </w:r>
          </w:p>
        </w:tc>
      </w:tr>
      <w:tr>
        <w:trPr/>
        <w:tc>
          <w:tcPr>
            <w:tcW w:w="5481" w:type="dxa"/>
            <w:tcBorders/>
            <w:shd w:fill="FFFFFF" w:val="clear"/>
          </w:tcPr>
          <w:p>
            <w:pPr>
              <w:pStyle w:val="TableContents"/>
              <w:spacing w:before="0" w:after="283"/>
              <w:rPr>
                <w:sz w:val="20"/>
              </w:rPr>
            </w:pPr>
            <w:r>
              <w:rPr>
                <w:sz w:val="20"/>
              </w:rPr>
              <w:t>First Quarter</w:t>
            </w:r>
          </w:p>
        </w:tc>
        <w:tc>
          <w:tcPr>
            <w:tcW w:w="179"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sz w:val="20"/>
              </w:rPr>
            </w:pPr>
            <w:r>
              <w:rPr>
                <w:sz w:val="20"/>
              </w:rPr>
              <w:t>$</w:t>
            </w:r>
          </w:p>
        </w:tc>
        <w:tc>
          <w:tcPr>
            <w:tcW w:w="629" w:type="dxa"/>
            <w:tcBorders/>
            <w:shd w:fill="FFFFFF" w:val="clear"/>
          </w:tcPr>
          <w:p>
            <w:pPr>
              <w:pStyle w:val="TableContents"/>
              <w:spacing w:before="0" w:after="283"/>
              <w:jc w:val="right"/>
              <w:rPr>
                <w:sz w:val="20"/>
              </w:rPr>
            </w:pPr>
            <w:r>
              <w:rPr>
                <w:sz w:val="20"/>
              </w:rPr>
              <w:t>26.90</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sz w:val="20"/>
              </w:rPr>
            </w:pPr>
            <w:r>
              <w:rPr>
                <w:sz w:val="20"/>
              </w:rPr>
              <w:t>$</w:t>
            </w:r>
          </w:p>
        </w:tc>
        <w:tc>
          <w:tcPr>
            <w:tcW w:w="629" w:type="dxa"/>
            <w:tcBorders/>
            <w:shd w:fill="FFFFFF" w:val="clear"/>
          </w:tcPr>
          <w:p>
            <w:pPr>
              <w:pStyle w:val="TableContents"/>
              <w:spacing w:before="0" w:after="283"/>
              <w:jc w:val="right"/>
              <w:rPr>
                <w:sz w:val="20"/>
              </w:rPr>
            </w:pPr>
            <w:r>
              <w:rPr>
                <w:sz w:val="20"/>
              </w:rPr>
              <w:t>24.20</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sz w:val="20"/>
              </w:rPr>
            </w:pPr>
            <w:r>
              <w:rPr>
                <w:sz w:val="20"/>
              </w:rPr>
              <w:t>$</w:t>
            </w:r>
          </w:p>
        </w:tc>
        <w:tc>
          <w:tcPr>
            <w:tcW w:w="1168" w:type="dxa"/>
            <w:tcBorders/>
            <w:shd w:fill="FFFFFF" w:val="clear"/>
          </w:tcPr>
          <w:p>
            <w:pPr>
              <w:pStyle w:val="TableContents"/>
              <w:spacing w:before="0" w:after="283"/>
              <w:jc w:val="right"/>
              <w:rPr>
                <w:sz w:val="20"/>
              </w:rPr>
            </w:pPr>
            <w:r>
              <w:rPr>
                <w:sz w:val="20"/>
              </w:rPr>
              <w:t>0.5500</w:t>
            </w:r>
          </w:p>
        </w:tc>
      </w:tr>
      <w:tr>
        <w:trPr/>
        <w:tc>
          <w:tcPr>
            <w:tcW w:w="5481" w:type="dxa"/>
            <w:tcBorders/>
            <w:shd w:fill="CCEEFF" w:val="clear"/>
          </w:tcPr>
          <w:p>
            <w:pPr>
              <w:pStyle w:val="TableContents"/>
              <w:spacing w:before="0" w:after="283"/>
              <w:rPr>
                <w:sz w:val="20"/>
              </w:rPr>
            </w:pPr>
            <w:r>
              <w:rPr>
                <w:sz w:val="20"/>
              </w:rPr>
              <w:t>Second Quarter</w:t>
            </w:r>
          </w:p>
        </w:tc>
        <w:tc>
          <w:tcPr>
            <w:tcW w:w="179"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sz w:val="20"/>
              </w:rPr>
            </w:pPr>
            <w:r>
              <w:rPr>
                <w:sz w:val="20"/>
              </w:rPr>
              <w:t>31.48</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sz w:val="20"/>
              </w:rPr>
            </w:pPr>
            <w:r>
              <w:rPr>
                <w:sz w:val="20"/>
              </w:rPr>
              <w:t>24.65</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1168" w:type="dxa"/>
            <w:tcBorders/>
            <w:shd w:fill="CCEEFF" w:val="clear"/>
          </w:tcPr>
          <w:p>
            <w:pPr>
              <w:pStyle w:val="TableContents"/>
              <w:spacing w:before="0" w:after="283"/>
              <w:jc w:val="right"/>
              <w:rPr>
                <w:sz w:val="20"/>
              </w:rPr>
            </w:pPr>
            <w:r>
              <w:rPr>
                <w:sz w:val="20"/>
              </w:rPr>
              <w:t>0.5500</w:t>
            </w:r>
          </w:p>
        </w:tc>
      </w:tr>
      <w:tr>
        <w:trPr/>
        <w:tc>
          <w:tcPr>
            <w:tcW w:w="5481" w:type="dxa"/>
            <w:tcBorders/>
            <w:shd w:fill="FFFFFF" w:val="clear"/>
          </w:tcPr>
          <w:p>
            <w:pPr>
              <w:pStyle w:val="TableContents"/>
              <w:spacing w:before="0" w:after="283"/>
              <w:rPr>
                <w:sz w:val="20"/>
              </w:rPr>
            </w:pPr>
            <w:r>
              <w:rPr>
                <w:sz w:val="20"/>
              </w:rPr>
              <w:t>Third Quarter</w:t>
            </w:r>
          </w:p>
        </w:tc>
        <w:tc>
          <w:tcPr>
            <w:tcW w:w="179"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sz w:val="20"/>
              </w:rPr>
            </w:pPr>
            <w:r>
              <w:rPr>
                <w:sz w:val="20"/>
              </w:rPr>
              <w:t>32.49</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sz w:val="20"/>
              </w:rPr>
            </w:pPr>
            <w:r>
              <w:rPr>
                <w:sz w:val="20"/>
              </w:rPr>
              <w:t>29.10</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pPr>
            <w:r>
              <w:rPr/>
              <w:t> </w:t>
            </w:r>
          </w:p>
        </w:tc>
        <w:tc>
          <w:tcPr>
            <w:tcW w:w="1168" w:type="dxa"/>
            <w:tcBorders/>
            <w:shd w:fill="FFFFFF" w:val="clear"/>
          </w:tcPr>
          <w:p>
            <w:pPr>
              <w:pStyle w:val="TableContents"/>
              <w:spacing w:before="0" w:after="283"/>
              <w:jc w:val="right"/>
              <w:rPr>
                <w:sz w:val="20"/>
              </w:rPr>
            </w:pPr>
            <w:r>
              <w:rPr>
                <w:sz w:val="20"/>
              </w:rPr>
              <w:t>0.5500</w:t>
            </w:r>
          </w:p>
        </w:tc>
      </w:tr>
      <w:tr>
        <w:trPr/>
        <w:tc>
          <w:tcPr>
            <w:tcW w:w="5481" w:type="dxa"/>
            <w:tcBorders/>
            <w:shd w:fill="CCEEFF" w:val="clear"/>
          </w:tcPr>
          <w:p>
            <w:pPr>
              <w:pStyle w:val="TableContents"/>
              <w:spacing w:before="0" w:after="283"/>
              <w:rPr>
                <w:sz w:val="20"/>
              </w:rPr>
            </w:pPr>
            <w:r>
              <w:rPr>
                <w:sz w:val="20"/>
              </w:rPr>
              <w:t>Fourth Quarter</w:t>
            </w:r>
          </w:p>
        </w:tc>
        <w:tc>
          <w:tcPr>
            <w:tcW w:w="179"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sz w:val="20"/>
              </w:rPr>
            </w:pPr>
            <w:r>
              <w:rPr>
                <w:sz w:val="20"/>
              </w:rPr>
              <w:t>32.82</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sz w:val="20"/>
              </w:rPr>
            </w:pPr>
            <w:r>
              <w:rPr>
                <w:sz w:val="20"/>
              </w:rPr>
              <w:t>29.76</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1168" w:type="dxa"/>
            <w:tcBorders/>
            <w:shd w:fill="CCEEFF" w:val="clear"/>
          </w:tcPr>
          <w:p>
            <w:pPr>
              <w:pStyle w:val="TableContents"/>
              <w:spacing w:before="0" w:after="283"/>
              <w:jc w:val="right"/>
              <w:rPr>
                <w:sz w:val="20"/>
              </w:rPr>
            </w:pPr>
            <w:r>
              <w:rPr>
                <w:sz w:val="20"/>
              </w:rPr>
              <w:t>0.5625</w:t>
            </w:r>
          </w:p>
        </w:tc>
      </w:tr>
      <w:tr>
        <w:trPr/>
        <w:tc>
          <w:tcPr>
            <w:tcW w:w="5481" w:type="dxa"/>
            <w:tcBorders/>
            <w:shd w:fill="FFFFFF" w:val="clear"/>
          </w:tcPr>
          <w:p>
            <w:pPr>
              <w:pStyle w:val="TableContents"/>
              <w:spacing w:before="0" w:after="283"/>
              <w:rPr/>
            </w:pPr>
            <w:r>
              <w:rPr/>
              <w:br/>
            </w:r>
            <w:r>
              <w:rPr>
                <w:b/>
                <w:sz w:val="20"/>
              </w:rPr>
              <w:t>2004</w:t>
            </w:r>
          </w:p>
        </w:tc>
        <w:tc>
          <w:tcPr>
            <w:tcW w:w="179" w:type="dxa"/>
            <w:tcBorders/>
            <w:shd w:fill="FFFFFF" w:val="clear"/>
          </w:tcPr>
          <w:p>
            <w:pPr>
              <w:pStyle w:val="TableContents"/>
              <w:spacing w:before="0" w:after="283"/>
              <w:rPr>
                <w:sz w:val="20"/>
              </w:rPr>
            </w:pPr>
            <w:r>
              <w:rPr>
                <w:sz w:val="20"/>
              </w:rPr>
              <w:br/>
              <w:t> </w:t>
            </w:r>
          </w:p>
        </w:tc>
        <w:tc>
          <w:tcPr>
            <w:tcW w:w="178" w:type="dxa"/>
            <w:tcBorders/>
            <w:shd w:fill="FFFFFF" w:val="clear"/>
          </w:tcPr>
          <w:p>
            <w:pPr>
              <w:pStyle w:val="TableContents"/>
              <w:spacing w:before="0" w:after="283"/>
              <w:rPr>
                <w:sz w:val="20"/>
              </w:rPr>
            </w:pPr>
            <w:r>
              <w:rPr>
                <w:sz w:val="20"/>
              </w:rPr>
              <w:br/>
              <w:t> </w:t>
            </w:r>
          </w:p>
        </w:tc>
        <w:tc>
          <w:tcPr>
            <w:tcW w:w="629" w:type="dxa"/>
            <w:tcBorders/>
            <w:shd w:fill="FFFFFF" w:val="clear"/>
          </w:tcPr>
          <w:p>
            <w:pPr>
              <w:pStyle w:val="TableContents"/>
              <w:spacing w:before="0" w:after="283"/>
              <w:rPr>
                <w:sz w:val="20"/>
              </w:rPr>
            </w:pPr>
            <w:r>
              <w:rPr>
                <w:sz w:val="20"/>
              </w:rPr>
              <w:br/>
              <w:t> </w:t>
            </w:r>
          </w:p>
        </w:tc>
        <w:tc>
          <w:tcPr>
            <w:tcW w:w="179" w:type="dxa"/>
            <w:tcBorders/>
            <w:shd w:fill="FFFFFF" w:val="clear"/>
          </w:tcPr>
          <w:p>
            <w:pPr>
              <w:pStyle w:val="TableContents"/>
              <w:spacing w:before="0" w:after="283"/>
              <w:rPr>
                <w:sz w:val="20"/>
              </w:rPr>
            </w:pPr>
            <w:r>
              <w:rPr>
                <w:sz w:val="20"/>
              </w:rPr>
              <w:br/>
              <w:t> </w:t>
            </w:r>
          </w:p>
        </w:tc>
        <w:tc>
          <w:tcPr>
            <w:tcW w:w="179" w:type="dxa"/>
            <w:tcBorders/>
            <w:shd w:fill="FFFFFF" w:val="clear"/>
          </w:tcPr>
          <w:p>
            <w:pPr>
              <w:pStyle w:val="TableContents"/>
              <w:spacing w:before="0" w:after="283"/>
              <w:rPr>
                <w:sz w:val="20"/>
              </w:rPr>
            </w:pPr>
            <w:r>
              <w:rPr>
                <w:sz w:val="20"/>
              </w:rPr>
              <w:br/>
              <w:t> </w:t>
            </w:r>
          </w:p>
        </w:tc>
        <w:tc>
          <w:tcPr>
            <w:tcW w:w="629" w:type="dxa"/>
            <w:tcBorders/>
            <w:shd w:fill="FFFFFF" w:val="clear"/>
          </w:tcPr>
          <w:p>
            <w:pPr>
              <w:pStyle w:val="TableContents"/>
              <w:spacing w:before="0" w:after="283"/>
              <w:rPr>
                <w:sz w:val="20"/>
              </w:rPr>
            </w:pPr>
            <w:r>
              <w:rPr>
                <w:sz w:val="20"/>
              </w:rPr>
              <w:br/>
              <w:t> </w:t>
            </w:r>
          </w:p>
        </w:tc>
        <w:tc>
          <w:tcPr>
            <w:tcW w:w="179" w:type="dxa"/>
            <w:tcBorders/>
            <w:shd w:fill="FFFFFF" w:val="clear"/>
          </w:tcPr>
          <w:p>
            <w:pPr>
              <w:pStyle w:val="TableContents"/>
              <w:spacing w:before="0" w:after="283"/>
              <w:rPr>
                <w:sz w:val="20"/>
              </w:rPr>
            </w:pPr>
            <w:r>
              <w:rPr>
                <w:sz w:val="20"/>
              </w:rPr>
              <w:br/>
              <w:t> </w:t>
            </w:r>
          </w:p>
        </w:tc>
        <w:tc>
          <w:tcPr>
            <w:tcW w:w="179" w:type="dxa"/>
            <w:tcBorders/>
            <w:shd w:fill="FFFFFF" w:val="clear"/>
          </w:tcPr>
          <w:p>
            <w:pPr>
              <w:pStyle w:val="TableContents"/>
              <w:spacing w:before="0" w:after="283"/>
              <w:rPr>
                <w:sz w:val="20"/>
              </w:rPr>
            </w:pPr>
            <w:r>
              <w:rPr>
                <w:sz w:val="20"/>
              </w:rPr>
              <w:br/>
              <w:t> </w:t>
            </w:r>
          </w:p>
        </w:tc>
        <w:tc>
          <w:tcPr>
            <w:tcW w:w="1168" w:type="dxa"/>
            <w:tcBorders/>
            <w:shd w:fill="FFFFFF" w:val="clear"/>
          </w:tcPr>
          <w:p>
            <w:pPr>
              <w:pStyle w:val="TableContents"/>
              <w:spacing w:before="0" w:after="283"/>
              <w:rPr>
                <w:sz w:val="20"/>
              </w:rPr>
            </w:pPr>
            <w:r>
              <w:rPr>
                <w:sz w:val="20"/>
              </w:rPr>
              <w:br/>
              <w:t> </w:t>
            </w:r>
          </w:p>
        </w:tc>
      </w:tr>
      <w:tr>
        <w:trPr/>
        <w:tc>
          <w:tcPr>
            <w:tcW w:w="5481" w:type="dxa"/>
            <w:tcBorders/>
            <w:shd w:fill="CCEEFF" w:val="clear"/>
          </w:tcPr>
          <w:p>
            <w:pPr>
              <w:pStyle w:val="TableContents"/>
              <w:spacing w:before="0" w:after="283"/>
              <w:rPr>
                <w:sz w:val="20"/>
              </w:rPr>
            </w:pPr>
            <w:r>
              <w:rPr>
                <w:sz w:val="20"/>
              </w:rPr>
              <w:t>First Quarter</w:t>
            </w:r>
          </w:p>
        </w:tc>
        <w:tc>
          <w:tcPr>
            <w:tcW w:w="179"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sz w:val="20"/>
              </w:rPr>
            </w:pPr>
            <w:r>
              <w:rPr>
                <w:sz w:val="20"/>
              </w:rPr>
              <w:t>$</w:t>
            </w:r>
          </w:p>
        </w:tc>
        <w:tc>
          <w:tcPr>
            <w:tcW w:w="629" w:type="dxa"/>
            <w:tcBorders/>
            <w:shd w:fill="CCEEFF" w:val="clear"/>
          </w:tcPr>
          <w:p>
            <w:pPr>
              <w:pStyle w:val="TableContents"/>
              <w:spacing w:before="0" w:after="283"/>
              <w:jc w:val="right"/>
              <w:rPr>
                <w:sz w:val="20"/>
              </w:rPr>
            </w:pPr>
            <w:r>
              <w:rPr>
                <w:sz w:val="20"/>
              </w:rPr>
              <w:t>35.23</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sz w:val="20"/>
              </w:rPr>
            </w:pPr>
            <w:r>
              <w:rPr>
                <w:sz w:val="20"/>
              </w:rPr>
              <w:t>$</w:t>
            </w:r>
          </w:p>
        </w:tc>
        <w:tc>
          <w:tcPr>
            <w:tcW w:w="629" w:type="dxa"/>
            <w:tcBorders/>
            <w:shd w:fill="CCEEFF" w:val="clear"/>
          </w:tcPr>
          <w:p>
            <w:pPr>
              <w:pStyle w:val="TableContents"/>
              <w:spacing w:before="0" w:after="283"/>
              <w:jc w:val="right"/>
              <w:rPr>
                <w:sz w:val="20"/>
              </w:rPr>
            </w:pPr>
            <w:r>
              <w:rPr>
                <w:sz w:val="20"/>
              </w:rPr>
              <w:t>31.18</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sz w:val="20"/>
              </w:rPr>
            </w:pPr>
            <w:r>
              <w:rPr>
                <w:sz w:val="20"/>
              </w:rPr>
              <w:t>$</w:t>
            </w:r>
          </w:p>
        </w:tc>
        <w:tc>
          <w:tcPr>
            <w:tcW w:w="1168" w:type="dxa"/>
            <w:tcBorders/>
            <w:shd w:fill="CCEEFF" w:val="clear"/>
          </w:tcPr>
          <w:p>
            <w:pPr>
              <w:pStyle w:val="TableContents"/>
              <w:spacing w:before="0" w:after="283"/>
              <w:jc w:val="right"/>
              <w:rPr>
                <w:sz w:val="20"/>
              </w:rPr>
            </w:pPr>
            <w:r>
              <w:rPr>
                <w:sz w:val="20"/>
              </w:rPr>
              <w:t>0.5625</w:t>
            </w:r>
          </w:p>
        </w:tc>
      </w:tr>
      <w:tr>
        <w:trPr/>
        <w:tc>
          <w:tcPr>
            <w:tcW w:w="5481" w:type="dxa"/>
            <w:tcBorders/>
            <w:shd w:fill="FFFFFF" w:val="clear"/>
          </w:tcPr>
          <w:p>
            <w:pPr>
              <w:pStyle w:val="TableContents"/>
              <w:spacing w:before="0" w:after="283"/>
              <w:rPr>
                <w:sz w:val="20"/>
              </w:rPr>
            </w:pPr>
            <w:r>
              <w:rPr>
                <w:sz w:val="20"/>
              </w:rPr>
              <w:t>Second Quarter</w:t>
            </w:r>
          </w:p>
        </w:tc>
        <w:tc>
          <w:tcPr>
            <w:tcW w:w="179"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sz w:val="20"/>
              </w:rPr>
            </w:pPr>
            <w:r>
              <w:rPr>
                <w:sz w:val="20"/>
              </w:rPr>
              <w:t>36.13</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sz w:val="20"/>
              </w:rPr>
            </w:pPr>
            <w:r>
              <w:rPr>
                <w:sz w:val="20"/>
              </w:rPr>
              <w:t>27.25</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pPr>
            <w:r>
              <w:rPr/>
              <w:t> </w:t>
            </w:r>
          </w:p>
        </w:tc>
        <w:tc>
          <w:tcPr>
            <w:tcW w:w="1168" w:type="dxa"/>
            <w:tcBorders/>
            <w:shd w:fill="FFFFFF" w:val="clear"/>
          </w:tcPr>
          <w:p>
            <w:pPr>
              <w:pStyle w:val="TableContents"/>
              <w:spacing w:before="0" w:after="283"/>
              <w:jc w:val="right"/>
              <w:rPr>
                <w:sz w:val="20"/>
              </w:rPr>
            </w:pPr>
            <w:r>
              <w:rPr>
                <w:sz w:val="20"/>
              </w:rPr>
              <w:t>0.5775</w:t>
            </w:r>
          </w:p>
        </w:tc>
      </w:tr>
      <w:tr>
        <w:trPr/>
        <w:tc>
          <w:tcPr>
            <w:tcW w:w="5481" w:type="dxa"/>
            <w:tcBorders/>
            <w:shd w:fill="CCEEFF" w:val="clear"/>
          </w:tcPr>
          <w:p>
            <w:pPr>
              <w:pStyle w:val="TableContents"/>
              <w:spacing w:before="0" w:after="283"/>
              <w:rPr>
                <w:sz w:val="20"/>
              </w:rPr>
            </w:pPr>
            <w:r>
              <w:rPr>
                <w:sz w:val="20"/>
              </w:rPr>
              <w:t>Third Quarter</w:t>
            </w:r>
          </w:p>
        </w:tc>
        <w:tc>
          <w:tcPr>
            <w:tcW w:w="179"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sz w:val="20"/>
              </w:rPr>
            </w:pPr>
            <w:r>
              <w:rPr>
                <w:sz w:val="20"/>
              </w:rPr>
              <w:t>35.98</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sz w:val="20"/>
              </w:rPr>
            </w:pPr>
            <w:r>
              <w:rPr>
                <w:sz w:val="20"/>
              </w:rPr>
              <w:t>31.63</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1168" w:type="dxa"/>
            <w:tcBorders/>
            <w:shd w:fill="CCEEFF" w:val="clear"/>
          </w:tcPr>
          <w:p>
            <w:pPr>
              <w:pStyle w:val="TableContents"/>
              <w:spacing w:before="0" w:after="283"/>
              <w:jc w:val="right"/>
              <w:rPr>
                <w:sz w:val="20"/>
              </w:rPr>
            </w:pPr>
            <w:r>
              <w:rPr>
                <w:sz w:val="20"/>
              </w:rPr>
              <w:t>0.6000</w:t>
            </w:r>
          </w:p>
        </w:tc>
      </w:tr>
      <w:tr>
        <w:trPr/>
        <w:tc>
          <w:tcPr>
            <w:tcW w:w="5481" w:type="dxa"/>
            <w:tcBorders/>
            <w:shd w:fill="FFFFFF" w:val="clear"/>
          </w:tcPr>
          <w:p>
            <w:pPr>
              <w:pStyle w:val="TableContents"/>
              <w:spacing w:before="0" w:after="283"/>
              <w:rPr>
                <w:sz w:val="20"/>
              </w:rPr>
            </w:pPr>
            <w:r>
              <w:rPr>
                <w:sz w:val="20"/>
              </w:rPr>
              <w:t>Fourth Quarter</w:t>
            </w:r>
          </w:p>
        </w:tc>
        <w:tc>
          <w:tcPr>
            <w:tcW w:w="179"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sz w:val="20"/>
              </w:rPr>
            </w:pPr>
            <w:r>
              <w:rPr>
                <w:sz w:val="20"/>
              </w:rPr>
              <w:t>37.99</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sz w:val="20"/>
              </w:rPr>
            </w:pPr>
            <w:r>
              <w:rPr>
                <w:sz w:val="20"/>
              </w:rPr>
              <w:t>34.51</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pPr>
            <w:r>
              <w:rPr/>
              <w:t> </w:t>
            </w:r>
          </w:p>
        </w:tc>
        <w:tc>
          <w:tcPr>
            <w:tcW w:w="1168" w:type="dxa"/>
            <w:tcBorders/>
            <w:shd w:fill="FFFFFF" w:val="clear"/>
          </w:tcPr>
          <w:p>
            <w:pPr>
              <w:pStyle w:val="TableContents"/>
              <w:spacing w:before="0" w:after="283"/>
              <w:jc w:val="right"/>
              <w:rPr>
                <w:sz w:val="20"/>
              </w:rPr>
            </w:pPr>
            <w:r>
              <w:rPr>
                <w:sz w:val="20"/>
              </w:rPr>
              <w:t>0.6125</w:t>
            </w:r>
          </w:p>
        </w:tc>
      </w:tr>
      <w:tr>
        <w:trPr/>
        <w:tc>
          <w:tcPr>
            <w:tcW w:w="5481" w:type="dxa"/>
            <w:tcBorders/>
            <w:shd w:fill="CCEEFF" w:val="clear"/>
          </w:tcPr>
          <w:p>
            <w:pPr>
              <w:pStyle w:val="TableContents"/>
              <w:spacing w:before="0" w:after="283"/>
              <w:rPr/>
            </w:pPr>
            <w:r>
              <w:rPr/>
              <w:br/>
            </w:r>
            <w:r>
              <w:rPr>
                <w:b/>
                <w:sz w:val="20"/>
              </w:rPr>
              <w:t>2005</w:t>
            </w:r>
          </w:p>
        </w:tc>
        <w:tc>
          <w:tcPr>
            <w:tcW w:w="179" w:type="dxa"/>
            <w:tcBorders/>
            <w:shd w:fill="CCEEFF" w:val="clear"/>
          </w:tcPr>
          <w:p>
            <w:pPr>
              <w:pStyle w:val="TableContents"/>
              <w:spacing w:before="0" w:after="283"/>
              <w:rPr>
                <w:sz w:val="20"/>
              </w:rPr>
            </w:pPr>
            <w:r>
              <w:rPr>
                <w:sz w:val="20"/>
              </w:rPr>
              <w:br/>
              <w:t> </w:t>
            </w:r>
          </w:p>
        </w:tc>
        <w:tc>
          <w:tcPr>
            <w:tcW w:w="178" w:type="dxa"/>
            <w:tcBorders/>
            <w:shd w:fill="CCEEFF" w:val="clear"/>
          </w:tcPr>
          <w:p>
            <w:pPr>
              <w:pStyle w:val="TableContents"/>
              <w:spacing w:before="0" w:after="283"/>
              <w:rPr>
                <w:sz w:val="20"/>
              </w:rPr>
            </w:pPr>
            <w:r>
              <w:rPr>
                <w:sz w:val="20"/>
              </w:rPr>
              <w:br/>
              <w:t> </w:t>
            </w:r>
          </w:p>
        </w:tc>
        <w:tc>
          <w:tcPr>
            <w:tcW w:w="629" w:type="dxa"/>
            <w:tcBorders/>
            <w:shd w:fill="CCEEFF" w:val="clear"/>
          </w:tcPr>
          <w:p>
            <w:pPr>
              <w:pStyle w:val="TableContents"/>
              <w:spacing w:before="0" w:after="283"/>
              <w:rPr>
                <w:sz w:val="20"/>
              </w:rPr>
            </w:pPr>
            <w:r>
              <w:rPr>
                <w:sz w:val="20"/>
              </w:rPr>
              <w:br/>
              <w:t> </w:t>
            </w:r>
          </w:p>
        </w:tc>
        <w:tc>
          <w:tcPr>
            <w:tcW w:w="179" w:type="dxa"/>
            <w:tcBorders/>
            <w:shd w:fill="CCEEFF" w:val="clear"/>
          </w:tcPr>
          <w:p>
            <w:pPr>
              <w:pStyle w:val="TableContents"/>
              <w:spacing w:before="0" w:after="283"/>
              <w:rPr>
                <w:sz w:val="20"/>
              </w:rPr>
            </w:pPr>
            <w:r>
              <w:rPr>
                <w:sz w:val="20"/>
              </w:rPr>
              <w:br/>
              <w:t> </w:t>
            </w:r>
          </w:p>
        </w:tc>
        <w:tc>
          <w:tcPr>
            <w:tcW w:w="179" w:type="dxa"/>
            <w:tcBorders/>
            <w:shd w:fill="CCEEFF" w:val="clear"/>
          </w:tcPr>
          <w:p>
            <w:pPr>
              <w:pStyle w:val="TableContents"/>
              <w:spacing w:before="0" w:after="283"/>
              <w:rPr>
                <w:sz w:val="20"/>
              </w:rPr>
            </w:pPr>
            <w:r>
              <w:rPr>
                <w:sz w:val="20"/>
              </w:rPr>
              <w:br/>
              <w:t> </w:t>
            </w:r>
          </w:p>
        </w:tc>
        <w:tc>
          <w:tcPr>
            <w:tcW w:w="629" w:type="dxa"/>
            <w:tcBorders/>
            <w:shd w:fill="CCEEFF" w:val="clear"/>
          </w:tcPr>
          <w:p>
            <w:pPr>
              <w:pStyle w:val="TableContents"/>
              <w:spacing w:before="0" w:after="283"/>
              <w:rPr>
                <w:sz w:val="20"/>
              </w:rPr>
            </w:pPr>
            <w:r>
              <w:rPr>
                <w:sz w:val="20"/>
              </w:rPr>
              <w:br/>
              <w:t> </w:t>
            </w:r>
          </w:p>
        </w:tc>
        <w:tc>
          <w:tcPr>
            <w:tcW w:w="179" w:type="dxa"/>
            <w:tcBorders/>
            <w:shd w:fill="CCEEFF" w:val="clear"/>
          </w:tcPr>
          <w:p>
            <w:pPr>
              <w:pStyle w:val="TableContents"/>
              <w:spacing w:before="0" w:after="283"/>
              <w:rPr>
                <w:sz w:val="20"/>
              </w:rPr>
            </w:pPr>
            <w:r>
              <w:rPr>
                <w:sz w:val="20"/>
              </w:rPr>
              <w:br/>
              <w:t> </w:t>
            </w:r>
          </w:p>
        </w:tc>
        <w:tc>
          <w:tcPr>
            <w:tcW w:w="179" w:type="dxa"/>
            <w:tcBorders/>
            <w:shd w:fill="CCEEFF" w:val="clear"/>
          </w:tcPr>
          <w:p>
            <w:pPr>
              <w:pStyle w:val="TableContents"/>
              <w:spacing w:before="0" w:after="283"/>
              <w:rPr>
                <w:sz w:val="20"/>
              </w:rPr>
            </w:pPr>
            <w:r>
              <w:rPr>
                <w:sz w:val="20"/>
              </w:rPr>
              <w:br/>
              <w:t> </w:t>
            </w:r>
          </w:p>
        </w:tc>
        <w:tc>
          <w:tcPr>
            <w:tcW w:w="1168" w:type="dxa"/>
            <w:tcBorders/>
            <w:shd w:fill="CCEEFF" w:val="clear"/>
          </w:tcPr>
          <w:p>
            <w:pPr>
              <w:pStyle w:val="TableContents"/>
              <w:spacing w:before="0" w:after="283"/>
              <w:rPr>
                <w:sz w:val="20"/>
              </w:rPr>
            </w:pPr>
            <w:r>
              <w:rPr>
                <w:sz w:val="20"/>
              </w:rPr>
              <w:br/>
              <w:t> </w:t>
            </w:r>
          </w:p>
        </w:tc>
      </w:tr>
      <w:tr>
        <w:trPr/>
        <w:tc>
          <w:tcPr>
            <w:tcW w:w="5481" w:type="dxa"/>
            <w:tcBorders/>
            <w:shd w:fill="FFFFFF" w:val="clear"/>
          </w:tcPr>
          <w:p>
            <w:pPr>
              <w:pStyle w:val="TableContents"/>
              <w:spacing w:before="0" w:after="283"/>
              <w:rPr>
                <w:sz w:val="20"/>
              </w:rPr>
            </w:pPr>
            <w:r>
              <w:rPr>
                <w:sz w:val="20"/>
              </w:rPr>
              <w:t>First Quarter</w:t>
            </w:r>
          </w:p>
        </w:tc>
        <w:tc>
          <w:tcPr>
            <w:tcW w:w="179"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sz w:val="20"/>
              </w:rPr>
            </w:pPr>
            <w:r>
              <w:rPr>
                <w:sz w:val="20"/>
              </w:rPr>
              <w:t>$</w:t>
            </w:r>
          </w:p>
        </w:tc>
        <w:tc>
          <w:tcPr>
            <w:tcW w:w="629" w:type="dxa"/>
            <w:tcBorders/>
            <w:shd w:fill="FFFFFF" w:val="clear"/>
          </w:tcPr>
          <w:p>
            <w:pPr>
              <w:pStyle w:val="TableContents"/>
              <w:spacing w:before="0" w:after="283"/>
              <w:jc w:val="right"/>
              <w:rPr>
                <w:sz w:val="20"/>
              </w:rPr>
            </w:pPr>
            <w:r>
              <w:rPr>
                <w:sz w:val="20"/>
              </w:rPr>
              <w:t>40.98</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sz w:val="20"/>
              </w:rPr>
            </w:pPr>
            <w:r>
              <w:rPr>
                <w:sz w:val="20"/>
              </w:rPr>
              <w:t>$</w:t>
            </w:r>
          </w:p>
        </w:tc>
        <w:tc>
          <w:tcPr>
            <w:tcW w:w="629" w:type="dxa"/>
            <w:tcBorders/>
            <w:shd w:fill="FFFFFF" w:val="clear"/>
          </w:tcPr>
          <w:p>
            <w:pPr>
              <w:pStyle w:val="TableContents"/>
              <w:spacing w:before="0" w:after="283"/>
              <w:jc w:val="right"/>
              <w:rPr>
                <w:sz w:val="20"/>
              </w:rPr>
            </w:pPr>
            <w:r>
              <w:rPr>
                <w:sz w:val="20"/>
              </w:rPr>
              <w:t>36.50</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sz w:val="20"/>
              </w:rPr>
            </w:pPr>
            <w:r>
              <w:rPr>
                <w:sz w:val="20"/>
              </w:rPr>
              <w:t>$</w:t>
            </w:r>
          </w:p>
        </w:tc>
        <w:tc>
          <w:tcPr>
            <w:tcW w:w="1168" w:type="dxa"/>
            <w:tcBorders/>
            <w:shd w:fill="FFFFFF" w:val="clear"/>
          </w:tcPr>
          <w:p>
            <w:pPr>
              <w:pStyle w:val="TableContents"/>
              <w:spacing w:before="0" w:after="283"/>
              <w:jc w:val="right"/>
              <w:rPr>
                <w:sz w:val="20"/>
              </w:rPr>
            </w:pPr>
            <w:r>
              <w:rPr>
                <w:sz w:val="20"/>
              </w:rPr>
              <w:t>0.6375</w:t>
            </w:r>
          </w:p>
        </w:tc>
      </w:tr>
      <w:tr>
        <w:trPr/>
        <w:tc>
          <w:tcPr>
            <w:tcW w:w="5481" w:type="dxa"/>
            <w:tcBorders/>
            <w:shd w:fill="CCEEFF" w:val="clear"/>
          </w:tcPr>
          <w:p>
            <w:pPr>
              <w:pStyle w:val="TableContents"/>
              <w:spacing w:before="0" w:after="283"/>
              <w:rPr>
                <w:sz w:val="20"/>
              </w:rPr>
            </w:pPr>
            <w:r>
              <w:rPr>
                <w:sz w:val="20"/>
              </w:rPr>
              <w:t>Second Quarter</w:t>
            </w:r>
          </w:p>
        </w:tc>
        <w:tc>
          <w:tcPr>
            <w:tcW w:w="179" w:type="dxa"/>
            <w:tcBorders/>
            <w:shd w:fill="CCEEFF" w:val="clear"/>
          </w:tcPr>
          <w:p>
            <w:pPr>
              <w:pStyle w:val="TableContents"/>
              <w:spacing w:before="0" w:after="283"/>
              <w:rPr/>
            </w:pPr>
            <w:r>
              <w:rPr/>
              <w:t> </w:t>
            </w:r>
          </w:p>
        </w:tc>
        <w:tc>
          <w:tcPr>
            <w:tcW w:w="178"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sz w:val="20"/>
              </w:rPr>
            </w:pPr>
            <w:r>
              <w:rPr>
                <w:sz w:val="20"/>
              </w:rPr>
              <w:t>45.08</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sz w:val="20"/>
              </w:rPr>
            </w:pPr>
            <w:r>
              <w:rPr>
                <w:sz w:val="20"/>
              </w:rPr>
              <w:t>38.00</w:t>
            </w:r>
          </w:p>
        </w:tc>
        <w:tc>
          <w:tcPr>
            <w:tcW w:w="179" w:type="dxa"/>
            <w:tcBorders/>
            <w:shd w:fill="CCEEFF" w:val="clear"/>
          </w:tcPr>
          <w:p>
            <w:pPr>
              <w:pStyle w:val="TableContents"/>
              <w:spacing w:before="0" w:after="283"/>
              <w:rPr/>
            </w:pPr>
            <w:r>
              <w:rPr/>
              <w:t> </w:t>
            </w:r>
          </w:p>
        </w:tc>
        <w:tc>
          <w:tcPr>
            <w:tcW w:w="179" w:type="dxa"/>
            <w:tcBorders/>
            <w:shd w:fill="CCEEFF" w:val="clear"/>
          </w:tcPr>
          <w:p>
            <w:pPr>
              <w:pStyle w:val="TableContents"/>
              <w:spacing w:before="0" w:after="283"/>
              <w:rPr/>
            </w:pPr>
            <w:r>
              <w:rPr/>
              <w:t> </w:t>
            </w:r>
          </w:p>
        </w:tc>
        <w:tc>
          <w:tcPr>
            <w:tcW w:w="1168" w:type="dxa"/>
            <w:tcBorders/>
            <w:shd w:fill="CCEEFF" w:val="clear"/>
          </w:tcPr>
          <w:p>
            <w:pPr>
              <w:pStyle w:val="TableContents"/>
              <w:spacing w:before="0" w:after="283"/>
              <w:jc w:val="right"/>
              <w:rPr>
                <w:sz w:val="20"/>
              </w:rPr>
            </w:pPr>
            <w:r>
              <w:rPr>
                <w:sz w:val="20"/>
              </w:rPr>
              <w:t>0.6500</w:t>
            </w:r>
          </w:p>
        </w:tc>
      </w:tr>
      <w:tr>
        <w:trPr/>
        <w:tc>
          <w:tcPr>
            <w:tcW w:w="5481" w:type="dxa"/>
            <w:tcBorders/>
            <w:shd w:fill="FFFFFF" w:val="clear"/>
          </w:tcPr>
          <w:p>
            <w:pPr>
              <w:pStyle w:val="TableContents"/>
              <w:spacing w:before="0" w:after="283"/>
              <w:rPr>
                <w:sz w:val="20"/>
              </w:rPr>
            </w:pPr>
            <w:r>
              <w:rPr>
                <w:sz w:val="20"/>
              </w:rPr>
              <w:t>Third Quarter (through September 22, 2005)</w:t>
            </w:r>
          </w:p>
        </w:tc>
        <w:tc>
          <w:tcPr>
            <w:tcW w:w="179" w:type="dxa"/>
            <w:tcBorders/>
            <w:shd w:fill="FFFFFF" w:val="clear"/>
          </w:tcPr>
          <w:p>
            <w:pPr>
              <w:pStyle w:val="TableContents"/>
              <w:spacing w:before="0" w:after="283"/>
              <w:rPr/>
            </w:pPr>
            <w:r>
              <w:rPr/>
              <w:t> </w:t>
            </w:r>
          </w:p>
        </w:tc>
        <w:tc>
          <w:tcPr>
            <w:tcW w:w="178"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sz w:val="20"/>
              </w:rPr>
            </w:pPr>
            <w:r>
              <w:rPr>
                <w:sz w:val="20"/>
              </w:rPr>
              <w:t>48.20</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sz w:val="20"/>
              </w:rPr>
            </w:pPr>
            <w:r>
              <w:rPr>
                <w:sz w:val="20"/>
              </w:rPr>
              <w:t>42.01</w:t>
            </w:r>
          </w:p>
        </w:tc>
        <w:tc>
          <w:tcPr>
            <w:tcW w:w="179" w:type="dxa"/>
            <w:tcBorders/>
            <w:shd w:fill="FFFFFF" w:val="clear"/>
          </w:tcPr>
          <w:p>
            <w:pPr>
              <w:pStyle w:val="TableContents"/>
              <w:spacing w:before="0" w:after="283"/>
              <w:rPr/>
            </w:pPr>
            <w:r>
              <w:rPr/>
              <w:t> </w:t>
            </w:r>
          </w:p>
        </w:tc>
        <w:tc>
          <w:tcPr>
            <w:tcW w:w="179" w:type="dxa"/>
            <w:tcBorders/>
            <w:shd w:fill="FFFFFF" w:val="clear"/>
          </w:tcPr>
          <w:p>
            <w:pPr>
              <w:pStyle w:val="TableContents"/>
              <w:spacing w:before="0" w:after="283"/>
              <w:rPr/>
            </w:pPr>
            <w:r>
              <w:rPr/>
              <w:t> </w:t>
            </w:r>
          </w:p>
        </w:tc>
        <w:tc>
          <w:tcPr>
            <w:tcW w:w="1168" w:type="dxa"/>
            <w:tcBorders/>
            <w:shd w:fill="FFFFFF" w:val="clear"/>
          </w:tcPr>
          <w:p>
            <w:pPr>
              <w:pStyle w:val="TableContents"/>
              <w:spacing w:before="0" w:after="283"/>
              <w:jc w:val="center"/>
              <w:rPr>
                <w:sz w:val="20"/>
              </w:rPr>
            </w:pPr>
            <w:r>
              <w:rPr>
                <w:sz w:val="20"/>
              </w:rPr>
              <w:t>(2)</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Represents cash distributions attributable to the quarter and paid within 45 days after the quarter. </w:t>
      </w:r>
    </w:p>
    <w:p>
      <w:pPr>
        <w:pStyle w:val="ListHeading"/>
        <w:spacing w:before="0" w:after="0"/>
        <w:rPr>
          <w:sz w:val="20"/>
        </w:rPr>
      </w:pPr>
      <w:r>
        <w:rPr>
          <w:sz w:val="20"/>
        </w:rPr>
        <w:t>(2)</w:t>
      </w:r>
    </w:p>
    <w:p>
      <w:pPr>
        <w:pStyle w:val="ListContents"/>
        <w:spacing w:before="0" w:after="283"/>
        <w:rPr>
          <w:sz w:val="20"/>
        </w:rPr>
      </w:pPr>
      <w:r>
        <w:rPr>
          <w:sz w:val="20"/>
        </w:rPr>
        <w:t xml:space="preserve">The distributions attributable to the third quarter of 2005 have not yet been declared or paid. </w:t>
      </w:r>
    </w:p>
    <w:p>
      <w:pPr>
        <w:pStyle w:val="TextBody"/>
        <w:jc w:val="center"/>
        <w:rPr/>
      </w:pPr>
      <w:bookmarkStart w:id="29" w:name="toc_ce1493_3"/>
      <w:bookmarkStart w:id="30" w:name="ce1493_plan_of_distribution"/>
      <w:bookmarkEnd w:id="29"/>
      <w:bookmarkEnd w:id="30"/>
      <w:r>
        <w:rPr>
          <w:sz w:val="20"/>
        </w:rPr>
        <w:br/>
      </w:r>
      <w:r>
        <w:rPr>
          <w:b/>
          <w:sz w:val="20"/>
        </w:rPr>
        <w:t xml:space="preserve">PLAN OF DISTRIBUTION </w:t>
      </w:r>
    </w:p>
    <w:p>
      <w:pPr>
        <w:pStyle w:val="TextBody"/>
        <w:rPr/>
      </w:pPr>
      <w:r>
        <w:rPr/>
        <w:t>        </w:t>
      </w:r>
      <w:r>
        <w:rPr>
          <w:sz w:val="20"/>
        </w:rPr>
        <w:t xml:space="preserve">We are selling the common units offered pursuant to this prospectus directly to two investment funds affiliated with Kayne Anderson Capital Advisors, L.P. in a privately negotiated transaction in which no party is acting as an underwriter. Subject to the terms of a purchase agreement dated </w:t>
      </w:r>
    </w:p>
    <w:p>
      <w:pPr>
        <w:pStyle w:val="TextBody"/>
        <w:jc w:val="center"/>
        <w:rPr>
          <w:sz w:val="20"/>
        </w:rPr>
      </w:pPr>
      <w:r>
        <w:rPr>
          <w:sz w:val="20"/>
        </w:rPr>
        <w:t>S-8</w:t>
      </w:r>
    </w:p>
    <w:p>
      <w:pPr>
        <w:pStyle w:val="HorizontalLine"/>
        <w:pBdr>
          <w:bottom w:val="single" w:sz="20" w:space="0" w:color="808080"/>
        </w:pBdr>
        <w:rPr/>
      </w:pPr>
      <w:r>
        <w:rPr/>
      </w:r>
      <w:r>
        <w:br w:type="page"/>
      </w:r>
    </w:p>
    <w:p>
      <w:pPr>
        <w:pStyle w:val="TextBody"/>
        <w:rPr/>
      </w:pPr>
      <w:r>
        <w:rPr/>
      </w:r>
      <w:bookmarkStart w:id="31" w:name="page_ce1493_1_9"/>
      <w:bookmarkStart w:id="32" w:name="page_ce1493_1_9"/>
      <w:bookmarkEnd w:id="32"/>
    </w:p>
    <w:p>
      <w:pPr>
        <w:pStyle w:val="TextBody"/>
        <w:rPr>
          <w:sz w:val="20"/>
        </w:rPr>
      </w:pPr>
      <w:r>
        <w:rPr>
          <w:sz w:val="20"/>
        </w:rPr>
        <w:t xml:space="preserve">September 22, 2005, the investors have agreed to purchase, and we have agreed to sell to the investors, 679,000 common units at a price of $40.512 per unit. We determined the per unit price through negotiations with the investors. </w:t>
      </w:r>
    </w:p>
    <w:p>
      <w:pPr>
        <w:pStyle w:val="TextBody"/>
        <w:rPr/>
      </w:pPr>
      <w:r>
        <w:rPr/>
        <w:t>        </w:t>
      </w:r>
      <w:r>
        <w:rPr>
          <w:sz w:val="20"/>
        </w:rPr>
        <w:t xml:space="preserve">The investors have agreed not to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the purchased common units for a period of 60 days after the date of the final prospectus relating to the Concurrent Sale without our prior written consent. </w:t>
      </w:r>
    </w:p>
    <w:p>
      <w:pPr>
        <w:pStyle w:val="TextBody"/>
        <w:rPr/>
      </w:pPr>
      <w:r>
        <w:rPr/>
        <w:t>        </w:t>
      </w:r>
      <w:r>
        <w:rPr>
          <w:sz w:val="20"/>
        </w:rPr>
        <w:t xml:space="preserve">We expect to deliver the units through the book entry facilities of The Depository Trust Company against payment of the aggregate purchase price for the units purchased on September 30, 2005. </w:t>
      </w:r>
    </w:p>
    <w:p>
      <w:pPr>
        <w:pStyle w:val="TextBody"/>
        <w:jc w:val="center"/>
        <w:rPr>
          <w:sz w:val="20"/>
        </w:rPr>
      </w:pPr>
      <w:r>
        <w:rPr>
          <w:sz w:val="20"/>
        </w:rPr>
        <w:t>S-9</w:t>
      </w:r>
    </w:p>
    <w:p>
      <w:pPr>
        <w:pStyle w:val="HorizontalLine"/>
        <w:pBdr>
          <w:bottom w:val="single" w:sz="20" w:space="0" w:color="808080"/>
        </w:pBdr>
        <w:rPr/>
      </w:pPr>
      <w:r>
        <w:rPr/>
      </w:r>
      <w:r>
        <w:br w:type="page"/>
      </w:r>
    </w:p>
    <w:p>
      <w:pPr>
        <w:pStyle w:val="TextBody"/>
        <w:jc w:val="center"/>
        <w:rPr/>
      </w:pPr>
      <w:bookmarkStart w:id="33" w:name="toc_cg1493_1"/>
      <w:bookmarkStart w:id="34" w:name="cg1493_where_you_can_find_more_informati"/>
      <w:bookmarkStart w:id="35" w:name="page_cg1493_1_10"/>
      <w:bookmarkEnd w:id="33"/>
      <w:bookmarkEnd w:id="34"/>
      <w:bookmarkEnd w:id="35"/>
      <w:r>
        <w:rPr>
          <w:sz w:val="20"/>
        </w:rPr>
        <w:br/>
      </w:r>
      <w:r>
        <w:rPr>
          <w:b/>
          <w:sz w:val="20"/>
        </w:rPr>
        <w:t xml:space="preserve">WHERE YOU CAN FIND MORE INFORMATION </w:t>
      </w:r>
    </w:p>
    <w:p>
      <w:pPr>
        <w:pStyle w:val="TextBody"/>
        <w:rPr/>
      </w:pPr>
      <w:r>
        <w:rPr/>
        <w:t>        </w:t>
      </w:r>
      <w:r>
        <w:rPr>
          <w:sz w:val="20"/>
        </w:rPr>
        <w:t xml:space="preserve">The SEC allows us to "incorporate by reference" information we file with it. This procedure means that we can disclose important information to you by referring you to documents filed with the SEC. The information we incorporate by reference (excluding any information furnished and not filed with the SEC) is part of this prospectus supplement and later information that we file with the SEC (excluding any information furnished and not filed with the SEC) will automatically update and supersede this information. We incorporate by reference the documents listed below: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Annual Report on Form 10-K for the year ended December 31, 2004 filed on March 3, 2005;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Quarterly Reports on Form 10-Q for the periods ended March 31, 2005 and June 30, 2005;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Reports on Form 8-K filed on January 26, 2005; February 23, 2005; March 8, 2005; April 1, 2005; April 8, 2005; April 21, 2005; April 25, 2005; May 12, 2005; May 25, 2005; May 31, 2005; August 16, 2005; August 22, 2005; September 16, 2005; September 19, 2005 and September 21, 2005;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description of our common units contained in our Form 8-A/A dated November 3, 1998. </w:t>
      </w:r>
    </w:p>
    <w:p>
      <w:pPr>
        <w:pStyle w:val="TextBody"/>
        <w:rPr/>
      </w:pPr>
      <w:r>
        <w:rPr/>
        <w:t>        </w:t>
      </w:r>
      <w:r>
        <w:rPr>
          <w:sz w:val="20"/>
        </w:rPr>
        <w:t xml:space="preserve">You may request a copy of these filings at no cost by making written or telephone requests for copies to: </w:t>
      </w:r>
    </w:p>
    <w:p>
      <w:pPr>
        <w:pStyle w:val="TextBody"/>
        <w:numPr>
          <w:ilvl w:val="0"/>
          <w:numId w:val="0"/>
        </w:numPr>
        <w:ind w:left="1414" w:hanging="0"/>
        <w:rPr>
          <w:sz w:val="20"/>
        </w:rPr>
      </w:pPr>
      <w:r>
        <w:rPr>
          <w:sz w:val="20"/>
        </w:rPr>
        <w:t>Plains All American Pipeline, L.P.</w:t>
        <w:br/>
        <w:t>333 Clay Street, Suite 1600</w:t>
        <w:br/>
        <w:t>Houston, Texas 77002</w:t>
        <w:br/>
        <w:t>Attention: Tim Moore</w:t>
        <w:br/>
        <w:t xml:space="preserve">Telephone: (713) 646-4100 </w:t>
      </w:r>
    </w:p>
    <w:p>
      <w:pPr>
        <w:pStyle w:val="TextBody"/>
        <w:rPr/>
      </w:pPr>
      <w:r>
        <w:rPr/>
        <w:t>        </w:t>
      </w:r>
      <w:r>
        <w:rPr>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i/>
          <w:sz w:val="20"/>
        </w:rPr>
        <w:t>www.sec.gov</w:t>
      </w:r>
      <w:r>
        <w:rPr>
          <w:sz w:val="20"/>
        </w:rPr>
        <w:t xml:space="preserve">. </w:t>
      </w:r>
    </w:p>
    <w:p>
      <w:pPr>
        <w:pStyle w:val="TextBody"/>
        <w:rPr/>
      </w:pPr>
      <w:r>
        <w:rPr/>
        <w:t>        </w:t>
      </w:r>
      <w:r>
        <w:rPr>
          <w:sz w:val="20"/>
        </w:rPr>
        <w:t xml:space="preserve">You should rely only on the information incorporated by reference or provided in this prospectus supplement and the accompanying base prospectus. We have not authorized anyone else to provide you with any information. You should not assume that the information incorporated by reference or provided in this prospectus supplement or the accompanying base prospectus is accurate as of any date other than its date. </w:t>
      </w:r>
    </w:p>
    <w:p>
      <w:pPr>
        <w:pStyle w:val="TextBody"/>
        <w:jc w:val="center"/>
        <w:rPr/>
      </w:pPr>
      <w:bookmarkStart w:id="36" w:name="toc_cg1493_2"/>
      <w:bookmarkStart w:id="37" w:name="cg1493_forward-looking_statements"/>
      <w:bookmarkEnd w:id="36"/>
      <w:bookmarkEnd w:id="37"/>
      <w:r>
        <w:rPr>
          <w:sz w:val="20"/>
        </w:rPr>
        <w:br/>
      </w:r>
      <w:r>
        <w:rPr>
          <w:b/>
          <w:sz w:val="20"/>
        </w:rPr>
        <w:t xml:space="preserve">FORWARD-LOOKING STATEMENTS </w:t>
      </w:r>
    </w:p>
    <w:p>
      <w:pPr>
        <w:pStyle w:val="TextBody"/>
        <w:rPr/>
      </w:pPr>
      <w:r>
        <w:rPr/>
        <w:t>        </w:t>
      </w:r>
      <w:r>
        <w:rPr>
          <w:sz w:val="20"/>
        </w:rPr>
        <w:t xml:space="preserve">All statements, other than statements of historical fact, included in this prospectus supplement and incorporated by reference are forward-looking statements, including, but not limited to, statements identified by the words "anticipate," "believe," "estimate," "expect," "plan," "intend" and "forecast," and similar expressions and statements regarding our business strategy, plans and objectives for future operations. These statements reflect our current views with respect to future events, based on what we believe are reasonable assumptions. Certain factors could cause actual results to differ materially from results anticipated in the forward looking statements. These factors include, but are not limited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abrupt or severe production declines or production interruptions in outer continental shelf production located offshore California and transported on our pipeline system;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success of our risk management activities;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availability of, and our ability to consummate, acquisition or combination opportunities; </w:t>
      </w:r>
    </w:p>
    <w:p>
      <w:pPr>
        <w:pStyle w:val="TextBody"/>
        <w:jc w:val="center"/>
        <w:rPr>
          <w:sz w:val="20"/>
        </w:rPr>
      </w:pPr>
      <w:r>
        <w:rPr>
          <w:sz w:val="20"/>
        </w:rPr>
        <w:t>S-10</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38" w:name="page_cg1493_1_11"/>
      <w:bookmarkEnd w:id="38"/>
      <w:r>
        <w:rPr>
          <w:sz w:val="20"/>
        </w:rPr>
        <w:t></w:t>
      </w:r>
    </w:p>
    <w:p>
      <w:pPr>
        <w:pStyle w:val="ListContents"/>
        <w:numPr>
          <w:ilvl w:val="0"/>
          <w:numId w:val="0"/>
        </w:numPr>
        <w:spacing w:before="0" w:after="283"/>
        <w:ind w:left="1274" w:right="0" w:hanging="0"/>
        <w:rPr>
          <w:sz w:val="20"/>
        </w:rPr>
      </w:pPr>
      <w:r>
        <w:rPr>
          <w:sz w:val="20"/>
        </w:rPr>
        <w:t xml:space="preserve">our access to capital to fund additional acquisitions and our ability to obtain debt or equity financing on satisfactory terms;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successful integration and future performance of acquired assets or businesses and the risks associated with operating in lines of business that are distinct and separate from our historical operations;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maintenance of our credit rating and ability to receive open credit from our suppliers and trade counter-parties;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declines in volumes shipped on the Basin Pipeline, Capline Pipeline and our other pipelines by us and third party shippers;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availability of adequate third party production volumes for transportation and marketing in the areas in which we operate;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successful third party drilling efforts in areas in which we operate pipelines or gather crude oil;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demand for natural gas or various grades of crude oil and resulting changes in pricing conditions or transmission throughput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fluctuations in refinery capacity in areas supplied by our transmission lines;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interruptions in service and fluctuations in rates of third-party pipelines;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effects of competition;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continued creditworthiness of, and performance by, counter-parties;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impact of crude oil and natural gas price fluctuations;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impact of current and future laws, rulings and governmental regulations;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shortages or cost increases of power supplies, materials or labor (including the direct and indirect effects of Hurricanes Katrina and Rita on the availability of materials, the cost of natural gas and the demand for oil-field services);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weather interference with business operations or project construction;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currency exchange rate of the Canadian dollar;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fluctuations in the debt and equity markets, including the price of our units at the time of vesting under our Long-Term Incentive Plan;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 economic, market or business conditions. </w:t>
      </w:r>
    </w:p>
    <w:p>
      <w:pPr>
        <w:pStyle w:val="TextBody"/>
        <w:rPr/>
      </w:pPr>
      <w:r>
        <w:rPr/>
        <w:t>        </w:t>
      </w:r>
      <w:r>
        <w:rPr>
          <w:sz w:val="20"/>
        </w:rPr>
        <w:t xml:space="preserve">Other factors described herein or incorporated by reference, or factors that are unknown or unpredictable, could also have a material adverse effect on future results. Please read "Risk Factors" on page S-4 of this prospectus supplement and beginning on page 5 of the accompanying base prospectus. </w:t>
      </w:r>
    </w:p>
    <w:p>
      <w:pPr>
        <w:pStyle w:val="TextBody"/>
        <w:jc w:val="center"/>
        <w:rPr>
          <w:sz w:val="20"/>
        </w:rPr>
      </w:pPr>
      <w:r>
        <w:rPr>
          <w:sz w:val="20"/>
        </w:rPr>
        <w:t>S-11</w:t>
      </w:r>
    </w:p>
    <w:p>
      <w:pPr>
        <w:pStyle w:val="HorizontalLine"/>
        <w:pBdr>
          <w:bottom w:val="single" w:sz="20" w:space="0" w:color="808080"/>
        </w:pBdr>
        <w:rPr/>
      </w:pPr>
      <w:r>
        <w:rPr/>
      </w:r>
      <w:r>
        <w:br w:type="page"/>
      </w:r>
    </w:p>
    <w:p>
      <w:pPr>
        <w:pStyle w:val="TextBody"/>
        <w:rPr>
          <w:b/>
          <w:sz w:val="20"/>
        </w:rPr>
      </w:pPr>
      <w:r>
        <w:rPr>
          <w:b/>
          <w:sz w:val="20"/>
        </w:rPr>
        <w:t xml:space="preserve">PROSPECTUS </w:t>
      </w:r>
    </w:p>
    <w:p>
      <w:pPr>
        <w:pStyle w:val="TextBody"/>
        <w:jc w:val="center"/>
        <w:rPr>
          <w:b/>
          <w:sz w:val="36"/>
        </w:rPr>
      </w:pPr>
      <w:r>
        <w:rPr>
          <w:b/>
          <w:sz w:val="36"/>
        </w:rPr>
        <w:t xml:space="preserve">$2,000,000,000 </w:t>
      </w:r>
    </w:p>
    <w:p>
      <w:pPr>
        <w:pStyle w:val="TextBody"/>
        <w:jc w:val="center"/>
        <w:rPr>
          <w:b/>
          <w:sz w:val="36"/>
        </w:rPr>
      </w:pPr>
      <w:r>
        <w:rPr>
          <w:b/>
          <w:sz w:val="36"/>
        </w:rPr>
        <w:t>Plains All American Pipeline, L.P.</w:t>
        <w:br/>
        <w:t xml:space="preserve">PAA Finance Corp. </w:t>
      </w:r>
    </w:p>
    <w:p>
      <w:pPr>
        <w:pStyle w:val="HorizontalLine"/>
        <w:pBdr>
          <w:bottom w:val="single" w:sz="20" w:space="0" w:color="808080"/>
        </w:pBdr>
        <w:rPr/>
      </w:pPr>
      <w:r>
        <w:rPr/>
      </w:r>
    </w:p>
    <w:p>
      <w:pPr>
        <w:pStyle w:val="TextBody"/>
        <w:jc w:val="center"/>
        <w:rPr>
          <w:b/>
          <w:sz w:val="28"/>
        </w:rPr>
      </w:pPr>
      <w:r>
        <w:rPr>
          <w:b/>
          <w:sz w:val="28"/>
        </w:rPr>
        <w:t>Common Units</w:t>
        <w:br/>
        <w:t xml:space="preserve">Debt Securities </w:t>
      </w:r>
    </w:p>
    <w:p>
      <w:pPr>
        <w:pStyle w:val="HorizontalLine"/>
        <w:pBdr>
          <w:bottom w:val="single" w:sz="20" w:space="0" w:color="808080"/>
        </w:pBdr>
        <w:rPr/>
      </w:pPr>
      <w:r>
        <w:rPr/>
      </w:r>
    </w:p>
    <w:p>
      <w:pPr>
        <w:pStyle w:val="TextBody"/>
        <w:rPr>
          <w:sz w:val="20"/>
        </w:rPr>
      </w:pPr>
      <w:r>
        <w:rPr>
          <w:sz w:val="20"/>
        </w:rPr>
        <w:t xml:space="preserve">We may from time to time offer the following securities under this prospectus: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common units representing limited partner interests in Plains All American Pipeline, L.P.;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debt securities of Plains All American Pipeline, L.P. </w:t>
      </w:r>
    </w:p>
    <w:p>
      <w:pPr>
        <w:pStyle w:val="TextBody"/>
        <w:rPr/>
      </w:pPr>
      <w:r>
        <w:rPr/>
        <w:t>        </w:t>
      </w:r>
      <w:r>
        <w:rPr>
          <w:sz w:val="20"/>
        </w:rPr>
        <w:t xml:space="preserve">PAA Finance Corp. may act as co-issuer of the debt securities, and all other subsidiaries of Plains All American Pipeline, L.P., other than "minor" subsidiaries as such item is interpreted in securities regulations governing financial reporting for guarantors, may guarantee the debt securities. </w:t>
      </w:r>
    </w:p>
    <w:p>
      <w:pPr>
        <w:pStyle w:val="TextBody"/>
        <w:rPr>
          <w:sz w:val="20"/>
        </w:rPr>
      </w:pPr>
      <w:r>
        <w:rPr>
          <w:sz w:val="20"/>
        </w:rPr>
        <w:t xml:space="preserve">Our common units are traded on the New York Stock Exchange under the symbol "PAA." </w:t>
      </w:r>
    </w:p>
    <w:p>
      <w:pPr>
        <w:pStyle w:val="HorizontalLine"/>
        <w:pBdr>
          <w:bottom w:val="single" w:sz="20" w:space="0" w:color="808080"/>
        </w:pBdr>
        <w:rPr/>
      </w:pPr>
      <w:r>
        <w:rPr/>
      </w:r>
    </w:p>
    <w:p>
      <w:pPr>
        <w:pStyle w:val="TextBody"/>
        <w:rPr/>
      </w:pPr>
      <w:r>
        <w:rPr/>
        <w:t>        </w:t>
      </w:r>
      <w:r>
        <w:rPr>
          <w:sz w:val="20"/>
        </w:rPr>
        <w:t xml:space="preserve">Each time we sell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carefully before you invest. You should also read the documents we have referred you to in the "Where You Can Find More Information" section of this prospectus for information on us and for our financial statements. </w:t>
      </w:r>
    </w:p>
    <w:p>
      <w:pPr>
        <w:pStyle w:val="TextBody"/>
        <w:rPr/>
      </w:pPr>
      <w:r>
        <w:rPr/>
        <w:t>        </w:t>
      </w:r>
      <w:r>
        <w:rPr>
          <w:b/>
          <w:sz w:val="24"/>
        </w:rPr>
        <w:t>Limited partnerships are inherently different from corporations. You should consider each of the factors described under "Risk Factors," which begin on page 5, in deciding whether or not to buy any of our securities.</w:t>
      </w:r>
    </w:p>
    <w:p>
      <w:pPr>
        <w:pStyle w:val="TextBody"/>
        <w:rPr/>
      </w:pPr>
      <w:r>
        <w:rPr/>
        <w:t>        </w:t>
      </w:r>
      <w:r>
        <w:rPr>
          <w:sz w:val="20"/>
        </w:rPr>
        <w:t xml:space="preserve">Neither the Securities and Exchange Commission nor any state securities commission has approved or disapproved of our securities or determined if this prospectus is truthful or complete. Any representation to the contrary is a criminal offense. </w:t>
      </w:r>
    </w:p>
    <w:p>
      <w:pPr>
        <w:pStyle w:val="HorizontalLine"/>
        <w:pBdr>
          <w:bottom w:val="single" w:sz="20" w:space="0" w:color="808080"/>
        </w:pBdr>
        <w:rPr/>
      </w:pPr>
      <w:r>
        <w:rPr/>
      </w:r>
    </w:p>
    <w:p>
      <w:pPr>
        <w:pStyle w:val="TextBody"/>
        <w:jc w:val="center"/>
        <w:rPr>
          <w:sz w:val="20"/>
        </w:rPr>
      </w:pPr>
      <w:r>
        <w:rPr>
          <w:sz w:val="20"/>
        </w:rPr>
        <w:t xml:space="preserve">The date of this prospectus is July 22, 2005. </w:t>
      </w:r>
    </w:p>
    <w:p>
      <w:pPr>
        <w:pStyle w:val="HorizontalLine"/>
        <w:pBdr>
          <w:bottom w:val="single" w:sz="20" w:space="0" w:color="808080"/>
        </w:pBdr>
        <w:rPr/>
      </w:pPr>
      <w:r>
        <w:rPr/>
      </w:r>
      <w:r>
        <w:br w:type="page"/>
      </w:r>
    </w:p>
    <w:p>
      <w:pPr>
        <w:pStyle w:val="TextBody"/>
        <w:jc w:val="center"/>
        <w:rPr/>
      </w:pPr>
      <w:bookmarkStart w:id="39" w:name="bg1403_table_of_contents"/>
      <w:bookmarkStart w:id="40" w:name="page_bg1403_1_1"/>
      <w:bookmarkEnd w:id="39"/>
      <w:bookmarkEnd w:id="40"/>
      <w:r>
        <w:rPr>
          <w:sz w:val="20"/>
        </w:rPr>
        <w:br/>
      </w:r>
      <w:r>
        <w:rPr>
          <w:b/>
          <w:sz w:val="20"/>
        </w:rPr>
        <w:t xml:space="preserve">Table of Contents </w:t>
      </w:r>
    </w:p>
    <w:p>
      <w:pPr>
        <w:pStyle w:val="Normal"/>
        <w:spacing w:before="0" w:after="0"/>
        <w:rPr>
          <w:sz w:val="4"/>
          <w:szCs w:val="4"/>
        </w:rPr>
      </w:pPr>
      <w:r>
        <w:rPr>
          <w:sz w:val="4"/>
          <w:szCs w:val="4"/>
        </w:rPr>
      </w:r>
      <w:bookmarkStart w:id="41" w:name="BG1403_TOC"/>
      <w:bookmarkStart w:id="42" w:name="BG1403_TOC"/>
      <w:bookmarkEnd w:id="42"/>
    </w:p>
    <w:tbl>
      <w:tblPr>
        <w:tblW w:w="3650" w:type="pct"/>
        <w:jc w:val="left"/>
        <w:tblInd w:w="0" w:type="dxa"/>
        <w:tblCellMar>
          <w:top w:w="0" w:type="dxa"/>
          <w:left w:w="0" w:type="dxa"/>
          <w:bottom w:w="0" w:type="dxa"/>
          <w:right w:w="0" w:type="dxa"/>
        </w:tblCellMar>
      </w:tblPr>
      <w:tblGrid>
        <w:gridCol w:w="7449"/>
      </w:tblGrid>
      <w:tr>
        <w:trPr/>
        <w:tc>
          <w:tcPr>
            <w:tcW w:w="7449" w:type="dxa"/>
            <w:tcBorders/>
            <w:shd w:fill="auto" w:val="clear"/>
          </w:tcPr>
          <w:p>
            <w:pPr>
              <w:pStyle w:val="TableContents"/>
              <w:spacing w:before="0" w:after="283"/>
              <w:rPr/>
            </w:pPr>
            <w:hyperlink w:anchor="bg1403_about_this_prospectus">
              <w:r>
                <w:rPr>
                  <w:rStyle w:val="InternetLink"/>
                  <w:sz w:val="20"/>
                </w:rPr>
                <w:t>ABOUT THIS PROSPECTUS</w:t>
              </w:r>
            </w:hyperlink>
          </w:p>
        </w:tc>
      </w:tr>
      <w:tr>
        <w:trPr/>
        <w:tc>
          <w:tcPr>
            <w:tcW w:w="7449" w:type="dxa"/>
            <w:tcBorders/>
            <w:shd w:fill="auto" w:val="clear"/>
          </w:tcPr>
          <w:p>
            <w:pPr>
              <w:pStyle w:val="TableContents"/>
              <w:spacing w:before="0" w:after="283"/>
              <w:rPr/>
            </w:pPr>
            <w:hyperlink w:anchor="de1403_where_you_can_find_more_information">
              <w:r>
                <w:rPr>
                  <w:rStyle w:val="InternetLink"/>
                  <w:sz w:val="20"/>
                </w:rPr>
                <w:t>WHERE YOU CAN FIND MORE INFORMATION</w:t>
              </w:r>
            </w:hyperlink>
          </w:p>
        </w:tc>
      </w:tr>
      <w:tr>
        <w:trPr/>
        <w:tc>
          <w:tcPr>
            <w:tcW w:w="7449" w:type="dxa"/>
            <w:tcBorders/>
            <w:shd w:fill="auto" w:val="clear"/>
          </w:tcPr>
          <w:p>
            <w:pPr>
              <w:pStyle w:val="TableContents"/>
              <w:spacing w:before="0" w:after="283"/>
              <w:rPr/>
            </w:pPr>
            <w:hyperlink w:anchor="de1403_forward-looking_statements">
              <w:r>
                <w:rPr>
                  <w:rStyle w:val="InternetLink"/>
                  <w:sz w:val="20"/>
                </w:rPr>
                <w:t>FORWARD-LOOKING STATEMENTS</w:t>
              </w:r>
            </w:hyperlink>
          </w:p>
        </w:tc>
      </w:tr>
      <w:tr>
        <w:trPr/>
        <w:tc>
          <w:tcPr>
            <w:tcW w:w="7449" w:type="dxa"/>
            <w:tcBorders/>
            <w:shd w:fill="auto" w:val="clear"/>
          </w:tcPr>
          <w:p>
            <w:pPr>
              <w:pStyle w:val="TableContents"/>
              <w:spacing w:before="0" w:after="283"/>
              <w:rPr/>
            </w:pPr>
            <w:hyperlink w:anchor="de1403_who_we_are">
              <w:r>
                <w:rPr>
                  <w:rStyle w:val="InternetLink"/>
                  <w:sz w:val="20"/>
                </w:rPr>
                <w:t>WHO WE ARE</w:t>
              </w:r>
            </w:hyperlink>
          </w:p>
        </w:tc>
      </w:tr>
      <w:tr>
        <w:trPr/>
        <w:tc>
          <w:tcPr>
            <w:tcW w:w="7449" w:type="dxa"/>
            <w:tcBorders/>
            <w:shd w:fill="auto" w:val="clear"/>
          </w:tcPr>
          <w:p>
            <w:pPr>
              <w:pStyle w:val="TableContents"/>
              <w:spacing w:before="0" w:after="283"/>
              <w:rPr/>
            </w:pPr>
            <w:hyperlink w:anchor="de1403_risk_factors">
              <w:r>
                <w:rPr>
                  <w:rStyle w:val="InternetLink"/>
                  <w:sz w:val="20"/>
                </w:rPr>
                <w:t>RISK FACTORS</w:t>
              </w:r>
            </w:hyperlink>
          </w:p>
        </w:tc>
      </w:tr>
      <w:tr>
        <w:trPr/>
        <w:tc>
          <w:tcPr>
            <w:tcW w:w="7449" w:type="dxa"/>
            <w:tcBorders/>
            <w:shd w:fill="auto" w:val="clear"/>
          </w:tcPr>
          <w:p>
            <w:pPr>
              <w:pStyle w:val="TableContents"/>
              <w:spacing w:before="0" w:after="283"/>
              <w:rPr/>
            </w:pPr>
            <w:hyperlink w:anchor="dg1403_use_of_proceeds">
              <w:r>
                <w:rPr>
                  <w:rStyle w:val="InternetLink"/>
                  <w:sz w:val="20"/>
                </w:rPr>
                <w:t>USE OF PROCEEDS</w:t>
              </w:r>
            </w:hyperlink>
          </w:p>
        </w:tc>
      </w:tr>
      <w:tr>
        <w:trPr/>
        <w:tc>
          <w:tcPr>
            <w:tcW w:w="7449" w:type="dxa"/>
            <w:tcBorders/>
            <w:shd w:fill="auto" w:val="clear"/>
          </w:tcPr>
          <w:p>
            <w:pPr>
              <w:pStyle w:val="TableContents"/>
              <w:spacing w:before="0" w:after="283"/>
              <w:rPr/>
            </w:pPr>
            <w:hyperlink w:anchor="dg1403_ratio_of_earnings_to_fixed_charges">
              <w:r>
                <w:rPr>
                  <w:rStyle w:val="InternetLink"/>
                  <w:sz w:val="20"/>
                </w:rPr>
                <w:t>RATIO OF EARNINGS TO FIXED CHARGES</w:t>
              </w:r>
            </w:hyperlink>
          </w:p>
        </w:tc>
      </w:tr>
      <w:tr>
        <w:trPr/>
        <w:tc>
          <w:tcPr>
            <w:tcW w:w="7449" w:type="dxa"/>
            <w:tcBorders/>
            <w:shd w:fill="auto" w:val="clear"/>
          </w:tcPr>
          <w:p>
            <w:pPr>
              <w:pStyle w:val="TableContents"/>
              <w:spacing w:before="0" w:after="283"/>
              <w:rPr/>
            </w:pPr>
            <w:hyperlink w:anchor="dg1403_description_of_our_debt_securities">
              <w:r>
                <w:rPr>
                  <w:rStyle w:val="InternetLink"/>
                  <w:sz w:val="20"/>
                </w:rPr>
                <w:t>DESCRIPTION OF OUR DEBT SECURITIES</w:t>
              </w:r>
            </w:hyperlink>
          </w:p>
        </w:tc>
      </w:tr>
      <w:tr>
        <w:trPr/>
        <w:tc>
          <w:tcPr>
            <w:tcW w:w="7449" w:type="dxa"/>
            <w:tcBorders/>
            <w:shd w:fill="auto" w:val="clear"/>
          </w:tcPr>
          <w:p>
            <w:pPr>
              <w:pStyle w:val="TableContents"/>
              <w:spacing w:before="0" w:after="283"/>
              <w:rPr/>
            </w:pPr>
            <w:hyperlink w:anchor="di1403_description_of_our_common_units">
              <w:r>
                <w:rPr>
                  <w:rStyle w:val="InternetLink"/>
                  <w:sz w:val="20"/>
                </w:rPr>
                <w:t>DESCRIPTION OF OUR COMMON UNITS</w:t>
              </w:r>
            </w:hyperlink>
          </w:p>
        </w:tc>
      </w:tr>
      <w:tr>
        <w:trPr/>
        <w:tc>
          <w:tcPr>
            <w:tcW w:w="7449" w:type="dxa"/>
            <w:tcBorders/>
            <w:shd w:fill="auto" w:val="clear"/>
          </w:tcPr>
          <w:p>
            <w:pPr>
              <w:pStyle w:val="TableContents"/>
              <w:spacing w:before="0" w:after="283"/>
              <w:rPr/>
            </w:pPr>
            <w:hyperlink w:anchor="di1403_cash_distribution_policy">
              <w:r>
                <w:rPr>
                  <w:rStyle w:val="InternetLink"/>
                  <w:sz w:val="20"/>
                </w:rPr>
                <w:t>CASH DISTRIBUTION POLICY</w:t>
              </w:r>
            </w:hyperlink>
          </w:p>
        </w:tc>
      </w:tr>
      <w:tr>
        <w:trPr/>
        <w:tc>
          <w:tcPr>
            <w:tcW w:w="7449" w:type="dxa"/>
            <w:tcBorders/>
            <w:shd w:fill="auto" w:val="clear"/>
          </w:tcPr>
          <w:p>
            <w:pPr>
              <w:pStyle w:val="TableContents"/>
              <w:spacing w:before="0" w:after="283"/>
              <w:rPr/>
            </w:pPr>
            <w:hyperlink w:anchor="di1403_description_of_our_partnership_agreement">
              <w:r>
                <w:rPr>
                  <w:rStyle w:val="InternetLink"/>
                  <w:sz w:val="20"/>
                </w:rPr>
                <w:t>DESCRIPTION OF OUR PARTNERSHIP AGREEMENT</w:t>
              </w:r>
            </w:hyperlink>
          </w:p>
        </w:tc>
      </w:tr>
      <w:tr>
        <w:trPr/>
        <w:tc>
          <w:tcPr>
            <w:tcW w:w="7449" w:type="dxa"/>
            <w:tcBorders/>
            <w:shd w:fill="auto" w:val="clear"/>
          </w:tcPr>
          <w:p>
            <w:pPr>
              <w:pStyle w:val="TableContents"/>
              <w:spacing w:before="0" w:after="283"/>
              <w:rPr/>
            </w:pPr>
            <w:hyperlink w:anchor="dk1403_tax_considerations">
              <w:r>
                <w:rPr>
                  <w:rStyle w:val="InternetLink"/>
                  <w:sz w:val="20"/>
                </w:rPr>
                <w:t>TAX CONSIDERATIONS</w:t>
              </w:r>
            </w:hyperlink>
          </w:p>
        </w:tc>
      </w:tr>
      <w:tr>
        <w:trPr/>
        <w:tc>
          <w:tcPr>
            <w:tcW w:w="7449" w:type="dxa"/>
            <w:tcBorders/>
            <w:shd w:fill="auto" w:val="clear"/>
          </w:tcPr>
          <w:p>
            <w:pPr>
              <w:pStyle w:val="TableContents"/>
              <w:spacing w:before="0" w:after="283"/>
              <w:rPr/>
            </w:pPr>
            <w:hyperlink w:anchor="dm1403_plan_of_distribution">
              <w:r>
                <w:rPr>
                  <w:rStyle w:val="InternetLink"/>
                  <w:sz w:val="20"/>
                </w:rPr>
                <w:t>PLAN OF DISTRIBUTION</w:t>
              </w:r>
            </w:hyperlink>
          </w:p>
        </w:tc>
      </w:tr>
      <w:tr>
        <w:trPr/>
        <w:tc>
          <w:tcPr>
            <w:tcW w:w="7449" w:type="dxa"/>
            <w:tcBorders/>
            <w:shd w:fill="auto" w:val="clear"/>
          </w:tcPr>
          <w:p>
            <w:pPr>
              <w:pStyle w:val="TableContents"/>
              <w:spacing w:before="0" w:after="283"/>
              <w:rPr/>
            </w:pPr>
            <w:hyperlink w:anchor="dm1403_legal_matters">
              <w:r>
                <w:rPr>
                  <w:rStyle w:val="InternetLink"/>
                  <w:sz w:val="20"/>
                </w:rPr>
                <w:t>LEGAL MATTERS</w:t>
              </w:r>
            </w:hyperlink>
          </w:p>
        </w:tc>
      </w:tr>
      <w:tr>
        <w:trPr/>
        <w:tc>
          <w:tcPr>
            <w:tcW w:w="7449" w:type="dxa"/>
            <w:tcBorders/>
            <w:shd w:fill="auto" w:val="clear"/>
          </w:tcPr>
          <w:p>
            <w:pPr>
              <w:pStyle w:val="TableContents"/>
              <w:spacing w:before="0" w:after="283"/>
              <w:rPr/>
            </w:pPr>
            <w:hyperlink w:anchor="dm1403_experts">
              <w:r>
                <w:rPr>
                  <w:rStyle w:val="InternetLink"/>
                  <w:sz w:val="20"/>
                </w:rPr>
                <w:t>EXPERTS</w:t>
              </w:r>
            </w:hyperlink>
          </w:p>
        </w:tc>
      </w:tr>
    </w:tbl>
    <w:p>
      <w:pPr>
        <w:pStyle w:val="TextBody"/>
        <w:jc w:val="center"/>
        <w:rPr/>
      </w:pPr>
      <w:bookmarkStart w:id="43" w:name="bg1403_about_this_prospectus"/>
      <w:bookmarkEnd w:id="43"/>
      <w:r>
        <w:rPr>
          <w:sz w:val="20"/>
        </w:rPr>
        <w:br/>
      </w:r>
      <w:r>
        <w:rPr>
          <w:b/>
          <w:sz w:val="20"/>
        </w:rPr>
        <w:t xml:space="preserve">ABOUT THIS PROSPECTUS </w:t>
      </w:r>
    </w:p>
    <w:p>
      <w:pPr>
        <w:pStyle w:val="TextBody"/>
        <w:rPr/>
      </w:pPr>
      <w:r>
        <w:rPr/>
        <w:t>        </w:t>
      </w:r>
      <w:r>
        <w:rPr>
          <w:sz w:val="20"/>
        </w:rPr>
        <w:t xml:space="preserve">This prospectus is part of a registration statement on Form S-3 that we filed with the Securities and Exchange Commission, or SEC, using a "shelf" registration process. Under this shelf process, we may offer from time to time up to $2,000,000,000 of our securities. Each time we offer securities, we will provide you with a prospectus supplement that will describe, among other things, the specific amounts and prices of the securities being offered and the terms of the offering, including, in the case of debt securities, the specific terms of the securities. The prospectus supplement may also add, update or change information contained in this prospectus. Therefore, before you invest in our securities, you should read this prospectus and any attached prospectus supplements. </w:t>
      </w:r>
    </w:p>
    <w:p>
      <w:pPr>
        <w:pStyle w:val="TextBody"/>
        <w:rPr/>
      </w:pPr>
      <w:r>
        <w:rPr/>
        <w:t>        </w:t>
      </w:r>
      <w:r>
        <w:rPr>
          <w:sz w:val="20"/>
        </w:rPr>
        <w:t xml:space="preserve">In this registration statement, the terms "we," "our," "ours," and "us" refer to Plains All American Pipeline, L.P. and its subsidiaries, unless otherwise indicated or the context requires otherwise. </w:t>
      </w:r>
    </w:p>
    <w:p>
      <w:pPr>
        <w:pStyle w:val="TextBody"/>
        <w:jc w:val="center"/>
        <w:rPr>
          <w:sz w:val="20"/>
        </w:rPr>
      </w:pPr>
      <w:r>
        <w:rPr>
          <w:sz w:val="20"/>
        </w:rPr>
        <w:t>i</w:t>
      </w:r>
    </w:p>
    <w:p>
      <w:pPr>
        <w:pStyle w:val="HorizontalLine"/>
        <w:pBdr>
          <w:bottom w:val="single" w:sz="20" w:space="0" w:color="808080"/>
        </w:pBdr>
        <w:rPr/>
      </w:pPr>
      <w:r>
        <w:rPr/>
      </w:r>
      <w:r>
        <w:br w:type="page"/>
      </w:r>
    </w:p>
    <w:p>
      <w:pPr>
        <w:pStyle w:val="TextBody"/>
        <w:jc w:val="center"/>
        <w:rPr/>
      </w:pPr>
      <w:bookmarkStart w:id="44" w:name="toc_de1403_1"/>
      <w:bookmarkStart w:id="45" w:name="de1403_where_you_can_find_more_informati"/>
      <w:bookmarkStart w:id="46" w:name="page_de1403_1_1"/>
      <w:bookmarkEnd w:id="44"/>
      <w:bookmarkEnd w:id="45"/>
      <w:bookmarkEnd w:id="46"/>
      <w:r>
        <w:rPr>
          <w:sz w:val="20"/>
        </w:rPr>
        <w:br/>
      </w:r>
      <w:r>
        <w:rPr>
          <w:b/>
          <w:sz w:val="20"/>
        </w:rPr>
        <w:t xml:space="preserve">WHERE YOU CAN FIND MORE INFORMATION </w:t>
      </w:r>
    </w:p>
    <w:p>
      <w:pPr>
        <w:pStyle w:val="TextBody"/>
        <w:rPr/>
      </w:pPr>
      <w:r>
        <w:rPr/>
        <w:t>        </w:t>
      </w:r>
      <w:r>
        <w:rPr>
          <w:sz w:val="20"/>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Annual Report on Form 10-K for the year ended December 31, 2004;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Quarterly Report on Form 10-Q for the quarter ended March 31, 2005;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Reports on Forms 8-K filed on January 26, 2005; February 23, 2005; March 8, 2005; April 1, 2005; April 8, 2005; April 21, 2005; April 25, 2005; May 12, 2005; May 25, 2005; and May 31, 2005;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description of our common units contained in our Form 8-A/A dated November 3, 1998. </w:t>
      </w:r>
    </w:p>
    <w:p>
      <w:pPr>
        <w:pStyle w:val="TextBody"/>
        <w:rPr/>
      </w:pPr>
      <w:r>
        <w:rPr/>
        <w:t>        </w:t>
      </w:r>
      <w:r>
        <w:rPr>
          <w:sz w:val="20"/>
        </w:rPr>
        <w:t xml:space="preserve">You may request a copy of these filings at no cost by making written or telephone requests for copies to: </w:t>
      </w:r>
    </w:p>
    <w:p>
      <w:pPr>
        <w:pStyle w:val="TextBody"/>
        <w:numPr>
          <w:ilvl w:val="0"/>
          <w:numId w:val="0"/>
        </w:numPr>
        <w:ind w:left="1414" w:hanging="0"/>
        <w:rPr>
          <w:sz w:val="20"/>
        </w:rPr>
      </w:pPr>
      <w:r>
        <w:rPr>
          <w:sz w:val="20"/>
        </w:rPr>
        <w:t>Plains All American Pipeline, L.P.</w:t>
        <w:br/>
        <w:t>333 Clay Street, Suite 1600</w:t>
        <w:br/>
        <w:t>Houston, Texas 77002</w:t>
        <w:br/>
        <w:t>Attention: Tim Moore</w:t>
        <w:br/>
        <w:t xml:space="preserve">Telephone: (713) 646-4100 </w:t>
      </w:r>
    </w:p>
    <w:p>
      <w:pPr>
        <w:pStyle w:val="TextBody"/>
        <w:rPr/>
      </w:pPr>
      <w:r>
        <w:rPr/>
        <w:t>        </w:t>
      </w:r>
      <w:r>
        <w:rPr>
          <w:sz w:val="20"/>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i/>
          <w:sz w:val="20"/>
        </w:rPr>
        <w:t>www.sec.gov</w:t>
      </w:r>
      <w:r>
        <w:rPr>
          <w:sz w:val="20"/>
        </w:rPr>
        <w:t xml:space="preserve">. </w:t>
      </w:r>
    </w:p>
    <w:p>
      <w:pPr>
        <w:pStyle w:val="TextBody"/>
        <w:rPr/>
      </w:pPr>
      <w:r>
        <w:rPr/>
        <w:t>        </w:t>
      </w:r>
      <w:r>
        <w:rPr>
          <w:sz w:val="20"/>
        </w:rPr>
        <w:t xml:space="preserve">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 </w:t>
      </w:r>
    </w:p>
    <w:p>
      <w:pPr>
        <w:pStyle w:val="TextBody"/>
        <w:jc w:val="center"/>
        <w:rPr>
          <w:sz w:val="20"/>
        </w:rPr>
      </w:pPr>
      <w:r>
        <w:rPr>
          <w:sz w:val="20"/>
        </w:rPr>
        <w:t>1</w:t>
      </w:r>
    </w:p>
    <w:p>
      <w:pPr>
        <w:pStyle w:val="HorizontalLine"/>
        <w:pBdr>
          <w:bottom w:val="single" w:sz="20" w:space="0" w:color="808080"/>
        </w:pBdr>
        <w:rPr/>
      </w:pPr>
      <w:r>
        <w:rPr/>
      </w:r>
      <w:r>
        <w:br w:type="page"/>
      </w:r>
    </w:p>
    <w:p>
      <w:pPr>
        <w:pStyle w:val="TextBody"/>
        <w:jc w:val="center"/>
        <w:rPr/>
      </w:pPr>
      <w:bookmarkStart w:id="47" w:name="toc_de1403_2"/>
      <w:bookmarkStart w:id="48" w:name="de1403_forward-looking_statements"/>
      <w:bookmarkStart w:id="49" w:name="page_de1403_1_2"/>
      <w:bookmarkEnd w:id="47"/>
      <w:bookmarkEnd w:id="48"/>
      <w:bookmarkEnd w:id="49"/>
      <w:r>
        <w:rPr>
          <w:sz w:val="20"/>
        </w:rPr>
        <w:br/>
      </w:r>
      <w:r>
        <w:rPr>
          <w:b/>
          <w:sz w:val="20"/>
        </w:rPr>
        <w:t xml:space="preserve">FORWARD-LOOKING STATEMENTS </w:t>
      </w:r>
    </w:p>
    <w:p>
      <w:pPr>
        <w:pStyle w:val="TextBody"/>
        <w:rPr/>
      </w:pPr>
      <w:r>
        <w:rPr/>
        <w:t>        </w:t>
      </w:r>
      <w:r>
        <w:rPr>
          <w:sz w:val="20"/>
        </w:rPr>
        <w:t xml:space="preserve">All statements, other than statements of historical fact, included or incorporated by reference in this prospectus or the accompanying prospectus supplement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abrupt or severe production declines or production interruptions in outer continental shelf production located offshore California and transported on our pipeline system;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success of our risk management activities;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availability of, and our ability to consummate, acquisition or combination opportunities;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access to capital to fund additional acquisitions and our ability to obtain debt or equity financing on satisfactory terms;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successful integration and future performance of acquired assets or businesses;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maintenance of our credit rating and ability to receive open credit from our suppliers and trade counter-parties;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declines in volumes shipped on the Basin Pipeline, Capline Pipeline and our other pipelines by third party shippers;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availability of adequate third party production volumes for transportation and marketing in the areas in which we operate;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successful third party drilling efforts in areas in which we operate pipelines or gather crude oil;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demand for various grades of crude oil and resulting changes in pricing conditions or transmission throughput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fluctuations in refinery capacity in areas supplied by our transmission lines;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effects of competition;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continued creditworthiness of, and performance by, counter-parties;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impact of crude oil price fluctuations;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impact of current and future laws, rulings and governmental regulations;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shortages or cost increases of power supplies, materials or labor;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weather interference with business operations or project construction;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currency exchange rate of the Canadian dollar;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fluctuations in the debt and equity markets, including the price of our units at the time of vesting under our Long-Term Incentive Plan;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 economic, market or business conditions. </w:t>
      </w:r>
    </w:p>
    <w:p>
      <w:pPr>
        <w:pStyle w:val="TextBody"/>
        <w:jc w:val="center"/>
        <w:rPr>
          <w:sz w:val="20"/>
        </w:rPr>
      </w:pPr>
      <w:r>
        <w:rPr>
          <w:sz w:val="20"/>
        </w:rPr>
        <w:t>2</w:t>
      </w:r>
    </w:p>
    <w:p>
      <w:pPr>
        <w:pStyle w:val="HorizontalLine"/>
        <w:pBdr>
          <w:bottom w:val="single" w:sz="20" w:space="0" w:color="808080"/>
        </w:pBdr>
        <w:rPr/>
      </w:pPr>
      <w:r>
        <w:rPr/>
      </w:r>
      <w:r>
        <w:br w:type="page"/>
      </w:r>
    </w:p>
    <w:p>
      <w:pPr>
        <w:pStyle w:val="TextBody"/>
        <w:rPr/>
      </w:pPr>
      <w:bookmarkStart w:id="50" w:name="page_de1403_1_3"/>
      <w:bookmarkEnd w:id="50"/>
      <w:r>
        <w:rPr/>
        <w:t>        </w:t>
      </w:r>
      <w:r>
        <w:rPr>
          <w:sz w:val="20"/>
        </w:rPr>
        <w:t xml:space="preserve">Other factors described herein or incorporated by reference, or factors that are unknown or unpredictable, could also have a material adverse effect on future results. Please read "Risk Factors" beginning on page 5 of this prospectus. Except as required by securities laws applicable to the documents incorporated by reference, we do not intend to update these forward-looking statements and information. </w:t>
      </w:r>
    </w:p>
    <w:p>
      <w:pPr>
        <w:pStyle w:val="TextBody"/>
        <w:jc w:val="center"/>
        <w:rPr/>
      </w:pPr>
      <w:bookmarkStart w:id="51" w:name="toc_de1403_3"/>
      <w:bookmarkStart w:id="52" w:name="de1403_who_we_are"/>
      <w:bookmarkEnd w:id="51"/>
      <w:bookmarkEnd w:id="52"/>
      <w:r>
        <w:rPr>
          <w:sz w:val="20"/>
        </w:rPr>
        <w:br/>
      </w:r>
      <w:r>
        <w:rPr>
          <w:b/>
          <w:sz w:val="20"/>
        </w:rPr>
        <w:t xml:space="preserve">WHO WE ARE </w:t>
      </w:r>
    </w:p>
    <w:p>
      <w:pPr>
        <w:pStyle w:val="TextBody"/>
        <w:rPr/>
      </w:pPr>
      <w:r>
        <w:rPr/>
        <w:t>        </w:t>
      </w:r>
      <w:r>
        <w:rPr>
          <w:sz w:val="20"/>
        </w:rPr>
        <w:t xml:space="preserve">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 </w:t>
      </w:r>
    </w:p>
    <w:p>
      <w:pPr>
        <w:pStyle w:val="TextBody"/>
        <w:rPr/>
      </w:pPr>
      <w:r>
        <w:rPr/>
        <w:t>        </w:t>
      </w:r>
      <w:r>
        <w:rPr>
          <w:sz w:val="20"/>
        </w:rPr>
        <w:t xml:space="preserve">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 </w:t>
      </w:r>
    </w:p>
    <w:p>
      <w:pPr>
        <w:pStyle w:val="TextBody"/>
        <w:rPr/>
      </w:pPr>
      <w:r>
        <w:rPr/>
        <w:t>        </w:t>
      </w:r>
      <w:r>
        <w:rPr>
          <w:sz w:val="20"/>
        </w:rPr>
        <w:t xml:space="preserve">We intend to execute our business strategy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increasing and optimizing throughput on our existing pipeline and gathering assets and realizing cost efficiencies through operational improvements;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utilizing our Cushing Terminal and our other assets to service the needs of refiners and to profit from merchant activities that take advantage of crude oil pricing and quality differentials;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utilizing assets we have recently acquired along the Gulf Coast and our Cushing Terminal to increase our presence in the importation of foreign crude through Gulf of Mexico receipt facilities to U.S. refiners;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selectively pursuing strategic and accretive acquisitions of crude oil transportation assets, including pipelines, gathering systems, terminalling and storage facilities and other assets that complement our existing asset base and distribution capabilities;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prudently and economically leveraging our asset base, knowledge base and skill sets to participate in energy businesses that are closely related to, or significantly intertwined with, the crude oil business. </w:t>
      </w:r>
    </w:p>
    <w:p>
      <w:pPr>
        <w:pStyle w:val="TextBody"/>
        <w:rPr/>
      </w:pPr>
      <w:r>
        <w:rPr/>
        <w:t>        </w:t>
      </w:r>
      <w:r>
        <w:rPr>
          <w:sz w:val="20"/>
        </w:rPr>
        <w:t xml:space="preserve">To a lesser degree, we also engage in a similar business strategy with respect to the wholesale marketing and storage of LPG, which we began as a result of an acquisition in mid-2001. </w:t>
      </w:r>
    </w:p>
    <w:p>
      <w:pPr>
        <w:pStyle w:val="TextBody"/>
        <w:rPr/>
      </w:pPr>
      <w:r>
        <w:rPr/>
        <w:t>        </w:t>
      </w:r>
      <w:r>
        <w:rPr>
          <w:sz w:val="20"/>
        </w:rPr>
        <w:t xml:space="preserve">Plains All American Pipeline, L.P. is a Delaware limited partnership.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Plains AAP, L.P., a Delaware limited partnership, serves as our general partner. Plains All American GP LLC is the general partner of Plains AAP, L.P. Our U.S. operations are </w:t>
      </w:r>
    </w:p>
    <w:p>
      <w:pPr>
        <w:pStyle w:val="TextBody"/>
        <w:jc w:val="center"/>
        <w:rPr>
          <w:sz w:val="20"/>
        </w:rPr>
      </w:pPr>
      <w:r>
        <w:rPr>
          <w:sz w:val="20"/>
        </w:rPr>
        <w:t>3</w:t>
      </w:r>
    </w:p>
    <w:p>
      <w:pPr>
        <w:pStyle w:val="HorizontalLine"/>
        <w:pBdr>
          <w:bottom w:val="single" w:sz="20" w:space="0" w:color="808080"/>
        </w:pBdr>
        <w:rPr/>
      </w:pPr>
      <w:r>
        <w:rPr/>
      </w:r>
      <w:r>
        <w:br w:type="page"/>
      </w:r>
    </w:p>
    <w:p>
      <w:pPr>
        <w:pStyle w:val="TextBody"/>
        <w:rPr/>
      </w:pPr>
      <w:r>
        <w:rPr/>
      </w:r>
      <w:bookmarkStart w:id="53" w:name="page_de1403_1_4"/>
      <w:bookmarkStart w:id="54" w:name="page_de1403_1_4"/>
      <w:bookmarkEnd w:id="54"/>
    </w:p>
    <w:p>
      <w:pPr>
        <w:pStyle w:val="TextBody"/>
        <w:rPr>
          <w:sz w:val="20"/>
        </w:rPr>
      </w:pPr>
      <w:r>
        <w:rPr>
          <w:sz w:val="20"/>
        </w:rPr>
        <w:t xml:space="preserve">conducted through, and our operating assets are owned by, Plains Marketing, L.P., a Delaware limited partnership, and Plains Pipeline, L.P., a Texas limited partnership. Our Canadian operations are conducted through, and our Canadian operating assets are owned by, Plains Marketing Canada, L.P., a Canadian limited partnership. </w:t>
      </w:r>
    </w:p>
    <w:p>
      <w:pPr>
        <w:pStyle w:val="TextBody"/>
        <w:rPr/>
      </w:pPr>
      <w:r>
        <w:rPr/>
        <w:t>        </w:t>
      </w:r>
      <w:r>
        <w:rPr>
          <w:sz w:val="20"/>
        </w:rPr>
        <w:t xml:space="preserve">Our principal executive offices are located at 333 Clay Street, Suite 1600, Houston, Texas 77002, and our phone number is (713) 646-4100. </w:t>
      </w:r>
    </w:p>
    <w:p>
      <w:pPr>
        <w:pStyle w:val="TextBody"/>
        <w:rPr>
          <w:b/>
          <w:sz w:val="20"/>
        </w:rPr>
      </w:pPr>
      <w:r>
        <w:rPr>
          <w:b/>
          <w:sz w:val="20"/>
        </w:rPr>
        <w:t xml:space="preserve">Recent Developments </w:t>
      </w:r>
    </w:p>
    <w:p>
      <w:pPr>
        <w:pStyle w:val="TextBody"/>
        <w:rPr>
          <w:i/>
          <w:sz w:val="20"/>
        </w:rPr>
      </w:pPr>
      <w:r>
        <w:rPr>
          <w:i/>
          <w:sz w:val="20"/>
        </w:rPr>
        <w:t xml:space="preserve">Capital Expenditures </w:t>
      </w:r>
    </w:p>
    <w:p>
      <w:pPr>
        <w:pStyle w:val="TextBody"/>
        <w:rPr/>
      </w:pPr>
      <w:r>
        <w:rPr/>
        <w:t>        </w:t>
      </w:r>
      <w:r>
        <w:rPr>
          <w:sz w:val="20"/>
        </w:rPr>
        <w:t xml:space="preserve">We estimate that capital expenditures for expansion projects will be approximately $180 million during 2005, an $80 million increase over the estimate provided in our Annual Report on Form 10-K for the year ended December 31, 2004. This increase results primarily from additional organic growth projects, including the recently announced construction of a St. James, Louisiana crude oil storage facility. We estimate the total project cost for the St. James facility will be approximately $70 million, of which approximately $21 million will be spent in 2005. </w:t>
      </w:r>
    </w:p>
    <w:p>
      <w:pPr>
        <w:pStyle w:val="TextBody"/>
        <w:jc w:val="center"/>
        <w:rPr>
          <w:sz w:val="20"/>
        </w:rPr>
      </w:pPr>
      <w:r>
        <w:rPr>
          <w:sz w:val="20"/>
        </w:rPr>
        <w:t>4</w:t>
      </w:r>
    </w:p>
    <w:p>
      <w:pPr>
        <w:pStyle w:val="HorizontalLine"/>
        <w:pBdr>
          <w:bottom w:val="single" w:sz="20" w:space="0" w:color="808080"/>
        </w:pBdr>
        <w:rPr/>
      </w:pPr>
      <w:r>
        <w:rPr/>
      </w:r>
      <w:r>
        <w:br w:type="page"/>
      </w:r>
    </w:p>
    <w:p>
      <w:pPr>
        <w:pStyle w:val="TextBody"/>
        <w:jc w:val="center"/>
        <w:rPr/>
      </w:pPr>
      <w:bookmarkStart w:id="55" w:name="toc_de1403_4"/>
      <w:bookmarkStart w:id="56" w:name="de1403_risk_factors"/>
      <w:bookmarkStart w:id="57" w:name="page_de1403_1_5"/>
      <w:bookmarkEnd w:id="55"/>
      <w:bookmarkEnd w:id="56"/>
      <w:bookmarkEnd w:id="57"/>
      <w:r>
        <w:rPr>
          <w:sz w:val="20"/>
        </w:rPr>
        <w:br/>
      </w:r>
      <w:r>
        <w:rPr>
          <w:b/>
          <w:sz w:val="20"/>
        </w:rPr>
        <w:t xml:space="preserve">RISK FACTORS </w:t>
      </w:r>
    </w:p>
    <w:p>
      <w:pPr>
        <w:pStyle w:val="TextBody"/>
        <w:rPr/>
      </w:pPr>
      <w:r>
        <w:rPr/>
        <w:t>        </w:t>
      </w:r>
      <w:r>
        <w:rPr>
          <w:i/>
          <w:sz w:val="20"/>
        </w:rPr>
        <w:t>You should carefully consider the following risk factors together with all of the other information included or incorporated by reference in this prospectus in evaluating an investment in Plains All American Pipeline. If any of the following risks were actually to occur, our business, financial condition or results of operations could be materially adversely affected. When we offer and sell any securities pursuant to a prospectus supplement, we may include additional risk factors relevant to such securities in the prospectus supplement.</w:t>
      </w:r>
    </w:p>
    <w:p>
      <w:pPr>
        <w:pStyle w:val="TextBody"/>
        <w:rPr>
          <w:b/>
          <w:sz w:val="20"/>
        </w:rPr>
      </w:pPr>
      <w:r>
        <w:rPr>
          <w:b/>
          <w:sz w:val="20"/>
        </w:rPr>
        <w:t xml:space="preserve">Risks Related to Our Business </w:t>
      </w:r>
    </w:p>
    <w:p>
      <w:pPr>
        <w:pStyle w:val="TextBody"/>
        <w:rPr/>
      </w:pPr>
      <w:r>
        <w:rPr/>
        <w:t>        </w:t>
      </w:r>
      <w:r>
        <w:rPr>
          <w:b/>
          <w:i/>
          <w:sz w:val="20"/>
        </w:rPr>
        <w:t>The level of our profitability is dependent upon an adequate supply of crude oil from fields located offshore and onshore California. Production from these offshore fields has experienced substantial production declines since 1995.</w:t>
      </w:r>
    </w:p>
    <w:p>
      <w:pPr>
        <w:pStyle w:val="TextBody"/>
        <w:rPr/>
      </w:pPr>
      <w:r>
        <w:rPr/>
        <w:t>        </w:t>
      </w:r>
      <w:r>
        <w:rPr>
          <w:sz w:val="20"/>
        </w:rPr>
        <w:t xml:space="preserve">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 </w:t>
      </w:r>
    </w:p>
    <w:p>
      <w:pPr>
        <w:pStyle w:val="TextBody"/>
        <w:rPr/>
      </w:pPr>
      <w:r>
        <w:rPr/>
        <w:t>        </w:t>
      </w:r>
      <w:r>
        <w:rPr>
          <w:b/>
          <w:i/>
          <w:sz w:val="20"/>
        </w:rPr>
        <w:t>Our trading policies cannot eliminate all price risks. In addition, any non-compliance with our trading policies could result in significant financial losses.</w:t>
      </w:r>
    </w:p>
    <w:p>
      <w:pPr>
        <w:pStyle w:val="TextBody"/>
        <w:rPr/>
      </w:pPr>
      <w:r>
        <w:rPr/>
        <w:t>        </w:t>
      </w:r>
      <w:r>
        <w:rPr>
          <w:sz w:val="20"/>
        </w:rPr>
        <w:t xml:space="preserve">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 </w:t>
      </w:r>
    </w:p>
    <w:p>
      <w:pPr>
        <w:pStyle w:val="TextBody"/>
        <w:rPr/>
      </w:pPr>
      <w:r>
        <w:rPr/>
        <w:t>        </w:t>
      </w:r>
      <w:r>
        <w:rPr>
          <w:sz w:val="20"/>
        </w:rPr>
        <w:t xml:space="preserve">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 </w:t>
      </w:r>
    </w:p>
    <w:p>
      <w:pPr>
        <w:pStyle w:val="TextBody"/>
        <w:rPr/>
      </w:pPr>
      <w:r>
        <w:rPr/>
        <w:t>        </w:t>
      </w:r>
      <w:r>
        <w:rPr>
          <w:b/>
          <w:i/>
          <w:sz w:val="20"/>
        </w:rPr>
        <w:t>If we do not make acquisitions on economically acceptable terms our future growth may be limited.</w:t>
      </w:r>
    </w:p>
    <w:p>
      <w:pPr>
        <w:pStyle w:val="TextBody"/>
        <w:rPr/>
      </w:pPr>
      <w:r>
        <w:rPr/>
        <w:t>        </w:t>
      </w:r>
      <w:r>
        <w:rPr>
          <w:sz w:val="20"/>
        </w:rPr>
        <w:t xml:space="preserve">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 </w:t>
      </w:r>
    </w:p>
    <w:p>
      <w:pPr>
        <w:pStyle w:val="TextBody"/>
        <w:jc w:val="center"/>
        <w:rPr>
          <w:sz w:val="20"/>
        </w:rPr>
      </w:pPr>
      <w:r>
        <w:rPr>
          <w:sz w:val="20"/>
        </w:rPr>
        <w:t>5</w:t>
      </w:r>
    </w:p>
    <w:p>
      <w:pPr>
        <w:pStyle w:val="HorizontalLine"/>
        <w:pBdr>
          <w:bottom w:val="single" w:sz="20" w:space="0" w:color="808080"/>
        </w:pBdr>
        <w:rPr/>
      </w:pPr>
      <w:r>
        <w:rPr/>
      </w:r>
      <w:r>
        <w:br w:type="page"/>
      </w:r>
    </w:p>
    <w:p>
      <w:pPr>
        <w:pStyle w:val="TextBody"/>
        <w:rPr/>
      </w:pPr>
      <w:r>
        <w:rPr/>
      </w:r>
      <w:bookmarkStart w:id="58" w:name="page_de1403_1_6"/>
      <w:bookmarkStart w:id="59" w:name="page_de1403_1_6"/>
      <w:bookmarkEnd w:id="59"/>
    </w:p>
    <w:p>
      <w:pPr>
        <w:pStyle w:val="TextBody"/>
        <w:rPr>
          <w:sz w:val="20"/>
        </w:rPr>
      </w:pPr>
      <w:r>
        <w:rPr>
          <w:sz w:val="20"/>
        </w:rPr>
        <w:t xml:space="preserve">In particular, competition for midstream assets and businesses has intensified substantially and as a result such assets and businesses have become more costly. As a result, we may not be able to complete the number or size of acquisitions that we have targeted internally or to continue to grow as quickly as we have historically. </w:t>
      </w:r>
    </w:p>
    <w:p>
      <w:pPr>
        <w:pStyle w:val="TextBody"/>
        <w:rPr/>
      </w:pPr>
      <w:r>
        <w:rPr/>
        <w:t>        </w:t>
      </w:r>
      <w:r>
        <w:rPr>
          <w:b/>
          <w:i/>
          <w:sz w:val="20"/>
        </w:rPr>
        <w:t>Our acquisition strategy requires access to new capital. Tightened capital markets or other factors which increase our cost of capital could impair our ability to grow.</w:t>
      </w:r>
    </w:p>
    <w:p>
      <w:pPr>
        <w:pStyle w:val="TextBody"/>
        <w:rPr/>
      </w:pPr>
      <w:r>
        <w:rPr/>
        <w:t>        </w:t>
      </w:r>
      <w:r>
        <w:rPr>
          <w:sz w:val="20"/>
        </w:rPr>
        <w:t xml:space="preserve">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 </w:t>
      </w:r>
    </w:p>
    <w:p>
      <w:pPr>
        <w:pStyle w:val="TextBody"/>
        <w:rPr/>
      </w:pPr>
      <w:r>
        <w:rPr/>
        <w:t>        </w:t>
      </w:r>
      <w:r>
        <w:rPr>
          <w:b/>
          <w:i/>
          <w:sz w:val="20"/>
        </w:rPr>
        <w:t xml:space="preserve">Our acquisition strategy involves risks that may adversely affect our business. </w:t>
      </w:r>
    </w:p>
    <w:p>
      <w:pPr>
        <w:pStyle w:val="TextBody"/>
        <w:rPr/>
      </w:pPr>
      <w:r>
        <w:rPr/>
        <w:t>        </w:t>
      </w:r>
      <w:r>
        <w:rPr>
          <w:sz w:val="20"/>
        </w:rPr>
        <w:t xml:space="preserve">Any acquisition involves potential risks,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performance from the acquired assets and businesses that is below the forecasts we used in evaluating the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significant increase in our indebtedness and working capital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inability to timely and effectively integrate the operations of recently acquired businesses or assets;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incurrence of substantial unforeseen environmental and other liabilities arising out of the acquired businesses or assets, including liabilities arising from the operation of the acquired businesses or assets prior to our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customer or key employee loss from the acquired businesses;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diversion of management's attention from other business concerns. </w:t>
      </w:r>
    </w:p>
    <w:p>
      <w:pPr>
        <w:pStyle w:val="TextBody"/>
        <w:rPr/>
      </w:pPr>
      <w:r>
        <w:rPr/>
        <w:t>        </w:t>
      </w:r>
      <w:r>
        <w:rPr>
          <w:sz w:val="20"/>
        </w:rPr>
        <w:t xml:space="preserve">Any of these factors could adversely affect our ability to achieve anticipated levels of cash flows from our acquisitions, realize other anticipated benefits and our ability to pay distributions or meet our debt service requirements. </w:t>
      </w:r>
    </w:p>
    <w:p>
      <w:pPr>
        <w:pStyle w:val="TextBody"/>
        <w:rPr/>
      </w:pPr>
      <w:r>
        <w:rPr/>
        <w:t>        </w:t>
      </w:r>
      <w:r>
        <w:rPr>
          <w:b/>
          <w:i/>
          <w:sz w:val="20"/>
        </w:rPr>
        <w:t>The nature of our assets and business could expose us to significant compliance costs and liabilities.</w:t>
      </w:r>
    </w:p>
    <w:p>
      <w:pPr>
        <w:pStyle w:val="TextBody"/>
        <w:rPr/>
      </w:pPr>
      <w:r>
        <w:rPr/>
        <w:t>        </w:t>
      </w:r>
      <w:r>
        <w:rPr>
          <w:sz w:val="20"/>
        </w:rPr>
        <w:t xml:space="preserve">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 </w:t>
      </w:r>
    </w:p>
    <w:p>
      <w:pPr>
        <w:pStyle w:val="TextBody"/>
        <w:jc w:val="center"/>
        <w:rPr>
          <w:sz w:val="20"/>
        </w:rPr>
      </w:pPr>
      <w:r>
        <w:rPr>
          <w:sz w:val="20"/>
        </w:rPr>
        <w:t>6</w:t>
      </w:r>
    </w:p>
    <w:p>
      <w:pPr>
        <w:pStyle w:val="HorizontalLine"/>
        <w:pBdr>
          <w:bottom w:val="single" w:sz="20" w:space="0" w:color="808080"/>
        </w:pBdr>
        <w:rPr/>
      </w:pPr>
      <w:r>
        <w:rPr/>
      </w:r>
      <w:r>
        <w:br w:type="page"/>
      </w:r>
    </w:p>
    <w:p>
      <w:pPr>
        <w:pStyle w:val="TextBody"/>
        <w:rPr/>
      </w:pPr>
      <w:r>
        <w:rPr/>
      </w:r>
      <w:bookmarkStart w:id="60" w:name="page_de1403_1_7"/>
      <w:bookmarkStart w:id="61" w:name="page_de1403_1_7"/>
      <w:bookmarkEnd w:id="61"/>
    </w:p>
    <w:p>
      <w:pPr>
        <w:pStyle w:val="TextBody"/>
        <w:rPr/>
      </w:pPr>
      <w:r>
        <w:rPr/>
        <w:t>        </w:t>
      </w:r>
      <w:r>
        <w:rPr>
          <w:b/>
          <w:i/>
          <w:sz w:val="20"/>
        </w:rPr>
        <w:t>The profitability of our pipeline operations depends on the volume of crude oil shipped.</w:t>
      </w:r>
    </w:p>
    <w:p>
      <w:pPr>
        <w:pStyle w:val="TextBody"/>
        <w:rPr/>
      </w:pPr>
      <w:r>
        <w:rPr/>
        <w:t>        </w:t>
      </w:r>
      <w:r>
        <w:rPr>
          <w:sz w:val="20"/>
        </w:rPr>
        <w:t xml:space="preserve">Third party shippers generally do not have long term contractual commitments to ship crude oil on our pipelines. A decision by a shipper to substantially reduce or cease to ship volumes of crude oil on our 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$1.7 million. In addition, we estimate that an average 10,000 barrel per day variance on the Capline Pipeline System, equivalent to an approximate 7% volume variance on that system, would change annualized segment profit by approximately $1.5 million. </w:t>
      </w:r>
    </w:p>
    <w:p>
      <w:pPr>
        <w:pStyle w:val="TextBody"/>
        <w:rPr/>
      </w:pPr>
      <w:r>
        <w:rPr/>
        <w:t>        </w:t>
      </w:r>
      <w:r>
        <w:rPr>
          <w:b/>
          <w:i/>
          <w:sz w:val="20"/>
        </w:rPr>
        <w:t>The success of our business strategy to increase and optimize throughput on our pipeline and gathering assets is dependent upon our securing additional supplies of crude oil.</w:t>
      </w:r>
    </w:p>
    <w:p>
      <w:pPr>
        <w:pStyle w:val="TextBody"/>
        <w:rPr/>
      </w:pPr>
      <w:r>
        <w:rPr/>
        <w:t>        </w:t>
      </w:r>
      <w:r>
        <w:rPr>
          <w:sz w:val="20"/>
        </w:rPr>
        <w:t xml:space="preserve">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 </w:t>
      </w:r>
    </w:p>
    <w:p>
      <w:pPr>
        <w:pStyle w:val="TextBody"/>
        <w:rPr/>
      </w:pPr>
      <w:r>
        <w:rPr/>
        <w:t>        </w:t>
      </w:r>
      <w:r>
        <w:rPr>
          <w:b/>
          <w:i/>
          <w:sz w:val="20"/>
        </w:rPr>
        <w:t>Our operations are dependent upon demand for crude oil by refiners in the Midwest and on the Gulf Coast. Any decrease in this demand could adversely affect our business.</w:t>
      </w:r>
    </w:p>
    <w:p>
      <w:pPr>
        <w:pStyle w:val="TextBody"/>
        <w:rPr/>
      </w:pPr>
      <w:r>
        <w:rPr/>
        <w:t>        </w:t>
      </w:r>
      <w:r>
        <w:rPr>
          <w:sz w:val="20"/>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 </w:t>
      </w:r>
    </w:p>
    <w:p>
      <w:pPr>
        <w:pStyle w:val="TextBody"/>
        <w:rPr/>
      </w:pPr>
      <w:r>
        <w:rPr/>
        <w:t>        </w:t>
      </w:r>
      <w:r>
        <w:rPr>
          <w:b/>
          <w:i/>
          <w:sz w:val="20"/>
        </w:rPr>
        <w:t>We face intense competition in our gathering, marketing, terminalling and storage activities.</w:t>
      </w:r>
    </w:p>
    <w:p>
      <w:pPr>
        <w:pStyle w:val="TextBody"/>
        <w:rPr/>
      </w:pPr>
      <w:r>
        <w:rPr/>
        <w:t>        </w:t>
      </w:r>
      <w:r>
        <w:rPr>
          <w:sz w:val="20"/>
        </w:rPr>
        <w:t xml:space="preserve">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 </w:t>
      </w:r>
    </w:p>
    <w:p>
      <w:pPr>
        <w:pStyle w:val="TextBody"/>
        <w:rPr/>
      </w:pPr>
      <w:r>
        <w:rPr/>
        <w:t>        </w:t>
      </w:r>
      <w:r>
        <w:rPr>
          <w:b/>
          <w:i/>
          <w:sz w:val="20"/>
        </w:rPr>
        <w:t>The profitability of our gathering and marketing activities is generally dependent on the volumes of crude oil we purchase and gather.</w:t>
      </w:r>
    </w:p>
    <w:p>
      <w:pPr>
        <w:pStyle w:val="TextBody"/>
        <w:rPr/>
      </w:pPr>
      <w:r>
        <w:rPr/>
        <w:t>        </w:t>
      </w:r>
      <w:r>
        <w:rPr>
          <w:sz w:val="20"/>
        </w:rPr>
        <w:t xml:space="preserve">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$2.8 million per year negative impact on segment profit. This impact is based on a reasonable margin throughout various market conditions. Actual </w:t>
      </w:r>
    </w:p>
    <w:p>
      <w:pPr>
        <w:pStyle w:val="TextBody"/>
        <w:jc w:val="center"/>
        <w:rPr>
          <w:sz w:val="20"/>
        </w:rPr>
      </w:pPr>
      <w:r>
        <w:rPr>
          <w:sz w:val="20"/>
        </w:rPr>
        <w:t>7</w:t>
      </w:r>
    </w:p>
    <w:p>
      <w:pPr>
        <w:pStyle w:val="HorizontalLine"/>
        <w:pBdr>
          <w:bottom w:val="single" w:sz="20" w:space="0" w:color="808080"/>
        </w:pBdr>
        <w:rPr/>
      </w:pPr>
      <w:r>
        <w:rPr/>
      </w:r>
      <w:r>
        <w:br w:type="page"/>
      </w:r>
    </w:p>
    <w:p>
      <w:pPr>
        <w:pStyle w:val="TextBody"/>
        <w:rPr/>
      </w:pPr>
      <w:r>
        <w:rPr/>
      </w:r>
      <w:bookmarkStart w:id="62" w:name="page_de1403_1_8"/>
      <w:bookmarkStart w:id="63" w:name="page_de1403_1_8"/>
      <w:bookmarkEnd w:id="63"/>
    </w:p>
    <w:p>
      <w:pPr>
        <w:pStyle w:val="TextBody"/>
        <w:rPr>
          <w:sz w:val="20"/>
        </w:rPr>
      </w:pPr>
      <w:r>
        <w:rPr>
          <w:sz w:val="20"/>
        </w:rPr>
        <w:t xml:space="preserve">margins vary based on the location of the crude oil, the strength or weakness of the market and the grade or quality of crude oil. </w:t>
      </w:r>
    </w:p>
    <w:p>
      <w:pPr>
        <w:pStyle w:val="TextBody"/>
        <w:rPr/>
      </w:pPr>
      <w:r>
        <w:rPr/>
        <w:t>        </w:t>
      </w:r>
      <w:r>
        <w:rPr>
          <w:b/>
          <w:i/>
          <w:sz w:val="20"/>
        </w:rPr>
        <w:t>Loss of credit rating or the ability to receive open credit could negatively affect our ability to capitalize on a volatile market</w:t>
      </w:r>
    </w:p>
    <w:p>
      <w:pPr>
        <w:pStyle w:val="TextBody"/>
        <w:rPr/>
      </w:pPr>
      <w:r>
        <w:rPr/>
        <w:t>        </w:t>
      </w:r>
      <w:r>
        <w:rPr>
          <w:sz w:val="20"/>
        </w:rPr>
        <w:t xml:space="preserve">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w:t>
      </w:r>
    </w:p>
    <w:p>
      <w:pPr>
        <w:pStyle w:val="TextBody"/>
        <w:rPr/>
      </w:pPr>
      <w:r>
        <w:rPr/>
        <w:t>        </w:t>
      </w:r>
      <w:r>
        <w:rPr>
          <w:b/>
          <w:i/>
          <w:sz w:val="20"/>
        </w:rPr>
        <w:t>We are exposed to the credit risk of our customers in the ordinary course of our gathering and marketing activities.</w:t>
      </w:r>
    </w:p>
    <w:p>
      <w:pPr>
        <w:pStyle w:val="TextBody"/>
        <w:rPr/>
      </w:pPr>
      <w:r>
        <w:rPr/>
        <w:t>        </w:t>
      </w:r>
      <w:r>
        <w:rPr>
          <w:sz w:val="20"/>
        </w:rPr>
        <w:t xml:space="preserve">There can be no assurance that we have adequately assessed the credit worthiness of our existing or future counterparties or that there will not be an unanticipated deterioration in their credit worthiness, which could have an adverse impact on us. </w:t>
      </w:r>
    </w:p>
    <w:p>
      <w:pPr>
        <w:pStyle w:val="TextBody"/>
        <w:rPr/>
      </w:pPr>
      <w:r>
        <w:rPr/>
        <w:t>        </w:t>
      </w:r>
      <w:r>
        <w:rPr>
          <w:sz w:val="20"/>
        </w:rPr>
        <w:t xml:space="preserve">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 </w:t>
      </w:r>
    </w:p>
    <w:p>
      <w:pPr>
        <w:pStyle w:val="TextBody"/>
        <w:rPr/>
      </w:pPr>
      <w:r>
        <w:rPr/>
        <w:t>        </w:t>
      </w:r>
      <w:r>
        <w:rPr>
          <w:b/>
          <w:i/>
          <w:sz w:val="20"/>
        </w:rPr>
        <w:t xml:space="preserve">Our pipeline assets are subject to federal, state and provincial regulation. </w:t>
      </w:r>
    </w:p>
    <w:p>
      <w:pPr>
        <w:pStyle w:val="TextBody"/>
        <w:rPr/>
      </w:pPr>
      <w:r>
        <w:rPr/>
        <w:t>        </w:t>
      </w:r>
      <w:r>
        <w:rPr>
          <w:sz w:val="20"/>
        </w:rPr>
        <w:t xml:space="preserve">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 </w:t>
      </w:r>
    </w:p>
    <w:p>
      <w:pPr>
        <w:pStyle w:val="TextBody"/>
        <w:rPr/>
      </w:pPr>
      <w:r>
        <w:rPr/>
        <w:t>        </w:t>
      </w:r>
      <w:r>
        <w:rPr>
          <w:sz w:val="20"/>
        </w:rPr>
        <w:t xml:space="preserve">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 </w:t>
      </w:r>
    </w:p>
    <w:p>
      <w:pPr>
        <w:pStyle w:val="TextBody"/>
        <w:rPr/>
      </w:pPr>
      <w:r>
        <w:rPr/>
        <w:t>        </w:t>
      </w:r>
      <w:r>
        <w:rPr>
          <w:b/>
          <w:i/>
          <w:sz w:val="20"/>
        </w:rPr>
        <w:t>Our pipeline systems are dependent upon their interconnections with other crude oil pipelines to reach end markets.</w:t>
      </w:r>
    </w:p>
    <w:p>
      <w:pPr>
        <w:pStyle w:val="TextBody"/>
        <w:rPr/>
      </w:pPr>
      <w:r>
        <w:rPr/>
        <w:t>        </w:t>
      </w:r>
      <w:r>
        <w:rPr>
          <w:sz w:val="20"/>
        </w:rPr>
        <w:t xml:space="preserve">Reduced throughput on these interconnecting pipelines as a result of testing, line repair, reduced operating pressures or other causes could result in reduced throughput on our pipeline systems that would adversely affect our profitability. </w:t>
      </w:r>
    </w:p>
    <w:p>
      <w:pPr>
        <w:pStyle w:val="TextBody"/>
        <w:rPr/>
      </w:pPr>
      <w:r>
        <w:rPr/>
        <w:t>        </w:t>
      </w:r>
      <w:r>
        <w:rPr>
          <w:b/>
          <w:i/>
          <w:sz w:val="20"/>
        </w:rPr>
        <w:t xml:space="preserve">Fluctuations in demand can negatively affect our operating results. </w:t>
      </w:r>
    </w:p>
    <w:p>
      <w:pPr>
        <w:pStyle w:val="TextBody"/>
        <w:rPr/>
      </w:pPr>
      <w:r>
        <w:rPr/>
        <w:t>        </w:t>
      </w:r>
      <w:r>
        <w:rPr>
          <w:sz w:val="20"/>
        </w:rPr>
        <w:t xml:space="preserve">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 </w:t>
      </w:r>
    </w:p>
    <w:p>
      <w:pPr>
        <w:pStyle w:val="TextBody"/>
        <w:jc w:val="center"/>
        <w:rPr>
          <w:sz w:val="20"/>
        </w:rPr>
      </w:pPr>
      <w:r>
        <w:rPr>
          <w:sz w:val="20"/>
        </w:rPr>
        <w:t>8</w:t>
      </w:r>
    </w:p>
    <w:p>
      <w:pPr>
        <w:pStyle w:val="HorizontalLine"/>
        <w:pBdr>
          <w:bottom w:val="single" w:sz="20" w:space="0" w:color="808080"/>
        </w:pBdr>
        <w:rPr/>
      </w:pPr>
      <w:r>
        <w:rPr/>
      </w:r>
      <w:r>
        <w:br w:type="page"/>
      </w:r>
    </w:p>
    <w:p>
      <w:pPr>
        <w:pStyle w:val="TextBody"/>
        <w:rPr/>
      </w:pPr>
      <w:r>
        <w:rPr/>
      </w:r>
      <w:bookmarkStart w:id="64" w:name="page_de1403_1_9"/>
      <w:bookmarkStart w:id="65" w:name="page_de1403_1_9"/>
      <w:bookmarkEnd w:id="65"/>
    </w:p>
    <w:p>
      <w:pPr>
        <w:pStyle w:val="TextBody"/>
        <w:rPr/>
      </w:pPr>
      <w:r>
        <w:rPr/>
        <w:t>        </w:t>
      </w:r>
      <w:r>
        <w:rPr>
          <w:b/>
          <w:i/>
          <w:sz w:val="20"/>
        </w:rPr>
        <w:t>The terms of our indebtedness may limit our ability to borrow additional funds or capitalize on business opportunities.</w:t>
      </w:r>
    </w:p>
    <w:p>
      <w:pPr>
        <w:pStyle w:val="TextBody"/>
        <w:rPr/>
      </w:pPr>
      <w:r>
        <w:rPr/>
        <w:t>        </w:t>
      </w:r>
      <w:r>
        <w:rPr>
          <w:sz w:val="20"/>
        </w:rPr>
        <w:t xml:space="preserve">As of March 31, 2005, our total outstanding long-term debt was approximately $930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rPr/>
      </w:pPr>
      <w:r>
        <w:rPr/>
        <w:t>        </w:t>
      </w:r>
      <w:r>
        <w:rPr>
          <w:b/>
          <w:i/>
          <w:sz w:val="20"/>
        </w:rPr>
        <w:t>Changes in currency exchange rates could adversely affect our operating results.</w:t>
      </w:r>
    </w:p>
    <w:p>
      <w:pPr>
        <w:pStyle w:val="TextBody"/>
        <w:rPr/>
      </w:pPr>
      <w:r>
        <w:rPr/>
        <w:t>        </w:t>
      </w:r>
      <w:r>
        <w:rPr>
          <w:sz w:val="20"/>
        </w:rPr>
        <w:t xml:space="preserve">Because we conduct operations in Canada, we are exposed to currency fluctuations and exchange rate risks that may adversely affect our results of operations. </w:t>
      </w:r>
    </w:p>
    <w:p>
      <w:pPr>
        <w:pStyle w:val="TextBody"/>
        <w:rPr/>
      </w:pPr>
      <w:r>
        <w:rPr/>
        <w:t>        </w:t>
      </w:r>
      <w:r>
        <w:rPr>
          <w:b/>
          <w:i/>
          <w:sz w:val="20"/>
        </w:rPr>
        <w:t>Cash distributions are not guaranteed and may fluctuate with our performance and the establishment of financial reserves.</w:t>
      </w:r>
    </w:p>
    <w:p>
      <w:pPr>
        <w:pStyle w:val="TextBody"/>
        <w:rPr/>
      </w:pPr>
      <w:r>
        <w:rPr/>
        <w:t>        </w:t>
      </w:r>
      <w:r>
        <w:rPr>
          <w:sz w:val="20"/>
        </w:rPr>
        <w:t xml:space="preserve">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 </w:t>
      </w:r>
    </w:p>
    <w:p>
      <w:pPr>
        <w:pStyle w:val="TextBody"/>
        <w:rPr>
          <w:b/>
          <w:sz w:val="20"/>
        </w:rPr>
      </w:pPr>
      <w:r>
        <w:rPr>
          <w:b/>
          <w:sz w:val="20"/>
        </w:rPr>
        <w:t xml:space="preserve">Risks Inherent in an Investment in Plains All American Pipeline </w:t>
      </w:r>
    </w:p>
    <w:p>
      <w:pPr>
        <w:pStyle w:val="TextBody"/>
        <w:rPr/>
      </w:pPr>
      <w:r>
        <w:rPr/>
        <w:t>        </w:t>
      </w:r>
      <w:r>
        <w:rPr>
          <w:b/>
          <w:i/>
          <w:sz w:val="20"/>
        </w:rPr>
        <w:t>Cost reimbursements due to our general partner may be substantial and will reduce our cash available for distribution to you.</w:t>
      </w:r>
    </w:p>
    <w:p>
      <w:pPr>
        <w:pStyle w:val="TextBody"/>
        <w:rPr/>
      </w:pPr>
      <w:r>
        <w:rPr/>
        <w:t>        </w:t>
      </w:r>
      <w:r>
        <w:rPr>
          <w:sz w:val="20"/>
        </w:rPr>
        <w:t xml:space="preserve">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 </w:t>
      </w:r>
    </w:p>
    <w:p>
      <w:pPr>
        <w:pStyle w:val="TextBody"/>
        <w:rPr/>
      </w:pPr>
      <w:r>
        <w:rPr/>
        <w:t>        </w:t>
      </w:r>
      <w:r>
        <w:rPr>
          <w:b/>
          <w:i/>
          <w:sz w:val="20"/>
        </w:rPr>
        <w:t xml:space="preserve">You may not be able to remove our general partner even if you wish to do so. </w:t>
      </w:r>
    </w:p>
    <w:p>
      <w:pPr>
        <w:pStyle w:val="TextBody"/>
        <w:rPr/>
      </w:pPr>
      <w:r>
        <w:rPr/>
        <w:t>        </w:t>
      </w:r>
      <w:r>
        <w:rPr>
          <w:sz w:val="20"/>
        </w:rPr>
        <w:t xml:space="preserve">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 </w:t>
      </w:r>
    </w:p>
    <w:p>
      <w:pPr>
        <w:pStyle w:val="TextBody"/>
        <w:rPr/>
      </w:pPr>
      <w:r>
        <w:rPr/>
        <w:t>        </w:t>
      </w:r>
      <w:r>
        <w:rPr>
          <w:sz w:val="20"/>
        </w:rPr>
        <w:t xml:space="preserve">In addition, the following provisions of our partnership agreement may discourage a person or group from attempting to remove our general partner or otherwise change our management: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generally, if a person acquires 20% or more of any class of units then outstanding other than from our general partner or its affiliates, the units owned by such person cannot be voted on any matter;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limitations upon the ability of unitholders to call meetings or to acquire information about our operations, as well as other limitations upon the unitholders' ability to influence the manner or direction of management. </w:t>
      </w:r>
    </w:p>
    <w:p>
      <w:pPr>
        <w:pStyle w:val="TextBody"/>
        <w:rPr/>
      </w:pPr>
      <w:r>
        <w:rPr/>
        <w:t>        </w:t>
      </w:r>
      <w:r>
        <w:rPr>
          <w:sz w:val="20"/>
        </w:rPr>
        <w:t xml:space="preserve">As a result of these provisions, the price at which the common units will trade may be lower because of the absence or reduction of a takeover premium in the trading price. </w:t>
      </w:r>
    </w:p>
    <w:p>
      <w:pPr>
        <w:pStyle w:val="TextBody"/>
        <w:jc w:val="center"/>
        <w:rPr>
          <w:sz w:val="20"/>
        </w:rPr>
      </w:pPr>
      <w:r>
        <w:rPr>
          <w:sz w:val="20"/>
        </w:rPr>
        <w:t>9</w:t>
      </w:r>
    </w:p>
    <w:p>
      <w:pPr>
        <w:pStyle w:val="HorizontalLine"/>
        <w:pBdr>
          <w:bottom w:val="single" w:sz="20" w:space="0" w:color="808080"/>
        </w:pBdr>
        <w:rPr/>
      </w:pPr>
      <w:r>
        <w:rPr/>
      </w:r>
      <w:r>
        <w:br w:type="page"/>
      </w:r>
    </w:p>
    <w:p>
      <w:pPr>
        <w:pStyle w:val="TextBody"/>
        <w:rPr/>
      </w:pPr>
      <w:r>
        <w:rPr/>
      </w:r>
      <w:bookmarkStart w:id="66" w:name="page_de1403_1_10"/>
      <w:bookmarkStart w:id="67" w:name="page_de1403_1_10"/>
      <w:bookmarkEnd w:id="67"/>
    </w:p>
    <w:p>
      <w:pPr>
        <w:pStyle w:val="TextBody"/>
        <w:rPr/>
      </w:pPr>
      <w:r>
        <w:rPr/>
        <w:t>        </w:t>
      </w:r>
      <w:r>
        <w:rPr>
          <w:b/>
          <w:i/>
          <w:sz w:val="20"/>
        </w:rPr>
        <w:t>We may issue additional common units without your approval, which would dilute your existing ownership interests.</w:t>
      </w:r>
    </w:p>
    <w:p>
      <w:pPr>
        <w:pStyle w:val="TextBody"/>
        <w:rPr/>
      </w:pPr>
      <w:r>
        <w:rPr/>
        <w:t>        </w:t>
      </w:r>
      <w:r>
        <w:rPr>
          <w:sz w:val="20"/>
        </w:rPr>
        <w:t xml:space="preserve">Our general partner may cause us to issue an unlimited number of common units, without your approval. We may also issue at any time an unlimited number of equity securities ranking junior or senior to the common units without your approval. The issuance of additional common units or other equity securities of equal or senior rank will have the following effects: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your proportionate ownership interest in Plains All American Pipeline will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available for distribution on each unit may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relative voting strength of each previously outstanding unit may be diminished;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market price of the common units may decline. </w:t>
      </w:r>
    </w:p>
    <w:p>
      <w:pPr>
        <w:pStyle w:val="TextBody"/>
        <w:rPr/>
      </w:pPr>
      <w:r>
        <w:rPr/>
        <w:t>        </w:t>
      </w:r>
      <w:r>
        <w:rPr>
          <w:b/>
          <w:i/>
          <w:sz w:val="20"/>
        </w:rPr>
        <w:t>Our general partner has a limited call right that may require you to sell your units at an undesirable time or price.</w:t>
      </w:r>
    </w:p>
    <w:p>
      <w:pPr>
        <w:pStyle w:val="TextBody"/>
        <w:rPr/>
      </w:pPr>
      <w:r>
        <w:rPr/>
        <w:t>        </w:t>
      </w:r>
      <w:r>
        <w:rPr>
          <w:sz w:val="20"/>
        </w:rPr>
        <w:t xml:space="preserve">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 </w:t>
      </w:r>
    </w:p>
    <w:p>
      <w:pPr>
        <w:pStyle w:val="TextBody"/>
        <w:rPr/>
      </w:pPr>
      <w:r>
        <w:rPr/>
        <w:t>        </w:t>
      </w:r>
      <w:r>
        <w:rPr>
          <w:b/>
          <w:i/>
          <w:sz w:val="20"/>
        </w:rPr>
        <w:t>You may not have limited liability if a court finds that unitholder actions constitute control of our business.</w:t>
      </w:r>
    </w:p>
    <w:p>
      <w:pPr>
        <w:pStyle w:val="TextBody"/>
        <w:rPr/>
      </w:pPr>
      <w:r>
        <w:rPr/>
        <w:t>        </w:t>
      </w:r>
      <w:r>
        <w:rPr>
          <w:sz w:val="20"/>
        </w:rPr>
        <w:t xml:space="preserve">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 </w:t>
      </w:r>
    </w:p>
    <w:p>
      <w:pPr>
        <w:pStyle w:val="TextBody"/>
        <w:rPr/>
      </w:pPr>
      <w:r>
        <w:rPr/>
        <w:t>        </w:t>
      </w:r>
      <w:r>
        <w:rPr>
          <w:sz w:val="20"/>
        </w:rPr>
        <w:t xml:space="preserve">Our general partner generally has unlimited liability for our obligations, such as our debts and environmental liabilities, except for those contractual obligations that are expressly made without recourse to our general partner. </w:t>
      </w:r>
    </w:p>
    <w:p>
      <w:pPr>
        <w:pStyle w:val="TextBody"/>
        <w:rPr/>
      </w:pPr>
      <w:r>
        <w:rPr/>
        <w:t>        </w:t>
      </w:r>
      <w:r>
        <w:rPr>
          <w:sz w:val="20"/>
        </w:rPr>
        <w:t xml:space="preserve">In addition, Section 17-607 of the Delaware Revised Uniform Limited Partnership Act provides that under some circumstances, a unitholder may be liable to us for the amount of a distribution for a period of three years from the date of the distribution. </w:t>
      </w:r>
    </w:p>
    <w:p>
      <w:pPr>
        <w:pStyle w:val="TextBody"/>
        <w:rPr/>
      </w:pPr>
      <w:r>
        <w:rPr/>
        <w:t>        </w:t>
      </w:r>
      <w:r>
        <w:rPr>
          <w:b/>
          <w:i/>
          <w:sz w:val="20"/>
        </w:rPr>
        <w:t>Conflicts of interest could arise among our general partner and us or the unitholders.</w:t>
      </w:r>
    </w:p>
    <w:p>
      <w:pPr>
        <w:pStyle w:val="TextBody"/>
        <w:rPr/>
      </w:pPr>
      <w:r>
        <w:rPr/>
        <w:t>        </w:t>
      </w:r>
      <w:r>
        <w:rPr>
          <w:sz w:val="20"/>
        </w:rPr>
        <w:t xml:space="preserve">These conflicts may include the following: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do not have any employees and we rely solely on employees of the general partner or, in the case of Plains Marketing Canada, employees of PMC (Nova Scotia) Company;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under our partnership agreement, we reimburse the general partner for the costs of managing and for operating the partnership;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expenditures, borrowings and reserves in any quarter may affect available cash to pay quarterly distributions to unitholders;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tries to avoid being liable for partnership obligations. The general partner is permitted to protect its assets in this manner by our partnership agreement. Under our partnership agreement the general partner would not breach its fiduciary duty by avoiding </w:t>
      </w:r>
    </w:p>
    <w:p>
      <w:pPr>
        <w:pStyle w:val="TextBody"/>
        <w:jc w:val="center"/>
        <w:rPr>
          <w:sz w:val="20"/>
        </w:rPr>
      </w:pPr>
      <w:r>
        <w:rPr>
          <w:sz w:val="20"/>
        </w:rPr>
        <w:t>10</w:t>
      </w:r>
    </w:p>
    <w:p>
      <w:pPr>
        <w:pStyle w:val="HorizontalLine"/>
        <w:pBdr>
          <w:bottom w:val="single" w:sz="20" w:space="0" w:color="808080"/>
        </w:pBdr>
        <w:rPr/>
      </w:pPr>
      <w:r>
        <w:rPr/>
      </w:r>
      <w:r>
        <w:br w:type="page"/>
      </w:r>
    </w:p>
    <w:p>
      <w:pPr>
        <w:pStyle w:val="TextBody"/>
        <w:numPr>
          <w:ilvl w:val="0"/>
          <w:numId w:val="0"/>
        </w:numPr>
        <w:ind w:left="1414" w:hanging="0"/>
        <w:rPr>
          <w:sz w:val="20"/>
        </w:rPr>
      </w:pPr>
      <w:bookmarkStart w:id="68" w:name="page_de1403_1_11"/>
      <w:bookmarkEnd w:id="68"/>
      <w:r>
        <w:rPr>
          <w:sz w:val="20"/>
        </w:rPr>
        <w:t xml:space="preserve">liability for partnership obligations even if we can obtain more favorable terms without limiting the general partner's liability;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would not breach our partnership agreement by exercising its call rights to purchase limited partnership interests or by assigning its call rights to one of its affiliates or to us. </w:t>
      </w:r>
    </w:p>
    <w:p>
      <w:pPr>
        <w:pStyle w:val="TextBody"/>
        <w:rPr>
          <w:b/>
          <w:sz w:val="20"/>
        </w:rPr>
      </w:pPr>
      <w:r>
        <w:rPr>
          <w:b/>
          <w:sz w:val="20"/>
        </w:rPr>
        <w:t xml:space="preserve">Risks Related to the Debt Securities </w:t>
      </w:r>
    </w:p>
    <w:p>
      <w:pPr>
        <w:pStyle w:val="TextBody"/>
        <w:rPr/>
      </w:pPr>
      <w:r>
        <w:rPr/>
        <w:t>        </w:t>
      </w:r>
      <w:r>
        <w:rPr>
          <w:b/>
          <w:i/>
          <w:sz w:val="20"/>
        </w:rPr>
        <w:t>We have a holding company structure in which our subsidiaries conduct our operations and own our operating assets.</w:t>
      </w:r>
    </w:p>
    <w:p>
      <w:pPr>
        <w:pStyle w:val="TextBody"/>
        <w:rPr/>
      </w:pPr>
      <w:r>
        <w:rPr/>
        <w:t>        </w:t>
      </w:r>
      <w:r>
        <w:rPr>
          <w:sz w:val="20"/>
        </w:rPr>
        <w:t xml:space="preserve">We have a holding company structure, and our subsidiaries conduct all of our operations and own all of our operating assets. We have no significant assets other than the ownership interests in our subsidiaries. As a result, our ability to make required payments on the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 </w:t>
      </w:r>
    </w:p>
    <w:p>
      <w:pPr>
        <w:pStyle w:val="TextBody"/>
        <w:rPr/>
      </w:pPr>
      <w:r>
        <w:rPr/>
        <w:t>        </w:t>
      </w:r>
      <w:r>
        <w:rPr>
          <w:b/>
          <w:i/>
          <w:sz w:val="20"/>
        </w:rPr>
        <w:t>We do not have the same flexibility as other types of organizations to accumulate cash, which may limit cash available to service the debt securities or to repay them at maturity.</w:t>
      </w:r>
    </w:p>
    <w:p>
      <w:pPr>
        <w:pStyle w:val="TextBody"/>
        <w:rPr/>
      </w:pPr>
      <w:r>
        <w:rPr/>
        <w:t>        </w:t>
      </w:r>
      <w:r>
        <w:rPr>
          <w:sz w:val="20"/>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the proper conduct of our business and the businesses of our operating partnerships (including reserves for future capital expenditures and for our anticipated future credit needs),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funds for distributions to our unitholders and the general partner for any one or more of the next four calendar quarters,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comply with applicable law or any of our loan or other agreements. </w:t>
      </w:r>
    </w:p>
    <w:p>
      <w:pPr>
        <w:pStyle w:val="TextBody"/>
        <w:rPr/>
      </w:pPr>
      <w:r>
        <w:rPr/>
        <w:t>        </w:t>
      </w:r>
      <w:r>
        <w:rPr>
          <w:sz w:val="20"/>
        </w:rPr>
        <w:t xml:space="preserve">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 </w:t>
      </w:r>
    </w:p>
    <w:p>
      <w:pPr>
        <w:pStyle w:val="TextBody"/>
        <w:jc w:val="center"/>
        <w:rPr>
          <w:sz w:val="20"/>
        </w:rPr>
      </w:pPr>
      <w:r>
        <w:rPr>
          <w:sz w:val="20"/>
        </w:rPr>
        <w:t>11</w:t>
      </w:r>
    </w:p>
    <w:p>
      <w:pPr>
        <w:pStyle w:val="HorizontalLine"/>
        <w:pBdr>
          <w:bottom w:val="single" w:sz="20" w:space="0" w:color="808080"/>
        </w:pBdr>
        <w:rPr/>
      </w:pPr>
      <w:r>
        <w:rPr/>
      </w:r>
      <w:r>
        <w:br w:type="page"/>
      </w:r>
    </w:p>
    <w:p>
      <w:pPr>
        <w:pStyle w:val="TextBody"/>
        <w:rPr/>
      </w:pPr>
      <w:r>
        <w:rPr/>
      </w:r>
      <w:bookmarkStart w:id="69" w:name="page_de1403_1_12"/>
      <w:bookmarkStart w:id="70" w:name="page_de1403_1_12"/>
      <w:bookmarkEnd w:id="70"/>
    </w:p>
    <w:p>
      <w:pPr>
        <w:pStyle w:val="TextBody"/>
        <w:rPr>
          <w:b/>
          <w:sz w:val="20"/>
        </w:rPr>
      </w:pPr>
      <w:r>
        <w:rPr>
          <w:b/>
          <w:sz w:val="20"/>
        </w:rPr>
        <w:t xml:space="preserve">Tax Risks to Common Unitholders </w:t>
      </w:r>
    </w:p>
    <w:p>
      <w:pPr>
        <w:pStyle w:val="TextBody"/>
        <w:rPr/>
      </w:pPr>
      <w:r>
        <w:rPr/>
        <w:t>        </w:t>
      </w:r>
      <w:r>
        <w:rPr>
          <w:sz w:val="20"/>
        </w:rPr>
        <w:t xml:space="preserve">You should read "Tax Considerations" for a more complete discussion of the following expected material federal income tax consequences of owning and disposing of common units. </w:t>
      </w:r>
    </w:p>
    <w:p>
      <w:pPr>
        <w:pStyle w:val="TextBody"/>
        <w:rPr/>
      </w:pPr>
      <w:r>
        <w:rPr/>
        <w:t>        </w:t>
      </w:r>
      <w:r>
        <w:rPr>
          <w:b/>
          <w:i/>
          <w:sz w:val="20"/>
        </w:rPr>
        <w:t>The IRS could treat us as a corporation for tax purposes, which would substantially reduce the cash available for distribution to you.</w:t>
      </w:r>
    </w:p>
    <w:p>
      <w:pPr>
        <w:pStyle w:val="TextBody"/>
        <w:rPr/>
      </w:pPr>
      <w:r>
        <w:rPr/>
        <w:t>        </w:t>
      </w:r>
      <w:r>
        <w:rPr>
          <w:sz w:val="20"/>
        </w:rPr>
        <w:t xml:space="preserve">The anticipated after-tax benefit of an investment in the common units depends largely on our being treated as a partnership for federal income tax purposes. We have not requested, and do not plan to request, a ruling from the IRS on this or any other matter affecting us. </w:t>
      </w:r>
    </w:p>
    <w:p>
      <w:pPr>
        <w:pStyle w:val="TextBody"/>
        <w:rPr/>
      </w:pPr>
      <w:r>
        <w:rPr/>
        <w:t>        </w:t>
      </w:r>
      <w:r>
        <w:rPr>
          <w:sz w:val="20"/>
        </w:rPr>
        <w:t xml:space="preserve">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 reduction in the after-tax return to the unitholders, likely causing a substantial reduction in the value of the common units. </w:t>
      </w:r>
    </w:p>
    <w:p>
      <w:pPr>
        <w:pStyle w:val="TextBody"/>
        <w:rPr/>
      </w:pPr>
      <w:r>
        <w:rPr/>
        <w:t>        </w:t>
      </w:r>
      <w:r>
        <w:rPr>
          <w:sz w:val="20"/>
        </w:rPr>
        <w:t xml:space="preserve">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 </w:t>
      </w:r>
    </w:p>
    <w:p>
      <w:pPr>
        <w:pStyle w:val="TextBody"/>
        <w:rPr/>
      </w:pPr>
      <w:r>
        <w:rPr/>
        <w:t>        </w:t>
      </w:r>
      <w:r>
        <w:rPr>
          <w:b/>
          <w:i/>
          <w:sz w:val="20"/>
        </w:rPr>
        <w:t>A successful IRS contest of the federal income tax positions we take may adversely impact the market for common units.</w:t>
      </w:r>
    </w:p>
    <w:p>
      <w:pPr>
        <w:pStyle w:val="TextBody"/>
        <w:rPr/>
      </w:pPr>
      <w:r>
        <w:rPr/>
        <w:t>        </w:t>
      </w:r>
      <w:r>
        <w:rPr>
          <w:sz w:val="20"/>
        </w:rPr>
        <w:t xml:space="preserve">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 </w:t>
      </w:r>
    </w:p>
    <w:p>
      <w:pPr>
        <w:pStyle w:val="TextBody"/>
        <w:rPr/>
      </w:pPr>
      <w:r>
        <w:rPr/>
        <w:t>        </w:t>
      </w:r>
      <w:r>
        <w:rPr>
          <w:b/>
          <w:i/>
          <w:sz w:val="20"/>
        </w:rPr>
        <w:t>You may be required to pay taxes even if you do not receive any cash distributions.</w:t>
      </w:r>
    </w:p>
    <w:p>
      <w:pPr>
        <w:pStyle w:val="TextBody"/>
        <w:rPr/>
      </w:pPr>
      <w:r>
        <w:rPr/>
        <w:t>        </w:t>
      </w:r>
      <w:r>
        <w:rPr>
          <w:sz w:val="20"/>
        </w:rPr>
        <w:t xml:space="preserve">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 </w:t>
      </w:r>
    </w:p>
    <w:p>
      <w:pPr>
        <w:pStyle w:val="TextBody"/>
        <w:rPr/>
      </w:pPr>
      <w:r>
        <w:rPr/>
        <w:t>        </w:t>
      </w:r>
      <w:r>
        <w:rPr>
          <w:b/>
          <w:i/>
          <w:sz w:val="20"/>
        </w:rPr>
        <w:t>Tax gain or loss on disposition of common units could be different than expected.</w:t>
      </w:r>
    </w:p>
    <w:p>
      <w:pPr>
        <w:pStyle w:val="TextBody"/>
        <w:rPr/>
      </w:pPr>
      <w:r>
        <w:rPr/>
        <w:t>        </w:t>
      </w:r>
      <w:r>
        <w:rPr>
          <w:sz w:val="20"/>
        </w:rPr>
        <w:t xml:space="preserve">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 </w:t>
      </w:r>
    </w:p>
    <w:p>
      <w:pPr>
        <w:pStyle w:val="TextBody"/>
        <w:jc w:val="center"/>
        <w:rPr>
          <w:sz w:val="20"/>
        </w:rPr>
      </w:pPr>
      <w:r>
        <w:rPr>
          <w:sz w:val="20"/>
        </w:rPr>
        <w:t>12</w:t>
      </w:r>
    </w:p>
    <w:p>
      <w:pPr>
        <w:pStyle w:val="HorizontalLine"/>
        <w:pBdr>
          <w:bottom w:val="single" w:sz="20" w:space="0" w:color="808080"/>
        </w:pBdr>
        <w:rPr/>
      </w:pPr>
      <w:r>
        <w:rPr/>
      </w:r>
      <w:r>
        <w:br w:type="page"/>
      </w:r>
    </w:p>
    <w:p>
      <w:pPr>
        <w:pStyle w:val="TextBody"/>
        <w:rPr/>
      </w:pPr>
      <w:r>
        <w:rPr/>
      </w:r>
      <w:bookmarkStart w:id="71" w:name="page_de1403_1_13"/>
      <w:bookmarkStart w:id="72" w:name="page_de1403_1_13"/>
      <w:bookmarkEnd w:id="72"/>
    </w:p>
    <w:p>
      <w:pPr>
        <w:pStyle w:val="TextBody"/>
        <w:rPr>
          <w:sz w:val="20"/>
        </w:rPr>
      </w:pPr>
      <w:r>
        <w:rPr>
          <w:sz w:val="20"/>
        </w:rPr>
        <w:t xml:space="preserve">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 </w:t>
      </w:r>
    </w:p>
    <w:p>
      <w:pPr>
        <w:pStyle w:val="TextBody"/>
        <w:rPr/>
      </w:pPr>
      <w:r>
        <w:rPr/>
        <w:t>        </w:t>
      </w:r>
      <w:r>
        <w:rPr>
          <w:b/>
          <w:i/>
          <w:sz w:val="20"/>
        </w:rPr>
        <w:t>If you are a tax-exempt entity, a regulated investment company or an individual not residing in the United States, you may have adverse tax consequences from owning common units.</w:t>
      </w:r>
    </w:p>
    <w:p>
      <w:pPr>
        <w:pStyle w:val="TextBody"/>
        <w:rPr/>
      </w:pPr>
      <w:r>
        <w:rPr/>
        <w:t>        </w:t>
      </w:r>
      <w:r>
        <w:rPr>
          <w:sz w:val="20"/>
        </w:rPr>
        <w:t xml:space="preserve">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 </w:t>
      </w:r>
    </w:p>
    <w:p>
      <w:pPr>
        <w:pStyle w:val="TextBody"/>
        <w:rPr/>
      </w:pPr>
      <w:r>
        <w:rPr/>
        <w:t>        </w:t>
      </w:r>
      <w:r>
        <w:rPr>
          <w:b/>
          <w:i/>
          <w:sz w:val="20"/>
        </w:rPr>
        <w:t>We treat a purchaser of units as having the same tax benefits without regard to the units purchased. The IRS may challenge this treatment, which could adversely affect the value of the units.</w:t>
      </w:r>
    </w:p>
    <w:p>
      <w:pPr>
        <w:pStyle w:val="TextBody"/>
        <w:rPr/>
      </w:pPr>
      <w:r>
        <w:rPr/>
        <w:t>        </w:t>
      </w:r>
      <w:r>
        <w:rPr>
          <w:sz w:val="20"/>
        </w:rPr>
        <w:t xml:space="preserve">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ConsiderationsUniformity of Units" in this prospectus for further discussion of the effect of the depreciation and amortization positions we have adopted. </w:t>
      </w:r>
    </w:p>
    <w:p>
      <w:pPr>
        <w:pStyle w:val="TextBody"/>
        <w:rPr/>
      </w:pPr>
      <w:r>
        <w:rPr/>
        <w:t>        </w:t>
      </w:r>
      <w:r>
        <w:rPr>
          <w:b/>
          <w:i/>
          <w:sz w:val="20"/>
        </w:rPr>
        <w:t>You will likely be subject to foreign, state and local taxes in jurisdictions where you do not live as a result of an investment in units.</w:t>
      </w:r>
    </w:p>
    <w:p>
      <w:pPr>
        <w:pStyle w:val="TextBody"/>
        <w:rPr/>
      </w:pPr>
      <w:r>
        <w:rPr/>
        <w:t>        </w:t>
      </w:r>
      <w:r>
        <w:rPr>
          <w:sz w:val="20"/>
        </w:rPr>
        <w:t xml:space="preserve">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 </w:t>
      </w:r>
    </w:p>
    <w:p>
      <w:pPr>
        <w:pStyle w:val="TextBody"/>
        <w:jc w:val="center"/>
        <w:rPr>
          <w:sz w:val="20"/>
        </w:rPr>
      </w:pPr>
      <w:r>
        <w:rPr>
          <w:sz w:val="20"/>
        </w:rPr>
        <w:t>13</w:t>
      </w:r>
    </w:p>
    <w:p>
      <w:pPr>
        <w:pStyle w:val="HorizontalLine"/>
        <w:pBdr>
          <w:bottom w:val="single" w:sz="20" w:space="0" w:color="808080"/>
        </w:pBdr>
        <w:rPr/>
      </w:pPr>
      <w:r>
        <w:rPr/>
      </w:r>
      <w:r>
        <w:br w:type="page"/>
      </w:r>
    </w:p>
    <w:p>
      <w:pPr>
        <w:pStyle w:val="TextBody"/>
        <w:jc w:val="center"/>
        <w:rPr/>
      </w:pPr>
      <w:bookmarkStart w:id="73" w:name="toc_dg1403_1"/>
      <w:bookmarkStart w:id="74" w:name="dg1403_use_of_proceeds"/>
      <w:bookmarkStart w:id="75" w:name="page_dg1403_1_14"/>
      <w:bookmarkEnd w:id="73"/>
      <w:bookmarkEnd w:id="74"/>
      <w:bookmarkEnd w:id="75"/>
      <w:r>
        <w:rPr>
          <w:sz w:val="20"/>
        </w:rPr>
        <w:br/>
      </w:r>
      <w:r>
        <w:rPr>
          <w:b/>
          <w:sz w:val="20"/>
        </w:rPr>
        <w:t xml:space="preserve">USE OF PROCEEDS </w:t>
      </w:r>
    </w:p>
    <w:p>
      <w:pPr>
        <w:pStyle w:val="TextBody"/>
        <w:rPr/>
      </w:pPr>
      <w:r>
        <w:rPr/>
        <w:t>        </w:t>
      </w:r>
      <w:r>
        <w:rPr>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jc w:val="center"/>
        <w:rPr/>
      </w:pPr>
      <w:bookmarkStart w:id="76" w:name="toc_dg1403_2"/>
      <w:bookmarkStart w:id="77" w:name="dg1403_ratio_of_earnings_to_fixed_charge"/>
      <w:bookmarkEnd w:id="76"/>
      <w:bookmarkEnd w:id="77"/>
      <w:r>
        <w:rPr>
          <w:sz w:val="20"/>
        </w:rPr>
        <w:br/>
      </w:r>
      <w:r>
        <w:rPr>
          <w:b/>
          <w:sz w:val="20"/>
        </w:rPr>
        <w:t xml:space="preserve">RATIO OF EARNINGS TO FIXED CHARGES </w:t>
      </w:r>
    </w:p>
    <w:tbl>
      <w:tblPr>
        <w:tblW w:w="4450" w:type="pct"/>
        <w:jc w:val="left"/>
        <w:tblInd w:w="0" w:type="dxa"/>
        <w:tblCellMar>
          <w:top w:w="0" w:type="dxa"/>
          <w:left w:w="0" w:type="dxa"/>
          <w:bottom w:w="0" w:type="dxa"/>
          <w:right w:w="0" w:type="dxa"/>
        </w:tblCellMar>
      </w:tblPr>
      <w:tblGrid>
        <w:gridCol w:w="4311"/>
        <w:gridCol w:w="187"/>
        <w:gridCol w:w="1311"/>
        <w:gridCol w:w="187"/>
        <w:gridCol w:w="468"/>
        <w:gridCol w:w="186"/>
        <w:gridCol w:w="468"/>
        <w:gridCol w:w="187"/>
        <w:gridCol w:w="468"/>
        <w:gridCol w:w="186"/>
        <w:gridCol w:w="468"/>
        <w:gridCol w:w="187"/>
        <w:gridCol w:w="468"/>
      </w:tblGrid>
      <w:tr>
        <w:trPr/>
        <w:tc>
          <w:tcPr>
            <w:tcW w:w="4311" w:type="dxa"/>
            <w:tcBorders/>
            <w:shd w:fill="auto" w:val="clear"/>
            <w:vAlign w:val="bottom"/>
          </w:tcPr>
          <w:p>
            <w:pPr>
              <w:pStyle w:val="TableHeading"/>
              <w:spacing w:before="0" w:after="283"/>
              <w:jc w:val="left"/>
              <w:rPr/>
            </w:pPr>
            <w:r>
              <w:rPr/>
              <w:t> </w:t>
            </w:r>
          </w:p>
        </w:tc>
        <w:tc>
          <w:tcPr>
            <w:tcW w:w="187" w:type="dxa"/>
            <w:vMerge w:val="restart"/>
            <w:tcBorders/>
            <w:shd w:fill="auto" w:val="clear"/>
            <w:vAlign w:val="bottom"/>
          </w:tcPr>
          <w:p>
            <w:pPr>
              <w:pStyle w:val="TableHeading"/>
              <w:suppressLineNumbers/>
              <w:spacing w:before="0" w:after="283"/>
              <w:jc w:val="center"/>
              <w:rPr/>
            </w:pPr>
            <w:r>
              <w:rPr/>
              <w:t> </w:t>
            </w:r>
          </w:p>
        </w:tc>
        <w:tc>
          <w:tcPr>
            <w:tcW w:w="1311" w:type="dxa"/>
            <w:vMerge w:val="restart"/>
            <w:tcBorders/>
            <w:shd w:fill="auto" w:val="clear"/>
            <w:vAlign w:val="bottom"/>
          </w:tcPr>
          <w:p>
            <w:pPr>
              <w:pStyle w:val="TableHeading"/>
              <w:spacing w:before="0" w:after="0"/>
              <w:jc w:val="center"/>
              <w:rPr>
                <w:b/>
                <w:sz w:val="14"/>
              </w:rPr>
            </w:pPr>
            <w:r>
              <w:rPr>
                <w:b/>
                <w:sz w:val="14"/>
              </w:rPr>
              <w:t>Three Months</w:t>
              <w:br/>
              <w:t>Ended</w:t>
              <w:br/>
              <w:t>March 31,</w:t>
              <w:br/>
              <w:t>2005</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3086" w:type="dxa"/>
            <w:gridSpan w:val="9"/>
            <w:tcBorders/>
            <w:shd w:fill="auto" w:val="clear"/>
            <w:vAlign w:val="bottom"/>
          </w:tcPr>
          <w:p>
            <w:pPr>
              <w:pStyle w:val="TableHeading"/>
              <w:spacing w:before="0" w:after="0"/>
              <w:jc w:val="center"/>
              <w:rPr>
                <w:b/>
                <w:sz w:val="14"/>
              </w:rPr>
            </w:pPr>
            <w:r>
              <w:rPr>
                <w:b/>
                <w:sz w:val="14"/>
              </w:rPr>
              <w:t>Year Ended December 31,</w:t>
            </w:r>
          </w:p>
          <w:p>
            <w:pPr>
              <w:pStyle w:val="HorizontalLine"/>
              <w:pBdr>
                <w:bottom w:val="single" w:sz="20" w:space="0" w:color="808080"/>
              </w:pBdr>
              <w:spacing w:before="0" w:after="283"/>
              <w:rPr/>
            </w:pPr>
            <w:r>
              <w:rPr/>
            </w:r>
          </w:p>
        </w:tc>
      </w:tr>
      <w:tr>
        <w:trPr/>
        <w:tc>
          <w:tcPr>
            <w:tcW w:w="4311" w:type="dxa"/>
            <w:tcBorders/>
            <w:shd w:fill="auto" w:val="clear"/>
            <w:vAlign w:val="bottom"/>
          </w:tcPr>
          <w:p>
            <w:pPr>
              <w:pStyle w:val="TableHeading"/>
              <w:spacing w:before="0" w:after="283"/>
              <w:jc w:val="left"/>
              <w:rPr/>
            </w:pPr>
            <w:r>
              <w:rPr/>
              <w:t> </w:t>
            </w:r>
          </w:p>
        </w:tc>
        <w:tc>
          <w:tcPr>
            <w:tcW w:w="187" w:type="dxa"/>
            <w:vMerge w:val="continue"/>
            <w:tcBorders/>
            <w:shd w:fill="auto" w:val="clear"/>
            <w:vAlign w:val="bottom"/>
          </w:tcPr>
          <w:p>
            <w:pPr>
              <w:pStyle w:val="Normal"/>
              <w:rPr/>
            </w:pPr>
            <w:r>
              <w:rPr/>
            </w:r>
          </w:p>
        </w:tc>
        <w:tc>
          <w:tcPr>
            <w:tcW w:w="1311" w:type="dxa"/>
            <w:vMerge w:val="continue"/>
            <w:tcBorders/>
            <w:shd w:fill="auto" w:val="clear"/>
            <w:vAlign w:val="bottom"/>
          </w:tcPr>
          <w:p>
            <w:pPr>
              <w:pStyle w:val="Normal"/>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2002</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2001</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2000</w:t>
            </w:r>
          </w:p>
          <w:p>
            <w:pPr>
              <w:pStyle w:val="HorizontalLine"/>
              <w:pBdr>
                <w:bottom w:val="single" w:sz="20" w:space="0" w:color="808080"/>
              </w:pBdr>
              <w:spacing w:before="0" w:after="283"/>
              <w:rPr/>
            </w:pPr>
            <w:r>
              <w:rPr/>
            </w:r>
          </w:p>
        </w:tc>
      </w:tr>
      <w:tr>
        <w:trPr/>
        <w:tc>
          <w:tcPr>
            <w:tcW w:w="4311" w:type="dxa"/>
            <w:tcBorders/>
            <w:shd w:fill="CCEEFF" w:val="clear"/>
          </w:tcPr>
          <w:p>
            <w:pPr>
              <w:pStyle w:val="TableContents"/>
              <w:spacing w:before="0" w:after="283"/>
              <w:rPr>
                <w:sz w:val="20"/>
              </w:rPr>
            </w:pPr>
            <w:r>
              <w:rPr>
                <w:sz w:val="20"/>
              </w:rPr>
              <w:t>Ratio of Earnings to Fixed Charges</w:t>
            </w:r>
          </w:p>
        </w:tc>
        <w:tc>
          <w:tcPr>
            <w:tcW w:w="187" w:type="dxa"/>
            <w:tcBorders/>
            <w:shd w:fill="CCEEFF" w:val="clear"/>
          </w:tcPr>
          <w:p>
            <w:pPr>
              <w:pStyle w:val="TableContents"/>
              <w:spacing w:before="0" w:after="283"/>
              <w:rPr/>
            </w:pPr>
            <w:r>
              <w:rPr/>
              <w:t> </w:t>
            </w:r>
          </w:p>
        </w:tc>
        <w:tc>
          <w:tcPr>
            <w:tcW w:w="1311" w:type="dxa"/>
            <w:tcBorders/>
            <w:shd w:fill="CCEEFF" w:val="clear"/>
          </w:tcPr>
          <w:p>
            <w:pPr>
              <w:pStyle w:val="TableContents"/>
              <w:spacing w:before="0" w:after="283"/>
              <w:jc w:val="right"/>
              <w:rPr>
                <w:sz w:val="20"/>
              </w:rPr>
            </w:pPr>
            <w:r>
              <w:rPr>
                <w:sz w:val="20"/>
              </w:rPr>
              <w:t>2.93</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3.46</w:t>
            </w:r>
          </w:p>
        </w:tc>
        <w:tc>
          <w:tcPr>
            <w:tcW w:w="186"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2.39</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2.77</w:t>
            </w:r>
          </w:p>
        </w:tc>
        <w:tc>
          <w:tcPr>
            <w:tcW w:w="186"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2.26</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3.33</w:t>
            </w:r>
          </w:p>
        </w:tc>
      </w:tr>
      <w:tr>
        <w:trPr/>
        <w:tc>
          <w:tcPr>
            <w:tcW w:w="4311"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1311"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r>
    </w:tbl>
    <w:p>
      <w:pPr>
        <w:pStyle w:val="TextBody"/>
        <w:jc w:val="center"/>
        <w:rPr>
          <w:sz w:val="20"/>
        </w:rPr>
      </w:pPr>
      <w:r>
        <w:rPr>
          <w:sz w:val="20"/>
        </w:rPr>
        <w:t>14</w:t>
      </w:r>
    </w:p>
    <w:p>
      <w:pPr>
        <w:pStyle w:val="HorizontalLine"/>
        <w:pBdr>
          <w:bottom w:val="single" w:sz="20" w:space="0" w:color="808080"/>
        </w:pBdr>
        <w:rPr/>
      </w:pPr>
      <w:r>
        <w:rPr/>
      </w:r>
      <w:r>
        <w:br w:type="page"/>
      </w:r>
    </w:p>
    <w:p>
      <w:pPr>
        <w:pStyle w:val="TextBody"/>
        <w:jc w:val="center"/>
        <w:rPr/>
      </w:pPr>
      <w:bookmarkStart w:id="78" w:name="toc_dg1403_3"/>
      <w:bookmarkStart w:id="79" w:name="dg1403_description_of_our_debt_securitie"/>
      <w:bookmarkStart w:id="80" w:name="page_dg1403_1_15"/>
      <w:bookmarkEnd w:id="78"/>
      <w:bookmarkEnd w:id="79"/>
      <w:bookmarkEnd w:id="80"/>
      <w:r>
        <w:rPr>
          <w:sz w:val="20"/>
        </w:rPr>
        <w:br/>
      </w:r>
      <w:r>
        <w:rPr>
          <w:b/>
          <w:sz w:val="20"/>
        </w:rPr>
        <w:t xml:space="preserve">DESCRIPTION OF OUR DEBT SECURITIES </w:t>
      </w:r>
    </w:p>
    <w:p>
      <w:pPr>
        <w:pStyle w:val="TextBody"/>
        <w:rPr>
          <w:b/>
          <w:sz w:val="20"/>
        </w:rPr>
      </w:pPr>
      <w:r>
        <w:rPr>
          <w:b/>
          <w:sz w:val="20"/>
        </w:rPr>
        <w:t xml:space="preserve">General </w:t>
      </w:r>
    </w:p>
    <w:p>
      <w:pPr>
        <w:pStyle w:val="TextBody"/>
        <w:rPr/>
      </w:pPr>
      <w:r>
        <w:rPr/>
        <w:t>        </w:t>
      </w:r>
      <w:r>
        <w:rPr>
          <w:sz w:val="20"/>
        </w:rPr>
        <w:t xml:space="preserve">The debt securities will be: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direct general obligations;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either senior debt securities or subordinated debt securities;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issued under separate indentures (which may be existing indentures) among us and Wachovia Bank, N.A., as Trustee. </w:t>
      </w:r>
    </w:p>
    <w:p>
      <w:pPr>
        <w:pStyle w:val="TextBody"/>
        <w:rPr/>
      </w:pPr>
      <w:r>
        <w:rPr/>
        <w:t>        </w:t>
      </w:r>
      <w:r>
        <w:rPr>
          <w:sz w:val="20"/>
        </w:rPr>
        <w:t xml:space="preserve">Plains All American Pipeline may issue debt securities in one or more series, and PAA Finance may be a co-issuer of one or more series of debt securities.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rPr/>
      </w:pPr>
      <w:r>
        <w:rPr/>
        <w:t>        </w:t>
      </w:r>
      <w:r>
        <w:rPr>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rPr>
          <w:b/>
          <w:sz w:val="20"/>
        </w:rPr>
      </w:pPr>
      <w:r>
        <w:rPr>
          <w:b/>
          <w:sz w:val="20"/>
        </w:rPr>
        <w:t xml:space="preserve">Specific Terms of Each Series of Debt Securities in the Prospectus Supplement </w:t>
      </w:r>
    </w:p>
    <w:p>
      <w:pPr>
        <w:pStyle w:val="TextBody"/>
        <w:rPr/>
      </w:pPr>
      <w:r>
        <w:rPr/>
        <w:t>        </w:t>
      </w:r>
      <w:r>
        <w:rPr>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PAA Finance will be a co-issuer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guarantors of the debt securities, if any;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the debt securities are senior or subordinated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title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total principal amount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assets, if any, that are pledged as security for the payment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we will issue the debt securities in individual certificates to each holder in registered form, or in the form of temporary or permanent global securities held by a depository on behalf of holders;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prices at which we will issue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portion of the principal amount that will be payable if the maturity of the debt securities is accelerated;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currency or currency unit in which the debt securities will be payable, if not U.S. dollars;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dates on which the principal of the debt securities will be payable; </w:t>
      </w:r>
    </w:p>
    <w:p>
      <w:pPr>
        <w:pStyle w:val="TextBody"/>
        <w:jc w:val="center"/>
        <w:rPr>
          <w:sz w:val="20"/>
        </w:rPr>
      </w:pPr>
      <w:r>
        <w:rPr>
          <w:sz w:val="20"/>
        </w:rPr>
        <w:t>15</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81" w:name="page_dg1403_1_16"/>
      <w:bookmarkEnd w:id="81"/>
      <w:r>
        <w:rPr>
          <w:sz w:val="20"/>
        </w:rPr>
        <w:t></w:t>
      </w:r>
    </w:p>
    <w:p>
      <w:pPr>
        <w:pStyle w:val="ListContents"/>
        <w:numPr>
          <w:ilvl w:val="0"/>
          <w:numId w:val="0"/>
        </w:numPr>
        <w:spacing w:before="0" w:after="283"/>
        <w:ind w:left="1274" w:right="0" w:hanging="0"/>
        <w:rPr>
          <w:sz w:val="20"/>
        </w:rPr>
      </w:pPr>
      <w:r>
        <w:rPr>
          <w:sz w:val="20"/>
        </w:rPr>
        <w:t xml:space="preserve">the interest rate that the debt securities will bear and the interest payment dates for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conversion or exchange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optional redemption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sinking fund or other provisions that would obligate us to repurchase or otherwise redeem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changes to or additional events of default or covenants;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terms of the debt securities. </w:t>
      </w:r>
    </w:p>
    <w:p>
      <w:pPr>
        <w:pStyle w:val="TextBody"/>
        <w:rPr/>
      </w:pPr>
      <w:r>
        <w:rPr/>
        <w:t>        </w:t>
      </w:r>
      <w:r>
        <w:rPr>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rPr>
          <w:b/>
          <w:sz w:val="20"/>
        </w:rPr>
      </w:pPr>
      <w:r>
        <w:rPr>
          <w:b/>
          <w:sz w:val="20"/>
        </w:rPr>
        <w:t xml:space="preserve">Guarantees </w:t>
      </w:r>
    </w:p>
    <w:p>
      <w:pPr>
        <w:pStyle w:val="TextBody"/>
        <w:rPr/>
      </w:pPr>
      <w:r>
        <w:rPr/>
        <w:t>        </w:t>
      </w:r>
      <w:r>
        <w:rPr>
          <w:sz w:val="20"/>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subsidiaries other than "minor" subsidiaries as such term is interpreted in securities regulation governing financial reporting for guarantors. The prospectus supplement will describe any limitation on the maximum amount of any particular guarantee and the conditions under which guarantees may be released. </w:t>
      </w:r>
    </w:p>
    <w:p>
      <w:pPr>
        <w:pStyle w:val="TextBody"/>
        <w:rPr/>
      </w:pPr>
      <w:r>
        <w:rPr/>
        <w:t>        </w:t>
      </w:r>
      <w:r>
        <w:rPr>
          <w:sz w:val="20"/>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rPr>
          <w:b/>
          <w:sz w:val="20"/>
        </w:rPr>
      </w:pPr>
      <w:r>
        <w:rPr>
          <w:b/>
          <w:sz w:val="20"/>
        </w:rPr>
        <w:t xml:space="preserve">Consolidation, Merger or Asset Sale </w:t>
      </w:r>
    </w:p>
    <w:p>
      <w:pPr>
        <w:pStyle w:val="TextBody"/>
        <w:rPr/>
      </w:pPr>
      <w:r>
        <w:rPr/>
        <w:t>        </w:t>
      </w:r>
      <w:r>
        <w:rPr>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rPr/>
      </w:pPr>
      <w:r>
        <w:rPr/>
        <w:t>        </w:t>
      </w:r>
      <w:r>
        <w:rPr>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remaining or acquiring entity must assume the issuer's obligations under the indenture;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immediately after giving effect to the transaction, no Default or Event of Default (as defined under "Events of Default and Remedies" below) may exist. </w:t>
      </w:r>
    </w:p>
    <w:p>
      <w:pPr>
        <w:pStyle w:val="TextBody"/>
        <w:jc w:val="center"/>
        <w:rPr>
          <w:sz w:val="20"/>
        </w:rPr>
      </w:pPr>
      <w:r>
        <w:rPr>
          <w:sz w:val="20"/>
        </w:rPr>
        <w:t>16</w:t>
      </w:r>
    </w:p>
    <w:p>
      <w:pPr>
        <w:pStyle w:val="HorizontalLine"/>
        <w:pBdr>
          <w:bottom w:val="single" w:sz="20" w:space="0" w:color="808080"/>
        </w:pBdr>
        <w:rPr/>
      </w:pPr>
      <w:r>
        <w:rPr/>
      </w:r>
      <w:r>
        <w:br w:type="page"/>
      </w:r>
    </w:p>
    <w:p>
      <w:pPr>
        <w:pStyle w:val="TextBody"/>
        <w:rPr/>
      </w:pPr>
      <w:bookmarkStart w:id="82" w:name="page_dg1403_1_17"/>
      <w:bookmarkEnd w:id="82"/>
      <w:r>
        <w:rPr/>
        <w:t>        </w:t>
      </w:r>
      <w:r>
        <w:rPr>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rPr>
          <w:b/>
          <w:sz w:val="20"/>
        </w:rPr>
      </w:pPr>
      <w:r>
        <w:rPr>
          <w:b/>
          <w:sz w:val="20"/>
        </w:rPr>
        <w:t xml:space="preserve">No Protection in the Event of a Change of Control </w:t>
      </w:r>
    </w:p>
    <w:p>
      <w:pPr>
        <w:pStyle w:val="TextBody"/>
        <w:rPr/>
      </w:pPr>
      <w:r>
        <w:rPr/>
        <w:t>        </w:t>
      </w:r>
      <w:r>
        <w:rPr>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rPr>
          <w:b/>
          <w:sz w:val="20"/>
        </w:rPr>
      </w:pPr>
      <w:r>
        <w:rPr>
          <w:b/>
          <w:sz w:val="20"/>
        </w:rPr>
        <w:t xml:space="preserve">Modification of Indentures </w:t>
      </w:r>
    </w:p>
    <w:p>
      <w:pPr>
        <w:pStyle w:val="TextBody"/>
        <w:rPr/>
      </w:pPr>
      <w:r>
        <w:rPr/>
        <w:t>        </w:t>
      </w:r>
      <w:r>
        <w:rPr>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principal amount of debt securities whose holders must consent to an amendment, supplement or waiver;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principal of or change the fixed maturity of any debt security;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or waive the premium payable upon redemption or alter or waive the provisions with respect to the redemption of the debt securities (except as may be permitted in the case of a particular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rate of or change the time for payment of interest on any debt security;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except as otherwise permitted under the indenture, release any security that may have been granted with respect to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make any debt security payable in currency other than that stated in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any subordinated debt security, make any change in the subordination provisions that adversely affects the rights of any holder under those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make any change in the provisions of the indenture relating to waivers of past Defaults or the rights of holders of debt securities to receive payments of principal of or premium, if any, or interest on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waive a redemption payment with respect to any debt security (except as may be permitted in the case of a particular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except as otherwise permitted in the indenture, release any guarantor from its obligations under its guarantee or the indenture or change any guarantee in any manner that would adversely affect the rights of holders; or </w:t>
      </w:r>
    </w:p>
    <w:p>
      <w:pPr>
        <w:pStyle w:val="TextBody"/>
        <w:jc w:val="center"/>
        <w:rPr>
          <w:sz w:val="20"/>
        </w:rPr>
      </w:pPr>
      <w:r>
        <w:rPr>
          <w:sz w:val="20"/>
        </w:rPr>
        <w:t>17</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83" w:name="page_dg1403_1_18"/>
      <w:bookmarkEnd w:id="83"/>
      <w:r>
        <w:rPr>
          <w:sz w:val="20"/>
        </w:rPr>
        <w:t></w:t>
      </w:r>
    </w:p>
    <w:p>
      <w:pPr>
        <w:pStyle w:val="ListContents"/>
        <w:numPr>
          <w:ilvl w:val="0"/>
          <w:numId w:val="0"/>
        </w:numPr>
        <w:spacing w:before="0" w:after="283"/>
        <w:ind w:left="1274" w:right="0" w:hanging="0"/>
        <w:rPr>
          <w:sz w:val="20"/>
        </w:rPr>
      </w:pPr>
      <w:r>
        <w:rPr>
          <w:sz w:val="20"/>
        </w:rPr>
        <w:t xml:space="preserve">make any change in the preceding amendment, supplement and waiver provisions (except to increase any percentage set forth therein). </w:t>
      </w:r>
    </w:p>
    <w:p>
      <w:pPr>
        <w:pStyle w:val="TextBody"/>
        <w:rPr/>
      </w:pPr>
      <w:r>
        <w:rPr/>
        <w:t>        </w:t>
      </w:r>
      <w:r>
        <w:rPr>
          <w:sz w:val="20"/>
        </w:rPr>
        <w:t xml:space="preserve">We may supplement or amend an indenture without the consent of any holders of the debt securities in certain circumstances,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establish the form of terms of any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cure any ambiguity, defect or inconsistency;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uncertificated notes in addition to or in place of certified notes;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the assumption of an issuer's or guarantor's obligations to holders of debt securities in the case of a merger or consolidation or disposition of all or substantially all of such issuer's or guarantor's assets;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any subordinated debt security, to make any change in the subordination provisions that limits or terminates the benefits applicable to any holder of Senior Indebtedness of Plains All American Pipeline;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add or release guarantors pursuant to the terms of the indenture;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make any changes that would provide any additional rights or benefits to the holders of debt securities or that do not, taken as a whole, adversely affect the rights under the indenture of any holder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comply with requirements of the SEC in order to effect or maintain the qualification of the Indenture under the Trust Indenture Act;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evidence or provide for the acceptance of appointment under the indenture of a successor Trustee;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add any additional Events of Default;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secure the debt securities and/or the guarantees. </w:t>
      </w:r>
    </w:p>
    <w:p>
      <w:pPr>
        <w:pStyle w:val="TextBody"/>
        <w:rPr>
          <w:b/>
          <w:sz w:val="20"/>
        </w:rPr>
      </w:pPr>
      <w:r>
        <w:rPr>
          <w:b/>
          <w:sz w:val="20"/>
        </w:rPr>
        <w:t xml:space="preserve">Events of Default and Remedies </w:t>
      </w:r>
    </w:p>
    <w:p>
      <w:pPr>
        <w:pStyle w:val="TextBody"/>
        <w:rPr/>
      </w:pPr>
      <w:r>
        <w:rPr/>
        <w:t>        </w:t>
      </w:r>
      <w:r>
        <w:rPr>
          <w:sz w:val="20"/>
        </w:rPr>
        <w:t xml:space="preserve">"Event of Default," when used in an indenture, will mean any of the following with respect to the debt securities of any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when due the principal of or any premium on any debt security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within 60 days of the due date, interest on any debt security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when due any sinking fund payment with respect to any debt securities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on the part of the issuers to comply with the covenant described under "Consolidation, Merger or Asset Sale";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perform any other covenant in the indenture that continues for 30 days after written notice is given to the issuers;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certain events of bankruptcy, insolvency or reorganization of an issuer;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Event of Default provided under the terms of the debt securities of that series. </w:t>
      </w:r>
    </w:p>
    <w:p>
      <w:pPr>
        <w:pStyle w:val="TextBody"/>
        <w:rPr/>
      </w:pPr>
      <w:r>
        <w:rPr/>
      </w:r>
    </w:p>
    <w:p>
      <w:pPr>
        <w:pStyle w:val="TextBody"/>
        <w:rPr/>
      </w:pPr>
      <w:r>
        <w:rPr/>
        <w:t>        </w:t>
      </w:r>
      <w:r>
        <w:rPr>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w:t>
      </w:r>
    </w:p>
    <w:p>
      <w:pPr>
        <w:pStyle w:val="TextBody"/>
        <w:jc w:val="center"/>
        <w:rPr>
          <w:sz w:val="20"/>
        </w:rPr>
      </w:pPr>
      <w:r>
        <w:rPr>
          <w:sz w:val="20"/>
        </w:rPr>
        <w:t>18</w:t>
      </w:r>
    </w:p>
    <w:p>
      <w:pPr>
        <w:pStyle w:val="HorizontalLine"/>
        <w:pBdr>
          <w:bottom w:val="single" w:sz="20" w:space="0" w:color="808080"/>
        </w:pBdr>
        <w:rPr/>
      </w:pPr>
      <w:r>
        <w:rPr/>
      </w:r>
      <w:r>
        <w:br w:type="page"/>
      </w:r>
    </w:p>
    <w:p>
      <w:pPr>
        <w:pStyle w:val="TextBody"/>
        <w:rPr>
          <w:sz w:val="20"/>
        </w:rPr>
      </w:pPr>
      <w:bookmarkStart w:id="84" w:name="page_dg1403_1_19"/>
      <w:bookmarkEnd w:id="84"/>
      <w:r>
        <w:rPr>
          <w:sz w:val="20"/>
        </w:rPr>
        <w:t xml:space="preserve">premium, if any, or interest) if it considers such withholding of notice to be in the best interests of the holders. </w:t>
      </w:r>
    </w:p>
    <w:p>
      <w:pPr>
        <w:pStyle w:val="TextBody"/>
        <w:rPr/>
      </w:pPr>
      <w:r>
        <w:rPr/>
        <w:t>        </w:t>
      </w:r>
      <w:r>
        <w:rPr>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rPr/>
      </w:pPr>
      <w:r>
        <w:rPr/>
        <w:t>        </w:t>
      </w:r>
      <w:r>
        <w:rPr>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rPr>
          <w:b/>
          <w:sz w:val="20"/>
        </w:rPr>
      </w:pPr>
      <w:r>
        <w:rPr>
          <w:b/>
          <w:sz w:val="20"/>
        </w:rPr>
        <w:t xml:space="preserve">No Limit on Amount of Debt Securities </w:t>
      </w:r>
    </w:p>
    <w:p>
      <w:pPr>
        <w:pStyle w:val="TextBody"/>
        <w:rPr/>
      </w:pPr>
      <w:r>
        <w:rPr/>
        <w:t>        </w:t>
      </w:r>
      <w:r>
        <w:rPr>
          <w:sz w:val="20"/>
        </w:rPr>
        <w:t xml:space="preserve">The indenture will not limit the amount of debt securities that we may issue, unless we indicate otherwise in a prospectus supplement. The indenture will allow us to issue debt securities of any series up to the aggregate principal amount that we authorize. </w:t>
      </w:r>
    </w:p>
    <w:p>
      <w:pPr>
        <w:pStyle w:val="TextBody"/>
        <w:rPr>
          <w:b/>
          <w:sz w:val="20"/>
        </w:rPr>
      </w:pPr>
      <w:r>
        <w:rPr>
          <w:b/>
          <w:sz w:val="20"/>
        </w:rPr>
        <w:t xml:space="preserve">Registration of Notes </w:t>
      </w:r>
    </w:p>
    <w:p>
      <w:pPr>
        <w:pStyle w:val="TextBody"/>
        <w:rPr/>
      </w:pPr>
      <w:r>
        <w:rPr/>
        <w:t>        </w:t>
      </w:r>
      <w:r>
        <w:rPr>
          <w:sz w:val="20"/>
        </w:rPr>
        <w:t xml:space="preserve">We will issue debt securities of a series only in registered form, without coupons, unless otherwise indicated in the prospectus supplement. </w:t>
      </w:r>
    </w:p>
    <w:p>
      <w:pPr>
        <w:pStyle w:val="TextBody"/>
        <w:rPr>
          <w:b/>
          <w:sz w:val="20"/>
        </w:rPr>
      </w:pPr>
      <w:r>
        <w:rPr>
          <w:b/>
          <w:sz w:val="20"/>
        </w:rPr>
        <w:t xml:space="preserve">Minimum Denominations </w:t>
      </w:r>
    </w:p>
    <w:p>
      <w:pPr>
        <w:pStyle w:val="TextBody"/>
        <w:rPr/>
      </w:pPr>
      <w:r>
        <w:rPr/>
        <w:t>        </w:t>
      </w:r>
      <w:r>
        <w:rPr>
          <w:sz w:val="20"/>
        </w:rPr>
        <w:t xml:space="preserve">Unless the prospectus supplement states otherwise, the debt securities will be issued only in principal amounts of $1,000 each or integral multiples of $1,000. </w:t>
      </w:r>
    </w:p>
    <w:p>
      <w:pPr>
        <w:pStyle w:val="TextBody"/>
        <w:rPr>
          <w:b/>
          <w:sz w:val="20"/>
        </w:rPr>
      </w:pPr>
      <w:r>
        <w:rPr>
          <w:b/>
          <w:sz w:val="20"/>
        </w:rPr>
        <w:t xml:space="preserve">No Personal Liability </w:t>
      </w:r>
    </w:p>
    <w:p>
      <w:pPr>
        <w:pStyle w:val="TextBody"/>
        <w:rPr/>
      </w:pPr>
      <w:r>
        <w:rPr/>
        <w:t>        </w:t>
      </w:r>
      <w:r>
        <w:rPr>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rPr>
          <w:b/>
          <w:sz w:val="20"/>
        </w:rPr>
      </w:pPr>
      <w:r>
        <w:rPr>
          <w:b/>
          <w:sz w:val="20"/>
        </w:rPr>
        <w:t xml:space="preserve">Payment and Transfer </w:t>
      </w:r>
    </w:p>
    <w:p>
      <w:pPr>
        <w:pStyle w:val="TextBody"/>
        <w:rPr/>
      </w:pPr>
      <w:r>
        <w:rPr/>
        <w:t>        </w:t>
      </w:r>
      <w:r>
        <w:rPr>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rPr/>
      </w:pPr>
      <w:r>
        <w:rPr/>
        <w:t>        </w:t>
      </w:r>
      <w:r>
        <w:rPr>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jc w:val="center"/>
        <w:rPr>
          <w:sz w:val="20"/>
        </w:rPr>
      </w:pPr>
      <w:r>
        <w:rPr>
          <w:sz w:val="20"/>
        </w:rPr>
        <w:t>19</w:t>
      </w:r>
    </w:p>
    <w:p>
      <w:pPr>
        <w:pStyle w:val="HorizontalLine"/>
        <w:pBdr>
          <w:bottom w:val="single" w:sz="20" w:space="0" w:color="808080"/>
        </w:pBdr>
        <w:rPr/>
      </w:pPr>
      <w:r>
        <w:rPr/>
      </w:r>
      <w:r>
        <w:br w:type="page"/>
      </w:r>
    </w:p>
    <w:p>
      <w:pPr>
        <w:pStyle w:val="TextBody"/>
        <w:rPr/>
      </w:pPr>
      <w:r>
        <w:rPr/>
      </w:r>
      <w:bookmarkStart w:id="85" w:name="page_dg1403_1_20"/>
      <w:bookmarkStart w:id="86" w:name="page_dg1403_1_20"/>
      <w:bookmarkEnd w:id="86"/>
    </w:p>
    <w:p>
      <w:pPr>
        <w:pStyle w:val="TextBody"/>
        <w:rPr/>
      </w:pPr>
      <w:r>
        <w:rPr/>
        <w:t>        </w:t>
      </w:r>
      <w:r>
        <w:rPr>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rPr>
          <w:b/>
          <w:sz w:val="20"/>
        </w:rPr>
      </w:pPr>
      <w:r>
        <w:rPr>
          <w:b/>
          <w:sz w:val="20"/>
        </w:rPr>
        <w:t xml:space="preserve">Exchange, Registration and Transfer </w:t>
      </w:r>
    </w:p>
    <w:p>
      <w:pPr>
        <w:pStyle w:val="TextBody"/>
        <w:rPr/>
      </w:pPr>
      <w:r>
        <w:rPr/>
        <w:t>        </w:t>
      </w:r>
      <w:r>
        <w:rPr>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rPr/>
      </w:pPr>
      <w:r>
        <w:rPr/>
        <w:t>        </w:t>
      </w:r>
      <w:r>
        <w:rPr>
          <w:sz w:val="20"/>
        </w:rPr>
        <w:t xml:space="preserve">We will not be required: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register the transfer of or exchange any debt security called for redemption or repurchase, except the unredeemed portion of any debt security we are redeeming or repurchasing in part. </w:t>
      </w:r>
    </w:p>
    <w:p>
      <w:pPr>
        <w:pStyle w:val="TextBody"/>
        <w:rPr>
          <w:b/>
          <w:sz w:val="20"/>
        </w:rPr>
      </w:pPr>
      <w:r>
        <w:rPr>
          <w:b/>
          <w:sz w:val="20"/>
        </w:rPr>
        <w:t xml:space="preserve">Provisions Relating only to the Senior Debt Securities </w:t>
      </w:r>
    </w:p>
    <w:p>
      <w:pPr>
        <w:pStyle w:val="TextBody"/>
        <w:rPr/>
      </w:pPr>
      <w:r>
        <w:rPr/>
        <w:t>        </w:t>
      </w:r>
      <w:r>
        <w:rPr>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rPr>
          <w:b/>
          <w:sz w:val="20"/>
        </w:rPr>
      </w:pPr>
      <w:r>
        <w:rPr>
          <w:b/>
          <w:sz w:val="20"/>
        </w:rPr>
        <w:t xml:space="preserve">Provisions Relating only to the Subordinated Debt Securities </w:t>
      </w:r>
    </w:p>
    <w:p>
      <w:pPr>
        <w:pStyle w:val="TextBody"/>
        <w:numPr>
          <w:ilvl w:val="0"/>
          <w:numId w:val="0"/>
        </w:numPr>
        <w:ind w:left="707" w:hanging="0"/>
        <w:rPr>
          <w:i/>
          <w:sz w:val="20"/>
        </w:rPr>
      </w:pPr>
      <w:r>
        <w:rPr>
          <w:i/>
          <w:sz w:val="20"/>
        </w:rPr>
        <w:t xml:space="preserve">Subordinated Debt Securities Subordinated to Senior Indebtedness </w:t>
      </w:r>
    </w:p>
    <w:p>
      <w:pPr>
        <w:pStyle w:val="TextBody"/>
        <w:rPr/>
      </w:pPr>
      <w:r>
        <w:rPr/>
        <w:t>        </w:t>
      </w:r>
      <w:r>
        <w:rPr>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numPr>
          <w:ilvl w:val="0"/>
          <w:numId w:val="0"/>
        </w:numPr>
        <w:ind w:left="707" w:hanging="0"/>
        <w:rPr>
          <w:i/>
          <w:sz w:val="20"/>
        </w:rPr>
      </w:pPr>
      <w:r>
        <w:rPr>
          <w:i/>
          <w:sz w:val="20"/>
        </w:rPr>
        <w:t xml:space="preserve">Payment Blockages </w:t>
      </w:r>
    </w:p>
    <w:p>
      <w:pPr>
        <w:pStyle w:val="TextBody"/>
        <w:rPr/>
      </w:pPr>
      <w:r>
        <w:rPr/>
        <w:t>        </w:t>
      </w:r>
      <w:r>
        <w:rPr>
          <w:sz w:val="20"/>
        </w:rPr>
        <w:t xml:space="preserve">The subordinated indenture will provide that no payment of principal, interest and any premium on the subordinated debt securities may be made in the event: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or our property is involved in any voluntary or involuntary liquidation or bankruptcy;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p>
      <w:pPr>
        <w:pStyle w:val="TextBody"/>
        <w:jc w:val="center"/>
        <w:rPr>
          <w:sz w:val="20"/>
        </w:rPr>
      </w:pPr>
      <w:r>
        <w:rPr>
          <w:sz w:val="20"/>
        </w:rPr>
        <w:t>20</w:t>
      </w:r>
    </w:p>
    <w:p>
      <w:pPr>
        <w:pStyle w:val="HorizontalLine"/>
        <w:pBdr>
          <w:bottom w:val="single" w:sz="20" w:space="0" w:color="808080"/>
        </w:pBdr>
        <w:rPr/>
      </w:pPr>
      <w:r>
        <w:rPr/>
      </w:r>
      <w:r>
        <w:br w:type="page"/>
      </w:r>
    </w:p>
    <w:p>
      <w:pPr>
        <w:pStyle w:val="TextBody"/>
        <w:numPr>
          <w:ilvl w:val="0"/>
          <w:numId w:val="0"/>
        </w:numPr>
        <w:ind w:left="707" w:hanging="0"/>
        <w:rPr>
          <w:i/>
          <w:sz w:val="20"/>
        </w:rPr>
      </w:pPr>
      <w:bookmarkStart w:id="87" w:name="page_dg1403_1_21"/>
      <w:bookmarkEnd w:id="87"/>
      <w:r>
        <w:rPr>
          <w:i/>
          <w:sz w:val="20"/>
        </w:rPr>
        <w:t xml:space="preserve">No Limitation on Amount of Senior Debt </w:t>
      </w:r>
    </w:p>
    <w:p>
      <w:pPr>
        <w:pStyle w:val="TextBody"/>
        <w:rPr/>
      </w:pPr>
      <w:r>
        <w:rPr/>
        <w:t>        </w:t>
      </w:r>
      <w:r>
        <w:rPr>
          <w:sz w:val="20"/>
        </w:rPr>
        <w:t xml:space="preserve">The subordinated indenture will not limit the amount of Senior Indebtedness that Plains All American Pipeline may incur, unless otherwise indicated in the prospectus supplement. </w:t>
      </w:r>
    </w:p>
    <w:p>
      <w:pPr>
        <w:pStyle w:val="TextBody"/>
        <w:rPr>
          <w:b/>
          <w:sz w:val="20"/>
        </w:rPr>
      </w:pPr>
      <w:r>
        <w:rPr>
          <w:b/>
          <w:sz w:val="20"/>
        </w:rPr>
        <w:t xml:space="preserve">Book Entry, Delivery and Form </w:t>
      </w:r>
    </w:p>
    <w:p>
      <w:pPr>
        <w:pStyle w:val="TextBody"/>
        <w:rPr/>
      </w:pPr>
      <w:r>
        <w:rPr/>
        <w:t>        </w:t>
      </w:r>
      <w:r>
        <w:rPr>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rPr/>
      </w:pPr>
      <w:r>
        <w:rPr/>
        <w:t>        </w:t>
      </w:r>
      <w:r>
        <w:rPr>
          <w:sz w:val="20"/>
        </w:rPr>
        <w:t xml:space="preserve">Beneficial interests in global debt securities will be shown on, and transfers of global debt securities will be made only through, records maintained by DTC and its participants. </w:t>
      </w:r>
    </w:p>
    <w:p>
      <w:pPr>
        <w:pStyle w:val="TextBody"/>
        <w:rPr/>
      </w:pPr>
      <w:r>
        <w:rPr/>
        <w:t>        </w:t>
      </w:r>
      <w:r>
        <w:rPr>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rPr/>
      </w:pPr>
      <w:r>
        <w:rPr/>
        <w:t>        </w:t>
      </w:r>
      <w:r>
        <w:rPr>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rPr/>
      </w:pPr>
      <w:r>
        <w:rPr/>
        <w:t>        </w:t>
      </w:r>
      <w:r>
        <w:rPr>
          <w:sz w:val="20"/>
        </w:rPr>
        <w:t xml:space="preserve">DTC is owned by a number of its Direct Participants and by the New York Stock Exchange, Inc., The American Stock Exchange, Inc. and the National Association of Securities Dealers, Inc. </w:t>
      </w:r>
    </w:p>
    <w:p>
      <w:pPr>
        <w:pStyle w:val="TextBody"/>
        <w:rPr/>
      </w:pPr>
      <w:r>
        <w:rPr/>
        <w:t>        </w:t>
      </w:r>
      <w:r>
        <w:rPr>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rPr/>
      </w:pPr>
      <w:r>
        <w:rPr/>
        <w:t>        </w:t>
      </w:r>
      <w:r>
        <w:rPr>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jc w:val="center"/>
        <w:rPr>
          <w:sz w:val="20"/>
        </w:rPr>
      </w:pPr>
      <w:r>
        <w:rPr>
          <w:sz w:val="20"/>
        </w:rPr>
        <w:t>21</w:t>
      </w:r>
    </w:p>
    <w:p>
      <w:pPr>
        <w:pStyle w:val="HorizontalLine"/>
        <w:pBdr>
          <w:bottom w:val="single" w:sz="20" w:space="0" w:color="808080"/>
        </w:pBdr>
        <w:rPr/>
      </w:pPr>
      <w:r>
        <w:rPr/>
      </w:r>
      <w:r>
        <w:br w:type="page"/>
      </w:r>
    </w:p>
    <w:p>
      <w:pPr>
        <w:pStyle w:val="TextBody"/>
        <w:rPr/>
      </w:pPr>
      <w:r>
        <w:rPr/>
      </w:r>
      <w:bookmarkStart w:id="88" w:name="page_dg1403_1_22"/>
      <w:bookmarkStart w:id="89" w:name="page_dg1403_1_22"/>
      <w:bookmarkEnd w:id="89"/>
    </w:p>
    <w:p>
      <w:pPr>
        <w:pStyle w:val="TextBody"/>
        <w:rPr/>
      </w:pPr>
      <w:r>
        <w:rPr/>
        <w:t>        </w:t>
      </w:r>
      <w:r>
        <w:rPr>
          <w:sz w:val="20"/>
        </w:rPr>
        <w:t xml:space="preserve">Debt securities represented by a global debt security will be exchangeable for certificated debt securities with the same terms in authorized denominations only if: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DTC notifies us that it is unwilling or unable to continue as depositary or if DTC ceases to be a clearing agency registered under applicable law and in either event a successor depositary is not appointed by us within 90 days;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determine not to require all of the debt securities of a series to be represented by a global debt security. </w:t>
      </w:r>
    </w:p>
    <w:p>
      <w:pPr>
        <w:pStyle w:val="TextBody"/>
        <w:rPr>
          <w:b/>
          <w:sz w:val="20"/>
        </w:rPr>
      </w:pPr>
      <w:r>
        <w:rPr>
          <w:b/>
          <w:sz w:val="20"/>
        </w:rPr>
        <w:t xml:space="preserve">Satisfaction and Discharge; Defeasance </w:t>
      </w:r>
    </w:p>
    <w:p>
      <w:pPr>
        <w:pStyle w:val="TextBody"/>
        <w:rPr/>
      </w:pPr>
      <w:r>
        <w:rPr/>
        <w:t>        </w:t>
      </w:r>
      <w:r>
        <w:rPr>
          <w:sz w:val="20"/>
        </w:rPr>
        <w:t xml:space="preserve">Each indenture will be discharged and will cease to be of further effect as to all outstanding debt securities of any series issued thereunder, when: </w:t>
      </w:r>
    </w:p>
    <w:p>
      <w:pPr>
        <w:pStyle w:val="TextBody"/>
        <w:numPr>
          <w:ilvl w:val="0"/>
          <w:numId w:val="0"/>
        </w:numPr>
        <w:ind w:left="707" w:hanging="0"/>
        <w:rPr/>
      </w:pPr>
      <w:r>
        <w:rPr/>
        <w:t>        </w:t>
      </w:r>
      <w:r>
        <w:rPr>
          <w:sz w:val="20"/>
        </w:rPr>
        <w:t xml:space="preserve">(a)   either: </w:t>
      </w:r>
    </w:p>
    <w:p>
      <w:pPr>
        <w:pStyle w:val="TextBody"/>
        <w:numPr>
          <w:ilvl w:val="0"/>
          <w:numId w:val="0"/>
        </w:numPr>
        <w:ind w:left="1414" w:hanging="0"/>
        <w:rPr/>
      </w:pPr>
      <w:r>
        <w:rPr/>
        <w:t>        </w:t>
      </w:r>
      <w:r>
        <w:rPr>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numPr>
          <w:ilvl w:val="0"/>
          <w:numId w:val="0"/>
        </w:numPr>
        <w:ind w:left="1414" w:hanging="0"/>
        <w:rPr/>
      </w:pPr>
      <w:r>
        <w:rPr/>
        <w:t>        </w:t>
      </w:r>
      <w:r>
        <w:rPr>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numPr>
          <w:ilvl w:val="0"/>
          <w:numId w:val="0"/>
        </w:numPr>
        <w:ind w:left="707" w:hanging="0"/>
        <w:rPr/>
      </w:pPr>
      <w:r>
        <w:rPr/>
        <w:t>        </w:t>
      </w:r>
      <w:r>
        <w:rPr>
          <w:sz w:val="20"/>
        </w:rPr>
        <w:t xml:space="preserve">(b)   we have paid or caused to be paid all other sums payable by us under the indenture; and </w:t>
      </w:r>
    </w:p>
    <w:p>
      <w:pPr>
        <w:pStyle w:val="TextBody"/>
        <w:numPr>
          <w:ilvl w:val="0"/>
          <w:numId w:val="0"/>
        </w:numPr>
        <w:ind w:left="707" w:hanging="0"/>
        <w:rPr/>
      </w:pPr>
      <w:r>
        <w:rPr/>
        <w:t>        </w:t>
      </w:r>
      <w:r>
        <w:rPr>
          <w:sz w:val="20"/>
        </w:rPr>
        <w:t xml:space="preserve">(c)   we have delivered an officers' certificate and an opinion of counsel to the Trustee stating that all conditions precedent to satisfaction and discharge have been satisfied. </w:t>
      </w:r>
    </w:p>
    <w:p>
      <w:pPr>
        <w:pStyle w:val="TextBody"/>
        <w:rPr/>
      </w:pPr>
      <w:r>
        <w:rPr/>
        <w:t>        </w:t>
      </w:r>
      <w:r>
        <w:rPr>
          <w:sz w:val="20"/>
        </w:rPr>
        <w:t xml:space="preserve">The debt securities of a particular series will be subject to legal or covenant defeasance to the extent, and upon the terms and conditions, set forth in the prospectus supplement. </w:t>
      </w:r>
    </w:p>
    <w:p>
      <w:pPr>
        <w:pStyle w:val="TextBody"/>
        <w:rPr>
          <w:b/>
          <w:sz w:val="20"/>
        </w:rPr>
      </w:pPr>
      <w:r>
        <w:rPr>
          <w:b/>
          <w:sz w:val="20"/>
        </w:rPr>
        <w:t xml:space="preserve">The Trustee </w:t>
      </w:r>
    </w:p>
    <w:p>
      <w:pPr>
        <w:pStyle w:val="TextBody"/>
        <w:rPr/>
      </w:pPr>
      <w:r>
        <w:rPr/>
        <w:t>        </w:t>
      </w:r>
      <w:r>
        <w:rPr>
          <w:sz w:val="20"/>
        </w:rPr>
        <w:t xml:space="preserve">Wachovia Bank N.A. will be the initial Trustee under each indenture. We maintain a banking relation in the ordinary course of business with Wachovia Bank N.A. and some of its affiliates. </w:t>
      </w:r>
    </w:p>
    <w:p>
      <w:pPr>
        <w:pStyle w:val="TextBody"/>
        <w:numPr>
          <w:ilvl w:val="0"/>
          <w:numId w:val="0"/>
        </w:numPr>
        <w:ind w:left="707" w:hanging="0"/>
        <w:rPr>
          <w:i/>
          <w:sz w:val="20"/>
        </w:rPr>
      </w:pPr>
      <w:r>
        <w:rPr>
          <w:i/>
          <w:sz w:val="20"/>
        </w:rPr>
        <w:t xml:space="preserve">Limitations on Trustee if it is a Creditor </w:t>
      </w:r>
    </w:p>
    <w:p>
      <w:pPr>
        <w:pStyle w:val="TextBody"/>
        <w:rPr/>
      </w:pPr>
      <w:r>
        <w:rPr/>
        <w:t>        </w:t>
      </w:r>
      <w:r>
        <w:rPr>
          <w:sz w:val="20"/>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numPr>
          <w:ilvl w:val="0"/>
          <w:numId w:val="0"/>
        </w:numPr>
        <w:ind w:left="707" w:hanging="0"/>
        <w:rPr>
          <w:i/>
          <w:sz w:val="20"/>
        </w:rPr>
      </w:pPr>
      <w:r>
        <w:rPr>
          <w:i/>
          <w:sz w:val="20"/>
        </w:rPr>
        <w:t xml:space="preserve">Certificates and Opinions to be Furnished to Trustee </w:t>
      </w:r>
    </w:p>
    <w:p>
      <w:pPr>
        <w:pStyle w:val="TextBody"/>
        <w:rPr/>
      </w:pPr>
      <w:r>
        <w:rPr/>
        <w:t>        </w:t>
      </w:r>
      <w:r>
        <w:rPr>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rPr>
          <w:b/>
          <w:sz w:val="20"/>
        </w:rPr>
      </w:pPr>
      <w:r>
        <w:rPr>
          <w:b/>
          <w:sz w:val="20"/>
        </w:rPr>
        <w:t xml:space="preserve">Governing Law </w:t>
      </w:r>
    </w:p>
    <w:p>
      <w:pPr>
        <w:pStyle w:val="TextBody"/>
        <w:rPr/>
      </w:pPr>
      <w:r>
        <w:rPr/>
        <w:t>        </w:t>
      </w:r>
      <w:r>
        <w:rPr>
          <w:sz w:val="20"/>
        </w:rPr>
        <w:t xml:space="preserve">Each indenture and all of the debt securities will be governed by the laws of the State of New York. </w:t>
      </w:r>
    </w:p>
    <w:p>
      <w:pPr>
        <w:pStyle w:val="TextBody"/>
        <w:jc w:val="center"/>
        <w:rPr>
          <w:sz w:val="20"/>
        </w:rPr>
      </w:pPr>
      <w:r>
        <w:rPr>
          <w:sz w:val="20"/>
        </w:rPr>
        <w:t>22</w:t>
      </w:r>
    </w:p>
    <w:p>
      <w:pPr>
        <w:pStyle w:val="HorizontalLine"/>
        <w:pBdr>
          <w:bottom w:val="single" w:sz="20" w:space="0" w:color="808080"/>
        </w:pBdr>
        <w:rPr/>
      </w:pPr>
      <w:r>
        <w:rPr/>
      </w:r>
      <w:r>
        <w:br w:type="page"/>
      </w:r>
    </w:p>
    <w:p>
      <w:pPr>
        <w:pStyle w:val="TextBody"/>
        <w:jc w:val="center"/>
        <w:rPr/>
      </w:pPr>
      <w:bookmarkStart w:id="90" w:name="toc_di1403_1"/>
      <w:bookmarkStart w:id="91" w:name="di1403_description_of_our_common_units"/>
      <w:bookmarkStart w:id="92" w:name="page_di1403_1_23"/>
      <w:bookmarkEnd w:id="90"/>
      <w:bookmarkEnd w:id="91"/>
      <w:bookmarkEnd w:id="92"/>
      <w:r>
        <w:rPr>
          <w:sz w:val="20"/>
        </w:rPr>
        <w:br/>
      </w:r>
      <w:r>
        <w:rPr>
          <w:b/>
          <w:sz w:val="20"/>
        </w:rPr>
        <w:t xml:space="preserve">DESCRIPTION OF OUR COMMON UNITS </w:t>
      </w:r>
    </w:p>
    <w:p>
      <w:pPr>
        <w:pStyle w:val="TextBody"/>
        <w:rPr/>
      </w:pPr>
      <w:r>
        <w:rPr/>
        <w:t>        </w:t>
      </w:r>
      <w:r>
        <w:rPr>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rPr/>
      </w:pPr>
      <w:r>
        <w:rPr/>
        <w:t>        </w:t>
      </w:r>
      <w:r>
        <w:rPr>
          <w:sz w:val="20"/>
        </w:rPr>
        <w:t xml:space="preserve">Our outstanding common units are listed on the NYSE under the symbol "PAA." Any additional common units we issue will also be listed on the NYSE. </w:t>
      </w:r>
    </w:p>
    <w:p>
      <w:pPr>
        <w:pStyle w:val="TextBody"/>
        <w:rPr/>
      </w:pPr>
      <w:r>
        <w:rPr/>
        <w:t>        </w:t>
      </w:r>
      <w:r>
        <w:rPr>
          <w:sz w:val="20"/>
        </w:rPr>
        <w:t xml:space="preserve">The transfer agent and registrar for our common units is American Stock Transfer &amp; Trust Company. </w:t>
      </w:r>
    </w:p>
    <w:p>
      <w:pPr>
        <w:pStyle w:val="TextBody"/>
        <w:rPr>
          <w:b/>
          <w:sz w:val="20"/>
        </w:rPr>
      </w:pPr>
      <w:r>
        <w:rPr>
          <w:b/>
          <w:sz w:val="20"/>
        </w:rPr>
        <w:t xml:space="preserve">Meetings/Voting </w:t>
      </w:r>
    </w:p>
    <w:p>
      <w:pPr>
        <w:pStyle w:val="TextBody"/>
        <w:rPr/>
      </w:pPr>
      <w:r>
        <w:rPr/>
        <w:t>        </w:t>
      </w:r>
      <w:r>
        <w:rPr>
          <w:sz w:val="20"/>
        </w:rPr>
        <w:t xml:space="preserve">Each holder of common units is entitled to one vote for each common unit on all matters submitted to a vote of the unitholders. </w:t>
      </w:r>
    </w:p>
    <w:p>
      <w:pPr>
        <w:pStyle w:val="TextBody"/>
        <w:rPr>
          <w:b/>
          <w:sz w:val="20"/>
        </w:rPr>
      </w:pPr>
      <w:r>
        <w:rPr>
          <w:b/>
          <w:sz w:val="20"/>
        </w:rPr>
        <w:t xml:space="preserve">Status as Limited Partner or Assignee </w:t>
      </w:r>
    </w:p>
    <w:p>
      <w:pPr>
        <w:pStyle w:val="TextBody"/>
        <w:rPr/>
      </w:pPr>
      <w:r>
        <w:rPr/>
        <w:t>        </w:t>
      </w:r>
      <w:r>
        <w:rPr>
          <w:sz w:val="20"/>
        </w:rPr>
        <w:t xml:space="preserve">Except as described below under "Limited Liability," the common units will be fully paid, and unitholders will not be required to make additional capital contributions to us. </w:t>
      </w:r>
    </w:p>
    <w:p>
      <w:pPr>
        <w:pStyle w:val="TextBody"/>
        <w:rPr/>
      </w:pPr>
      <w:r>
        <w:rPr/>
        <w:t>        </w:t>
      </w:r>
      <w:r>
        <w:rPr>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rPr/>
      </w:pPr>
      <w:r>
        <w:rPr/>
        <w:t>        </w:t>
      </w:r>
      <w:r>
        <w:rPr>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rPr>
          <w:b/>
          <w:sz w:val="20"/>
        </w:rPr>
      </w:pPr>
      <w:r>
        <w:rPr>
          <w:b/>
          <w:sz w:val="20"/>
        </w:rPr>
        <w:t xml:space="preserve">Limited Liability </w:t>
      </w:r>
    </w:p>
    <w:p>
      <w:pPr>
        <w:pStyle w:val="TextBody"/>
        <w:rPr/>
      </w:pPr>
      <w:r>
        <w:rPr/>
        <w:t>        </w:t>
      </w:r>
      <w:r>
        <w:rPr>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rPr/>
      </w:pPr>
      <w:r>
        <w:rPr/>
        <w:t>        </w:t>
      </w:r>
      <w:r>
        <w:rPr>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w:t>
      </w:r>
    </w:p>
    <w:p>
      <w:pPr>
        <w:pStyle w:val="TextBody"/>
        <w:jc w:val="center"/>
        <w:rPr>
          <w:sz w:val="20"/>
        </w:rPr>
      </w:pPr>
      <w:r>
        <w:rPr>
          <w:sz w:val="20"/>
        </w:rPr>
        <w:t>23</w:t>
      </w:r>
    </w:p>
    <w:p>
      <w:pPr>
        <w:pStyle w:val="HorizontalLine"/>
        <w:pBdr>
          <w:bottom w:val="single" w:sz="20" w:space="0" w:color="808080"/>
        </w:pBdr>
        <w:rPr/>
      </w:pPr>
      <w:r>
        <w:rPr/>
      </w:r>
      <w:r>
        <w:br w:type="page"/>
      </w:r>
    </w:p>
    <w:p>
      <w:pPr>
        <w:pStyle w:val="TextBody"/>
        <w:rPr/>
      </w:pPr>
      <w:r>
        <w:rPr/>
      </w:r>
      <w:bookmarkStart w:id="93" w:name="page_di1403_1_24"/>
      <w:bookmarkStart w:id="94" w:name="page_di1403_1_24"/>
      <w:bookmarkEnd w:id="94"/>
    </w:p>
    <w:p>
      <w:pPr>
        <w:pStyle w:val="TextBody"/>
        <w:rPr>
          <w:sz w:val="20"/>
        </w:rPr>
      </w:pPr>
      <w:r>
        <w:rPr>
          <w:sz w:val="20"/>
        </w:rPr>
        <w:t xml:space="preserve">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rPr>
          <w:b/>
          <w:sz w:val="20"/>
        </w:rPr>
      </w:pPr>
      <w:r>
        <w:rPr>
          <w:b/>
          <w:sz w:val="20"/>
        </w:rPr>
        <w:t xml:space="preserve">Reports and Records </w:t>
      </w:r>
    </w:p>
    <w:p>
      <w:pPr>
        <w:pStyle w:val="TextBody"/>
        <w:rPr/>
      </w:pPr>
      <w:r>
        <w:rPr/>
        <w:t>        </w:t>
      </w:r>
      <w:r>
        <w:rPr>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rPr/>
      </w:pPr>
      <w:r>
        <w:rPr/>
        <w:t>        </w:t>
      </w:r>
      <w:r>
        <w:rPr>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rPr/>
      </w:pPr>
      <w:r>
        <w:rPr/>
        <w:t>        </w:t>
      </w:r>
      <w:r>
        <w:rPr>
          <w:sz w:val="20"/>
        </w:rPr>
        <w:t xml:space="preserve">A limited partner can, for a purpose reasonably related to the limited partner's interest as a limited partner, upon reasonable demand and at his own expense, have furnished to him: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current list of the name and last known address of each partner;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copy of our tax returns;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information as to the amount of cash and a description and statement of the agreed value of any other property or services, contributed or to be contributed by each partner and the date on which each became a partner;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copies of our partnership agreement, our certificate of limited partnership, amendments to either of them and powers of attorney which have been executed under our partnership agreement;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information regarding the status of our business and financial condition;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information regarding our affairs as is just and reasonable. </w:t>
      </w:r>
    </w:p>
    <w:p>
      <w:pPr>
        <w:pStyle w:val="TextBody"/>
        <w:rPr/>
      </w:pPr>
      <w:r>
        <w:rPr/>
      </w:r>
    </w:p>
    <w:p>
      <w:pPr>
        <w:pStyle w:val="TextBody"/>
        <w:rPr/>
      </w:pPr>
      <w:r>
        <w:rPr/>
        <w:t>        </w:t>
      </w:r>
      <w:r>
        <w:rPr>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jc w:val="center"/>
        <w:rPr>
          <w:sz w:val="20"/>
        </w:rPr>
      </w:pPr>
      <w:r>
        <w:rPr>
          <w:sz w:val="20"/>
        </w:rPr>
        <w:t>24</w:t>
      </w:r>
    </w:p>
    <w:p>
      <w:pPr>
        <w:pStyle w:val="HorizontalLine"/>
        <w:pBdr>
          <w:bottom w:val="single" w:sz="20" w:space="0" w:color="808080"/>
        </w:pBdr>
        <w:rPr/>
      </w:pPr>
      <w:r>
        <w:rPr/>
      </w:r>
      <w:r>
        <w:br w:type="page"/>
      </w:r>
    </w:p>
    <w:p>
      <w:pPr>
        <w:pStyle w:val="TextBody"/>
        <w:jc w:val="center"/>
        <w:rPr/>
      </w:pPr>
      <w:bookmarkStart w:id="95" w:name="toc_di1403_2"/>
      <w:bookmarkStart w:id="96" w:name="di1403_cash_distribution_policy"/>
      <w:bookmarkStart w:id="97" w:name="page_di1403_1_25"/>
      <w:bookmarkEnd w:id="95"/>
      <w:bookmarkEnd w:id="96"/>
      <w:bookmarkEnd w:id="97"/>
      <w:r>
        <w:rPr>
          <w:sz w:val="20"/>
        </w:rPr>
        <w:br/>
      </w:r>
      <w:r>
        <w:rPr>
          <w:b/>
          <w:sz w:val="20"/>
        </w:rPr>
        <w:t xml:space="preserve">CASH DISTRIBUTION POLICY </w:t>
      </w:r>
    </w:p>
    <w:p>
      <w:pPr>
        <w:pStyle w:val="TextBody"/>
        <w:rPr>
          <w:b/>
          <w:sz w:val="20"/>
        </w:rPr>
      </w:pPr>
      <w:r>
        <w:rPr>
          <w:b/>
          <w:sz w:val="20"/>
        </w:rPr>
        <w:t xml:space="preserve">Distributions of Available Cash </w:t>
      </w:r>
    </w:p>
    <w:p>
      <w:pPr>
        <w:pStyle w:val="TextBody"/>
        <w:rPr/>
      </w:pPr>
      <w:r>
        <w:rPr/>
        <w:t>        </w:t>
      </w:r>
      <w:r>
        <w:rPr>
          <w:i/>
          <w:sz w:val="20"/>
        </w:rPr>
        <w:t>General.</w:t>
      </w:r>
      <w:r>
        <w:rPr/>
        <w:t>    </w:t>
      </w:r>
      <w:r>
        <w:rPr>
          <w:sz w:val="20"/>
        </w:rPr>
        <w:t xml:space="preserve">We will distribute to our unitholders, on a quarterly basis, all of our available cash in the manner described below. </w:t>
      </w:r>
    </w:p>
    <w:p>
      <w:pPr>
        <w:pStyle w:val="TextBody"/>
        <w:rPr/>
      </w:pPr>
      <w:r>
        <w:rPr/>
        <w:t>        </w:t>
      </w:r>
      <w:r>
        <w:rPr>
          <w:i/>
          <w:sz w:val="20"/>
        </w:rPr>
        <w:t>Definition of Available Cash.</w:t>
      </w:r>
      <w:r>
        <w:rPr/>
        <w:t>    </w:t>
      </w:r>
      <w:r>
        <w:rPr>
          <w:sz w:val="20"/>
        </w:rPr>
        <w:t xml:space="preserve">Available cash generally means, for any quarter ending prior to liquidation, all cash on hand at the end of that quarter less the amount of cash reserves that are necessary or appropriate in the reasonable discretion of the general partner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provide for the proper conduct of our business;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comply with applicable law or any partnership debt instrument or other agreement;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provide funds for distributions to unitholders and the general partner in respect of any one or more of the next four quarters. </w:t>
      </w:r>
    </w:p>
    <w:p>
      <w:pPr>
        <w:pStyle w:val="TextBody"/>
        <w:rPr>
          <w:b/>
          <w:sz w:val="20"/>
        </w:rPr>
      </w:pPr>
      <w:r>
        <w:rPr>
          <w:b/>
          <w:sz w:val="20"/>
        </w:rPr>
        <w:t xml:space="preserve">Operating Surplus and Capital Surplus </w:t>
      </w:r>
    </w:p>
    <w:p>
      <w:pPr>
        <w:pStyle w:val="TextBody"/>
        <w:rPr/>
      </w:pPr>
      <w:r>
        <w:rPr/>
        <w:t>        </w:t>
      </w:r>
      <w:r>
        <w:rPr>
          <w:i/>
          <w:sz w:val="20"/>
        </w:rPr>
        <w:t>General.</w:t>
      </w:r>
      <w:r>
        <w:rPr/>
        <w:t>    </w:t>
      </w:r>
      <w:r>
        <w:rPr>
          <w:sz w:val="20"/>
        </w:rPr>
        <w:t xml:space="preserve">Cash distributions to our unitholders will be characterized as either operating surplus or capital surplus. We distribute available cash from operating surplus differently than available cash from capital surplus. See "Quarterly Distributions of Available Cash." </w:t>
      </w:r>
    </w:p>
    <w:p>
      <w:pPr>
        <w:pStyle w:val="TextBody"/>
        <w:rPr/>
      </w:pPr>
      <w:r>
        <w:rPr/>
        <w:t>        </w:t>
      </w:r>
      <w:r>
        <w:rPr>
          <w:i/>
          <w:sz w:val="20"/>
        </w:rPr>
        <w:t>Definition of Operating Surplus.</w:t>
      </w:r>
      <w:r>
        <w:rPr/>
        <w:t>    </w:t>
      </w:r>
      <w:r>
        <w:rPr>
          <w:sz w:val="20"/>
        </w:rPr>
        <w:t xml:space="preserve">Operating surplus refers generally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cash balances on the closing date of our initial public offering; plus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$25 million; plus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our cash receipts from operations, excluding cash that is capital surplus; less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p>
      <w:pPr>
        <w:pStyle w:val="TextBody"/>
        <w:rPr/>
      </w:pPr>
      <w:r>
        <w:rPr/>
        <w:t>        </w:t>
      </w:r>
      <w:r>
        <w:rPr>
          <w:i/>
          <w:sz w:val="20"/>
        </w:rPr>
        <w:t>Definition of Capital Surplus.</w:t>
      </w:r>
      <w:r>
        <w:rPr/>
        <w:t>    </w:t>
      </w:r>
      <w:r>
        <w:rPr>
          <w:sz w:val="20"/>
        </w:rPr>
        <w:t xml:space="preserve">Capital surplus will generally be generated only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borrowings other than working capital borrowings;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sales of debt and equity securities;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sales or other dispositions of assets for cash, other than inventory, accounts receivable and other assets in the ordinary course of business. </w:t>
      </w:r>
    </w:p>
    <w:p>
      <w:pPr>
        <w:pStyle w:val="TextBody"/>
        <w:rPr/>
      </w:pPr>
      <w:r>
        <w:rPr/>
        <w:t>        </w:t>
      </w:r>
      <w:r>
        <w:rPr>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rPr/>
      </w:pPr>
      <w:r>
        <w:rPr/>
        <w:t>        </w:t>
      </w:r>
      <w:r>
        <w:rPr>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rPr>
          <w:b/>
          <w:sz w:val="20"/>
        </w:rPr>
      </w:pPr>
      <w:r>
        <w:rPr>
          <w:b/>
          <w:sz w:val="20"/>
        </w:rPr>
        <w:t xml:space="preserve">Incentive Distribution Rights </w:t>
      </w:r>
    </w:p>
    <w:p>
      <w:pPr>
        <w:pStyle w:val="TextBody"/>
        <w:rPr/>
      </w:pPr>
      <w:r>
        <w:rPr/>
        <w:t>        </w:t>
      </w:r>
      <w:r>
        <w:rPr>
          <w:sz w:val="20"/>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w:t>
      </w:r>
    </w:p>
    <w:p>
      <w:pPr>
        <w:pStyle w:val="TextBody"/>
        <w:jc w:val="center"/>
        <w:rPr>
          <w:sz w:val="20"/>
        </w:rPr>
      </w:pPr>
      <w:r>
        <w:rPr>
          <w:sz w:val="20"/>
        </w:rPr>
        <w:t>25</w:t>
      </w:r>
    </w:p>
    <w:p>
      <w:pPr>
        <w:pStyle w:val="HorizontalLine"/>
        <w:pBdr>
          <w:bottom w:val="single" w:sz="20" w:space="0" w:color="808080"/>
        </w:pBdr>
        <w:rPr/>
      </w:pPr>
      <w:r>
        <w:rPr/>
      </w:r>
      <w:r>
        <w:br w:type="page"/>
      </w:r>
    </w:p>
    <w:p>
      <w:pPr>
        <w:pStyle w:val="TextBody"/>
        <w:rPr/>
      </w:pPr>
      <w:r>
        <w:rPr/>
      </w:r>
      <w:bookmarkStart w:id="98" w:name="page_di1403_1_26"/>
      <w:bookmarkStart w:id="99" w:name="page_di1403_1_26"/>
      <w:bookmarkEnd w:id="99"/>
    </w:p>
    <w:p>
      <w:pPr>
        <w:pStyle w:val="TextBody"/>
        <w:rPr>
          <w:sz w:val="20"/>
        </w:rPr>
      </w:pPr>
      <w:r>
        <w:rPr>
          <w:sz w:val="20"/>
        </w:rPr>
        <w:t xml:space="preserve">amounts of available cash from operating surplus distributed above the payments made under the minimum quarterly distribution, if any, and the related 2% distribution to the general partner. </w:t>
      </w:r>
    </w:p>
    <w:p>
      <w:pPr>
        <w:pStyle w:val="TextBody"/>
        <w:rPr>
          <w:b/>
          <w:sz w:val="20"/>
        </w:rPr>
      </w:pPr>
      <w:r>
        <w:rPr>
          <w:b/>
          <w:sz w:val="20"/>
        </w:rPr>
        <w:t xml:space="preserve">Effect of Issuance of Additional Units </w:t>
      </w:r>
    </w:p>
    <w:p>
      <w:pPr>
        <w:pStyle w:val="TextBody"/>
        <w:rPr/>
      </w:pPr>
      <w:r>
        <w:rPr/>
        <w:t>        </w:t>
      </w:r>
      <w:r>
        <w:rPr>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rPr/>
      </w:pPr>
      <w:r>
        <w:rPr/>
        <w:t>        </w:t>
      </w:r>
      <w:r>
        <w:rPr>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rPr>
          <w:b/>
          <w:sz w:val="20"/>
        </w:rPr>
      </w:pPr>
      <w:r>
        <w:rPr>
          <w:b/>
          <w:sz w:val="20"/>
        </w:rPr>
        <w:t xml:space="preserve">Quarterly Distributions of Available Cash </w:t>
      </w:r>
    </w:p>
    <w:p>
      <w:pPr>
        <w:pStyle w:val="TextBody"/>
        <w:rPr/>
      </w:pPr>
      <w:r>
        <w:rPr/>
        <w:t>        </w:t>
      </w:r>
      <w:r>
        <w:rPr>
          <w:sz w:val="20"/>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 </w:t>
      </w:r>
    </w:p>
    <w:p>
      <w:pPr>
        <w:pStyle w:val="TextBody"/>
        <w:rPr>
          <w:b/>
          <w:sz w:val="20"/>
        </w:rPr>
      </w:pPr>
      <w:r>
        <w:rPr>
          <w:b/>
          <w:sz w:val="20"/>
        </w:rPr>
        <w:t xml:space="preserve">Distributions From Operating Surplus </w:t>
      </w:r>
    </w:p>
    <w:p>
      <w:pPr>
        <w:pStyle w:val="TextBody"/>
        <w:rPr/>
      </w:pPr>
      <w:r>
        <w:rPr/>
        <w:t>        </w:t>
      </w:r>
      <w:r>
        <w:rPr>
          <w:sz w:val="20"/>
        </w:rPr>
        <w:t xml:space="preserve">We will make distributions of available cash from operating surplus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all unitholders, pro rata, and 2% to the general partner, until we distribute for each unit an amount equal to the minimum quarterly distribution for that quarter;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in the manner described in "Incentive Distributions" below. </w:t>
      </w:r>
    </w:p>
    <w:p>
      <w:pPr>
        <w:pStyle w:val="TextBody"/>
        <w:rPr>
          <w:b/>
          <w:sz w:val="20"/>
        </w:rPr>
      </w:pPr>
      <w:r>
        <w:rPr>
          <w:b/>
          <w:sz w:val="20"/>
        </w:rPr>
        <w:t xml:space="preserve">Incentive Distribution Rights </w:t>
      </w:r>
    </w:p>
    <w:p>
      <w:pPr>
        <w:pStyle w:val="TextBody"/>
        <w:rPr/>
      </w:pPr>
      <w:r>
        <w:rPr/>
        <w:t>        </w:t>
      </w:r>
      <w:r>
        <w:rPr>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85% to all unitholders, pro rata, and 15% to the general partner, until each unitholder receives a total of $0.495 for that quarter for each outstanding unit (the "first target distribution");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Second, 75% to all unitholders, pro rata, and 25% to the general partner, until each unitholder receives a total of $0.675 for that quarter for each outstanding unit (the "second target distribution");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50% to all unitholders, pro rata, and 50% to the general partner. </w:t>
      </w:r>
    </w:p>
    <w:p>
      <w:pPr>
        <w:pStyle w:val="TextBody"/>
        <w:rPr/>
      </w:pPr>
      <w:r>
        <w:rPr/>
        <w:t>        </w:t>
      </w:r>
      <w:r>
        <w:rPr>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jc w:val="center"/>
        <w:rPr>
          <w:sz w:val="20"/>
        </w:rPr>
      </w:pPr>
      <w:r>
        <w:rPr>
          <w:sz w:val="20"/>
        </w:rPr>
        <w:t>26</w:t>
      </w:r>
    </w:p>
    <w:p>
      <w:pPr>
        <w:pStyle w:val="HorizontalLine"/>
        <w:pBdr>
          <w:bottom w:val="single" w:sz="20" w:space="0" w:color="808080"/>
        </w:pBdr>
        <w:rPr/>
      </w:pPr>
      <w:r>
        <w:rPr/>
      </w:r>
      <w:r>
        <w:br w:type="page"/>
      </w:r>
    </w:p>
    <w:p>
      <w:pPr>
        <w:pStyle w:val="TextBody"/>
        <w:rPr/>
      </w:pPr>
      <w:r>
        <w:rPr/>
      </w:r>
      <w:bookmarkStart w:id="100" w:name="page_di1403_1_27"/>
      <w:bookmarkStart w:id="101" w:name="page_di1403_1_27"/>
      <w:bookmarkEnd w:id="101"/>
    </w:p>
    <w:p>
      <w:pPr>
        <w:pStyle w:val="TextBody"/>
        <w:rPr>
          <w:b/>
          <w:sz w:val="20"/>
        </w:rPr>
      </w:pPr>
      <w:r>
        <w:rPr>
          <w:b/>
          <w:sz w:val="20"/>
        </w:rPr>
        <w:t xml:space="preserve">Distributions from Capital Surplus </w:t>
      </w:r>
    </w:p>
    <w:p>
      <w:pPr>
        <w:pStyle w:val="TextBody"/>
        <w:rPr/>
      </w:pPr>
      <w:r>
        <w:rPr/>
        <w:t>        </w:t>
      </w:r>
      <w:r>
        <w:rPr>
          <w:i/>
          <w:sz w:val="20"/>
        </w:rPr>
        <w:t>How Distributions from Capital Surplus Will Be Made.</w:t>
      </w:r>
      <w:r>
        <w:rPr/>
        <w:t>    </w:t>
      </w:r>
      <w:r>
        <w:rPr>
          <w:sz w:val="20"/>
        </w:rPr>
        <w:t xml:space="preserve">We will make distributions of available cash from capital surplus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we will make all distributions of available cash from capital surplus as if they were from operating surplus. </w:t>
      </w:r>
    </w:p>
    <w:p>
      <w:pPr>
        <w:pStyle w:val="TextBody"/>
        <w:rPr/>
      </w:pPr>
      <w:r>
        <w:rPr/>
        <w:t>        </w:t>
      </w:r>
      <w:r>
        <w:rPr>
          <w:i/>
          <w:sz w:val="20"/>
        </w:rPr>
        <w:t>Effect of a Distribution from Capital Surplus.</w:t>
      </w:r>
      <w:r>
        <w:rPr/>
        <w:t>    </w:t>
      </w:r>
      <w:r>
        <w:rPr>
          <w:sz w:val="20"/>
        </w:rPr>
        <w:t xml:space="preserve">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rPr/>
      </w:pPr>
      <w:r>
        <w:rPr/>
        <w:t>        </w:t>
      </w:r>
      <w:r>
        <w:rPr>
          <w:i/>
          <w:sz w:val="20"/>
        </w:rPr>
        <w:t>When Payback Occurs.</w:t>
      </w:r>
      <w:r>
        <w:rPr/>
        <w:t>    </w:t>
      </w:r>
      <w:r>
        <w:rPr>
          <w:sz w:val="20"/>
        </w:rPr>
        <w:t xml:space="preserve">When "payback" of the reduced initial unit price has occurred, i.e., when the unrecovered capital of the common units is zero, then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minimum quarterly distribution and the target distribution levels will be reduced to zero for subsequent quarters;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distributions of available cash will be treated as operating surplus;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will be entitled to receive 50% of distributions of available cash in its capacities as general partner and as holder of the incentive distribution rights. </w:t>
      </w:r>
    </w:p>
    <w:p>
      <w:pPr>
        <w:pStyle w:val="TextBody"/>
        <w:rPr/>
      </w:pPr>
      <w:r>
        <w:rPr/>
        <w:t>        </w:t>
      </w:r>
      <w:r>
        <w:rPr>
          <w:sz w:val="20"/>
        </w:rPr>
        <w:t xml:space="preserve">Distributions of available cash from capital surplus will not reduce the minimum quarterly distribution or target distribution levels for the quarter in which they are distributed. </w:t>
      </w:r>
    </w:p>
    <w:p>
      <w:pPr>
        <w:pStyle w:val="TextBody"/>
        <w:rPr>
          <w:b/>
          <w:sz w:val="20"/>
        </w:rPr>
      </w:pPr>
      <w:r>
        <w:rPr>
          <w:b/>
          <w:sz w:val="20"/>
        </w:rPr>
        <w:t xml:space="preserve">Adjustment to the Minimum Quarterly Distribution and Target Distribution Levels </w:t>
      </w:r>
    </w:p>
    <w:p>
      <w:pPr>
        <w:pStyle w:val="TextBody"/>
        <w:rPr/>
      </w:pPr>
      <w:r>
        <w:rPr/>
        <w:t>        </w:t>
      </w:r>
      <w:r>
        <w:rPr>
          <w:i/>
          <w:sz w:val="20"/>
        </w:rPr>
        <w:t>How We Adjust the Minimum Quarterly Distribution and Target Distribution Levels.</w:t>
      </w:r>
      <w:r>
        <w:rPr/>
        <w:t>    </w:t>
      </w:r>
      <w:r>
        <w:rPr>
          <w:sz w:val="20"/>
        </w:rPr>
        <w:t xml:space="preserve">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minimum quarterly distribution;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target distribution levels;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unrecovered capital;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other amounts calculated on a per unit basis. </w:t>
      </w:r>
    </w:p>
    <w:p>
      <w:pPr>
        <w:pStyle w:val="TextBody"/>
        <w:rPr/>
      </w:pPr>
      <w:r>
        <w:rPr/>
        <w:t>        </w:t>
      </w:r>
      <w:r>
        <w:rPr>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rPr/>
      </w:pPr>
      <w:r>
        <w:rPr/>
        <w:t>        </w:t>
      </w:r>
      <w:r>
        <w:rPr>
          <w:i/>
          <w:sz w:val="20"/>
        </w:rPr>
        <w:t>If We Became Subject to Taxation.</w:t>
      </w:r>
      <w:r>
        <w:rPr/>
        <w:t>    </w:t>
      </w:r>
      <w:r>
        <w:rPr>
          <w:sz w:val="20"/>
        </w:rPr>
        <w:t xml:space="preserve">If legislation is enacted or if existing law is modified or interpreted by the relevant governmental authority so that we become taxable as a corporation or otherwise subject to taxation as an entity for federal, state or local income tax purposes, we will adjust </w:t>
      </w:r>
    </w:p>
    <w:p>
      <w:pPr>
        <w:pStyle w:val="TextBody"/>
        <w:jc w:val="center"/>
        <w:rPr>
          <w:sz w:val="20"/>
        </w:rPr>
      </w:pPr>
      <w:r>
        <w:rPr>
          <w:sz w:val="20"/>
        </w:rPr>
        <w:t>27</w:t>
      </w:r>
    </w:p>
    <w:p>
      <w:pPr>
        <w:pStyle w:val="HorizontalLine"/>
        <w:pBdr>
          <w:bottom w:val="single" w:sz="20" w:space="0" w:color="808080"/>
        </w:pBdr>
        <w:rPr/>
      </w:pPr>
      <w:r>
        <w:rPr/>
      </w:r>
      <w:r>
        <w:br w:type="page"/>
      </w:r>
    </w:p>
    <w:p>
      <w:pPr>
        <w:pStyle w:val="TextBody"/>
        <w:rPr/>
      </w:pPr>
      <w:r>
        <w:rPr/>
      </w:r>
      <w:bookmarkStart w:id="102" w:name="page_di1403_1_28"/>
      <w:bookmarkStart w:id="103" w:name="page_di1403_1_28"/>
      <w:bookmarkEnd w:id="103"/>
    </w:p>
    <w:p>
      <w:pPr>
        <w:pStyle w:val="TextBody"/>
        <w:rPr>
          <w:sz w:val="20"/>
        </w:rPr>
      </w:pPr>
      <w:r>
        <w:rPr>
          <w:sz w:val="20"/>
        </w:rPr>
        <w:t xml:space="preserve">the minimum quarterly distribution and each of the target distribution levels, respectively, to equal the product obtained by multiplying the amount thereof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p>
      <w:pPr>
        <w:pStyle w:val="TextBody"/>
        <w:rPr/>
      </w:pPr>
      <w:r>
        <w:rPr/>
      </w:r>
    </w:p>
    <w:p>
      <w:pPr>
        <w:pStyle w:val="TextBody"/>
        <w:rPr/>
      </w:pPr>
      <w:r>
        <w:rPr/>
        <w:t>        </w:t>
      </w:r>
      <w:r>
        <w:rPr>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rPr>
          <w:b/>
          <w:sz w:val="20"/>
        </w:rPr>
      </w:pPr>
      <w:r>
        <w:rPr>
          <w:b/>
          <w:sz w:val="20"/>
        </w:rPr>
        <w:t xml:space="preserve">Distribution of Cash Upon Liquidation </w:t>
      </w:r>
    </w:p>
    <w:p>
      <w:pPr>
        <w:pStyle w:val="TextBody"/>
        <w:rPr/>
      </w:pPr>
      <w:r>
        <w:rPr/>
        <w:t>        </w:t>
      </w:r>
      <w:r>
        <w:rPr>
          <w:i/>
          <w:sz w:val="20"/>
        </w:rPr>
        <w:t>General.</w:t>
      </w:r>
      <w:r>
        <w:rPr/>
        <w:t>    </w:t>
      </w:r>
      <w:r>
        <w:rPr>
          <w:sz w:val="20"/>
        </w:rPr>
        <w:t xml:space="preserve">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rPr/>
      </w:pPr>
      <w:r>
        <w:rPr/>
        <w:t>        </w:t>
      </w:r>
      <w:r>
        <w:rPr>
          <w:i/>
          <w:sz w:val="20"/>
        </w:rPr>
        <w:t>Manner of Adjustment.</w:t>
      </w:r>
      <w:r>
        <w:rPr/>
        <w:t>    </w:t>
      </w:r>
      <w:r>
        <w:rPr>
          <w:sz w:val="20"/>
        </w:rPr>
        <w:t xml:space="preserve">If we liquidate, we would allocate any loss to the general partner and each unitholder as follows: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100% to the general partner. </w:t>
      </w:r>
    </w:p>
    <w:p>
      <w:pPr>
        <w:pStyle w:val="TextBody"/>
        <w:rPr/>
      </w:pPr>
      <w:r>
        <w:rPr/>
        <w:t>        </w:t>
      </w:r>
      <w:r>
        <w:rPr>
          <w:i/>
          <w:sz w:val="20"/>
        </w:rPr>
        <w:t>Interim Adjustments to Capital Accounts.</w:t>
      </w:r>
      <w:r>
        <w:rPr/>
        <w:t>    </w:t>
      </w:r>
      <w:r>
        <w:rPr>
          <w:sz w:val="20"/>
        </w:rPr>
        <w:t xml:space="preserve">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jc w:val="center"/>
        <w:rPr>
          <w:sz w:val="20"/>
        </w:rPr>
      </w:pPr>
      <w:r>
        <w:rPr>
          <w:sz w:val="20"/>
        </w:rPr>
        <w:t>28</w:t>
      </w:r>
    </w:p>
    <w:p>
      <w:pPr>
        <w:pStyle w:val="HorizontalLine"/>
        <w:pBdr>
          <w:bottom w:val="single" w:sz="20" w:space="0" w:color="808080"/>
        </w:pBdr>
        <w:rPr/>
      </w:pPr>
      <w:r>
        <w:rPr/>
      </w:r>
      <w:r>
        <w:br w:type="page"/>
      </w:r>
    </w:p>
    <w:p>
      <w:pPr>
        <w:pStyle w:val="TextBody"/>
        <w:jc w:val="center"/>
        <w:rPr/>
      </w:pPr>
      <w:bookmarkStart w:id="104" w:name="toc_di1403_3"/>
      <w:bookmarkStart w:id="105" w:name="di1403_description_of_our_partnership_ag"/>
      <w:bookmarkStart w:id="106" w:name="page_di1403_1_29"/>
      <w:bookmarkEnd w:id="104"/>
      <w:bookmarkEnd w:id="105"/>
      <w:bookmarkEnd w:id="106"/>
      <w:r>
        <w:rPr>
          <w:sz w:val="20"/>
        </w:rPr>
        <w:br/>
      </w:r>
      <w:r>
        <w:rPr>
          <w:b/>
          <w:sz w:val="20"/>
        </w:rPr>
        <w:t xml:space="preserve">DESCRIPTION OF OUR PARTNERSHIP AGREEMENT </w:t>
      </w:r>
    </w:p>
    <w:p>
      <w:pPr>
        <w:pStyle w:val="TextBody"/>
        <w:rPr/>
      </w:pPr>
      <w:r>
        <w:rPr/>
        <w:t>        </w:t>
      </w:r>
      <w:r>
        <w:rPr>
          <w:sz w:val="20"/>
        </w:rPr>
        <w:t xml:space="preserve">The following is a summary of the material provisions of our partnership agreement. The following provisions of our partnership agreement are summarized elsewhere in this prospectus: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distributions of our available cash are described under "Cash Distribution Policy";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allocations of taxable income and other tax matters are described under "Tax Considerations";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rights of holders of common units are described under "Description of Our Common Units." </w:t>
      </w:r>
    </w:p>
    <w:p>
      <w:pPr>
        <w:pStyle w:val="TextBody"/>
        <w:rPr>
          <w:b/>
          <w:sz w:val="20"/>
        </w:rPr>
      </w:pPr>
      <w:r>
        <w:rPr>
          <w:b/>
          <w:sz w:val="20"/>
        </w:rPr>
        <w:t xml:space="preserve">Purpose </w:t>
      </w:r>
    </w:p>
    <w:p>
      <w:pPr>
        <w:pStyle w:val="TextBody"/>
        <w:rPr/>
      </w:pPr>
      <w:r>
        <w:rPr/>
        <w:t>        </w:t>
      </w:r>
      <w:r>
        <w:rPr>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rPr>
          <w:b/>
          <w:sz w:val="20"/>
        </w:rPr>
      </w:pPr>
      <w:r>
        <w:rPr>
          <w:b/>
          <w:sz w:val="20"/>
        </w:rPr>
        <w:t xml:space="preserve">Power of Attorney </w:t>
      </w:r>
    </w:p>
    <w:p>
      <w:pPr>
        <w:pStyle w:val="TextBody"/>
        <w:rPr/>
      </w:pPr>
      <w:r>
        <w:rPr/>
        <w:t>        </w:t>
      </w:r>
      <w:r>
        <w:rPr>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rPr>
          <w:b/>
          <w:sz w:val="20"/>
        </w:rPr>
      </w:pPr>
      <w:r>
        <w:rPr>
          <w:b/>
          <w:sz w:val="20"/>
        </w:rPr>
        <w:t xml:space="preserve">Reimbursements of Our General Partner </w:t>
      </w:r>
    </w:p>
    <w:p>
      <w:pPr>
        <w:pStyle w:val="TextBody"/>
        <w:rPr/>
      </w:pPr>
      <w:r>
        <w:rPr/>
        <w:t>        </w:t>
      </w:r>
      <w:r>
        <w:rPr>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rPr>
          <w:b/>
          <w:sz w:val="20"/>
        </w:rPr>
      </w:pPr>
      <w:r>
        <w:rPr>
          <w:b/>
          <w:sz w:val="20"/>
        </w:rPr>
        <w:t xml:space="preserve">Issuance of Additional Securities </w:t>
      </w:r>
    </w:p>
    <w:p>
      <w:pPr>
        <w:pStyle w:val="TextBody"/>
        <w:rPr/>
      </w:pPr>
      <w:r>
        <w:rPr/>
        <w:t>        </w:t>
      </w:r>
      <w:r>
        <w:rPr>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rPr/>
      </w:pPr>
      <w:r>
        <w:rPr/>
        <w:t>        </w:t>
      </w:r>
      <w:r>
        <w:rPr>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rPr/>
      </w:pPr>
      <w:r>
        <w:rPr/>
        <w:t>        </w:t>
      </w:r>
      <w:r>
        <w:rPr>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rPr/>
      </w:pPr>
      <w:r>
        <w:rPr/>
        <w:t>        </w:t>
      </w:r>
      <w:r>
        <w:rPr>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w:t>
      </w:r>
    </w:p>
    <w:p>
      <w:pPr>
        <w:pStyle w:val="TextBody"/>
        <w:jc w:val="center"/>
        <w:rPr>
          <w:sz w:val="20"/>
        </w:rPr>
      </w:pPr>
      <w:r>
        <w:rPr>
          <w:sz w:val="20"/>
        </w:rPr>
        <w:t>29</w:t>
      </w:r>
    </w:p>
    <w:p>
      <w:pPr>
        <w:pStyle w:val="HorizontalLine"/>
        <w:pBdr>
          <w:bottom w:val="single" w:sz="20" w:space="0" w:color="808080"/>
        </w:pBdr>
        <w:rPr/>
      </w:pPr>
      <w:r>
        <w:rPr/>
      </w:r>
      <w:r>
        <w:br w:type="page"/>
      </w:r>
    </w:p>
    <w:p>
      <w:pPr>
        <w:pStyle w:val="TextBody"/>
        <w:rPr/>
      </w:pPr>
      <w:r>
        <w:rPr/>
      </w:r>
      <w:bookmarkStart w:id="107" w:name="page_di1403_1_30"/>
      <w:bookmarkStart w:id="108" w:name="page_di1403_1_30"/>
      <w:bookmarkEnd w:id="108"/>
    </w:p>
    <w:p>
      <w:pPr>
        <w:pStyle w:val="TextBody"/>
        <w:rPr>
          <w:sz w:val="20"/>
        </w:rPr>
      </w:pPr>
      <w:r>
        <w:rPr>
          <w:sz w:val="20"/>
        </w:rPr>
        <w:t xml:space="preserve">necessary to maintain their percentage interests in us that existed immediately prior to the issuance. The holders of common units will not have preemptive rights to acquire additional common units or other partnership interests in us. </w:t>
      </w:r>
    </w:p>
    <w:p>
      <w:pPr>
        <w:pStyle w:val="TextBody"/>
        <w:rPr>
          <w:b/>
          <w:sz w:val="20"/>
        </w:rPr>
      </w:pPr>
      <w:r>
        <w:rPr>
          <w:b/>
          <w:sz w:val="20"/>
        </w:rPr>
        <w:t xml:space="preserve">Amendments to Our Partnership Agreement </w:t>
      </w:r>
    </w:p>
    <w:p>
      <w:pPr>
        <w:pStyle w:val="TextBody"/>
        <w:rPr/>
      </w:pPr>
      <w:r>
        <w:rPr/>
        <w:t>        </w:t>
      </w:r>
      <w:r>
        <w:rPr>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rPr>
          <w:b/>
          <w:sz w:val="20"/>
        </w:rPr>
      </w:pPr>
      <w:r>
        <w:rPr>
          <w:b/>
          <w:sz w:val="20"/>
        </w:rPr>
        <w:t xml:space="preserve">Withdrawal or Removal of Our General Partner </w:t>
      </w:r>
    </w:p>
    <w:p>
      <w:pPr>
        <w:pStyle w:val="TextBody"/>
        <w:rPr/>
      </w:pPr>
      <w:r>
        <w:rPr/>
        <w:t>        </w:t>
      </w:r>
      <w:r>
        <w:rPr>
          <w:sz w:val="20"/>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rPr/>
      </w:pPr>
      <w:r>
        <w:rPr/>
        <w:t>        </w:t>
      </w:r>
      <w:r>
        <w:rPr>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rPr/>
      </w:pPr>
      <w:r>
        <w:rPr/>
        <w:t>        </w:t>
      </w:r>
      <w:r>
        <w:rPr>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rPr/>
      </w:pPr>
      <w:r>
        <w:rPr/>
        <w:t>        </w:t>
      </w:r>
      <w:r>
        <w:rPr>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rPr/>
      </w:pPr>
      <w:r>
        <w:rPr/>
        <w:t>        </w:t>
      </w:r>
      <w:r>
        <w:rPr>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rPr>
          <w:b/>
          <w:sz w:val="20"/>
        </w:rPr>
      </w:pPr>
      <w:r>
        <w:rPr>
          <w:b/>
          <w:sz w:val="20"/>
        </w:rPr>
        <w:t xml:space="preserve">Liquidation and Distribution of Proceeds </w:t>
      </w:r>
    </w:p>
    <w:p>
      <w:pPr>
        <w:pStyle w:val="TextBody"/>
        <w:rPr/>
      </w:pPr>
      <w:r>
        <w:rPr/>
        <w:t>        </w:t>
      </w:r>
      <w:r>
        <w:rPr>
          <w:sz w:val="20"/>
        </w:rPr>
        <w:t xml:space="preserve">Upon our dissolution, unless we are reconstituted and continued as a new limited partnership, the person authorized to wind up our affairs (the liquidator) will, acting with all the powers of our general </w:t>
      </w:r>
    </w:p>
    <w:p>
      <w:pPr>
        <w:pStyle w:val="TextBody"/>
        <w:jc w:val="center"/>
        <w:rPr>
          <w:sz w:val="20"/>
        </w:rPr>
      </w:pPr>
      <w:r>
        <w:rPr>
          <w:sz w:val="20"/>
        </w:rPr>
        <w:t>30</w:t>
      </w:r>
    </w:p>
    <w:p>
      <w:pPr>
        <w:pStyle w:val="HorizontalLine"/>
        <w:pBdr>
          <w:bottom w:val="single" w:sz="20" w:space="0" w:color="808080"/>
        </w:pBdr>
        <w:rPr/>
      </w:pPr>
      <w:r>
        <w:rPr/>
      </w:r>
      <w:r>
        <w:br w:type="page"/>
      </w:r>
    </w:p>
    <w:p>
      <w:pPr>
        <w:pStyle w:val="TextBody"/>
        <w:rPr/>
      </w:pPr>
      <w:r>
        <w:rPr/>
      </w:r>
      <w:bookmarkStart w:id="109" w:name="page_di1403_1_31"/>
      <w:bookmarkStart w:id="110" w:name="page_di1403_1_31"/>
      <w:bookmarkEnd w:id="110"/>
    </w:p>
    <w:p>
      <w:pPr>
        <w:pStyle w:val="TextBody"/>
        <w:rPr>
          <w:sz w:val="20"/>
        </w:rPr>
      </w:pPr>
      <w:r>
        <w:rPr>
          <w:sz w:val="20"/>
        </w:rPr>
        <w:t xml:space="preserve">partner that the liquidator deems necessary or desirable in its good faith judgment, liquidate our assets. The proceeds of the liquidation will be applied as follows: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towards the payment of all of our creditors and the creation of a reserve for contingent liabilities;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then, to all partners in accordance with the positive balance in the respective capital accounts. </w:t>
      </w:r>
    </w:p>
    <w:p>
      <w:pPr>
        <w:pStyle w:val="TextBody"/>
        <w:rPr/>
      </w:pPr>
      <w:r>
        <w:rPr/>
      </w:r>
    </w:p>
    <w:p>
      <w:pPr>
        <w:pStyle w:val="TextBody"/>
        <w:rPr/>
      </w:pPr>
      <w:r>
        <w:rPr/>
        <w:t>        </w:t>
      </w:r>
      <w:r>
        <w:rPr>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rPr>
          <w:b/>
          <w:sz w:val="20"/>
        </w:rPr>
      </w:pPr>
      <w:r>
        <w:rPr>
          <w:b/>
          <w:sz w:val="20"/>
        </w:rPr>
        <w:t xml:space="preserve">Change of Management Provisions </w:t>
      </w:r>
    </w:p>
    <w:p>
      <w:pPr>
        <w:pStyle w:val="TextBody"/>
        <w:rPr/>
      </w:pPr>
      <w:r>
        <w:rPr/>
        <w:t>        </w:t>
      </w:r>
      <w:r>
        <w:rPr>
          <w:sz w:val="20"/>
        </w:rPr>
        <w:t xml:space="preserve">Our partnership agreement contains the following specific provisions that are intended to discourage a person or group from attempting to remove our general partner or otherwise change management: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generally, if a person acquires 20% or more of any class of units then outstanding other than from our general partner or its affiliates, the units owned by such person cannot be voted on any matter;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provisions limiting the ability of unitholders to call meetings or to acquire information about our operations, as well as other provisions limiting the unitholders' ability to influence the manner or direction of management. </w:t>
      </w:r>
    </w:p>
    <w:p>
      <w:pPr>
        <w:pStyle w:val="TextBody"/>
        <w:rPr>
          <w:b/>
          <w:sz w:val="20"/>
        </w:rPr>
      </w:pPr>
      <w:r>
        <w:rPr>
          <w:b/>
          <w:sz w:val="20"/>
        </w:rPr>
        <w:t xml:space="preserve">Limited Call Right </w:t>
      </w:r>
    </w:p>
    <w:p>
      <w:pPr>
        <w:pStyle w:val="TextBody"/>
        <w:rPr/>
      </w:pPr>
      <w:r>
        <w:rPr/>
        <w:t>        </w:t>
      </w:r>
      <w:r>
        <w:rPr>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rPr>
          <w:b/>
          <w:sz w:val="20"/>
        </w:rPr>
      </w:pPr>
      <w:r>
        <w:rPr>
          <w:b/>
          <w:sz w:val="20"/>
        </w:rPr>
        <w:t xml:space="preserve">Indemnification </w:t>
      </w:r>
    </w:p>
    <w:p>
      <w:pPr>
        <w:pStyle w:val="TextBody"/>
        <w:rPr/>
      </w:pPr>
      <w:r>
        <w:rPr/>
        <w:t>        </w:t>
      </w:r>
      <w:r>
        <w:rPr>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rPr>
          <w:b/>
          <w:sz w:val="20"/>
        </w:rPr>
      </w:pPr>
      <w:r>
        <w:rPr>
          <w:b/>
          <w:sz w:val="20"/>
        </w:rPr>
        <w:t xml:space="preserve">Registration Rights </w:t>
      </w:r>
    </w:p>
    <w:p>
      <w:pPr>
        <w:pStyle w:val="TextBody"/>
        <w:rPr/>
      </w:pPr>
      <w:r>
        <w:rPr/>
        <w:t>        </w:t>
      </w:r>
      <w:r>
        <w:rPr>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jc w:val="center"/>
        <w:rPr>
          <w:sz w:val="20"/>
        </w:rPr>
      </w:pPr>
      <w:r>
        <w:rPr>
          <w:sz w:val="20"/>
        </w:rPr>
        <w:t>31</w:t>
      </w:r>
    </w:p>
    <w:p>
      <w:pPr>
        <w:pStyle w:val="HorizontalLine"/>
        <w:pBdr>
          <w:bottom w:val="single" w:sz="20" w:space="0" w:color="808080"/>
        </w:pBdr>
        <w:rPr/>
      </w:pPr>
      <w:r>
        <w:rPr/>
      </w:r>
      <w:r>
        <w:br w:type="page"/>
      </w:r>
    </w:p>
    <w:p>
      <w:pPr>
        <w:pStyle w:val="TextBody"/>
        <w:jc w:val="center"/>
        <w:rPr/>
      </w:pPr>
      <w:bookmarkStart w:id="111" w:name="toc_dk1403_1"/>
      <w:bookmarkStart w:id="112" w:name="dk1403_tax_considerations"/>
      <w:bookmarkStart w:id="113" w:name="page_dk1403_1_32"/>
      <w:bookmarkEnd w:id="111"/>
      <w:bookmarkEnd w:id="112"/>
      <w:bookmarkEnd w:id="113"/>
      <w:r>
        <w:rPr>
          <w:sz w:val="20"/>
        </w:rPr>
        <w:br/>
      </w:r>
      <w:r>
        <w:rPr>
          <w:b/>
          <w:sz w:val="20"/>
        </w:rPr>
        <w:t xml:space="preserve">TAX CONSIDERATIONS </w:t>
      </w:r>
    </w:p>
    <w:p>
      <w:pPr>
        <w:pStyle w:val="TextBody"/>
        <w:rPr/>
      </w:pPr>
      <w:r>
        <w:rPr/>
        <w:t>        </w:t>
      </w:r>
      <w:r>
        <w:rPr>
          <w:sz w:val="20"/>
        </w:rPr>
        <w:t xml:space="preserve">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 </w:t>
      </w:r>
    </w:p>
    <w:p>
      <w:pPr>
        <w:pStyle w:val="TextBody"/>
        <w:rPr/>
      </w:pPr>
      <w:r>
        <w:rPr/>
        <w:t>        </w:t>
      </w:r>
      <w:r>
        <w:rPr>
          <w:sz w:val="20"/>
        </w:rPr>
        <w:t xml:space="preserve">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 </w:t>
      </w:r>
    </w:p>
    <w:p>
      <w:pPr>
        <w:pStyle w:val="TextBody"/>
        <w:rPr/>
      </w:pPr>
      <w:r>
        <w:rPr/>
        <w:t>        </w:t>
      </w:r>
      <w:r>
        <w:rPr>
          <w:sz w:val="20"/>
        </w:rPr>
        <w:t xml:space="preserve">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 </w:t>
      </w:r>
    </w:p>
    <w:p>
      <w:pPr>
        <w:pStyle w:val="TextBody"/>
        <w:rPr/>
      </w:pPr>
      <w:r>
        <w:rPr/>
        <w:t>        </w:t>
      </w:r>
      <w:r>
        <w:rPr>
          <w:sz w:val="20"/>
        </w:rPr>
        <w:t xml:space="preserve">All statements as to matters of law and legal conclusions, but not as to factual matters, contained in this section, unless otherwise noted, are the opinion of counsel and are based on the accuracy of the factual representations made by us. </w:t>
      </w:r>
    </w:p>
    <w:p>
      <w:pPr>
        <w:pStyle w:val="TextBody"/>
        <w:rPr/>
      </w:pPr>
      <w:r>
        <w:rPr/>
        <w:t>        </w:t>
      </w:r>
      <w:r>
        <w:rPr>
          <w:sz w:val="20"/>
        </w:rPr>
        <w:t xml:space="preserve">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 </w:t>
      </w:r>
    </w:p>
    <w:p>
      <w:pPr>
        <w:pStyle w:val="TextBody"/>
        <w:rPr/>
      </w:pPr>
      <w:r>
        <w:rPr/>
        <w:t>        </w:t>
      </w:r>
      <w:r>
        <w:rPr>
          <w:sz w:val="20"/>
        </w:rPr>
        <w:t xml:space="preserve">For the reasons described below, counsel has not rendered an opinion with respect to the following specific federal income tax issues: </w:t>
      </w:r>
    </w:p>
    <w:p>
      <w:pPr>
        <w:pStyle w:val="TextBody"/>
        <w:numPr>
          <w:ilvl w:val="0"/>
          <w:numId w:val="0"/>
        </w:numPr>
        <w:ind w:left="707" w:hanging="0"/>
        <w:rPr/>
      </w:pPr>
      <w:r>
        <w:rPr/>
        <w:t>        </w:t>
      </w:r>
      <w:r>
        <w:rPr>
          <w:sz w:val="20"/>
        </w:rPr>
        <w:t xml:space="preserve">(1)   the treatment of a unitholder whose common units are loaned to a short seller to cover a short sale of common units (please read "Tax Consequences of Unit OwnershipTreatment of Short Sales"); </w:t>
      </w:r>
    </w:p>
    <w:p>
      <w:pPr>
        <w:pStyle w:val="TextBody"/>
        <w:numPr>
          <w:ilvl w:val="0"/>
          <w:numId w:val="0"/>
        </w:numPr>
        <w:ind w:left="707" w:hanging="0"/>
        <w:rPr/>
      </w:pPr>
      <w:r>
        <w:rPr/>
        <w:t>        </w:t>
      </w:r>
      <w:r>
        <w:rPr>
          <w:sz w:val="20"/>
        </w:rPr>
        <w:t xml:space="preserve">(2)   whether our monthly convention for allocating taxable income and losses is permitted by existing Treasury Regulations (please read "Disposition of Common UnitsAllocations Between Transferors and Transferees"); and </w:t>
      </w:r>
    </w:p>
    <w:p>
      <w:pPr>
        <w:pStyle w:val="TextBody"/>
        <w:numPr>
          <w:ilvl w:val="0"/>
          <w:numId w:val="0"/>
        </w:numPr>
        <w:ind w:left="707" w:hanging="0"/>
        <w:rPr/>
      </w:pPr>
      <w:r>
        <w:rPr/>
        <w:t>        </w:t>
      </w:r>
      <w:r>
        <w:rPr>
          <w:sz w:val="20"/>
        </w:rPr>
        <w:t xml:space="preserve">(3)   whether our method for depreciating Section 743 adjustments is sustainable (please read "Tax Consequences of Unit OwnershipSection 754 Election"). </w:t>
      </w:r>
    </w:p>
    <w:p>
      <w:pPr>
        <w:pStyle w:val="TextBody"/>
        <w:rPr>
          <w:b/>
          <w:sz w:val="20"/>
        </w:rPr>
      </w:pPr>
      <w:r>
        <w:rPr>
          <w:b/>
          <w:sz w:val="20"/>
        </w:rPr>
        <w:t xml:space="preserve">Partnership Status </w:t>
      </w:r>
    </w:p>
    <w:p>
      <w:pPr>
        <w:pStyle w:val="TextBody"/>
        <w:rPr/>
      </w:pPr>
      <w:r>
        <w:rPr/>
        <w:t>        </w:t>
      </w:r>
      <w:r>
        <w:rPr>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w:t>
      </w:r>
    </w:p>
    <w:p>
      <w:pPr>
        <w:pStyle w:val="TextBody"/>
        <w:jc w:val="center"/>
        <w:rPr>
          <w:sz w:val="20"/>
        </w:rPr>
      </w:pPr>
      <w:r>
        <w:rPr>
          <w:sz w:val="20"/>
        </w:rPr>
        <w:t>32</w:t>
      </w:r>
    </w:p>
    <w:p>
      <w:pPr>
        <w:pStyle w:val="HorizontalLine"/>
        <w:pBdr>
          <w:bottom w:val="single" w:sz="20" w:space="0" w:color="808080"/>
        </w:pBdr>
        <w:rPr/>
      </w:pPr>
      <w:r>
        <w:rPr/>
      </w:r>
      <w:r>
        <w:br w:type="page"/>
      </w:r>
    </w:p>
    <w:p>
      <w:pPr>
        <w:pStyle w:val="TextBody"/>
        <w:rPr/>
      </w:pPr>
      <w:r>
        <w:rPr/>
      </w:r>
      <w:bookmarkStart w:id="114" w:name="page_dk1403_1_33"/>
      <w:bookmarkStart w:id="115" w:name="page_dk1403_1_33"/>
      <w:bookmarkEnd w:id="115"/>
    </w:p>
    <w:p>
      <w:pPr>
        <w:pStyle w:val="TextBody"/>
        <w:rPr>
          <w:sz w:val="20"/>
        </w:rPr>
      </w:pPr>
      <w:r>
        <w:rPr>
          <w:sz w:val="20"/>
        </w:rPr>
        <w:t xml:space="preserve">generally not taxable unless the amount of cash distributed is in excess of the partner's adjusted basis in his partnership interest. </w:t>
      </w:r>
    </w:p>
    <w:p>
      <w:pPr>
        <w:pStyle w:val="TextBody"/>
        <w:rPr/>
      </w:pPr>
      <w:r>
        <w:rPr/>
        <w:t>        </w:t>
      </w:r>
      <w:r>
        <w:rPr>
          <w:sz w:val="20"/>
        </w:rPr>
        <w:t xml:space="preserve">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 </w:t>
      </w:r>
    </w:p>
    <w:p>
      <w:pPr>
        <w:pStyle w:val="TextBody"/>
        <w:rPr/>
      </w:pPr>
      <w:r>
        <w:rPr/>
        <w:t>        </w:t>
      </w:r>
      <w:r>
        <w:rPr>
          <w:sz w:val="20"/>
        </w:rPr>
        <w:t xml:space="preserve">In rendering its opinion, counsel has relied on factual representations made by us and the general partner. The representations made by us and our general partner upon which counsel has relied are: </w:t>
      </w:r>
    </w:p>
    <w:p>
      <w:pPr>
        <w:pStyle w:val="TextBody"/>
        <w:numPr>
          <w:ilvl w:val="0"/>
          <w:numId w:val="0"/>
        </w:numPr>
        <w:ind w:left="707" w:hanging="0"/>
        <w:rPr/>
      </w:pPr>
      <w:r>
        <w:rPr/>
        <w:t>        </w:t>
      </w:r>
      <w:r>
        <w:rPr>
          <w:sz w:val="20"/>
        </w:rPr>
        <w:t xml:space="preserve">(a)   neither we nor the operating partnerships will elect to be treated as a corporation; </w:t>
      </w:r>
    </w:p>
    <w:p>
      <w:pPr>
        <w:pStyle w:val="TextBody"/>
        <w:numPr>
          <w:ilvl w:val="0"/>
          <w:numId w:val="0"/>
        </w:numPr>
        <w:ind w:left="707" w:hanging="0"/>
        <w:rPr/>
      </w:pPr>
      <w:r>
        <w:rPr/>
        <w:t>        </w:t>
      </w:r>
      <w:r>
        <w:rPr>
          <w:sz w:val="20"/>
        </w:rPr>
        <w:t xml:space="preserve">(b)   for each taxable year, more than 90% of our gross income will be income from sources that our counsel has opined or will opine is "qualifying income" within the meaning of Section 7704(d) of the Internal Revenue Code. </w:t>
      </w:r>
    </w:p>
    <w:p>
      <w:pPr>
        <w:pStyle w:val="TextBody"/>
        <w:rPr/>
      </w:pPr>
      <w:r>
        <w:rPr/>
        <w:t>        </w:t>
      </w:r>
      <w:r>
        <w:rPr>
          <w:sz w:val="20"/>
        </w:rPr>
        <w:t xml:space="preserve">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 </w:t>
      </w:r>
    </w:p>
    <w:p>
      <w:pPr>
        <w:pStyle w:val="TextBody"/>
        <w:rPr/>
      </w:pPr>
      <w:r>
        <w:rPr/>
        <w:t>        </w:t>
      </w:r>
      <w:r>
        <w:rPr>
          <w:sz w:val="20"/>
        </w:rPr>
        <w:t xml:space="preserve">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rPr/>
      </w:pPr>
      <w:r>
        <w:rPr/>
        <w:t>        </w:t>
      </w:r>
      <w:r>
        <w:rPr>
          <w:sz w:val="20"/>
        </w:rPr>
        <w:t xml:space="preserve">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 </w:t>
      </w:r>
    </w:p>
    <w:p>
      <w:pPr>
        <w:pStyle w:val="TextBody"/>
        <w:rPr/>
      </w:pPr>
      <w:r>
        <w:rPr/>
        <w:t>        </w:t>
      </w:r>
      <w:r>
        <w:rPr>
          <w:sz w:val="20"/>
        </w:rPr>
        <w:t xml:space="preserve">The discussion below is based on the conclusion that we will be classified as a partnership for federal income tax purposes. </w:t>
      </w:r>
    </w:p>
    <w:p>
      <w:pPr>
        <w:pStyle w:val="TextBody"/>
        <w:jc w:val="center"/>
        <w:rPr>
          <w:sz w:val="20"/>
        </w:rPr>
      </w:pPr>
      <w:r>
        <w:rPr>
          <w:sz w:val="20"/>
        </w:rPr>
        <w:t>33</w:t>
      </w:r>
    </w:p>
    <w:p>
      <w:pPr>
        <w:pStyle w:val="HorizontalLine"/>
        <w:pBdr>
          <w:bottom w:val="single" w:sz="20" w:space="0" w:color="808080"/>
        </w:pBdr>
        <w:rPr/>
      </w:pPr>
      <w:r>
        <w:rPr/>
      </w:r>
      <w:r>
        <w:br w:type="page"/>
      </w:r>
    </w:p>
    <w:p>
      <w:pPr>
        <w:pStyle w:val="TextBody"/>
        <w:rPr/>
      </w:pPr>
      <w:r>
        <w:rPr/>
      </w:r>
      <w:bookmarkStart w:id="116" w:name="page_dk1403_1_34"/>
      <w:bookmarkStart w:id="117" w:name="page_dk1403_1_34"/>
      <w:bookmarkEnd w:id="117"/>
    </w:p>
    <w:p>
      <w:pPr>
        <w:pStyle w:val="TextBody"/>
        <w:rPr>
          <w:b/>
          <w:sz w:val="20"/>
        </w:rPr>
      </w:pPr>
      <w:r>
        <w:rPr>
          <w:b/>
          <w:sz w:val="20"/>
        </w:rPr>
        <w:t xml:space="preserve">Limited Partner Status </w:t>
      </w:r>
    </w:p>
    <w:p>
      <w:pPr>
        <w:pStyle w:val="TextBody"/>
        <w:rPr/>
      </w:pPr>
      <w:r>
        <w:rPr/>
        <w:t>        </w:t>
      </w:r>
      <w:r>
        <w:rPr>
          <w:sz w:val="20"/>
        </w:rPr>
        <w:t xml:space="preserve">Unitholders who have become limited partners of Plains All American Pipeline will be treated as partners of Plains All American Pipeline for federal income tax purposes. Also: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assignees who have executed and delivered transfer applications, and are awaiting admission as limited partners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unitholders whose common units are held in street name or by a nominee and who have the right to direct the nominee in the exercise of all substantive rights attendant to the ownership of their common units, </w:t>
      </w:r>
    </w:p>
    <w:p>
      <w:pPr>
        <w:pStyle w:val="TextBody"/>
        <w:rPr>
          <w:sz w:val="20"/>
        </w:rPr>
      </w:pPr>
      <w:r>
        <w:rPr>
          <w:sz w:val="20"/>
        </w:rPr>
        <w:t xml:space="preserve">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rPr/>
      </w:pPr>
      <w:r>
        <w:rPr/>
        <w:t>        </w:t>
      </w:r>
      <w:r>
        <w:rPr>
          <w:sz w:val="20"/>
        </w:rPr>
        <w:t xml:space="preserve">A beneficial owner of common units whose units have been transferred to a short seller to complete a short sale would appear to lose his status as a partner with respect to those units for federal income tax purposes. Please read "Tax Consequences of Unit OwnershipTreatment of Short Sales." </w:t>
      </w:r>
    </w:p>
    <w:p>
      <w:pPr>
        <w:pStyle w:val="TextBody"/>
        <w:rPr/>
      </w:pPr>
      <w:r>
        <w:rPr/>
        <w:t>        </w:t>
      </w:r>
      <w:r>
        <w:rPr>
          <w:sz w:val="20"/>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 </w:t>
      </w:r>
    </w:p>
    <w:p>
      <w:pPr>
        <w:pStyle w:val="TextBody"/>
        <w:rPr>
          <w:b/>
          <w:sz w:val="20"/>
        </w:rPr>
      </w:pPr>
      <w:r>
        <w:rPr>
          <w:b/>
          <w:sz w:val="20"/>
        </w:rPr>
        <w:t xml:space="preserve">Tax Consequences of Unit Ownership </w:t>
      </w:r>
    </w:p>
    <w:p>
      <w:pPr>
        <w:pStyle w:val="TextBody"/>
        <w:rPr/>
      </w:pPr>
      <w:r>
        <w:rPr/>
        <w:t>        </w:t>
      </w:r>
      <w:r>
        <w:rPr>
          <w:i/>
          <w:sz w:val="20"/>
        </w:rPr>
        <w:t>Flow-through of Taxable Income.</w:t>
      </w:r>
      <w:r>
        <w:rPr/>
        <w:t>    </w:t>
      </w:r>
      <w:r>
        <w:rPr>
          <w:sz w:val="20"/>
        </w:rPr>
        <w:t xml:space="preserve">We will not pay any federal income tax. Instead, each unitholder will be required to report on his income tax return his share of our income, gains, losses and deductions without regard to whether 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 </w:t>
      </w:r>
    </w:p>
    <w:p>
      <w:pPr>
        <w:pStyle w:val="TextBody"/>
        <w:rPr/>
      </w:pPr>
      <w:r>
        <w:rPr/>
        <w:t>        </w:t>
      </w:r>
      <w:r>
        <w:rPr>
          <w:i/>
          <w:sz w:val="20"/>
        </w:rPr>
        <w:t>Treatment of Distributions.</w:t>
      </w:r>
      <w:r>
        <w:rPr/>
        <w:t>    </w:t>
      </w:r>
      <w:r>
        <w:rPr>
          <w:sz w:val="20"/>
        </w:rPr>
        <w:t xml:space="preserve">Distributions by us to a unitholder generally will not be taxable to the unitholder for federal income tax purposes to the extent of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"Limitations on Deductibility of Losses." </w:t>
      </w:r>
    </w:p>
    <w:p>
      <w:pPr>
        <w:pStyle w:val="TextBody"/>
        <w:rPr/>
      </w:pPr>
      <w:r>
        <w:rPr/>
        <w:t>        </w:t>
      </w:r>
      <w:r>
        <w:rPr>
          <w:sz w:val="20"/>
        </w:rPr>
        <w:t xml:space="preserve">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w:t>
      </w:r>
    </w:p>
    <w:p>
      <w:pPr>
        <w:pStyle w:val="TextBody"/>
        <w:jc w:val="center"/>
        <w:rPr>
          <w:sz w:val="20"/>
        </w:rPr>
      </w:pPr>
      <w:r>
        <w:rPr>
          <w:sz w:val="20"/>
        </w:rPr>
        <w:t>34</w:t>
      </w:r>
    </w:p>
    <w:p>
      <w:pPr>
        <w:pStyle w:val="HorizontalLine"/>
        <w:pBdr>
          <w:bottom w:val="single" w:sz="20" w:space="0" w:color="808080"/>
        </w:pBdr>
        <w:rPr/>
      </w:pPr>
      <w:r>
        <w:rPr/>
      </w:r>
      <w:r>
        <w:br w:type="page"/>
      </w:r>
    </w:p>
    <w:p>
      <w:pPr>
        <w:pStyle w:val="TextBody"/>
        <w:rPr/>
      </w:pPr>
      <w:r>
        <w:rPr/>
      </w:r>
      <w:bookmarkStart w:id="118" w:name="page_dk1403_1_35"/>
      <w:bookmarkStart w:id="119" w:name="page_dk1403_1_35"/>
      <w:bookmarkEnd w:id="119"/>
    </w:p>
    <w:p>
      <w:pPr>
        <w:pStyle w:val="TextBody"/>
        <w:rPr>
          <w:sz w:val="20"/>
        </w:rPr>
      </w:pPr>
      <w:r>
        <w:rPr>
          <w:sz w:val="20"/>
        </w:rPr>
        <w:t xml:space="preserve">result in ordinary income to a unitholder, regardless of his tax basis in his common units, if the distribution reduces the unitholder's share of 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 </w:t>
      </w:r>
    </w:p>
    <w:p>
      <w:pPr>
        <w:pStyle w:val="TextBody"/>
        <w:rPr/>
      </w:pPr>
      <w:r>
        <w:rPr/>
        <w:t>        </w:t>
      </w:r>
      <w:r>
        <w:rPr>
          <w:i/>
          <w:sz w:val="20"/>
        </w:rPr>
        <w:t>Basis of Common Units.</w:t>
      </w:r>
      <w:r>
        <w:rPr/>
        <w:t>    </w:t>
      </w:r>
      <w:r>
        <w:rPr>
          <w:sz w:val="20"/>
        </w:rPr>
        <w:t xml:space="preserve">A unitholder's initial tax basis for his common units will be the amount he paid for the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"Disposition of Common UnitsRecognition of Gain or Loss." </w:t>
      </w:r>
    </w:p>
    <w:p>
      <w:pPr>
        <w:pStyle w:val="TextBody"/>
        <w:rPr/>
      </w:pPr>
      <w:r>
        <w:rPr/>
        <w:t>        </w:t>
      </w:r>
      <w:r>
        <w:rPr>
          <w:i/>
          <w:sz w:val="20"/>
        </w:rPr>
        <w:t>Limitations on Deductibility of Losses.</w:t>
      </w:r>
      <w:r>
        <w:rPr/>
        <w:t>    </w:t>
      </w:r>
      <w:r>
        <w:rPr>
          <w:sz w:val="20"/>
        </w:rPr>
        <w:t xml:space="preserve">The deduction by a unitholder of his share of our losses will be limited to the tax basis in his units and, in the case of an individual unitholder or a corporate unitholder, if more than 50% of the 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 </w:t>
      </w:r>
    </w:p>
    <w:p>
      <w:pPr>
        <w:pStyle w:val="TextBody"/>
        <w:rPr/>
      </w:pPr>
      <w:r>
        <w:rPr/>
        <w:t>        </w:t>
      </w:r>
      <w:r>
        <w:rPr>
          <w:sz w:val="20"/>
        </w:rPr>
        <w:t xml:space="preserve">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 </w:t>
      </w:r>
    </w:p>
    <w:p>
      <w:pPr>
        <w:pStyle w:val="TextBody"/>
        <w:rPr/>
      </w:pPr>
      <w:r>
        <w:rPr/>
        <w:t>        </w:t>
      </w:r>
      <w:r>
        <w:rPr>
          <w:sz w:val="20"/>
        </w:rPr>
        <w:t xml:space="preserve">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 </w:t>
      </w:r>
    </w:p>
    <w:p>
      <w:pPr>
        <w:pStyle w:val="TextBody"/>
        <w:jc w:val="center"/>
        <w:rPr>
          <w:sz w:val="20"/>
        </w:rPr>
      </w:pPr>
      <w:r>
        <w:rPr>
          <w:sz w:val="20"/>
        </w:rPr>
        <w:t>35</w:t>
      </w:r>
    </w:p>
    <w:p>
      <w:pPr>
        <w:pStyle w:val="HorizontalLine"/>
        <w:pBdr>
          <w:bottom w:val="single" w:sz="20" w:space="0" w:color="808080"/>
        </w:pBdr>
        <w:rPr/>
      </w:pPr>
      <w:r>
        <w:rPr/>
      </w:r>
      <w:r>
        <w:br w:type="page"/>
      </w:r>
    </w:p>
    <w:p>
      <w:pPr>
        <w:pStyle w:val="TextBody"/>
        <w:rPr/>
      </w:pPr>
      <w:r>
        <w:rPr/>
      </w:r>
      <w:bookmarkStart w:id="120" w:name="page_dk1403_1_36"/>
      <w:bookmarkStart w:id="121" w:name="page_dk1403_1_36"/>
      <w:bookmarkEnd w:id="121"/>
    </w:p>
    <w:p>
      <w:pPr>
        <w:pStyle w:val="TextBody"/>
        <w:rPr/>
      </w:pPr>
      <w:r>
        <w:rPr/>
        <w:t>        </w:t>
      </w:r>
      <w:r>
        <w:rPr>
          <w:sz w:val="20"/>
        </w:rPr>
        <w:t xml:space="preserve">A unitholder's share of our net income may be offset by any suspended passive losses, but it may not be offset by any other current or carryover losses from other passive activities, including those attributable to other publicly-traded partnerships. </w:t>
      </w:r>
    </w:p>
    <w:p>
      <w:pPr>
        <w:pStyle w:val="TextBody"/>
        <w:rPr/>
      </w:pPr>
      <w:r>
        <w:rPr/>
        <w:t>        </w:t>
      </w:r>
      <w:r>
        <w:rPr>
          <w:i/>
          <w:sz w:val="20"/>
        </w:rPr>
        <w:t>Limitations on Interest Deductions.</w:t>
      </w:r>
      <w:r>
        <w:rPr/>
        <w:t>    </w:t>
      </w:r>
      <w:r>
        <w:rPr>
          <w:sz w:val="20"/>
        </w:rPr>
        <w:t xml:space="preserve">The deductibility of a non-corporate taxpayer's "investment interest expense" is generally limited to the amount of that taxpayer's "net investment income." Investment interest expense includes: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interest on indebtedness properly allocable to property held for investment;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interest expense attributed to portfolio income;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portion of interest expense incurred to purchase or carry an interest in a passive activity to the extent attributable to portfolio income. </w:t>
      </w:r>
    </w:p>
    <w:p>
      <w:pPr>
        <w:pStyle w:val="TextBody"/>
        <w:rPr/>
      </w:pPr>
      <w:r>
        <w:rPr/>
      </w:r>
    </w:p>
    <w:p>
      <w:pPr>
        <w:pStyle w:val="TextBody"/>
        <w:rPr/>
      </w:pPr>
      <w:r>
        <w:rPr/>
        <w:t>        </w:t>
      </w:r>
      <w:r>
        <w:rPr>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 </w:t>
      </w:r>
    </w:p>
    <w:p>
      <w:pPr>
        <w:pStyle w:val="TextBody"/>
        <w:rPr/>
      </w:pPr>
      <w:r>
        <w:rPr/>
        <w:t>        </w:t>
      </w:r>
      <w:r>
        <w:rPr>
          <w:i/>
          <w:sz w:val="20"/>
        </w:rPr>
        <w:t>Entity-Level Collections.</w:t>
      </w:r>
      <w:r>
        <w:rPr/>
        <w:t>    </w:t>
      </w:r>
      <w:r>
        <w:rPr>
          <w:sz w:val="20"/>
        </w:rPr>
        <w:t xml:space="preserve">If we are required or elect under applicable law to pay any federal, state or local income tax on behalf of any unitholder or the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rPr/>
      </w:pPr>
      <w:r>
        <w:rPr/>
        <w:t>        </w:t>
      </w:r>
      <w:r>
        <w:rPr>
          <w:i/>
          <w:sz w:val="20"/>
        </w:rPr>
        <w:t>Allocation of Income, Gain, Loss and Deduction.</w:t>
      </w:r>
      <w:r>
        <w:rPr/>
        <w:t>    </w:t>
      </w:r>
      <w:r>
        <w:rPr>
          <w:sz w:val="20"/>
        </w:rPr>
        <w:t xml:space="preserve">In general, if we have a net profit, our items of income, gain, loss and deduction will be allocated among the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 </w:t>
      </w:r>
    </w:p>
    <w:p>
      <w:pPr>
        <w:pStyle w:val="TextBody"/>
        <w:rPr/>
      </w:pPr>
      <w:r>
        <w:rPr/>
        <w:t>        </w:t>
      </w:r>
      <w:r>
        <w:rPr>
          <w:sz w:val="20"/>
        </w:rPr>
        <w:t xml:space="preserve">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w:t>
      </w:r>
    </w:p>
    <w:p>
      <w:pPr>
        <w:pStyle w:val="TextBody"/>
        <w:jc w:val="center"/>
        <w:rPr>
          <w:sz w:val="20"/>
        </w:rPr>
      </w:pPr>
      <w:r>
        <w:rPr>
          <w:sz w:val="20"/>
        </w:rPr>
        <w:t>36</w:t>
      </w:r>
    </w:p>
    <w:p>
      <w:pPr>
        <w:pStyle w:val="HorizontalLine"/>
        <w:pBdr>
          <w:bottom w:val="single" w:sz="20" w:space="0" w:color="808080"/>
        </w:pBdr>
        <w:rPr/>
      </w:pPr>
      <w:r>
        <w:rPr/>
      </w:r>
      <w:r>
        <w:br w:type="page"/>
      </w:r>
    </w:p>
    <w:p>
      <w:pPr>
        <w:pStyle w:val="TextBody"/>
        <w:rPr/>
      </w:pPr>
      <w:r>
        <w:rPr/>
      </w:r>
      <w:bookmarkStart w:id="122" w:name="page_dk1403_1_37"/>
      <w:bookmarkStart w:id="123" w:name="page_dk1403_1_37"/>
      <w:bookmarkEnd w:id="123"/>
    </w:p>
    <w:p>
      <w:pPr>
        <w:pStyle w:val="TextBody"/>
        <w:rPr>
          <w:sz w:val="20"/>
        </w:rPr>
      </w:pPr>
      <w:r>
        <w:rPr>
          <w:sz w:val="20"/>
        </w:rPr>
        <w:t xml:space="preserve">not expect that our operations will result in the creation of negative capital accounts, if negative capital accounts nevertheless result, items of our income and gain will be allocated in an amount and manner to eliminate the negative balance as quickly as possible. </w:t>
      </w:r>
    </w:p>
    <w:p>
      <w:pPr>
        <w:pStyle w:val="TextBody"/>
        <w:rPr/>
      </w:pPr>
      <w:r>
        <w:rPr/>
        <w:t>        </w:t>
      </w:r>
      <w:r>
        <w:rPr>
          <w:sz w:val="20"/>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 </w:t>
      </w:r>
    </w:p>
    <w:p>
      <w:pPr>
        <w:pStyle w:val="TextBody"/>
        <w:rPr/>
      </w:pPr>
      <w:r>
        <w:rPr/>
        <w:t>        </w:t>
      </w:r>
      <w:r>
        <w:rPr>
          <w:sz w:val="20"/>
        </w:rPr>
        <w:t xml:space="preserve">Counsel is of the opinion that, with the exception of the issues described in "Tax Consequences of Unit OwnershipSection 754 Election" and "Disposition of Common UnitsAllocations Between Transferors and Transferees," respectively, allocations under our partnership agreement will be given effect for federal income tax purposes in determining a partner's share of an item of income, gain, loss or deduction. </w:t>
      </w:r>
    </w:p>
    <w:p>
      <w:pPr>
        <w:pStyle w:val="TextBody"/>
        <w:rPr/>
      </w:pPr>
      <w:r>
        <w:rPr/>
        <w:t>        </w:t>
      </w:r>
      <w:r>
        <w:rPr>
          <w:i/>
          <w:sz w:val="20"/>
        </w:rPr>
        <w:t>Treatment of Short Sales.</w:t>
      </w:r>
      <w:r>
        <w:rPr/>
        <w:t>    </w:t>
      </w:r>
      <w:r>
        <w:rPr>
          <w:sz w:val="20"/>
        </w:rPr>
        <w:t xml:space="preserve">A unitholder whose units are loaned to a "short seller" to cover a short sale of units may be considered as having disposed of those units. If so, he would no longer be a partner with respect to those units during the period of the loan and may recognize gain or loss from the disposition. As a result, during this period: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of our income, gain, loss or deduction with respect to those units would not be reportable by the unitholder;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cash distributions received by the unitholder for those units would be fully taxable;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these distributions would appear to be ordinary income. </w:t>
      </w:r>
    </w:p>
    <w:p>
      <w:pPr>
        <w:pStyle w:val="TextBody"/>
        <w:rPr/>
      </w:pPr>
      <w:r>
        <w:rPr/>
        <w:t>        </w:t>
      </w:r>
      <w:r>
        <w:rPr>
          <w:sz w:val="20"/>
        </w:rPr>
        <w:t xml:space="preserve">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"Disposition of Common UnitsRecognition of Gain or Loss." </w:t>
      </w:r>
    </w:p>
    <w:p>
      <w:pPr>
        <w:pStyle w:val="TextBody"/>
        <w:rPr/>
      </w:pPr>
      <w:r>
        <w:rPr/>
        <w:t>        </w:t>
      </w:r>
      <w:r>
        <w:rPr>
          <w:i/>
          <w:sz w:val="20"/>
        </w:rPr>
        <w:t>Alternative Minimum Tax.</w:t>
      </w:r>
      <w:r>
        <w:rPr/>
        <w:t>    </w:t>
      </w:r>
      <w:r>
        <w:rPr>
          <w:sz w:val="20"/>
        </w:rPr>
        <w:t xml:space="preserve">Although it is not expected that we will generate significant tax preference items or adjustments,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 </w:t>
      </w:r>
    </w:p>
    <w:p>
      <w:pPr>
        <w:pStyle w:val="TextBody"/>
        <w:rPr/>
      </w:pPr>
      <w:r>
        <w:rPr/>
        <w:t>        </w:t>
      </w:r>
      <w:r>
        <w:rPr>
          <w:i/>
          <w:sz w:val="20"/>
        </w:rPr>
        <w:t>Tax Rates.</w:t>
      </w:r>
      <w:r>
        <w:rPr/>
        <w:t>    </w:t>
      </w:r>
      <w:r>
        <w:rPr>
          <w:sz w:val="20"/>
        </w:rPr>
        <w:t xml:space="preserve">In general the highest effective United States federal income tax rate for individuals currently is 35% and the maximum United States federal income tax rate for net capital gains of an individual currently is 15% if the asset disposed of was held for more than 12 months at the time of disposition. </w:t>
      </w:r>
    </w:p>
    <w:p>
      <w:pPr>
        <w:pStyle w:val="TextBody"/>
        <w:jc w:val="center"/>
        <w:rPr>
          <w:sz w:val="20"/>
        </w:rPr>
      </w:pPr>
      <w:r>
        <w:rPr>
          <w:sz w:val="20"/>
        </w:rPr>
        <w:t>37</w:t>
      </w:r>
    </w:p>
    <w:p>
      <w:pPr>
        <w:pStyle w:val="HorizontalLine"/>
        <w:pBdr>
          <w:bottom w:val="single" w:sz="20" w:space="0" w:color="808080"/>
        </w:pBdr>
        <w:rPr/>
      </w:pPr>
      <w:r>
        <w:rPr/>
      </w:r>
      <w:r>
        <w:br w:type="page"/>
      </w:r>
    </w:p>
    <w:p>
      <w:pPr>
        <w:pStyle w:val="TextBody"/>
        <w:rPr/>
      </w:pPr>
      <w:r>
        <w:rPr/>
      </w:r>
      <w:bookmarkStart w:id="124" w:name="page_dk1403_1_38"/>
      <w:bookmarkStart w:id="125" w:name="page_dk1403_1_38"/>
      <w:bookmarkEnd w:id="125"/>
    </w:p>
    <w:p>
      <w:pPr>
        <w:pStyle w:val="TextBody"/>
        <w:rPr/>
      </w:pPr>
      <w:r>
        <w:rPr/>
        <w:t>        </w:t>
      </w:r>
      <w:r>
        <w:rPr>
          <w:i/>
          <w:sz w:val="20"/>
        </w:rPr>
        <w:t>Section 754 Election.</w:t>
      </w:r>
      <w:r>
        <w:rPr/>
        <w:t>    </w:t>
      </w:r>
      <w:r>
        <w:rPr>
          <w:sz w:val="20"/>
        </w:rPr>
        <w:t xml:space="preserve">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 </w:t>
      </w:r>
    </w:p>
    <w:p>
      <w:pPr>
        <w:pStyle w:val="TextBody"/>
        <w:rPr/>
      </w:pPr>
      <w:r>
        <w:rPr/>
        <w:t>        </w:t>
      </w:r>
      <w:r>
        <w:rPr>
          <w:sz w:val="20"/>
        </w:rPr>
        <w:t xml:space="preserve">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 position to preserve the uniformity of units even if that position is not consistent with these Treasury Regulations. Please read "Tax Treatment of Operations" and "Uniformity of Units." </w:t>
      </w:r>
    </w:p>
    <w:p>
      <w:pPr>
        <w:pStyle w:val="TextBody"/>
        <w:rPr/>
      </w:pPr>
      <w:r>
        <w:rPr/>
        <w:t>        </w:t>
      </w:r>
      <w:r>
        <w:rPr>
          <w:sz w:val="20"/>
        </w:rPr>
        <w:t xml:space="preserve">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w:t>
      </w:r>
    </w:p>
    <w:p>
      <w:pPr>
        <w:pStyle w:val="TextBody"/>
        <w:rPr/>
      </w:pPr>
      <w:r>
        <w:rPr/>
        <w:t>        </w:t>
      </w:r>
      <w:r>
        <w:rPr>
          <w:sz w:val="20"/>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w:t>
      </w:r>
    </w:p>
    <w:p>
      <w:pPr>
        <w:pStyle w:val="TextBody"/>
        <w:rPr/>
      </w:pPr>
      <w:r>
        <w:rPr/>
        <w:t>        </w:t>
      </w:r>
      <w:r>
        <w:rPr>
          <w:sz w:val="20"/>
        </w:rPr>
        <w:t xml:space="preserve">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w:t>
      </w:r>
    </w:p>
    <w:p>
      <w:pPr>
        <w:pStyle w:val="TextBody"/>
        <w:jc w:val="center"/>
        <w:rPr>
          <w:sz w:val="20"/>
        </w:rPr>
      </w:pPr>
      <w:r>
        <w:rPr>
          <w:sz w:val="20"/>
        </w:rPr>
        <w:t>38</w:t>
      </w:r>
    </w:p>
    <w:p>
      <w:pPr>
        <w:pStyle w:val="HorizontalLine"/>
        <w:pBdr>
          <w:bottom w:val="single" w:sz="20" w:space="0" w:color="808080"/>
        </w:pBdr>
        <w:rPr/>
      </w:pPr>
      <w:r>
        <w:rPr/>
      </w:r>
      <w:r>
        <w:br w:type="page"/>
      </w:r>
    </w:p>
    <w:p>
      <w:pPr>
        <w:pStyle w:val="TextBody"/>
        <w:rPr/>
      </w:pPr>
      <w:r>
        <w:rPr/>
      </w:r>
      <w:bookmarkStart w:id="126" w:name="page_dk1403_1_39"/>
      <w:bookmarkStart w:id="127" w:name="page_dk1403_1_39"/>
      <w:bookmarkEnd w:id="127"/>
    </w:p>
    <w:p>
      <w:pPr>
        <w:pStyle w:val="TextBody"/>
        <w:rPr>
          <w:sz w:val="20"/>
        </w:rPr>
      </w:pPr>
      <w:r>
        <w:rPr>
          <w:sz w:val="20"/>
        </w:rPr>
        <w:t xml:space="preserve">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rPr>
          <w:b/>
          <w:sz w:val="20"/>
        </w:rPr>
      </w:pPr>
      <w:r>
        <w:rPr>
          <w:b/>
          <w:sz w:val="20"/>
        </w:rPr>
        <w:t xml:space="preserve">Tax Treatment of Operations </w:t>
      </w:r>
    </w:p>
    <w:p>
      <w:pPr>
        <w:pStyle w:val="TextBody"/>
        <w:rPr/>
      </w:pPr>
      <w:r>
        <w:rPr/>
        <w:t>        </w:t>
      </w:r>
      <w:r>
        <w:rPr>
          <w:i/>
          <w:sz w:val="20"/>
        </w:rPr>
        <w:t>Accounting Method and Taxable Year.</w:t>
      </w:r>
      <w:r>
        <w:rPr/>
        <w:t>    </w:t>
      </w:r>
      <w:r>
        <w:rPr>
          <w:sz w:val="20"/>
        </w:rPr>
        <w:t xml:space="preserve">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"Disposition of Common UnitsAllocations Between Transferors and Transferees." </w:t>
      </w:r>
    </w:p>
    <w:p>
      <w:pPr>
        <w:pStyle w:val="TextBody"/>
        <w:rPr/>
      </w:pPr>
      <w:r>
        <w:rPr/>
        <w:t>        </w:t>
      </w:r>
      <w:r>
        <w:rPr>
          <w:i/>
          <w:sz w:val="20"/>
        </w:rPr>
        <w:t>Initial Tax Basis, Depreciation and Amortization.</w:t>
      </w:r>
      <w:r>
        <w:rPr/>
        <w:t>    </w:t>
      </w:r>
      <w:r>
        <w:rPr>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us prior to this offering. Please read "Tax Consequences of Unit OwnershipAllocation of Income, Gain, Loss and Deduction." </w:t>
      </w:r>
    </w:p>
    <w:p>
      <w:pPr>
        <w:pStyle w:val="TextBody"/>
        <w:rPr/>
      </w:pPr>
      <w:r>
        <w:rPr/>
        <w:t>        </w:t>
      </w:r>
      <w:r>
        <w:rPr>
          <w:sz w:val="20"/>
        </w:rPr>
        <w:t xml:space="preserve">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 </w:t>
      </w:r>
    </w:p>
    <w:p>
      <w:pPr>
        <w:pStyle w:val="TextBody"/>
        <w:rPr/>
      </w:pPr>
      <w:r>
        <w:rPr/>
        <w:t>        </w:t>
      </w:r>
      <w:r>
        <w:rPr>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 </w:t>
      </w:r>
    </w:p>
    <w:p>
      <w:pPr>
        <w:pStyle w:val="TextBody"/>
        <w:rPr/>
      </w:pPr>
      <w:r>
        <w:rPr/>
        <w:t>        </w:t>
      </w:r>
      <w:r>
        <w:rPr>
          <w:sz w:val="20"/>
        </w:rPr>
        <w:t xml:space="preserve">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rPr/>
      </w:pPr>
      <w:r>
        <w:rPr/>
        <w:t>        </w:t>
      </w:r>
      <w:r>
        <w:rPr>
          <w:i/>
          <w:sz w:val="20"/>
        </w:rPr>
        <w:t>Valuation and Tax Basis of Our Properties.</w:t>
      </w:r>
      <w:r>
        <w:rPr/>
        <w:t>    </w:t>
      </w:r>
      <w:r>
        <w:rPr>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 </w:t>
      </w:r>
    </w:p>
    <w:p>
      <w:pPr>
        <w:pStyle w:val="TextBody"/>
        <w:jc w:val="center"/>
        <w:rPr>
          <w:sz w:val="20"/>
        </w:rPr>
      </w:pPr>
      <w:r>
        <w:rPr>
          <w:sz w:val="20"/>
        </w:rPr>
        <w:t>39</w:t>
      </w:r>
    </w:p>
    <w:p>
      <w:pPr>
        <w:pStyle w:val="HorizontalLine"/>
        <w:pBdr>
          <w:bottom w:val="single" w:sz="20" w:space="0" w:color="808080"/>
        </w:pBdr>
        <w:rPr/>
      </w:pPr>
      <w:r>
        <w:rPr/>
      </w:r>
      <w:r>
        <w:br w:type="page"/>
      </w:r>
    </w:p>
    <w:p>
      <w:pPr>
        <w:pStyle w:val="TextBody"/>
        <w:rPr/>
      </w:pPr>
      <w:r>
        <w:rPr/>
      </w:r>
      <w:bookmarkStart w:id="128" w:name="page_dk1403_1_40"/>
      <w:bookmarkStart w:id="129" w:name="page_dk1403_1_40"/>
      <w:bookmarkEnd w:id="129"/>
    </w:p>
    <w:p>
      <w:pPr>
        <w:pStyle w:val="TextBody"/>
        <w:rPr>
          <w:b/>
          <w:sz w:val="20"/>
        </w:rPr>
      </w:pPr>
      <w:r>
        <w:rPr>
          <w:b/>
          <w:sz w:val="20"/>
        </w:rPr>
        <w:t xml:space="preserve">Disposition of Common Units </w:t>
      </w:r>
    </w:p>
    <w:p>
      <w:pPr>
        <w:pStyle w:val="TextBody"/>
        <w:rPr/>
      </w:pPr>
      <w:r>
        <w:rPr/>
        <w:t>        </w:t>
      </w:r>
      <w:r>
        <w:rPr>
          <w:i/>
          <w:sz w:val="20"/>
        </w:rPr>
        <w:t>Recognition of Gain or Loss.</w:t>
      </w:r>
      <w:r>
        <w:rPr/>
        <w:t>    </w:t>
      </w:r>
      <w:r>
        <w:rPr>
          <w:sz w:val="20"/>
        </w:rPr>
        <w:t xml:space="preserve">Gain or loss will be recognized on a sale of units equal to the difference between the amount realized and the unitholder's tax basis for the units sold. A unitholder's amount realized will be measured by the 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rPr/>
      </w:pPr>
      <w:r>
        <w:rPr/>
        <w:t>        </w:t>
      </w:r>
      <w:r>
        <w:rPr>
          <w:sz w:val="20"/>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 </w:t>
      </w:r>
    </w:p>
    <w:p>
      <w:pPr>
        <w:pStyle w:val="TextBody"/>
        <w:rPr/>
      </w:pPr>
      <w:r>
        <w:rPr/>
        <w:t>        </w:t>
      </w:r>
      <w:r>
        <w:rPr>
          <w:sz w:val="20"/>
        </w:rPr>
        <w:t xml:space="preserve">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 </w:t>
      </w:r>
    </w:p>
    <w:p>
      <w:pPr>
        <w:pStyle w:val="TextBody"/>
        <w:rPr/>
      </w:pPr>
      <w:r>
        <w:rPr/>
        <w:t>        </w:t>
      </w:r>
      <w:r>
        <w:rPr>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 </w:t>
      </w:r>
    </w:p>
    <w:p>
      <w:pPr>
        <w:pStyle w:val="TextBody"/>
        <w:rPr/>
      </w:pPr>
      <w:r>
        <w:rPr/>
        <w:t>        </w:t>
      </w:r>
      <w:r>
        <w:rPr>
          <w:sz w:val="20"/>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short sale;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futures or forward contract with respect to the partnership interest or substantially identical property. </w:t>
      </w:r>
    </w:p>
    <w:p>
      <w:pPr>
        <w:pStyle w:val="TextBody"/>
        <w:rPr/>
      </w:pPr>
      <w:r>
        <w:rPr/>
        <w:t>        </w:t>
      </w:r>
      <w:r>
        <w:rPr>
          <w:sz w:val="20"/>
        </w:rPr>
        <w:t xml:space="preserve">Moreover, if a taxpayer has previously entered into a short sale, an offsetting notional principal contract or a futures or forward contract with respect to the partnership interest, the taxpayer will be </w:t>
      </w:r>
    </w:p>
    <w:p>
      <w:pPr>
        <w:pStyle w:val="TextBody"/>
        <w:jc w:val="center"/>
        <w:rPr>
          <w:sz w:val="20"/>
        </w:rPr>
      </w:pPr>
      <w:r>
        <w:rPr>
          <w:sz w:val="20"/>
        </w:rPr>
        <w:t>40</w:t>
      </w:r>
    </w:p>
    <w:p>
      <w:pPr>
        <w:pStyle w:val="HorizontalLine"/>
        <w:pBdr>
          <w:bottom w:val="single" w:sz="20" w:space="0" w:color="808080"/>
        </w:pBdr>
        <w:rPr/>
      </w:pPr>
      <w:r>
        <w:rPr/>
      </w:r>
      <w:r>
        <w:br w:type="page"/>
      </w:r>
    </w:p>
    <w:p>
      <w:pPr>
        <w:pStyle w:val="TextBody"/>
        <w:rPr/>
      </w:pPr>
      <w:r>
        <w:rPr/>
      </w:r>
      <w:bookmarkStart w:id="130" w:name="page_dk1403_1_41"/>
      <w:bookmarkStart w:id="131" w:name="page_dk1403_1_41"/>
      <w:bookmarkEnd w:id="131"/>
    </w:p>
    <w:p>
      <w:pPr>
        <w:pStyle w:val="TextBody"/>
        <w:rPr>
          <w:sz w:val="20"/>
        </w:rPr>
      </w:pPr>
      <w:r>
        <w:rPr>
          <w:sz w:val="20"/>
        </w:rPr>
        <w:t xml:space="preserve">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 </w:t>
      </w:r>
    </w:p>
    <w:p>
      <w:pPr>
        <w:pStyle w:val="TextBody"/>
        <w:rPr/>
      </w:pPr>
      <w:r>
        <w:rPr/>
        <w:t>        </w:t>
      </w:r>
      <w:r>
        <w:rPr>
          <w:i/>
          <w:sz w:val="20"/>
        </w:rPr>
        <w:t>Allocations Between Transferors and Transferees.</w:t>
      </w:r>
      <w:r>
        <w:rPr/>
        <w:t>    </w:t>
      </w:r>
      <w:r>
        <w:rPr>
          <w:sz w:val="20"/>
        </w:rPr>
        <w:t xml:space="preserve">In general, our taxable income and losses will be determined annually, will be prorated on a monthly basis 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rPr/>
      </w:pPr>
      <w:r>
        <w:rPr/>
        <w:t>        </w:t>
      </w:r>
      <w:r>
        <w:rPr>
          <w:sz w:val="20"/>
        </w:rPr>
        <w:t xml:space="preserve">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 </w:t>
      </w:r>
    </w:p>
    <w:p>
      <w:pPr>
        <w:pStyle w:val="TextBody"/>
        <w:rPr/>
      </w:pPr>
      <w:r>
        <w:rPr/>
        <w:t>        </w:t>
      </w:r>
      <w:r>
        <w:rPr>
          <w:sz w:val="20"/>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rPr/>
      </w:pPr>
      <w:r>
        <w:rPr/>
        <w:t>        </w:t>
      </w:r>
      <w:r>
        <w:rPr>
          <w:i/>
          <w:sz w:val="20"/>
        </w:rPr>
        <w:t>Notification Requirements.</w:t>
      </w:r>
      <w:r>
        <w:rPr/>
        <w:t>    </w:t>
      </w:r>
      <w:r>
        <w:rPr>
          <w:sz w:val="20"/>
        </w:rPr>
        <w:t xml:space="preserve">A unitholder who sells or exchanges units, other than through a broker, generally is required to notify us in writing of that sale or exchange within 30 days after the sale or exchange (or, if earlier, January 15 of the year following the sale). A unitholder who acquires units generally is required to notify us in writing of that acquisition within 30 days of that purchase, unless a broker or nominee will satisfy such requirement. We are required to notify the IRS of any such transfers and to furnish specified information to the transferor and transferee. Failure to satisfy these reporting obligations may, in some cases, lead to the imposition of penalties. </w:t>
      </w:r>
    </w:p>
    <w:p>
      <w:pPr>
        <w:pStyle w:val="TextBody"/>
        <w:rPr/>
      </w:pPr>
      <w:r>
        <w:rPr/>
        <w:t>        </w:t>
      </w:r>
      <w:r>
        <w:rPr>
          <w:i/>
          <w:sz w:val="20"/>
        </w:rPr>
        <w:t>Constructive Termination.</w:t>
      </w:r>
      <w:r>
        <w:rPr/>
        <w:t>    </w:t>
      </w:r>
      <w:r>
        <w:rPr>
          <w:sz w:val="20"/>
        </w:rPr>
        <w:t xml:space="preserve">We will be considered to have been terminated for tax purposes if there is a sale or exchange of 50% or more of the total interests in our capital and profits 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w:t>
      </w:r>
    </w:p>
    <w:p>
      <w:pPr>
        <w:pStyle w:val="TextBody"/>
        <w:rPr>
          <w:b/>
          <w:sz w:val="20"/>
        </w:rPr>
      </w:pPr>
      <w:r>
        <w:rPr>
          <w:b/>
          <w:sz w:val="20"/>
        </w:rPr>
        <w:t xml:space="preserve">Uniformity of Units </w:t>
      </w:r>
    </w:p>
    <w:p>
      <w:pPr>
        <w:pStyle w:val="TextBody"/>
        <w:rPr/>
      </w:pPr>
      <w:r>
        <w:rPr/>
        <w:t>        </w:t>
      </w:r>
      <w:r>
        <w:rPr>
          <w:sz w:val="20"/>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"Tax Consequences of Unit OwnershipSection 754 Election." </w:t>
      </w:r>
    </w:p>
    <w:p>
      <w:pPr>
        <w:pStyle w:val="TextBody"/>
        <w:jc w:val="center"/>
        <w:rPr>
          <w:sz w:val="20"/>
        </w:rPr>
      </w:pPr>
      <w:r>
        <w:rPr>
          <w:sz w:val="20"/>
        </w:rPr>
        <w:t>41</w:t>
      </w:r>
    </w:p>
    <w:p>
      <w:pPr>
        <w:pStyle w:val="HorizontalLine"/>
        <w:pBdr>
          <w:bottom w:val="single" w:sz="20" w:space="0" w:color="808080"/>
        </w:pBdr>
        <w:rPr/>
      </w:pPr>
      <w:r>
        <w:rPr/>
      </w:r>
      <w:r>
        <w:br w:type="page"/>
      </w:r>
    </w:p>
    <w:p>
      <w:pPr>
        <w:pStyle w:val="TextBody"/>
        <w:rPr/>
      </w:pPr>
      <w:r>
        <w:rPr/>
      </w:r>
      <w:bookmarkStart w:id="132" w:name="page_dk1403_1_42"/>
      <w:bookmarkStart w:id="133" w:name="page_dk1403_1_42"/>
      <w:bookmarkEnd w:id="133"/>
    </w:p>
    <w:p>
      <w:pPr>
        <w:pStyle w:val="TextBody"/>
        <w:rPr/>
      </w:pPr>
      <w:r>
        <w:rPr/>
        <w:t>        </w:t>
      </w:r>
      <w:r>
        <w:rPr>
          <w:sz w:val="20"/>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 </w:t>
      </w:r>
    </w:p>
    <w:p>
      <w:pPr>
        <w:pStyle w:val="TextBody"/>
        <w:rPr>
          <w:b/>
          <w:sz w:val="20"/>
        </w:rPr>
      </w:pPr>
      <w:r>
        <w:rPr>
          <w:b/>
          <w:sz w:val="20"/>
        </w:rPr>
        <w:t xml:space="preserve">Tax-Exempt Organizations and Other Investors </w:t>
      </w:r>
    </w:p>
    <w:p>
      <w:pPr>
        <w:pStyle w:val="TextBody"/>
        <w:rPr/>
      </w:pPr>
      <w:r>
        <w:rPr/>
        <w:t>        </w:t>
      </w:r>
      <w:r>
        <w:rPr>
          <w:sz w:val="20"/>
        </w:rPr>
        <w:t xml:space="preserve">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 </w:t>
      </w:r>
    </w:p>
    <w:p>
      <w:pPr>
        <w:pStyle w:val="TextBody"/>
        <w:rPr/>
      </w:pPr>
      <w:r>
        <w:rPr/>
        <w:t>        </w:t>
      </w:r>
      <w:r>
        <w:rPr>
          <w:sz w:val="20"/>
        </w:rPr>
        <w:t xml:space="preserve">For tax years beginning on or prior to October 22, 2004, a regulated investment company or "mutual fund" is required to derive 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 </w:t>
      </w:r>
    </w:p>
    <w:p>
      <w:pPr>
        <w:pStyle w:val="TextBody"/>
        <w:rPr/>
      </w:pPr>
      <w:r>
        <w:rPr/>
        <w:t>        </w:t>
      </w:r>
      <w:r>
        <w:rPr>
          <w:sz w:val="20"/>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 </w:t>
      </w:r>
    </w:p>
    <w:p>
      <w:pPr>
        <w:pStyle w:val="TextBody"/>
        <w:jc w:val="center"/>
        <w:rPr>
          <w:sz w:val="20"/>
        </w:rPr>
      </w:pPr>
      <w:r>
        <w:rPr>
          <w:sz w:val="20"/>
        </w:rPr>
        <w:t>42</w:t>
      </w:r>
    </w:p>
    <w:p>
      <w:pPr>
        <w:pStyle w:val="HorizontalLine"/>
        <w:pBdr>
          <w:bottom w:val="single" w:sz="20" w:space="0" w:color="808080"/>
        </w:pBdr>
        <w:rPr/>
      </w:pPr>
      <w:r>
        <w:rPr/>
      </w:r>
      <w:r>
        <w:br w:type="page"/>
      </w:r>
    </w:p>
    <w:p>
      <w:pPr>
        <w:pStyle w:val="TextBody"/>
        <w:rPr/>
      </w:pPr>
      <w:r>
        <w:rPr/>
      </w:r>
      <w:bookmarkStart w:id="134" w:name="page_dk1403_1_43"/>
      <w:bookmarkStart w:id="135" w:name="page_dk1403_1_43"/>
      <w:bookmarkEnd w:id="135"/>
    </w:p>
    <w:p>
      <w:pPr>
        <w:pStyle w:val="TextBody"/>
        <w:rPr/>
      </w:pPr>
      <w:r>
        <w:rPr/>
        <w:t>        </w:t>
      </w:r>
      <w:r>
        <w:rPr>
          <w:sz w:val="20"/>
        </w:rPr>
        <w:t xml:space="preserve">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rPr/>
      </w:pPr>
      <w:r>
        <w:rPr/>
        <w:t>        </w:t>
      </w:r>
      <w:r>
        <w:rPr>
          <w:sz w:val="20"/>
        </w:rPr>
        <w:t xml:space="preserve">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 </w:t>
      </w:r>
    </w:p>
    <w:p>
      <w:pPr>
        <w:pStyle w:val="TextBody"/>
        <w:rPr>
          <w:b/>
          <w:sz w:val="20"/>
        </w:rPr>
      </w:pPr>
      <w:r>
        <w:rPr>
          <w:b/>
          <w:sz w:val="20"/>
        </w:rPr>
        <w:t xml:space="preserve">Administrative Matters </w:t>
      </w:r>
    </w:p>
    <w:p>
      <w:pPr>
        <w:pStyle w:val="TextBody"/>
        <w:rPr/>
      </w:pPr>
      <w:r>
        <w:rPr/>
        <w:t>        </w:t>
      </w:r>
      <w:r>
        <w:rPr>
          <w:i/>
          <w:sz w:val="20"/>
        </w:rPr>
        <w:t>Information Returns and Audit Procedures.</w:t>
      </w:r>
      <w:r>
        <w:rPr/>
        <w:t>    </w:t>
      </w:r>
      <w:r>
        <w:rPr>
          <w:sz w:val="20"/>
        </w:rPr>
        <w:t xml:space="preserve">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 </w:t>
      </w:r>
    </w:p>
    <w:p>
      <w:pPr>
        <w:pStyle w:val="TextBody"/>
        <w:rPr/>
      </w:pPr>
      <w:r>
        <w:rPr/>
        <w:t>        </w:t>
      </w:r>
      <w:r>
        <w:rPr>
          <w:sz w:val="20"/>
        </w:rPr>
        <w:t xml:space="preserve">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 </w:t>
      </w:r>
    </w:p>
    <w:p>
      <w:pPr>
        <w:pStyle w:val="TextBody"/>
        <w:rPr/>
      </w:pPr>
      <w:r>
        <w:rPr/>
        <w:t>        </w:t>
      </w:r>
      <w:r>
        <w:rPr>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 </w:t>
      </w:r>
    </w:p>
    <w:p>
      <w:pPr>
        <w:pStyle w:val="TextBody"/>
        <w:rPr/>
      </w:pPr>
      <w:r>
        <w:rPr/>
        <w:t>        </w:t>
      </w:r>
      <w:r>
        <w:rPr>
          <w:sz w:val="20"/>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 elect to be treated as a large partnership, a unitholder will not have the right to participate in settlement conferences with the IRS or to seek a refund. </w:t>
      </w:r>
    </w:p>
    <w:p>
      <w:pPr>
        <w:pStyle w:val="TextBody"/>
        <w:jc w:val="center"/>
        <w:rPr>
          <w:sz w:val="20"/>
        </w:rPr>
      </w:pPr>
      <w:r>
        <w:rPr>
          <w:sz w:val="20"/>
        </w:rPr>
        <w:t>43</w:t>
      </w:r>
    </w:p>
    <w:p>
      <w:pPr>
        <w:pStyle w:val="HorizontalLine"/>
        <w:pBdr>
          <w:bottom w:val="single" w:sz="20" w:space="0" w:color="808080"/>
        </w:pBdr>
        <w:rPr/>
      </w:pPr>
      <w:r>
        <w:rPr/>
      </w:r>
      <w:r>
        <w:br w:type="page"/>
      </w:r>
    </w:p>
    <w:p>
      <w:pPr>
        <w:pStyle w:val="TextBody"/>
        <w:rPr/>
      </w:pPr>
      <w:r>
        <w:rPr/>
      </w:r>
      <w:bookmarkStart w:id="136" w:name="page_dk1403_1_44"/>
      <w:bookmarkStart w:id="137" w:name="page_dk1403_1_44"/>
      <w:bookmarkEnd w:id="137"/>
    </w:p>
    <w:p>
      <w:pPr>
        <w:pStyle w:val="TextBody"/>
        <w:rPr/>
      </w:pPr>
      <w:r>
        <w:rPr/>
        <w:t>        </w:t>
      </w:r>
      <w:r>
        <w:rPr>
          <w:sz w:val="20"/>
        </w:rPr>
        <w:t xml:space="preserve">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 </w:t>
      </w:r>
    </w:p>
    <w:p>
      <w:pPr>
        <w:pStyle w:val="TextBody"/>
        <w:rPr/>
      </w:pPr>
      <w:r>
        <w:rPr/>
        <w:t>        </w:t>
      </w:r>
      <w:r>
        <w:rPr>
          <w:i/>
          <w:sz w:val="20"/>
        </w:rPr>
        <w:t>Nominee Reporting.</w:t>
      </w:r>
      <w:r>
        <w:rPr/>
        <w:t>    </w:t>
      </w:r>
      <w:r>
        <w:rPr>
          <w:sz w:val="20"/>
        </w:rPr>
        <w:t xml:space="preserve">Persons who hold an interest in us as a nominee for another person are required to furnish to 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name, address and taxpayer identification number of the beneficial owner and the nominee;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the beneficial owner is a person that is not a United States person,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foreign government, an international organization or any wholly owned agency or instrumentality of either of the foregoing,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tax-exempt entity;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and description of units held, acquired or transferred for the beneficial owner;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specific information including the dates of acquisitions and transfers, means of acquisitions and transfers, and acquisition cost for purchases, as well as the amount of net proceeds from sales. </w:t>
      </w:r>
    </w:p>
    <w:p>
      <w:pPr>
        <w:pStyle w:val="TextBody"/>
        <w:rPr/>
      </w:pPr>
      <w:r>
        <w:rPr/>
        <w:t>        </w:t>
      </w:r>
      <w:r>
        <w:rPr>
          <w:sz w:val="20"/>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rPr/>
      </w:pPr>
      <w:r>
        <w:rPr/>
        <w:t>        </w:t>
      </w:r>
      <w:r>
        <w:rPr>
          <w:i/>
          <w:sz w:val="20"/>
        </w:rPr>
        <w:t>Accuracy-related Penalties.</w:t>
      </w:r>
      <w:r>
        <w:rPr/>
        <w:t>    </w:t>
      </w:r>
      <w:r>
        <w:rPr>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rPr/>
      </w:pPr>
      <w:r>
        <w:rPr/>
        <w:t>        </w:t>
      </w:r>
      <w:r>
        <w:rPr>
          <w:sz w:val="20"/>
        </w:rPr>
        <w:t xml:space="preserve">A substantial understatement of income tax in any taxable year exists if the amount of the understatement exceeds the greater of 10% of the tax required to be shown on the return for the taxable year or $5,000. The amount of any understatement subject to penalty generally is reduced if any portion is attributable to a position adopted on the return: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for which there is, or was, "substantial authority,"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as to which there is a reasonable basis and the pertinent facts of that position are disclosed on the return. </w:t>
      </w:r>
    </w:p>
    <w:p>
      <w:pPr>
        <w:pStyle w:val="TextBody"/>
        <w:rPr/>
      </w:pPr>
      <w:r>
        <w:rPr/>
        <w:t>        </w:t>
      </w:r>
      <w:r>
        <w:rPr>
          <w:sz w:val="20"/>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 </w:t>
      </w:r>
    </w:p>
    <w:p>
      <w:pPr>
        <w:pStyle w:val="TextBody"/>
        <w:rPr/>
      </w:pPr>
      <w:r>
        <w:rPr/>
        <w:t>        </w:t>
      </w:r>
      <w:r>
        <w:rPr>
          <w:sz w:val="20"/>
        </w:rPr>
        <w:t xml:space="preserve">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If the valuation claimed on a return is 400% or more than the correct valuation, the penalty imposed increases to 40%. </w:t>
      </w:r>
    </w:p>
    <w:p>
      <w:pPr>
        <w:pStyle w:val="TextBody"/>
        <w:jc w:val="center"/>
        <w:rPr>
          <w:sz w:val="20"/>
        </w:rPr>
      </w:pPr>
      <w:r>
        <w:rPr>
          <w:sz w:val="20"/>
        </w:rPr>
        <w:t>44</w:t>
      </w:r>
    </w:p>
    <w:p>
      <w:pPr>
        <w:pStyle w:val="HorizontalLine"/>
        <w:pBdr>
          <w:bottom w:val="single" w:sz="20" w:space="0" w:color="808080"/>
        </w:pBdr>
        <w:rPr/>
      </w:pPr>
      <w:r>
        <w:rPr/>
      </w:r>
      <w:r>
        <w:br w:type="page"/>
      </w:r>
    </w:p>
    <w:p>
      <w:pPr>
        <w:pStyle w:val="TextBody"/>
        <w:rPr/>
      </w:pPr>
      <w:r>
        <w:rPr/>
      </w:r>
      <w:bookmarkStart w:id="138" w:name="page_dk1403_1_45"/>
      <w:bookmarkStart w:id="139" w:name="page_dk1403_1_45"/>
      <w:bookmarkEnd w:id="139"/>
    </w:p>
    <w:p>
      <w:pPr>
        <w:pStyle w:val="TextBody"/>
        <w:rPr/>
      </w:pPr>
      <w:r>
        <w:rPr/>
        <w:t>        </w:t>
      </w:r>
      <w:r>
        <w:rPr>
          <w:i/>
          <w:sz w:val="20"/>
        </w:rPr>
        <w:t>Reportable Transactions.</w:t>
      </w:r>
      <w:r>
        <w:rPr/>
        <w:t>    </w:t>
      </w:r>
      <w:r>
        <w:rPr>
          <w:sz w:val="20"/>
        </w:rPr>
        <w:t xml:space="preserve">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"Information Returns and Audit Procedures" above. </w:t>
      </w:r>
    </w:p>
    <w:p>
      <w:pPr>
        <w:pStyle w:val="TextBody"/>
        <w:rPr/>
      </w:pPr>
      <w:r>
        <w:rPr/>
        <w:t>        </w:t>
      </w:r>
      <w:r>
        <w:rPr>
          <w:sz w:val="20"/>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accuracy-related penalties with a broader scope, significantly narrower exceptions, and potentially greater amounts than described above at "Accuracy-related Penalties,"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for those persons otherwise entitled to deduct interest on federal tax deficiencies, nondeductibility of interest on any resulting tax liability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 listed transaction, an extended statute of limitations. </w:t>
      </w:r>
    </w:p>
    <w:p>
      <w:pPr>
        <w:pStyle w:val="TextBody"/>
        <w:rPr/>
      </w:pPr>
      <w:r>
        <w:rPr/>
        <w:t>        </w:t>
      </w:r>
      <w:r>
        <w:rPr>
          <w:sz w:val="20"/>
        </w:rPr>
        <w:t xml:space="preserve">We do not expect to engage in any "reportable transactions." </w:t>
      </w:r>
    </w:p>
    <w:p>
      <w:pPr>
        <w:pStyle w:val="TextBody"/>
        <w:rPr>
          <w:b/>
          <w:sz w:val="20"/>
        </w:rPr>
      </w:pPr>
      <w:r>
        <w:rPr>
          <w:b/>
          <w:sz w:val="20"/>
        </w:rPr>
        <w:t xml:space="preserve">State, Local and Other Tax Considerations </w:t>
      </w:r>
    </w:p>
    <w:p>
      <w:pPr>
        <w:pStyle w:val="TextBody"/>
        <w:rPr/>
      </w:pPr>
      <w:r>
        <w:rPr/>
        <w:t>        </w:t>
      </w:r>
      <w:r>
        <w:rPr>
          <w:sz w:val="20"/>
        </w:rPr>
        <w:t xml:space="preserve">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 purposes of determining the amount distributed by us. Please read "Tax Consequences of Unit Ownership." We may also own additional property or do business in other states in the future. </w:t>
      </w:r>
    </w:p>
    <w:p>
      <w:pPr>
        <w:pStyle w:val="TextBody"/>
        <w:rPr>
          <w:b/>
          <w:sz w:val="20"/>
        </w:rPr>
      </w:pPr>
      <w:r>
        <w:rPr>
          <w:b/>
          <w:sz w:val="20"/>
        </w:rPr>
        <w:t xml:space="preserve">Tax Consequences of Ownership of Debt Securities </w:t>
      </w:r>
    </w:p>
    <w:p>
      <w:pPr>
        <w:pStyle w:val="TextBody"/>
        <w:rPr/>
      </w:pPr>
      <w:r>
        <w:rPr/>
        <w:t>        </w:t>
      </w:r>
      <w:r>
        <w:rPr>
          <w:sz w:val="20"/>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rPr/>
      </w:pPr>
      <w:r>
        <w:rPr/>
        <w:t>        </w:t>
      </w:r>
      <w:r>
        <w:rPr>
          <w:b/>
          <w:sz w:val="20"/>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p>
    <w:p>
      <w:pPr>
        <w:pStyle w:val="TextBody"/>
        <w:jc w:val="center"/>
        <w:rPr>
          <w:sz w:val="20"/>
        </w:rPr>
      </w:pPr>
      <w:r>
        <w:rPr>
          <w:sz w:val="20"/>
        </w:rPr>
        <w:t>45</w:t>
      </w:r>
    </w:p>
    <w:p>
      <w:pPr>
        <w:pStyle w:val="HorizontalLine"/>
        <w:pBdr>
          <w:bottom w:val="single" w:sz="20" w:space="0" w:color="808080"/>
        </w:pBdr>
        <w:rPr/>
      </w:pPr>
      <w:r>
        <w:rPr/>
      </w:r>
      <w:r>
        <w:br w:type="page"/>
      </w:r>
    </w:p>
    <w:p>
      <w:pPr>
        <w:pStyle w:val="TextBody"/>
        <w:jc w:val="center"/>
        <w:rPr/>
      </w:pPr>
      <w:bookmarkStart w:id="140" w:name="toc_dm1403_1"/>
      <w:bookmarkStart w:id="141" w:name="dm1403_plan_of_distribution"/>
      <w:bookmarkStart w:id="142" w:name="page_dm1403_1_46"/>
      <w:bookmarkEnd w:id="140"/>
      <w:bookmarkEnd w:id="141"/>
      <w:bookmarkEnd w:id="142"/>
      <w:r>
        <w:rPr>
          <w:sz w:val="20"/>
        </w:rPr>
        <w:br/>
      </w:r>
      <w:r>
        <w:rPr>
          <w:b/>
          <w:sz w:val="20"/>
        </w:rPr>
        <w:t xml:space="preserve">PLAN OF DISTRIBUTION </w:t>
      </w:r>
    </w:p>
    <w:p>
      <w:pPr>
        <w:pStyle w:val="TextBody"/>
        <w:rPr/>
      </w:pPr>
      <w:r>
        <w:rPr/>
        <w:t>        </w:t>
      </w:r>
      <w:r>
        <w:rPr>
          <w:sz w:val="20"/>
        </w:rPr>
        <w:t xml:space="preserve">Under this prospectus, we intend to offer our securities to the public: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through one or more broker-dealers;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through underwriters;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directly to investors. </w:t>
      </w:r>
    </w:p>
    <w:p>
      <w:pPr>
        <w:pStyle w:val="TextBody"/>
        <w:rPr/>
      </w:pPr>
      <w:r>
        <w:rPr/>
        <w:t>        </w:t>
      </w:r>
      <w:r>
        <w:rPr>
          <w:sz w:val="20"/>
        </w:rPr>
        <w:t xml:space="preserve">We will fix a price or prices of our securities at: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at market prices prevailing at the time of any sale under this registration statement;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prices related to market prices;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negotiated prices. </w:t>
      </w:r>
    </w:p>
    <w:p>
      <w:pPr>
        <w:pStyle w:val="TextBody"/>
        <w:rPr>
          <w:sz w:val="20"/>
        </w:rPr>
      </w:pPr>
      <w:r>
        <w:rPr>
          <w:sz w:val="20"/>
        </w:rPr>
        <w:t xml:space="preserve">We may change the price of the securities offered from time to time. </w:t>
      </w:r>
    </w:p>
    <w:p>
      <w:pPr>
        <w:pStyle w:val="TextBody"/>
        <w:rPr/>
      </w:pPr>
      <w:r>
        <w:rPr/>
        <w:t>        </w:t>
      </w:r>
      <w:r>
        <w:rPr>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or through one or more transactions (which may involve crosses and block transactions) or distributions;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on the New York Stock Exchange;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over-the-counter market;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private transactions. </w:t>
      </w:r>
    </w:p>
    <w:p>
      <w:pPr>
        <w:pStyle w:val="TextBody"/>
        <w:rPr/>
      </w:pPr>
      <w:r>
        <w:rPr/>
        <w:t>        </w:t>
      </w:r>
      <w:r>
        <w:rPr>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rPr/>
      </w:pPr>
      <w:r>
        <w:rPr/>
        <w:t>        </w:t>
      </w:r>
      <w:r>
        <w:rPr>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rPr/>
      </w:pPr>
      <w:r>
        <w:rPr/>
        <w:t>        </w:t>
      </w:r>
      <w:r>
        <w:rPr>
          <w:sz w:val="20"/>
        </w:rPr>
        <w:t xml:space="preserve">To the extent required, this prospectus may be amended or supplemented from time to time to describe a specific plan of distribution. </w:t>
      </w:r>
    </w:p>
    <w:p>
      <w:pPr>
        <w:pStyle w:val="TextBody"/>
        <w:rPr/>
      </w:pPr>
      <w:r>
        <w:rPr/>
        <w:t>        </w:t>
      </w:r>
      <w:r>
        <w:rPr>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w:t>
      </w:r>
    </w:p>
    <w:p>
      <w:pPr>
        <w:pStyle w:val="TextBody"/>
        <w:jc w:val="center"/>
        <w:rPr>
          <w:sz w:val="20"/>
        </w:rPr>
      </w:pPr>
      <w:r>
        <w:rPr>
          <w:sz w:val="20"/>
        </w:rPr>
        <w:t>46</w:t>
      </w:r>
    </w:p>
    <w:p>
      <w:pPr>
        <w:pStyle w:val="HorizontalLine"/>
        <w:pBdr>
          <w:bottom w:val="single" w:sz="20" w:space="0" w:color="808080"/>
        </w:pBdr>
        <w:rPr/>
      </w:pPr>
      <w:r>
        <w:rPr/>
      </w:r>
      <w:r>
        <w:br w:type="page"/>
      </w:r>
    </w:p>
    <w:p>
      <w:pPr>
        <w:pStyle w:val="TextBody"/>
        <w:rPr>
          <w:sz w:val="20"/>
        </w:rPr>
      </w:pPr>
      <w:bookmarkStart w:id="143" w:name="page_dm1403_1_47"/>
      <w:bookmarkEnd w:id="143"/>
      <w:r>
        <w:rPr>
          <w:sz w:val="20"/>
        </w:rPr>
        <w:t xml:space="preserve">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jc w:val="center"/>
        <w:rPr/>
      </w:pPr>
      <w:bookmarkStart w:id="144" w:name="toc_dm1403_2"/>
      <w:bookmarkStart w:id="145" w:name="dm1403_legal_matters"/>
      <w:bookmarkEnd w:id="144"/>
      <w:bookmarkEnd w:id="145"/>
      <w:r>
        <w:rPr>
          <w:sz w:val="20"/>
        </w:rPr>
        <w:br/>
      </w:r>
      <w:r>
        <w:rPr>
          <w:b/>
          <w:sz w:val="20"/>
        </w:rPr>
        <w:t xml:space="preserve">LEGAL MATTERS </w:t>
      </w:r>
    </w:p>
    <w:p>
      <w:pPr>
        <w:pStyle w:val="TextBody"/>
        <w:rPr/>
      </w:pPr>
      <w:r>
        <w:rPr/>
        <w:t>        </w:t>
      </w:r>
      <w:r>
        <w:rPr>
          <w:sz w:val="20"/>
        </w:rPr>
        <w:t xml:space="preserve">Vinson &amp; Elkins L.L.P., Houston, Texas, will pass upon the validity of the securities offered in this registration statement. </w:t>
      </w:r>
    </w:p>
    <w:p>
      <w:pPr>
        <w:pStyle w:val="TextBody"/>
        <w:jc w:val="center"/>
        <w:rPr/>
      </w:pPr>
      <w:bookmarkStart w:id="146" w:name="toc_dm1403_3"/>
      <w:bookmarkStart w:id="147" w:name="dm1403_experts"/>
      <w:bookmarkEnd w:id="146"/>
      <w:bookmarkEnd w:id="147"/>
      <w:r>
        <w:rPr>
          <w:sz w:val="20"/>
        </w:rPr>
        <w:br/>
      </w:r>
      <w:r>
        <w:rPr>
          <w:b/>
          <w:sz w:val="20"/>
        </w:rPr>
        <w:t xml:space="preserve">EXPERTS </w:t>
      </w:r>
    </w:p>
    <w:p>
      <w:pPr>
        <w:pStyle w:val="TextBody"/>
        <w:rPr/>
      </w:pPr>
      <w:r>
        <w:rPr/>
        <w:t>        </w:t>
      </w:r>
      <w:r>
        <w:rPr>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 </w:t>
      </w:r>
    </w:p>
    <w:p>
      <w:pPr>
        <w:pStyle w:val="TextBody"/>
        <w:rPr/>
      </w:pPr>
      <w:r>
        <w:rPr/>
        <w:t>        </w:t>
      </w:r>
      <w:r>
        <w:rPr>
          <w:sz w:val="20"/>
        </w:rPr>
        <w:t xml:space="preserve">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 </w:t>
      </w:r>
    </w:p>
    <w:p>
      <w:pPr>
        <w:pStyle w:val="TextBody"/>
        <w:jc w:val="center"/>
        <w:rPr>
          <w:sz w:val="20"/>
        </w:rPr>
      </w:pPr>
      <w:r>
        <w:rPr>
          <w:sz w:val="20"/>
        </w:rPr>
        <w:t>47</w:t>
      </w:r>
    </w:p>
    <w:p>
      <w:pPr>
        <w:pStyle w:val="HorizontalLine"/>
        <w:pBdr>
          <w:bottom w:val="single" w:sz="20" w:space="0" w:color="808080"/>
        </w:pBdr>
        <w:rPr/>
      </w:pPr>
      <w:r>
        <w:rPr/>
      </w:r>
      <w:r>
        <w:br w:type="page"/>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63</Pages>
  <Words>33233</Words>
  <CharactersWithSpaces>208670</CharactersWithSpaces>
  <Paragraphs>1232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