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rFonts w:ascii="Times New Roman" w:hAnsi="Times New Roman"/>
          <w:b/>
          <w:sz w:val="15"/>
        </w:rPr>
      </w:pPr>
      <w:bookmarkStart w:id="0" w:name="scotch"/>
      <w:bookmarkStart w:id="1" w:name="a05-16282_1s4.htm"/>
      <w:bookmarkStart w:id="2" w:name="ksa0516282_1s4"/>
      <w:bookmarkEnd w:id="0"/>
      <w:bookmarkEnd w:id="1"/>
      <w:bookmarkEnd w:id="2"/>
      <w:r>
        <w:rPr>
          <w:rFonts w:ascii="Times New Roman" w:hAnsi="Times New Roman"/>
          <w:b/>
          <w:sz w:val="15"/>
        </w:rPr>
        <w:t>As filed with the Securities and Exchange Commission on September 22, 2005</w:t>
      </w:r>
    </w:p>
    <w:p>
      <w:pPr>
        <w:pStyle w:val="TextBody"/>
        <w:keepNext w:val="true"/>
        <w:pBdr/>
        <w:spacing w:before="0" w:after="240"/>
        <w:ind w:left="0" w:right="0" w:hanging="0"/>
        <w:jc w:val="right"/>
        <w:rPr>
          <w:rFonts w:ascii="Times New Roman" w:hAnsi="Times New Roman"/>
          <w:b/>
          <w:sz w:val="15"/>
          <w:bdr w:val="double" w:sz="16" w:space="1" w:color="000000"/>
        </w:rPr>
      </w:pPr>
      <w:r>
        <w:rPr>
          <w:rFonts w:ascii="Times New Roman" w:hAnsi="Times New Roman"/>
          <w:b/>
          <w:sz w:val="15"/>
          <w:bdr w:val="double" w:sz="16" w:space="1" w:color="000000"/>
        </w:rPr>
        <w:t>Registration No. 333        </w:t>
      </w:r>
    </w:p>
    <w:p>
      <w:pPr>
        <w:pStyle w:val="TextBody"/>
        <w:spacing w:before="0" w:after="0"/>
        <w:ind w:left="0" w:right="0" w:hanging="0"/>
        <w:rPr>
          <w:rFonts w:ascii="Times New Roman" w:hAnsi="Times New Roman"/>
          <w:b/>
          <w:sz w:val="27"/>
        </w:rPr>
      </w:pPr>
      <w:r>
        <w:rPr>
          <w:rFonts w:ascii="Times New Roman" w:hAnsi="Times New Roman"/>
          <w:b/>
          <w:sz w:val="27"/>
        </w:rPr>
        <w:t>SECURITIES AND EXCHANGE COMMISSION</w:t>
      </w:r>
    </w:p>
    <w:p>
      <w:pPr>
        <w:pStyle w:val="TextBody"/>
        <w:keepNext w:val="true"/>
        <w:spacing w:before="0" w:after="50"/>
        <w:ind w:left="0" w:right="0" w:hanging="0"/>
        <w:jc w:val="center"/>
        <w:rPr>
          <w:rFonts w:ascii="Times New Roman" w:hAnsi="Times New Roman"/>
          <w:b/>
          <w:sz w:val="15"/>
        </w:rPr>
      </w:pPr>
      <w:r>
        <w:rPr>
          <w:rFonts w:ascii="Times New Roman" w:hAnsi="Times New Roman"/>
          <w:b/>
          <w:sz w:val="15"/>
        </w:rPr>
        <w:t>WASHINGTON, D.C. 20549</w:t>
      </w:r>
    </w:p>
    <w:p>
      <w:pPr>
        <w:pStyle w:val="HorizontalLine"/>
        <w:pBdr>
          <w:bottom w:val="single" w:sz="6" w:space="0" w:color="000000"/>
        </w:pBdr>
        <w:spacing w:lineRule="atLeast" w:line="180" w:before="0" w:after="40"/>
        <w:jc w:val="center"/>
        <w:rPr/>
      </w:pPr>
      <w:r>
        <w:rPr/>
      </w:r>
    </w:p>
    <w:p>
      <w:pPr>
        <w:pStyle w:val="TextBody"/>
        <w:spacing w:before="0" w:after="0"/>
        <w:ind w:left="0" w:right="0" w:hanging="0"/>
        <w:rPr>
          <w:rFonts w:ascii="Times New Roman" w:hAnsi="Times New Roman"/>
          <w:b/>
          <w:sz w:val="27"/>
        </w:rPr>
      </w:pPr>
      <w:r>
        <w:rPr>
          <w:rFonts w:ascii="Times New Roman" w:hAnsi="Times New Roman"/>
          <w:b/>
          <w:sz w:val="27"/>
        </w:rPr>
        <w:t>FORM S-4</w:t>
      </w:r>
    </w:p>
    <w:p>
      <w:pPr>
        <w:pStyle w:val="TextBody"/>
        <w:keepNext w:val="true"/>
        <w:spacing w:before="0" w:after="50"/>
        <w:ind w:left="0" w:right="0" w:hanging="0"/>
        <w:jc w:val="center"/>
        <w:rPr>
          <w:rFonts w:ascii="Times New Roman" w:hAnsi="Times New Roman"/>
          <w:b/>
          <w:sz w:val="18"/>
        </w:rPr>
      </w:pPr>
      <w:r>
        <w:rPr>
          <w:rFonts w:ascii="Times New Roman" w:hAnsi="Times New Roman"/>
          <w:b/>
          <w:sz w:val="18"/>
        </w:rPr>
        <w:t>REGISTRATION STATEMENT UNDER THE</w:t>
        <w:br/>
        <w:t>SECURITIES ACT OF 1933</w:t>
      </w:r>
    </w:p>
    <w:p>
      <w:pPr>
        <w:pStyle w:val="HorizontalLine"/>
        <w:pBdr>
          <w:bottom w:val="single" w:sz="6" w:space="0" w:color="000000"/>
        </w:pBdr>
        <w:spacing w:lineRule="atLeast" w:line="180" w:before="0" w:after="50"/>
        <w:jc w:val="center"/>
        <w:rPr/>
      </w:pPr>
      <w:r>
        <w:rPr/>
      </w:r>
    </w:p>
    <w:p>
      <w:pPr>
        <w:pStyle w:val="TextBody"/>
        <w:spacing w:before="0" w:after="0"/>
        <w:ind w:left="0" w:right="0" w:hanging="0"/>
        <w:rPr>
          <w:rFonts w:ascii="Times New Roman" w:hAnsi="Times New Roman"/>
          <w:b/>
          <w:sz w:val="27"/>
        </w:rPr>
      </w:pPr>
      <w:r>
        <w:rPr>
          <w:rFonts w:ascii="Times New Roman" w:hAnsi="Times New Roman"/>
          <w:b/>
          <w:sz w:val="27"/>
        </w:rPr>
        <w:t>PLAINS ALL AMERICAN PIPELINE, L.P.</w:t>
        <w:br/>
        <w:t>PAA FINANCE CORP.*</w:t>
      </w:r>
    </w:p>
    <w:p>
      <w:pPr>
        <w:pStyle w:val="TextBody"/>
        <w:keepNext w:val="true"/>
        <w:spacing w:before="0" w:after="8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tcPr>
          <w:p>
            <w:pPr>
              <w:pStyle w:val="TableContents"/>
              <w:spacing w:before="0" w:after="0"/>
              <w:ind w:left="0" w:right="0" w:hanging="0"/>
              <w:rPr>
                <w:b/>
                <w:sz w:val="15"/>
              </w:rPr>
            </w:pPr>
            <w:r>
              <w:rPr>
                <w:b/>
                <w:sz w:val="15"/>
              </w:rPr>
              <w:t>Delaware</w:t>
              <w:br/>
              <w:t>Delaware</w:t>
            </w:r>
          </w:p>
        </w:tc>
        <w:tc>
          <w:tcPr>
            <w:tcW w:w="340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4610</w:t>
              <w:br/>
              <w:t>4610</w:t>
            </w:r>
          </w:p>
        </w:tc>
        <w:tc>
          <w:tcPr>
            <w:tcW w:w="340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76-0669671</w:t>
              <w:br/>
              <w:t>76-0582150</w:t>
            </w:r>
          </w:p>
        </w:tc>
      </w:tr>
      <w:tr>
        <w:trPr/>
        <w:tc>
          <w:tcPr>
            <w:tcW w:w="3401"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w:t>
              <w:br/>
              <w:t>Incorporation or Organization)</w:t>
            </w:r>
          </w:p>
        </w:tc>
        <w:tc>
          <w:tcPr>
            <w:tcW w:w="340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(Primary Standard Industrial</w:t>
              <w:br/>
              <w:t>Classification Code Number)</w:t>
            </w:r>
          </w:p>
        </w:tc>
        <w:tc>
          <w:tcPr>
            <w:tcW w:w="3402"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(I.R.S. Employer</w:t>
              <w:br/>
              <w:t>Identification No.)</w:t>
            </w:r>
          </w:p>
        </w:tc>
      </w:tr>
    </w:tbl>
    <w:p>
      <w:pPr>
        <w:pStyle w:val="TextBody"/>
        <w:spacing w:lineRule="atLeast" w:line="141" w:before="0" w:after="12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0"/>
              <w:ind w:left="0" w:right="0" w:hanging="0"/>
              <w:rPr>
                <w:b/>
                <w:sz w:val="15"/>
              </w:rPr>
            </w:pPr>
            <w:r>
              <w:rPr>
                <w:b/>
                <w:sz w:val="15"/>
              </w:rPr>
              <w:t>333 Clay Street, Suite 1600</w:t>
              <w:br/>
              <w:t>Houston, Texas 77002</w:t>
              <w:br/>
              <w:t>(713) 646-4100</w:t>
            </w:r>
          </w:p>
        </w:tc>
        <w:tc>
          <w:tcPr>
            <w:tcW w:w="5103"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Tim Moore</w:t>
              <w:br/>
              <w:t>333 Clay Street, Suite 1600</w:t>
              <w:br/>
              <w:t>Houston, Texas 77002</w:t>
              <w:br/>
              <w:t>(713) 646-4100</w:t>
            </w:r>
          </w:p>
        </w:tc>
      </w:tr>
      <w:tr>
        <w:trPr/>
        <w:tc>
          <w:tcPr>
            <w:tcW w:w="510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(Address, Including Zip Code, and</w:t>
              <w:br/>
              <w:t>Telephone Number, Including Area Code,</w:t>
              <w:br/>
              <w:t>of Registrants Principal Executive Offices)</w:t>
            </w:r>
          </w:p>
        </w:tc>
        <w:tc>
          <w:tcPr>
            <w:tcW w:w="510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(Name, Address, Including</w:t>
              <w:br/>
              <w:t>Zip Code, and Telephone Number,</w:t>
              <w:br/>
              <w:t>Including Area Code, of Agent for Service)</w:t>
            </w:r>
          </w:p>
        </w:tc>
      </w:tr>
    </w:tbl>
    <w:p>
      <w:pPr>
        <w:pStyle w:val="TextBody"/>
        <w:spacing w:lineRule="atLeast" w:line="141" w:before="0" w:after="120"/>
        <w:ind w:left="0" w:right="0" w:hanging="0"/>
        <w:rPr/>
      </w:pPr>
      <w:r>
        <w:rPr/>
        <w:t> </w:t>
      </w:r>
    </w:p>
    <w:p>
      <w:pPr>
        <w:pStyle w:val="TextBody"/>
        <w:spacing w:before="0" w:after="0"/>
        <w:ind w:left="0" w:right="0" w:hanging="0"/>
        <w:rPr>
          <w:rFonts w:ascii="Times New Roman" w:hAnsi="Times New Roman"/>
          <w:b w:val="false"/>
          <w:i/>
          <w:sz w:val="15"/>
        </w:rPr>
      </w:pPr>
      <w:r>
        <w:rPr>
          <w:rFonts w:ascii="Times New Roman" w:hAnsi="Times New Roman"/>
          <w:b w:val="false"/>
          <w:i/>
          <w:sz w:val="15"/>
        </w:rPr>
        <w:t>Copy to:</w:t>
      </w:r>
    </w:p>
    <w:p>
      <w:pPr>
        <w:pStyle w:val="TextBody"/>
        <w:keepNext w:val="true"/>
        <w:spacing w:before="0" w:after="50"/>
        <w:ind w:left="0" w:right="0" w:hanging="0"/>
        <w:jc w:val="center"/>
        <w:rPr>
          <w:rFonts w:ascii="Times New Roman" w:hAnsi="Times New Roman"/>
          <w:b/>
          <w:sz w:val="15"/>
        </w:rPr>
      </w:pPr>
      <w:r>
        <w:rPr>
          <w:rFonts w:ascii="Times New Roman" w:hAnsi="Times New Roman"/>
          <w:b/>
          <w:sz w:val="15"/>
        </w:rPr>
        <w:t>David P. Oelman</w:t>
        <w:br/>
        <w:t>Vinson &amp; Elkins L.L.P.</w:t>
        <w:br/>
        <w:t>2300 First City Tower</w:t>
        <w:br/>
        <w:t>1001 Fannin Street</w:t>
        <w:br/>
        <w:t>Houston, Texas 77002-6760</w:t>
        <w:br/>
        <w:t>713-758-2222</w:t>
      </w:r>
    </w:p>
    <w:p>
      <w:pPr>
        <w:pStyle w:val="HorizontalLine"/>
        <w:pBdr>
          <w:bottom w:val="single" w:sz="6" w:space="0" w:color="000000"/>
        </w:pBdr>
        <w:spacing w:lineRule="atLeast" w:line="180" w:before="0" w:after="50"/>
        <w:jc w:val="center"/>
        <w:rPr/>
      </w:pPr>
      <w:r>
        <w:rPr/>
      </w:r>
    </w:p>
    <w:p>
      <w:pPr>
        <w:pStyle w:val="TextBody"/>
        <w:spacing w:before="0" w:after="50"/>
        <w:ind w:left="0" w:right="0" w:hanging="0"/>
        <w:rPr>
          <w:rFonts w:ascii="Times New Roman" w:hAnsi="Times New Roman"/>
          <w:b/>
          <w:sz w:val="15"/>
        </w:rPr>
      </w:pPr>
      <w:r>
        <w:rPr>
          <w:rFonts w:ascii="Times New Roman" w:hAnsi="Times New Roman"/>
          <w:b/>
          <w:sz w:val="15"/>
        </w:rPr>
        <w:t>Approximate date of commencement of proposed sale to the public: As soon as practicable after the effective date of this Registration Statement.</w:t>
      </w:r>
    </w:p>
    <w:p>
      <w:pPr>
        <w:pStyle w:val="HorizontalLine"/>
        <w:pBdr>
          <w:bottom w:val="single" w:sz="6" w:space="0" w:color="000000"/>
        </w:pBdr>
        <w:spacing w:lineRule="atLeast" w:line="180" w:before="0" w:after="50"/>
        <w:jc w:val="center"/>
        <w:rPr/>
      </w:pPr>
      <w:r>
        <w:rPr/>
      </w:r>
    </w:p>
    <w:p>
      <w:pPr>
        <w:pStyle w:val="TextBody"/>
        <w:spacing w:before="0" w:after="50"/>
        <w:ind w:left="0" w:right="0" w:firstLine="400"/>
        <w:rPr>
          <w:rFonts w:ascii="Times New Roman" w:hAnsi="Times New Roman"/>
        </w:rPr>
      </w:pPr>
      <w:r>
        <w:rPr>
          <w:rFonts w:ascii="Times New Roman" w:hAnsi="Times New Roman"/>
          <w:sz w:val="15"/>
        </w:rPr>
        <w:t xml:space="preserve">If the securities being registered on this Form are being offered in connection with the formation of a holding company and there is compliance with General Instruction G, check the following box. </w:t>
      </w:r>
      <w:r>
        <w:rPr>
          <w:rFonts w:ascii="Wingdings" w:hAnsi="Wingdings"/>
          <w:sz w:val="15"/>
        </w:rPr>
        <w:t>o</w:t>
      </w:r>
    </w:p>
    <w:p>
      <w:pPr>
        <w:pStyle w:val="TextBody"/>
        <w:spacing w:before="0" w:after="50"/>
        <w:ind w:left="0" w:right="0" w:firstLine="400"/>
        <w:rPr>
          <w:rFonts w:ascii="Times New Roman" w:hAnsi="Times New Roman"/>
        </w:rPr>
      </w:pPr>
      <w:r>
        <w:rPr>
          <w:rFonts w:ascii="Times New Roman" w:hAnsi="Times New Roman"/>
          <w:sz w:val="15"/>
        </w:rPr>
        <w:t xml:space="preserve">If this Form is filed to register additional securities for an offering pursuant to Rule 462(b) under the Securities Act, check the following box and list the Securities Act registration number of the earlier effective registration statement for the same offering. </w:t>
      </w:r>
      <w:r>
        <w:rPr>
          <w:rFonts w:ascii="Wingdings" w:hAnsi="Wingdings"/>
          <w:sz w:val="15"/>
        </w:rPr>
        <w:t>o</w:t>
      </w:r>
    </w:p>
    <w:p>
      <w:pPr>
        <w:pStyle w:val="TextBody"/>
        <w:spacing w:before="0" w:after="50"/>
        <w:ind w:left="0" w:right="0" w:firstLine="400"/>
        <w:rPr>
          <w:rFonts w:ascii="Times New Roman" w:hAnsi="Times New Roman"/>
        </w:rPr>
      </w:pPr>
      <w:r>
        <w:rPr>
          <w:rFonts w:ascii="Times New Roman" w:hAnsi="Times New Roman"/>
          <w:sz w:val="15"/>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sz w:val="15"/>
        </w:rPr>
        <w:t>o</w:t>
      </w:r>
    </w:p>
    <w:p>
      <w:pPr>
        <w:pStyle w:val="TextBody"/>
        <w:keepNext w:val="true"/>
        <w:spacing w:before="0" w:after="80"/>
        <w:ind w:left="0" w:right="0" w:hanging="0"/>
        <w:jc w:val="center"/>
        <w:rPr>
          <w:rFonts w:ascii="Times New Roman" w:hAnsi="Times New Roman"/>
          <w:b/>
          <w:sz w:val="15"/>
        </w:rPr>
      </w:pPr>
      <w:r>
        <w:rPr>
          <w:rFonts w:ascii="Times New Roman" w:hAnsi="Times New Roman"/>
          <w:b/>
          <w:sz w:val="15"/>
        </w:rPr>
        <w:t>CALCULATION OF REGISTRATION FEE</w:t>
      </w:r>
    </w:p>
    <w:tbl>
      <w:tblPr>
        <w:tblW w:w="9732" w:type="dxa"/>
        <w:jc w:val="left"/>
        <w:tblInd w:w="0" w:type="dxa"/>
        <w:tblCellMar>
          <w:top w:w="28" w:type="dxa"/>
          <w:left w:w="0" w:type="dxa"/>
          <w:bottom w:w="28" w:type="dxa"/>
          <w:right w:w="0" w:type="dxa"/>
        </w:tblCellMar>
      </w:tblPr>
      <w:tblGrid>
        <w:gridCol w:w="3570"/>
        <w:gridCol w:w="120"/>
        <w:gridCol w:w="120"/>
        <w:gridCol w:w="1020"/>
        <w:gridCol w:w="120"/>
        <w:gridCol w:w="120"/>
        <w:gridCol w:w="570"/>
        <w:gridCol w:w="302"/>
        <w:gridCol w:w="570"/>
        <w:gridCol w:w="120"/>
        <w:gridCol w:w="120"/>
        <w:gridCol w:w="210"/>
        <w:gridCol w:w="1020"/>
        <w:gridCol w:w="210"/>
        <w:gridCol w:w="120"/>
        <w:gridCol w:w="120"/>
        <w:gridCol w:w="273"/>
        <w:gridCol w:w="622"/>
        <w:gridCol w:w="273"/>
        <w:gridCol w:w="132"/>
      </w:tblGrid>
      <w:tr>
        <w:trPr/>
        <w:tc>
          <w:tcPr>
            <w:tcW w:w="3570" w:type="dxa"/>
            <w:tcBorders>
              <w:top w:val="double" w:sz="4" w:space="0" w:color="000000"/>
              <w:bottom w:val="single" w:sz="8" w:space="0" w:color="000000"/>
            </w:tcBorders>
            <w:shd w:fill="auto" w:val="clear"/>
            <w:vAlign w:val="bottom"/>
          </w:tcPr>
          <w:p>
            <w:pPr>
              <w:pStyle w:val="TableContents"/>
              <w:spacing w:lineRule="atLeast" w:line="160" w:before="0" w:after="0"/>
              <w:ind w:left="0" w:right="0" w:hanging="0"/>
              <w:jc w:val="left"/>
              <w:rPr>
                <w:rFonts w:ascii="Times New Roman" w:hAnsi="Times New Roman"/>
                <w:b/>
                <w:sz w:val="13"/>
              </w:rPr>
            </w:pPr>
            <w:r>
              <w:rPr>
                <w:rFonts w:ascii="Times New Roman" w:hAnsi="Times New Roman"/>
                <w:b/>
                <w:sz w:val="13"/>
              </w:rPr>
              <w:t>Title of Each Class of</w:t>
              <w:br/>
              <w:t>Securities to be Registered</w:t>
            </w:r>
          </w:p>
        </w:tc>
        <w:tc>
          <w:tcPr>
            <w:tcW w:w="120" w:type="dxa"/>
            <w:tcBorders>
              <w:top w:val="double" w:sz="4" w:space="0" w:color="000000"/>
              <w:bottom w:val="single" w:sz="8" w:space="0" w:color="000000"/>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20" w:type="dxa"/>
            <w:tcBorders>
              <w:top w:val="double" w:sz="4" w:space="0" w:color="000000"/>
              <w:bottom w:val="single" w:sz="8" w:space="0" w:color="000000"/>
            </w:tcBorders>
            <w:shd w:fill="auto" w:val="clear"/>
            <w:vAlign w:val="bottom"/>
          </w:tcPr>
          <w:p>
            <w:pPr>
              <w:pStyle w:val="TableContents"/>
              <w:spacing w:before="0" w:after="0"/>
              <w:ind w:left="0" w:right="0" w:hanging="0"/>
              <w:rPr/>
            </w:pPr>
            <w:r>
              <w:rPr/>
              <w:t> </w:t>
            </w:r>
          </w:p>
        </w:tc>
        <w:tc>
          <w:tcPr>
            <w:tcW w:w="1020" w:type="dxa"/>
            <w:tcBorders>
              <w:top w:val="double" w:sz="4" w:space="0" w:color="000000"/>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Amount to be</w:t>
              <w:br/>
              <w:t>Registered</w:t>
            </w:r>
          </w:p>
        </w:tc>
        <w:tc>
          <w:tcPr>
            <w:tcW w:w="120" w:type="dxa"/>
            <w:tcBorders>
              <w:top w:val="double" w:sz="4" w:space="0" w:color="000000"/>
              <w:bottom w:val="single" w:sz="8" w:space="0" w:color="000000"/>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20" w:type="dxa"/>
            <w:tcBorders>
              <w:top w:val="double" w:sz="4" w:space="0" w:color="000000"/>
              <w:bottom w:val="single" w:sz="8" w:space="0" w:color="000000"/>
            </w:tcBorders>
            <w:shd w:fill="auto" w:val="clear"/>
            <w:vAlign w:val="bottom"/>
          </w:tcPr>
          <w:p>
            <w:pPr>
              <w:pStyle w:val="TableContents"/>
              <w:spacing w:before="0" w:after="0"/>
              <w:ind w:left="0" w:right="0" w:hanging="0"/>
              <w:rPr/>
            </w:pPr>
            <w:r>
              <w:rPr/>
              <w:t> </w:t>
            </w:r>
          </w:p>
        </w:tc>
        <w:tc>
          <w:tcPr>
            <w:tcW w:w="1442" w:type="dxa"/>
            <w:gridSpan w:val="3"/>
            <w:tcBorders>
              <w:top w:val="double" w:sz="4" w:space="0" w:color="000000"/>
              <w:bottom w:val="single" w:sz="8" w:space="0" w:color="000000"/>
            </w:tcBorders>
            <w:shd w:fill="auto" w:val="clear"/>
            <w:vAlign w:val="bottom"/>
          </w:tcPr>
          <w:p>
            <w:pPr>
              <w:pStyle w:val="TableContents"/>
              <w:spacing w:lineRule="atLeast" w:line="160" w:before="0" w:after="0"/>
              <w:ind w:left="0" w:right="0" w:hanging="0"/>
              <w:rPr>
                <w:b/>
              </w:rPr>
            </w:pPr>
            <w:r>
              <w:rPr>
                <w:rFonts w:ascii="Times New Roman" w:hAnsi="Times New Roman"/>
                <w:b/>
                <w:sz w:val="13"/>
              </w:rPr>
              <w:t>Proposed Maximum</w:t>
              <w:br/>
              <w:t>Offering Price </w:t>
              <w:br/>
              <w:t>Per Note</w:t>
            </w:r>
            <w:r>
              <w:rPr>
                <w:b/>
                <w:sz w:val="8"/>
              </w:rPr>
              <w:t>(1)</w:t>
            </w:r>
          </w:p>
        </w:tc>
        <w:tc>
          <w:tcPr>
            <w:tcW w:w="120" w:type="dxa"/>
            <w:tcBorders>
              <w:top w:val="double" w:sz="4" w:space="0" w:color="000000"/>
              <w:bottom w:val="single" w:sz="8" w:space="0" w:color="000000"/>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20" w:type="dxa"/>
            <w:tcBorders>
              <w:top w:val="double" w:sz="4" w:space="0" w:color="000000"/>
              <w:bottom w:val="single" w:sz="8" w:space="0" w:color="000000"/>
            </w:tcBorders>
            <w:shd w:fill="auto" w:val="clear"/>
            <w:vAlign w:val="bottom"/>
          </w:tcPr>
          <w:p>
            <w:pPr>
              <w:pStyle w:val="TableContents"/>
              <w:spacing w:before="0" w:after="0"/>
              <w:ind w:left="0" w:right="0" w:hanging="0"/>
              <w:rPr/>
            </w:pPr>
            <w:r>
              <w:rPr/>
              <w:t> </w:t>
            </w:r>
          </w:p>
        </w:tc>
        <w:tc>
          <w:tcPr>
            <w:tcW w:w="1440" w:type="dxa"/>
            <w:gridSpan w:val="3"/>
            <w:tcBorders>
              <w:top w:val="double" w:sz="4" w:space="0" w:color="000000"/>
              <w:bottom w:val="single" w:sz="8" w:space="0" w:color="000000"/>
            </w:tcBorders>
            <w:shd w:fill="auto" w:val="clear"/>
            <w:vAlign w:val="bottom"/>
          </w:tcPr>
          <w:p>
            <w:pPr>
              <w:pStyle w:val="TableContents"/>
              <w:spacing w:lineRule="atLeast" w:line="160" w:before="0" w:after="0"/>
              <w:ind w:left="0" w:right="0" w:hanging="0"/>
              <w:rPr>
                <w:b/>
              </w:rPr>
            </w:pPr>
            <w:r>
              <w:rPr>
                <w:rFonts w:ascii="Times New Roman" w:hAnsi="Times New Roman"/>
                <w:b/>
                <w:sz w:val="13"/>
              </w:rPr>
              <w:t>Proposed Maximum</w:t>
              <w:br/>
              <w:t>Aggregate Offering</w:t>
              <w:br/>
              <w:t>Price</w:t>
            </w:r>
            <w:r>
              <w:rPr>
                <w:b/>
                <w:sz w:val="8"/>
              </w:rPr>
              <w:t>(1)</w:t>
            </w:r>
          </w:p>
        </w:tc>
        <w:tc>
          <w:tcPr>
            <w:tcW w:w="120" w:type="dxa"/>
            <w:tcBorders>
              <w:top w:val="double" w:sz="4" w:space="0" w:color="000000"/>
              <w:bottom w:val="single" w:sz="8" w:space="0" w:color="000000"/>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20" w:type="dxa"/>
            <w:tcBorders>
              <w:top w:val="double" w:sz="4" w:space="0" w:color="000000"/>
              <w:bottom w:val="single" w:sz="8" w:space="0" w:color="000000"/>
            </w:tcBorders>
            <w:shd w:fill="auto" w:val="clear"/>
            <w:vAlign w:val="bottom"/>
          </w:tcPr>
          <w:p>
            <w:pPr>
              <w:pStyle w:val="TableContents"/>
              <w:spacing w:before="0" w:after="0"/>
              <w:ind w:left="0" w:right="0" w:hanging="0"/>
              <w:rPr/>
            </w:pPr>
            <w:r>
              <w:rPr/>
              <w:t> </w:t>
            </w:r>
          </w:p>
        </w:tc>
        <w:tc>
          <w:tcPr>
            <w:tcW w:w="1168" w:type="dxa"/>
            <w:gridSpan w:val="3"/>
            <w:tcBorders>
              <w:top w:val="double" w:sz="4" w:space="0" w:color="000000"/>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Amount of</w:t>
              <w:br/>
              <w:t>Registration Fee</w:t>
            </w:r>
          </w:p>
        </w:tc>
        <w:tc>
          <w:tcPr>
            <w:tcW w:w="132" w:type="dxa"/>
            <w:tcBorders>
              <w:top w:val="double" w:sz="4" w:space="0" w:color="000000"/>
              <w:bottom w:val="single" w:sz="8" w:space="0" w:color="000000"/>
            </w:tcBorders>
            <w:shd w:fill="auto" w:val="clear"/>
            <w:vAlign w:val="bottom"/>
          </w:tcPr>
          <w:p>
            <w:pPr>
              <w:pStyle w:val="TableContents"/>
              <w:spacing w:before="0" w:after="0"/>
              <w:ind w:left="0" w:right="0" w:hanging="0"/>
              <w:rPr/>
            </w:pPr>
            <w:r>
              <w:rPr/>
              <w:t> </w:t>
            </w:r>
          </w:p>
        </w:tc>
      </w:tr>
      <w:tr>
        <w:trPr/>
        <w:tc>
          <w:tcPr>
            <w:tcW w:w="3570" w:type="dxa"/>
            <w:tcBorders>
              <w:bottom w:val="single" w:sz="8" w:space="0" w:color="000000"/>
            </w:tcBorders>
            <w:shd w:fill="auto" w:val="clear"/>
            <w:tcMar>
              <w:top w:w="0" w:type="dxa"/>
            </w:tcMar>
          </w:tcPr>
          <w:p>
            <w:pPr>
              <w:pStyle w:val="TableContents"/>
              <w:spacing w:before="0" w:after="0"/>
              <w:ind w:left="0" w:right="0" w:hanging="0"/>
              <w:rPr>
                <w:sz w:val="15"/>
              </w:rPr>
            </w:pPr>
            <w:r>
              <w:rPr>
                <w:sz w:val="15"/>
              </w:rPr>
              <w:t>5.25% Senior Notes due 2015</w:t>
            </w:r>
          </w:p>
        </w:tc>
        <w:tc>
          <w:tcPr>
            <w:tcW w:w="120" w:type="dxa"/>
            <w:tcBorders>
              <w:bottom w:val="single" w:sz="8" w:space="0" w:color="000000"/>
              <w:right w:val="single" w:sz="8" w:space="0" w:color="000000"/>
            </w:tcBorders>
            <w:shd w:fill="auto" w:val="clear"/>
            <w:tcMar>
              <w:top w:w="0" w:type="dxa"/>
              <w:right w:w="28" w:type="dxa"/>
            </w:tcMar>
            <w:vAlign w:val="bottom"/>
          </w:tcPr>
          <w:p>
            <w:pPr>
              <w:pStyle w:val="TableContents"/>
              <w:spacing w:before="0" w:after="0"/>
              <w:ind w:left="0" w:right="0" w:hanging="0"/>
              <w:rPr/>
            </w:pPr>
            <w:r>
              <w:rPr/>
              <w:t> </w:t>
            </w:r>
          </w:p>
        </w:tc>
        <w:tc>
          <w:tcPr>
            <w:tcW w:w="120"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1020" w:type="dxa"/>
            <w:tcBorders>
              <w:bottom w:val="sing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15"/>
              </w:rPr>
            </w:pPr>
            <w:r>
              <w:rPr>
                <w:rFonts w:ascii="Times New Roman" w:hAnsi="Times New Roman"/>
                <w:sz w:val="15"/>
              </w:rPr>
              <w:t>$150,000,000</w:t>
            </w:r>
          </w:p>
        </w:tc>
        <w:tc>
          <w:tcPr>
            <w:tcW w:w="120" w:type="dxa"/>
            <w:tcBorders>
              <w:bottom w:val="single" w:sz="8" w:space="0" w:color="000000"/>
              <w:right w:val="single" w:sz="8" w:space="0" w:color="000000"/>
            </w:tcBorders>
            <w:shd w:fill="auto" w:val="clear"/>
            <w:tcMar>
              <w:top w:w="0" w:type="dxa"/>
              <w:right w:w="28" w:type="dxa"/>
            </w:tcMar>
            <w:vAlign w:val="bottom"/>
          </w:tcPr>
          <w:p>
            <w:pPr>
              <w:pStyle w:val="TableContents"/>
              <w:spacing w:before="0" w:after="0"/>
              <w:ind w:left="0" w:right="0" w:hanging="0"/>
              <w:rPr/>
            </w:pPr>
            <w:r>
              <w:rPr/>
              <w:t> </w:t>
            </w:r>
          </w:p>
        </w:tc>
        <w:tc>
          <w:tcPr>
            <w:tcW w:w="120"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570"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302" w:type="dxa"/>
            <w:tcBorders>
              <w:bottom w:val="single" w:sz="8" w:space="0" w:color="000000"/>
            </w:tcBorders>
            <w:shd w:fill="auto" w:val="clear"/>
            <w:tcMar>
              <w:top w:w="0"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100</w:t>
            </w:r>
          </w:p>
        </w:tc>
        <w:tc>
          <w:tcPr>
            <w:tcW w:w="570" w:type="dxa"/>
            <w:tcBorders>
              <w:bottom w:val="single" w:sz="8" w:space="0" w:color="000000"/>
            </w:tcBorders>
            <w:shd w:fill="auto" w:val="clear"/>
            <w:tcMar>
              <w:top w:w="0"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20" w:type="dxa"/>
            <w:tcBorders>
              <w:bottom w:val="single" w:sz="8" w:space="0" w:color="000000"/>
              <w:right w:val="single" w:sz="8" w:space="0" w:color="000000"/>
            </w:tcBorders>
            <w:shd w:fill="auto" w:val="clear"/>
            <w:tcMar>
              <w:top w:w="0" w:type="dxa"/>
              <w:right w:w="28" w:type="dxa"/>
            </w:tcMar>
            <w:vAlign w:val="bottom"/>
          </w:tcPr>
          <w:p>
            <w:pPr>
              <w:pStyle w:val="TableContents"/>
              <w:spacing w:before="0" w:after="0"/>
              <w:ind w:left="0" w:right="0" w:hanging="0"/>
              <w:rPr/>
            </w:pPr>
            <w:r>
              <w:rPr/>
              <w:t> </w:t>
            </w:r>
          </w:p>
        </w:tc>
        <w:tc>
          <w:tcPr>
            <w:tcW w:w="120"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210"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1020" w:type="dxa"/>
            <w:tcBorders>
              <w:bottom w:val="sing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15"/>
              </w:rPr>
            </w:pPr>
            <w:r>
              <w:rPr>
                <w:rFonts w:ascii="Times New Roman" w:hAnsi="Times New Roman"/>
                <w:sz w:val="15"/>
              </w:rPr>
              <w:t>$150,000,000</w:t>
            </w:r>
          </w:p>
        </w:tc>
        <w:tc>
          <w:tcPr>
            <w:tcW w:w="210"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120" w:type="dxa"/>
            <w:tcBorders>
              <w:bottom w:val="single" w:sz="8" w:space="0" w:color="000000"/>
              <w:right w:val="single" w:sz="8" w:space="0" w:color="000000"/>
            </w:tcBorders>
            <w:shd w:fill="auto" w:val="clear"/>
            <w:tcMar>
              <w:top w:w="0" w:type="dxa"/>
              <w:right w:w="28" w:type="dxa"/>
            </w:tcMar>
            <w:vAlign w:val="bottom"/>
          </w:tcPr>
          <w:p>
            <w:pPr>
              <w:pStyle w:val="TableContents"/>
              <w:spacing w:before="0" w:after="0"/>
              <w:ind w:left="0" w:right="0" w:hanging="0"/>
              <w:rPr/>
            </w:pPr>
            <w:r>
              <w:rPr/>
              <w:t> </w:t>
            </w:r>
          </w:p>
        </w:tc>
        <w:tc>
          <w:tcPr>
            <w:tcW w:w="120"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273"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622" w:type="dxa"/>
            <w:tcBorders>
              <w:bottom w:val="sing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15"/>
              </w:rPr>
            </w:pPr>
            <w:r>
              <w:rPr>
                <w:rFonts w:ascii="Times New Roman" w:hAnsi="Times New Roman"/>
                <w:sz w:val="15"/>
              </w:rPr>
              <w:t>$17,655</w:t>
            </w:r>
          </w:p>
        </w:tc>
        <w:tc>
          <w:tcPr>
            <w:tcW w:w="273"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132" w:type="dxa"/>
            <w:tcBorders>
              <w:bottom w:val="single" w:sz="8" w:space="0" w:color="000000"/>
            </w:tcBorders>
            <w:shd w:fill="auto" w:val="clear"/>
            <w:tcMar>
              <w:top w:w="0" w:type="dxa"/>
            </w:tcMar>
            <w:vAlign w:val="bottom"/>
          </w:tcPr>
          <w:p>
            <w:pPr>
              <w:pStyle w:val="TableContents"/>
              <w:spacing w:before="0" w:after="0"/>
              <w:ind w:left="0" w:right="0" w:hanging="0"/>
              <w:rPr/>
            </w:pPr>
            <w:r>
              <w:rPr/>
              <w:t> </w:t>
            </w:r>
          </w:p>
        </w:tc>
      </w:tr>
      <w:tr>
        <w:trPr/>
        <w:tc>
          <w:tcPr>
            <w:tcW w:w="3570" w:type="dxa"/>
            <w:tcBorders>
              <w:bottom w:val="double" w:sz="6" w:space="0" w:color="000000"/>
            </w:tcBorders>
            <w:shd w:fill="auto" w:val="clear"/>
            <w:tcMar>
              <w:top w:w="0" w:type="dxa"/>
            </w:tcMar>
          </w:tcPr>
          <w:p>
            <w:pPr>
              <w:pStyle w:val="TableContents"/>
              <w:spacing w:before="0" w:after="0"/>
              <w:ind w:left="0" w:right="0" w:hanging="0"/>
              <w:rPr>
                <w:rFonts w:ascii="Times New Roman" w:hAnsi="Times New Roman"/>
                <w:sz w:val="15"/>
              </w:rPr>
            </w:pPr>
            <w:r>
              <w:rPr>
                <w:rFonts w:ascii="Times New Roman" w:hAnsi="Times New Roman"/>
                <w:sz w:val="15"/>
              </w:rPr>
              <w:t>Guarantees</w:t>
            </w:r>
            <w:r>
              <w:rPr>
                <w:rFonts w:ascii="Times New Roman" w:hAnsi="Times New Roman"/>
                <w:position w:val="5"/>
                <w:sz w:val="12"/>
                <w:sz w:val="15"/>
              </w:rPr>
              <w:t>(2)</w:t>
            </w:r>
          </w:p>
        </w:tc>
        <w:tc>
          <w:tcPr>
            <w:tcW w:w="120" w:type="dxa"/>
            <w:tcBorders>
              <w:bottom w:val="double" w:sz="6" w:space="0" w:color="000000"/>
              <w:right w:val="single" w:sz="8" w:space="0" w:color="000000"/>
            </w:tcBorders>
            <w:shd w:fill="auto" w:val="clear"/>
            <w:tcMar>
              <w:top w:w="0" w:type="dxa"/>
              <w:right w:w="28" w:type="dxa"/>
            </w:tcM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120" w:type="dxa"/>
            <w:tcBorders>
              <w:bottom w:val="double" w:sz="6" w:space="0" w:color="000000"/>
              <w:right w:val="single" w:sz="8" w:space="0" w:color="000000"/>
            </w:tcBorders>
            <w:shd w:fill="auto" w:val="clear"/>
            <w:tcMar>
              <w:top w:w="0" w:type="dxa"/>
              <w:right w:w="28" w:type="dxa"/>
            </w:tcM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57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302"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57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120" w:type="dxa"/>
            <w:tcBorders>
              <w:bottom w:val="double" w:sz="6" w:space="0" w:color="000000"/>
              <w:right w:val="single" w:sz="8" w:space="0" w:color="000000"/>
            </w:tcBorders>
            <w:shd w:fill="auto" w:val="clear"/>
            <w:tcMar>
              <w:top w:w="0" w:type="dxa"/>
              <w:right w:w="28" w:type="dxa"/>
            </w:tcM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120" w:type="dxa"/>
            <w:tcBorders>
              <w:bottom w:val="double" w:sz="6" w:space="0" w:color="000000"/>
              <w:right w:val="single" w:sz="8" w:space="0" w:color="000000"/>
            </w:tcBorders>
            <w:shd w:fill="auto" w:val="clear"/>
            <w:tcMar>
              <w:top w:w="0" w:type="dxa"/>
              <w:right w:w="28" w:type="dxa"/>
            </w:tcM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273"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622"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273"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top w:w="0" w:type="dxa"/>
            </w:tcM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50"/>
        <w:ind w:left="400" w:right="0" w:hanging="400"/>
        <w:rPr>
          <w:rFonts w:ascii="Times New Roman" w:hAnsi="Times New Roman"/>
        </w:rPr>
      </w:pPr>
      <w:r>
        <w:rPr>
          <w:rFonts w:ascii="Times New Roman" w:hAnsi="Times New Roman"/>
          <w:position w:val="5"/>
          <w:sz w:val="12"/>
          <w:sz w:val="15"/>
        </w:rPr>
        <w:t>(1)</w:t>
      </w:r>
      <w:r>
        <w:rPr>
          <w:rFonts w:ascii="Times New Roman" w:hAnsi="Times New Roman"/>
        </w:rPr>
        <w:t xml:space="preserve">                 </w:t>
      </w:r>
      <w:r>
        <w:rPr>
          <w:rFonts w:ascii="Times New Roman" w:hAnsi="Times New Roman"/>
          <w:sz w:val="15"/>
        </w:rPr>
        <w:t>Estimated solely for the purpose of calculating the registration fee in accordance with Rule 457(f) under the Securities Act of 1933.</w:t>
      </w:r>
    </w:p>
    <w:p>
      <w:pPr>
        <w:pStyle w:val="TextBody"/>
        <w:spacing w:before="0" w:after="50"/>
        <w:ind w:left="400" w:right="0" w:hanging="400"/>
        <w:rPr>
          <w:rFonts w:ascii="Times New Roman" w:hAnsi="Times New Roman"/>
        </w:rPr>
      </w:pPr>
      <w:r>
        <w:rPr>
          <w:rFonts w:ascii="Times New Roman" w:hAnsi="Times New Roman"/>
          <w:position w:val="5"/>
          <w:sz w:val="12"/>
          <w:sz w:val="15"/>
        </w:rPr>
        <w:t>(2)</w:t>
      </w:r>
      <w:r>
        <w:rPr>
          <w:rFonts w:ascii="Times New Roman" w:hAnsi="Times New Roman"/>
        </w:rPr>
        <w:t xml:space="preserve">                 </w:t>
      </w:r>
      <w:r>
        <w:rPr>
          <w:rFonts w:ascii="Times New Roman" w:hAnsi="Times New Roman"/>
          <w:sz w:val="15"/>
        </w:rPr>
        <w:t>No separate consideration will be received for the guarantees, and no separate fee is payable pursuant to Rule 457(a) under the Securities Act of 1933.</w:t>
      </w:r>
    </w:p>
    <w:p>
      <w:pPr>
        <w:pStyle w:val="TextBody"/>
        <w:spacing w:before="0" w:after="0"/>
        <w:ind w:left="0" w:right="0" w:hanging="0"/>
        <w:rPr>
          <w:rFonts w:ascii="Times New Roman" w:hAnsi="Times New Roman"/>
        </w:rPr>
      </w:pPr>
      <w:r>
        <w:rPr>
          <w:rFonts w:ascii="Times New Roman" w:hAnsi="Times New Roman"/>
          <w:position w:val="5"/>
          <w:sz w:val="12"/>
          <w:sz w:val="15"/>
        </w:rPr>
        <w:t>*</w:t>
      </w:r>
      <w:r>
        <w:rPr>
          <w:rFonts w:ascii="Times New Roman" w:hAnsi="Times New Roman"/>
        </w:rPr>
        <w:t xml:space="preserve">                       </w:t>
      </w:r>
      <w:r>
        <w:rPr>
          <w:rFonts w:ascii="Times New Roman" w:hAnsi="Times New Roman"/>
          <w:sz w:val="15"/>
        </w:rPr>
        <w:t>Includes certain subsidiaries of Plains All American Pipeline, L.P. identified on the following pages.</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rFonts w:ascii="Times New Roman" w:hAnsi="Times New Roman"/>
          <w:b/>
          <w:sz w:val="15"/>
        </w:rPr>
      </w:pPr>
      <w:r>
        <w:rPr>
          <w:rFonts w:ascii="Times New Roman" w:hAnsi="Times New Roman"/>
          <w:b/>
          <w:sz w:val="15"/>
        </w:rPr>
        <w:t>Plains Marketing, L.P.</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tcPr>
          <w:p>
            <w:pPr>
              <w:pStyle w:val="TableContents"/>
              <w:spacing w:before="0" w:after="0"/>
              <w:ind w:left="0" w:right="0" w:hanging="0"/>
              <w:rPr>
                <w:b/>
                <w:sz w:val="15"/>
              </w:rPr>
            </w:pPr>
            <w:r>
              <w:rPr>
                <w:b/>
                <w:sz w:val="15"/>
              </w:rPr>
              <w:t>Delaware</w:t>
            </w:r>
          </w:p>
        </w:tc>
        <w:tc>
          <w:tcPr>
            <w:tcW w:w="474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76-0684572</w:t>
            </w:r>
          </w:p>
        </w:tc>
      </w:tr>
      <w:tr>
        <w:trPr/>
        <w:tc>
          <w:tcPr>
            <w:tcW w:w="546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(I.R.S. Employer Identification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Plains Pipeline, L.P.</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tcPr>
          <w:p>
            <w:pPr>
              <w:pStyle w:val="TableContents"/>
              <w:spacing w:before="0" w:after="0"/>
              <w:ind w:left="0" w:right="0" w:hanging="0"/>
              <w:rPr>
                <w:b/>
                <w:sz w:val="15"/>
              </w:rPr>
            </w:pPr>
            <w:r>
              <w:rPr>
                <w:b/>
                <w:sz w:val="15"/>
              </w:rPr>
              <w:t>Texas</w:t>
            </w:r>
          </w:p>
        </w:tc>
        <w:tc>
          <w:tcPr>
            <w:tcW w:w="474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76-0587185</w:t>
            </w:r>
          </w:p>
        </w:tc>
      </w:tr>
      <w:tr>
        <w:trPr/>
        <w:tc>
          <w:tcPr>
            <w:tcW w:w="546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(I.R.S. Employer Identification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Plains Marketing GP Inc.</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tcPr>
          <w:p>
            <w:pPr>
              <w:pStyle w:val="TableContents"/>
              <w:spacing w:before="0" w:after="0"/>
              <w:ind w:left="0" w:right="0" w:hanging="0"/>
              <w:rPr>
                <w:b/>
                <w:sz w:val="15"/>
              </w:rPr>
            </w:pPr>
            <w:r>
              <w:rPr>
                <w:b/>
                <w:sz w:val="15"/>
              </w:rPr>
              <w:t>Delaware</w:t>
            </w:r>
          </w:p>
        </w:tc>
        <w:tc>
          <w:tcPr>
            <w:tcW w:w="474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76-0684572</w:t>
            </w:r>
          </w:p>
        </w:tc>
      </w:tr>
      <w:tr>
        <w:trPr/>
        <w:tc>
          <w:tcPr>
            <w:tcW w:w="546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(I.R.S. Employer Identification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Plains Marketing Canada LLC</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tcPr>
          <w:p>
            <w:pPr>
              <w:pStyle w:val="TableContents"/>
              <w:spacing w:before="0" w:after="0"/>
              <w:ind w:left="0" w:right="0" w:hanging="0"/>
              <w:rPr>
                <w:b/>
                <w:sz w:val="15"/>
              </w:rPr>
            </w:pPr>
            <w:r>
              <w:rPr>
                <w:b/>
                <w:sz w:val="15"/>
              </w:rPr>
              <w:t>Delaware</w:t>
            </w:r>
          </w:p>
        </w:tc>
        <w:tc>
          <w:tcPr>
            <w:tcW w:w="474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76-0653735</w:t>
            </w:r>
          </w:p>
        </w:tc>
      </w:tr>
      <w:tr>
        <w:trPr/>
        <w:tc>
          <w:tcPr>
            <w:tcW w:w="546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(I.R.S. Employer Identification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Plains Marketing Canada, L.P.</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4"/>
        <w:gridCol w:w="4741"/>
      </w:tblGrid>
      <w:tr>
        <w:trPr/>
        <w:tc>
          <w:tcPr>
            <w:tcW w:w="5464" w:type="dxa"/>
            <w:tcBorders/>
            <w:shd w:fill="auto" w:val="clear"/>
          </w:tcPr>
          <w:p>
            <w:pPr>
              <w:pStyle w:val="TableContents"/>
              <w:spacing w:before="0" w:after="0"/>
              <w:ind w:left="0" w:right="0" w:hanging="0"/>
              <w:rPr>
                <w:b/>
                <w:sz w:val="15"/>
              </w:rPr>
            </w:pPr>
            <w:r>
              <w:rPr>
                <w:b/>
                <w:sz w:val="15"/>
              </w:rPr>
              <w:t>Canada</w:t>
            </w:r>
          </w:p>
        </w:tc>
        <w:tc>
          <w:tcPr>
            <w:tcW w:w="4741"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892946211</w:t>
            </w:r>
          </w:p>
        </w:tc>
      </w:tr>
      <w:tr>
        <w:trPr/>
        <w:tc>
          <w:tcPr>
            <w:tcW w:w="5464"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1"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(GST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PMC (Nova Scotia) Company</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4"/>
        <w:gridCol w:w="4741"/>
      </w:tblGrid>
      <w:tr>
        <w:trPr/>
        <w:tc>
          <w:tcPr>
            <w:tcW w:w="5464" w:type="dxa"/>
            <w:tcBorders/>
            <w:shd w:fill="auto" w:val="clear"/>
          </w:tcPr>
          <w:p>
            <w:pPr>
              <w:pStyle w:val="TableContents"/>
              <w:spacing w:before="0" w:after="0"/>
              <w:ind w:left="0" w:right="0" w:hanging="0"/>
              <w:rPr>
                <w:b/>
                <w:sz w:val="15"/>
              </w:rPr>
            </w:pPr>
            <w:r>
              <w:rPr>
                <w:b/>
                <w:sz w:val="15"/>
              </w:rPr>
              <w:t>Nova Scotia</w:t>
            </w:r>
          </w:p>
        </w:tc>
        <w:tc>
          <w:tcPr>
            <w:tcW w:w="4741"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894798610</w:t>
            </w:r>
          </w:p>
        </w:tc>
      </w:tr>
      <w:tr>
        <w:trPr/>
        <w:tc>
          <w:tcPr>
            <w:tcW w:w="5464"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1"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(GST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Basin Holdings GP LLC</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tcPr>
          <w:p>
            <w:pPr>
              <w:pStyle w:val="TableContents"/>
              <w:spacing w:before="0" w:after="0"/>
              <w:ind w:left="0" w:right="0" w:hanging="0"/>
              <w:rPr>
                <w:b/>
                <w:sz w:val="15"/>
              </w:rPr>
            </w:pPr>
            <w:r>
              <w:rPr>
                <w:b/>
                <w:sz w:val="15"/>
              </w:rPr>
              <w:t>Delaware</w:t>
            </w:r>
          </w:p>
        </w:tc>
        <w:tc>
          <w:tcPr>
            <w:tcW w:w="474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13-4204744</w:t>
            </w:r>
          </w:p>
        </w:tc>
      </w:tr>
      <w:tr>
        <w:trPr/>
        <w:tc>
          <w:tcPr>
            <w:tcW w:w="546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(I.R.S. Employer Identification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Basin Pipeline Holdings, L.P.</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tcPr>
          <w:p>
            <w:pPr>
              <w:pStyle w:val="TableContents"/>
              <w:spacing w:before="0" w:after="0"/>
              <w:ind w:left="0" w:right="0" w:hanging="0"/>
              <w:rPr>
                <w:b/>
                <w:sz w:val="15"/>
              </w:rPr>
            </w:pPr>
            <w:r>
              <w:rPr>
                <w:b/>
                <w:sz w:val="15"/>
              </w:rPr>
              <w:t>Delaware</w:t>
            </w:r>
          </w:p>
        </w:tc>
        <w:tc>
          <w:tcPr>
            <w:tcW w:w="474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13-4204757</w:t>
            </w:r>
          </w:p>
        </w:tc>
      </w:tr>
      <w:tr>
        <w:trPr/>
        <w:tc>
          <w:tcPr>
            <w:tcW w:w="546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(I.R.S. Employer Identification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Rancho Holdings GP LLC</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tcPr>
          <w:p>
            <w:pPr>
              <w:pStyle w:val="TableContents"/>
              <w:spacing w:before="0" w:after="0"/>
              <w:ind w:left="0" w:right="0" w:hanging="0"/>
              <w:rPr>
                <w:b/>
                <w:sz w:val="15"/>
              </w:rPr>
            </w:pPr>
            <w:r>
              <w:rPr>
                <w:b/>
                <w:sz w:val="15"/>
              </w:rPr>
              <w:t>Delaware</w:t>
            </w:r>
          </w:p>
        </w:tc>
        <w:tc>
          <w:tcPr>
            <w:tcW w:w="474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13-4204734</w:t>
            </w:r>
          </w:p>
        </w:tc>
      </w:tr>
      <w:tr>
        <w:trPr/>
        <w:tc>
          <w:tcPr>
            <w:tcW w:w="546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(I.R.S. Employer Identification Number)</w:t>
            </w:r>
          </w:p>
        </w:tc>
      </w:tr>
    </w:tbl>
    <w:p>
      <w:pPr>
        <w:pStyle w:val="TextBody"/>
        <w:spacing w:lineRule="atLeast" w:line="141" w:before="0" w:after="100"/>
        <w:ind w:left="0" w:right="0" w:hanging="0"/>
        <w:rPr/>
      </w:pPr>
      <w:r>
        <w:rPr/>
        <w:t> </w:t>
      </w:r>
    </w:p>
    <w:p>
      <w:pPr>
        <w:pStyle w:val="TextBody"/>
        <w:spacing w:before="0" w:after="0"/>
        <w:ind w:left="0" w:right="0" w:hanging="0"/>
        <w:rPr>
          <w:rFonts w:ascii="Times New Roman" w:hAnsi="Times New Roman"/>
          <w:b/>
          <w:sz w:val="15"/>
        </w:rPr>
      </w:pPr>
      <w:r>
        <w:rPr>
          <w:rFonts w:ascii="Times New Roman" w:hAnsi="Times New Roman"/>
          <w:b/>
          <w:sz w:val="15"/>
        </w:rPr>
        <w:t>Rancho Pipeline Holdings, L.P.</w:t>
      </w:r>
    </w:p>
    <w:p>
      <w:pPr>
        <w:pStyle w:val="TextBody"/>
        <w:keepNext w:val="true"/>
        <w:spacing w:before="0" w:after="160"/>
        <w:ind w:left="0" w:right="0" w:hanging="0"/>
        <w:jc w:val="center"/>
        <w:rPr>
          <w:rFonts w:ascii="Times New Roman" w:hAnsi="Times New Roman"/>
          <w:sz w:val="15"/>
        </w:rPr>
      </w:pPr>
      <w:r>
        <w:rPr>
          <w:rFonts w:ascii="Times New Roman" w:hAnsi="Times New Roman"/>
          <w:sz w:val="15"/>
        </w:rPr>
        <w:t>(Exact Name of Registrant As Specified In Its Charter)</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tcPr>
          <w:p>
            <w:pPr>
              <w:pStyle w:val="TableContents"/>
              <w:spacing w:before="0" w:after="0"/>
              <w:ind w:left="0" w:right="0" w:hanging="0"/>
              <w:rPr>
                <w:b/>
                <w:sz w:val="15"/>
              </w:rPr>
            </w:pPr>
            <w:r>
              <w:rPr>
                <w:b/>
                <w:sz w:val="15"/>
              </w:rPr>
              <w:t>Delaware</w:t>
            </w:r>
          </w:p>
        </w:tc>
        <w:tc>
          <w:tcPr>
            <w:tcW w:w="4742"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13-4204750</w:t>
            </w:r>
          </w:p>
        </w:tc>
      </w:tr>
      <w:tr>
        <w:trPr/>
        <w:tc>
          <w:tcPr>
            <w:tcW w:w="5463"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(State or Other Jurisdiction of Incorporation or Organization)</w:t>
            </w:r>
          </w:p>
        </w:tc>
        <w:tc>
          <w:tcPr>
            <w:tcW w:w="4742"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(I.R.S. Employer Identification Number)</w:t>
            </w:r>
          </w:p>
        </w:tc>
      </w:tr>
    </w:tbl>
    <w:p>
      <w:pPr>
        <w:pStyle w:val="TextBody"/>
        <w:spacing w:lineRule="atLeast" w:line="141" w:before="0" w:after="160"/>
        <w:ind w:left="0" w:right="0" w:hanging="0"/>
        <w:rPr/>
      </w:pPr>
      <w:r>
        <w:rPr/>
        <w:t> </w:t>
      </w:r>
    </w:p>
    <w:p>
      <w:pPr>
        <w:pStyle w:val="TextBody"/>
        <w:spacing w:before="0" w:after="120"/>
        <w:ind w:left="0" w:right="0" w:firstLine="400"/>
        <w:rPr>
          <w:rFonts w:ascii="Times New Roman" w:hAnsi="Times New Roman"/>
          <w:sz w:val="15"/>
        </w:rPr>
      </w:pPr>
      <w:r>
        <w:rPr>
          <w:rFonts w:ascii="Times New Roman" w:hAnsi="Times New Roman"/>
          <w:sz w:val="15"/>
        </w:rPr>
        <w:t>Each Registrant hereby amends this Registration Statement on such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00"/>
        <w:ind w:left="200" w:right="0" w:hanging="200"/>
        <w:rPr>
          <w:rFonts w:ascii="Times New Roman" w:hAnsi="Times New Roman"/>
          <w:b/>
          <w:sz w:val="17"/>
        </w:rPr>
      </w:pPr>
      <w:r>
        <w:rPr>
          <w:rFonts w:ascii="Times New Roman" w:hAnsi="Times New Roman"/>
          <w:b/>
          <w:sz w:val="17"/>
        </w:rPr>
        <w:t>Prospectus</w:t>
      </w:r>
    </w:p>
    <w:p>
      <w:pPr>
        <w:pStyle w:val="TextBody"/>
        <w:keepNext w:val="true"/>
        <w:spacing w:before="0" w:after="80"/>
        <w:ind w:left="0" w:right="0" w:hanging="0"/>
        <w:jc w:val="center"/>
        <w:rPr>
          <w:rFonts w:ascii="Times New Roman" w:hAnsi="Times New Roman"/>
          <w:b/>
          <w:sz w:val="17"/>
        </w:rPr>
      </w:pPr>
      <w:r>
        <w:rPr>
          <w:rFonts w:ascii="Times New Roman" w:hAnsi="Times New Roman"/>
          <w:b/>
          <w:sz w:val="17"/>
        </w:rPr>
        <w:t>Plains All American Pipeline, L.P.</w:t>
        <w:br/>
        <w:t>PAA Finance Corp.</w:t>
      </w:r>
    </w:p>
    <w:p>
      <w:pPr>
        <w:pStyle w:val="TextBody"/>
        <w:keepNext w:val="true"/>
        <w:spacing w:before="0" w:after="80"/>
        <w:ind w:left="0" w:right="0" w:hanging="0"/>
        <w:jc w:val="center"/>
        <w:rPr>
          <w:rFonts w:ascii="Times New Roman" w:hAnsi="Times New Roman"/>
          <w:b/>
          <w:sz w:val="17"/>
        </w:rPr>
      </w:pPr>
      <w:r>
        <w:rPr>
          <w:rFonts w:ascii="Times New Roman" w:hAnsi="Times New Roman"/>
          <w:b/>
          <w:sz w:val="17"/>
        </w:rPr>
        <w:t>Offer to Exchange up to</w:t>
        <w:br/>
        <w:t>$150,000,000 of 5.25% Senior Notes due 2015</w:t>
      </w:r>
    </w:p>
    <w:p>
      <w:pPr>
        <w:pStyle w:val="TextBody"/>
        <w:keepNext w:val="true"/>
        <w:spacing w:before="0" w:after="80"/>
        <w:ind w:left="0" w:right="0" w:hanging="0"/>
        <w:jc w:val="center"/>
        <w:rPr>
          <w:rFonts w:ascii="Times New Roman" w:hAnsi="Times New Roman"/>
          <w:b/>
          <w:sz w:val="17"/>
        </w:rPr>
      </w:pPr>
      <w:r>
        <w:rPr>
          <w:rFonts w:ascii="Times New Roman" w:hAnsi="Times New Roman"/>
          <w:b/>
          <w:sz w:val="17"/>
        </w:rPr>
        <w:t>for</w:t>
      </w:r>
    </w:p>
    <w:p>
      <w:pPr>
        <w:pStyle w:val="TextBody"/>
        <w:keepNext w:val="true"/>
        <w:spacing w:before="0" w:after="200"/>
        <w:ind w:left="0" w:right="0" w:hanging="0"/>
        <w:jc w:val="center"/>
        <w:rPr>
          <w:rFonts w:ascii="Times New Roman" w:hAnsi="Times New Roman"/>
          <w:b/>
          <w:sz w:val="17"/>
        </w:rPr>
      </w:pPr>
      <w:r>
        <w:rPr>
          <w:rFonts w:ascii="Times New Roman" w:hAnsi="Times New Roman"/>
          <w:b/>
          <w:sz w:val="17"/>
        </w:rPr>
        <w:t>$150,000,000 of 5.25% Senior Notes due 2015</w:t>
        <w:br/>
        <w:t>that have been Registered under the Securities Act of 1933</w:t>
      </w:r>
    </w:p>
    <w:tbl>
      <w:tblPr>
        <w:tblW w:w="5000" w:type="pct"/>
        <w:jc w:val="left"/>
        <w:tblInd w:w="0" w:type="dxa"/>
        <w:tblCellMar>
          <w:top w:w="0" w:type="dxa"/>
          <w:left w:w="0" w:type="dxa"/>
          <w:bottom w:w="0" w:type="dxa"/>
          <w:right w:w="28" w:type="dxa"/>
        </w:tblCellMar>
      </w:tblPr>
      <w:tblGrid>
        <w:gridCol w:w="1832"/>
        <w:gridCol w:w="6540"/>
        <w:gridCol w:w="1833"/>
      </w:tblGrid>
      <w:tr>
        <w:trPr/>
        <w:tc>
          <w:tcPr>
            <w:tcW w:w="1832" w:type="dxa"/>
            <w:tcBorders>
              <w:right w:val="single" w:sz="8" w:space="0" w:color="000000"/>
            </w:tcBorders>
            <w:shd w:fill="auto" w:val="clear"/>
          </w:tcPr>
          <w:p>
            <w:pPr>
              <w:pStyle w:val="TableContents"/>
              <w:spacing w:before="0" w:after="283"/>
              <w:ind w:left="0" w:right="0" w:hanging="0"/>
              <w:rPr>
                <w:sz w:val="4"/>
                <w:szCs w:val="4"/>
              </w:rPr>
            </w:pPr>
            <w:r>
              <w:rPr>
                <w:sz w:val="4"/>
                <w:szCs w:val="4"/>
              </w:rPr>
            </w:r>
          </w:p>
        </w:tc>
        <w:tc>
          <w:tcPr>
            <w:tcW w:w="6540" w:type="dxa"/>
            <w:tcBorders>
              <w:top w:val="single" w:sz="8" w:space="0" w:color="000000"/>
              <w:bottom w:val="single" w:sz="8" w:space="0" w:color="000000"/>
              <w:right w:val="single" w:sz="8" w:space="0" w:color="000000"/>
            </w:tcBorders>
            <w:shd w:fill="auto" w:val="clear"/>
            <w:tcMar>
              <w:top w:w="28" w:type="dxa"/>
              <w:bottom w:w="28"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Terms of the Exchange Offer</w:t>
            </w:r>
          </w:p>
        </w:tc>
        <w:tc>
          <w:tcPr>
            <w:tcW w:w="1833" w:type="dxa"/>
            <w:tcBorders/>
            <w:shd w:fill="auto" w:val="clear"/>
            <w:tcMar>
              <w:right w:w="0" w:type="dxa"/>
            </w:tcMar>
          </w:tcPr>
          <w:p>
            <w:pPr>
              <w:pStyle w:val="TableContents"/>
              <w:spacing w:before="0" w:after="0"/>
              <w:ind w:left="0" w:right="0" w:hanging="0"/>
              <w:jc w:val="center"/>
              <w:rPr/>
            </w:pPr>
            <w:r>
              <w:rPr/>
              <w:t> </w:t>
            </w:r>
          </w:p>
        </w:tc>
      </w:tr>
    </w:tbl>
    <w:p>
      <w:pPr>
        <w:pStyle w:val="TextBody"/>
        <w:spacing w:lineRule="atLeast" w:line="141" w:before="0" w:after="60"/>
        <w:ind w:left="0" w:right="0" w:hanging="0"/>
        <w:rPr/>
      </w:pPr>
      <w:r>
        <w:rPr/>
        <w:t> </w:t>
      </w:r>
    </w:p>
    <w:p>
      <w:pPr>
        <w:pStyle w:val="TextBody"/>
        <w:spacing w:before="0" w:after="80"/>
        <w:ind w:left="600" w:right="0" w:hanging="200"/>
        <w:rPr>
          <w:rFonts w:ascii="Times New Roman" w:hAnsi="Times New Roman"/>
          <w:sz w:val="17"/>
        </w:rPr>
      </w:pPr>
      <w:r>
        <w:rPr>
          <w:rFonts w:ascii="Symbol" w:hAnsi="Symbol"/>
          <w:sz w:val="17"/>
        </w:rPr>
        <w:t>·</w:t>
      </w:r>
      <w:r>
        <w:rPr>
          <w:rFonts w:ascii="Times New Roman" w:hAnsi="Times New Roman"/>
          <w:sz w:val="17"/>
        </w:rPr>
        <w:t>       We are offering to exchange up to $150,000,000 of our outstanding 5.25% Senior Notes due 2015 for new notes with substantially identical terms that have been registered under the Securities Act and are freely tradable.</w:t>
      </w:r>
    </w:p>
    <w:p>
      <w:pPr>
        <w:pStyle w:val="TextBody"/>
        <w:spacing w:before="0" w:after="80"/>
        <w:ind w:left="600" w:right="0" w:hanging="200"/>
        <w:rPr>
          <w:rFonts w:ascii="Times New Roman" w:hAnsi="Times New Roman"/>
          <w:sz w:val="17"/>
        </w:rPr>
      </w:pPr>
      <w:r>
        <w:rPr>
          <w:rFonts w:ascii="Symbol" w:hAnsi="Symbol"/>
          <w:sz w:val="17"/>
        </w:rPr>
        <w:t>·</w:t>
      </w:r>
      <w:r>
        <w:rPr>
          <w:rFonts w:ascii="Times New Roman" w:hAnsi="Times New Roman"/>
          <w:sz w:val="17"/>
        </w:rPr>
        <w:t>       We will exchange for an equal principal amount of new notes all outstanding notes that you validly tender and do not validly withdraw before the exchange offer expires.</w:t>
      </w:r>
    </w:p>
    <w:p>
      <w:pPr>
        <w:pStyle w:val="TextBody"/>
        <w:spacing w:before="0" w:after="80"/>
        <w:ind w:left="600" w:right="0" w:hanging="200"/>
        <w:rPr>
          <w:rFonts w:ascii="Times New Roman" w:hAnsi="Times New Roman"/>
          <w:sz w:val="17"/>
        </w:rPr>
      </w:pPr>
      <w:r>
        <w:rPr>
          <w:rFonts w:ascii="Symbol" w:hAnsi="Symbol"/>
          <w:sz w:val="17"/>
        </w:rPr>
        <w:t>·</w:t>
      </w:r>
      <w:r>
        <w:rPr>
          <w:rFonts w:ascii="Times New Roman" w:hAnsi="Times New Roman"/>
          <w:sz w:val="17"/>
        </w:rPr>
        <w:t>       The exchange offer expires at 5:00 p.m., New York City time, on                 , 2005, unless extended. We do not currently intend to extend the exchange offer.</w:t>
      </w:r>
    </w:p>
    <w:p>
      <w:pPr>
        <w:pStyle w:val="TextBody"/>
        <w:spacing w:before="0" w:after="80"/>
        <w:ind w:left="600" w:right="0" w:hanging="200"/>
        <w:rPr>
          <w:rFonts w:ascii="Times New Roman" w:hAnsi="Times New Roman"/>
          <w:sz w:val="17"/>
        </w:rPr>
      </w:pPr>
      <w:r>
        <w:rPr>
          <w:rFonts w:ascii="Symbol" w:hAnsi="Symbol"/>
          <w:sz w:val="17"/>
        </w:rPr>
        <w:t>·</w:t>
      </w:r>
      <w:r>
        <w:rPr>
          <w:rFonts w:ascii="Times New Roman" w:hAnsi="Times New Roman"/>
          <w:sz w:val="17"/>
        </w:rPr>
        <w:t>       Tenders of outstanding notes may be withdrawn at any time prior to the expiration of the exchange offer.</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exchange of outstanding notes for new notes will not be a taxable event for U.S. federal income tax purposes.</w:t>
      </w:r>
    </w:p>
    <w:tbl>
      <w:tblPr>
        <w:tblW w:w="5000" w:type="pct"/>
        <w:jc w:val="left"/>
        <w:tblInd w:w="0" w:type="dxa"/>
        <w:tblCellMar>
          <w:top w:w="0" w:type="dxa"/>
          <w:left w:w="0" w:type="dxa"/>
          <w:bottom w:w="0" w:type="dxa"/>
          <w:right w:w="28" w:type="dxa"/>
        </w:tblCellMar>
      </w:tblPr>
      <w:tblGrid>
        <w:gridCol w:w="1832"/>
        <w:gridCol w:w="6540"/>
        <w:gridCol w:w="1833"/>
      </w:tblGrid>
      <w:tr>
        <w:trPr/>
        <w:tc>
          <w:tcPr>
            <w:tcW w:w="1832" w:type="dxa"/>
            <w:tcBorders>
              <w:right w:val="single" w:sz="8" w:space="0" w:color="000000"/>
            </w:tcBorders>
            <w:shd w:fill="auto" w:val="clear"/>
          </w:tcPr>
          <w:p>
            <w:pPr>
              <w:pStyle w:val="TableContents"/>
              <w:spacing w:before="0" w:after="283"/>
              <w:ind w:left="0" w:right="0" w:hanging="0"/>
              <w:rPr>
                <w:sz w:val="4"/>
                <w:szCs w:val="4"/>
              </w:rPr>
            </w:pPr>
            <w:r>
              <w:rPr>
                <w:sz w:val="4"/>
                <w:szCs w:val="4"/>
              </w:rPr>
            </w:r>
          </w:p>
        </w:tc>
        <w:tc>
          <w:tcPr>
            <w:tcW w:w="6540" w:type="dxa"/>
            <w:tcBorders>
              <w:top w:val="single" w:sz="8" w:space="0" w:color="000000"/>
              <w:bottom w:val="single" w:sz="8" w:space="0" w:color="000000"/>
              <w:right w:val="single" w:sz="8" w:space="0" w:color="000000"/>
            </w:tcBorders>
            <w:shd w:fill="auto" w:val="clear"/>
            <w:tcMar>
              <w:top w:w="28" w:type="dxa"/>
              <w:bottom w:w="28"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Terms of the 5.25% Senior Notes Offered in the Exchange Offer</w:t>
            </w:r>
          </w:p>
        </w:tc>
        <w:tc>
          <w:tcPr>
            <w:tcW w:w="1833" w:type="dxa"/>
            <w:tcBorders/>
            <w:shd w:fill="auto" w:val="clear"/>
            <w:tcMar>
              <w:right w:w="0" w:type="dxa"/>
            </w:tcMar>
          </w:tcPr>
          <w:p>
            <w:pPr>
              <w:pStyle w:val="TableContents"/>
              <w:spacing w:before="0" w:after="0"/>
              <w:ind w:left="0" w:right="0" w:hanging="0"/>
              <w:jc w:val="center"/>
              <w:rPr/>
            </w:pPr>
            <w:r>
              <w:rPr/>
              <w:t> </w:t>
            </w:r>
          </w:p>
        </w:tc>
      </w:tr>
    </w:tbl>
    <w:p>
      <w:pPr>
        <w:pStyle w:val="TextBody"/>
        <w:spacing w:lineRule="atLeast" w:line="141" w:before="0" w:after="60"/>
        <w:ind w:left="0" w:right="0" w:hanging="0"/>
        <w:rPr/>
      </w:pPr>
      <w:r>
        <w:rPr/>
        <w:t> </w:t>
      </w:r>
    </w:p>
    <w:p>
      <w:pPr>
        <w:pStyle w:val="TextBody"/>
        <w:keepNext w:val="true"/>
        <w:spacing w:before="0" w:after="60"/>
        <w:ind w:left="200" w:right="0" w:hanging="200"/>
        <w:rPr>
          <w:rFonts w:ascii="Times New Roman" w:hAnsi="Times New Roman"/>
          <w:b/>
          <w:sz w:val="17"/>
        </w:rPr>
      </w:pPr>
      <w:r>
        <w:rPr>
          <w:rFonts w:ascii="Times New Roman" w:hAnsi="Times New Roman"/>
          <w:b/>
          <w:sz w:val="17"/>
        </w:rPr>
        <w:t>Maturity</w:t>
      </w:r>
    </w:p>
    <w:p>
      <w:pPr>
        <w:pStyle w:val="TextBody"/>
        <w:spacing w:before="0" w:after="160"/>
        <w:ind w:left="600" w:right="0" w:hanging="200"/>
        <w:rPr>
          <w:rFonts w:ascii="Times New Roman" w:hAnsi="Times New Roman"/>
          <w:sz w:val="17"/>
        </w:rPr>
      </w:pPr>
      <w:r>
        <w:rPr>
          <w:rFonts w:ascii="Symbol" w:hAnsi="Symbol"/>
          <w:sz w:val="17"/>
        </w:rPr>
        <w:t>·</w:t>
      </w:r>
      <w:r>
        <w:rPr>
          <w:rFonts w:ascii="Times New Roman" w:hAnsi="Times New Roman"/>
          <w:sz w:val="17"/>
        </w:rPr>
        <w:t>       The notes will mature on June 15, 2015.</w:t>
      </w:r>
    </w:p>
    <w:p>
      <w:pPr>
        <w:pStyle w:val="TextBody"/>
        <w:keepNext w:val="true"/>
        <w:spacing w:before="0" w:after="60"/>
        <w:ind w:left="200" w:right="0" w:hanging="200"/>
        <w:rPr>
          <w:rFonts w:ascii="Times New Roman" w:hAnsi="Times New Roman"/>
          <w:b/>
          <w:sz w:val="17"/>
        </w:rPr>
      </w:pPr>
      <w:r>
        <w:rPr>
          <w:rFonts w:ascii="Times New Roman" w:hAnsi="Times New Roman"/>
          <w:b/>
          <w:sz w:val="17"/>
        </w:rPr>
        <w:t>Interest</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Interest on the notes is payable on June 15 and December 15 of each year, beginning December 15, 2005.</w:t>
      </w:r>
    </w:p>
    <w:p>
      <w:pPr>
        <w:pStyle w:val="TextBody"/>
        <w:spacing w:before="0" w:after="160"/>
        <w:ind w:left="600" w:right="0" w:hanging="200"/>
        <w:rPr>
          <w:rFonts w:ascii="Times New Roman" w:hAnsi="Times New Roman"/>
          <w:sz w:val="17"/>
        </w:rPr>
      </w:pPr>
      <w:r>
        <w:rPr>
          <w:rFonts w:ascii="Symbol" w:hAnsi="Symbol"/>
          <w:sz w:val="17"/>
        </w:rPr>
        <w:t>·</w:t>
      </w:r>
      <w:r>
        <w:rPr>
          <w:rFonts w:ascii="Times New Roman" w:hAnsi="Times New Roman"/>
          <w:sz w:val="17"/>
        </w:rPr>
        <w:t>       Interest will accrue from May 27, 2005.</w:t>
      </w:r>
    </w:p>
    <w:p>
      <w:pPr>
        <w:pStyle w:val="TextBody"/>
        <w:keepNext w:val="true"/>
        <w:spacing w:before="0" w:after="60"/>
        <w:ind w:left="200" w:right="0" w:hanging="200"/>
        <w:rPr>
          <w:rFonts w:ascii="Times New Roman" w:hAnsi="Times New Roman"/>
          <w:b/>
          <w:sz w:val="17"/>
        </w:rPr>
      </w:pPr>
      <w:r>
        <w:rPr>
          <w:rFonts w:ascii="Times New Roman" w:hAnsi="Times New Roman"/>
          <w:b/>
          <w:sz w:val="17"/>
        </w:rPr>
        <w:t>Redemption</w:t>
      </w:r>
    </w:p>
    <w:p>
      <w:pPr>
        <w:pStyle w:val="TextBody"/>
        <w:spacing w:before="0" w:after="160"/>
        <w:ind w:left="600" w:right="0" w:hanging="200"/>
        <w:rPr>
          <w:rFonts w:ascii="Times New Roman" w:hAnsi="Times New Roman"/>
          <w:sz w:val="17"/>
        </w:rPr>
      </w:pPr>
      <w:r>
        <w:rPr>
          <w:rFonts w:ascii="Symbol" w:hAnsi="Symbol"/>
          <w:sz w:val="17"/>
        </w:rPr>
        <w:t>·</w:t>
      </w:r>
      <w:r>
        <w:rPr>
          <w:rFonts w:ascii="Times New Roman" w:hAnsi="Times New Roman"/>
          <w:sz w:val="17"/>
        </w:rPr>
        <w:t>       We may redeem the notes, in whole or in part, at any time at a price equal to 100% of the principal amount of the notes to be redeemed plus a make-whole premium described in this prospectus, plus accrued and unpaid interest, if any, to the redemption date.</w:t>
      </w:r>
    </w:p>
    <w:p>
      <w:pPr>
        <w:pStyle w:val="TextBody"/>
        <w:keepNext w:val="true"/>
        <w:spacing w:before="0" w:after="60"/>
        <w:ind w:left="200" w:right="0" w:hanging="200"/>
        <w:rPr>
          <w:rFonts w:ascii="Times New Roman" w:hAnsi="Times New Roman"/>
          <w:b/>
          <w:sz w:val="17"/>
        </w:rPr>
      </w:pPr>
      <w:r>
        <w:rPr>
          <w:rFonts w:ascii="Times New Roman" w:hAnsi="Times New Roman"/>
          <w:b/>
          <w:sz w:val="17"/>
        </w:rPr>
        <w:t>Ranking</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The notes are unsecured. The notes rank equally in right of payment with all of our other existing and future senior unsecured debt and senior in right of payment to all of our future subordinated debt.</w:t>
      </w:r>
    </w:p>
    <w:p>
      <w:pPr>
        <w:pStyle w:val="HorizontalLine"/>
        <w:pBdr>
          <w:bottom w:val="single" w:sz="6" w:space="0" w:color="000000"/>
        </w:pBdr>
        <w:spacing w:lineRule="atLeast" w:line="180" w:before="0" w:after="60"/>
        <w:jc w:val="center"/>
        <w:rPr/>
      </w:pPr>
      <w:r>
        <w:rPr/>
      </w:r>
    </w:p>
    <w:p>
      <w:pPr>
        <w:pStyle w:val="TextBody"/>
        <w:spacing w:before="0" w:after="60"/>
        <w:ind w:left="0" w:right="0" w:firstLine="403"/>
        <w:rPr>
          <w:rFonts w:ascii="Times New Roman" w:hAnsi="Times New Roman"/>
          <w:b/>
          <w:sz w:val="20"/>
        </w:rPr>
      </w:pPr>
      <w:r>
        <w:rPr>
          <w:rFonts w:ascii="Times New Roman" w:hAnsi="Times New Roman"/>
          <w:b/>
          <w:sz w:val="20"/>
        </w:rPr>
        <w:t>Please read Risk Factors on page 8 for a discussion of factors you should consider before participating in the exchange offer.</w:t>
      </w:r>
    </w:p>
    <w:p>
      <w:pPr>
        <w:pStyle w:val="HorizontalLine"/>
        <w:pBdr>
          <w:bottom w:val="single" w:sz="6" w:space="0" w:color="000000"/>
        </w:pBdr>
        <w:spacing w:lineRule="atLeast" w:line="180" w:before="0" w:after="60"/>
        <w:jc w:val="center"/>
        <w:rPr/>
      </w:pPr>
      <w:r>
        <w:rPr/>
      </w:r>
    </w:p>
    <w:p>
      <w:pPr>
        <w:pStyle w:val="TextBody"/>
        <w:spacing w:before="0" w:after="60"/>
        <w:ind w:left="0" w:right="0" w:firstLine="403"/>
        <w:rPr>
          <w:rFonts w:ascii="Times New Roman" w:hAnsi="Times New Roman"/>
          <w:b/>
          <w:sz w:val="17"/>
        </w:rPr>
      </w:pPr>
      <w:r>
        <w:rPr>
          <w:rFonts w:ascii="Times New Roman" w:hAnsi="Times New Roman"/>
          <w:b/>
          <w:sz w:val="17"/>
        </w:rPr>
        <w:t>These securities have not been approved or disapproved by the Securities and Exchange Commission or any state securities commission nor has the Securities and Exchange Commission passed upon the accuracy or adequacy of this prospectus. Any representation to the contrary is a criminal offense.</w:t>
      </w:r>
    </w:p>
    <w:p>
      <w:pPr>
        <w:pStyle w:val="HorizontalLine"/>
        <w:pBdr>
          <w:bottom w:val="single" w:sz="6" w:space="0" w:color="000000"/>
        </w:pBdr>
        <w:spacing w:lineRule="atLeast" w:line="180" w:before="0" w:after="0"/>
        <w:rPr/>
      </w:pPr>
      <w:r>
        <w:rPr/>
      </w:r>
    </w:p>
    <w:p>
      <w:pPr>
        <w:pStyle w:val="TextBody"/>
        <w:spacing w:before="0" w:after="60"/>
        <w:ind w:left="0" w:right="0" w:firstLine="403"/>
        <w:rPr/>
      </w:pPr>
      <w:r>
        <w:rPr/>
        <w:t> </w:t>
      </w:r>
    </w:p>
    <w:p>
      <w:pPr>
        <w:pStyle w:val="TextBody"/>
        <w:spacing w:before="0" w:after="0"/>
        <w:ind w:left="0" w:right="0" w:hanging="0"/>
        <w:rPr>
          <w:rFonts w:ascii="Times New Roman" w:hAnsi="Times New Roman"/>
          <w:b/>
          <w:sz w:val="17"/>
        </w:rPr>
      </w:pPr>
      <w:r>
        <w:rPr>
          <w:rFonts w:ascii="Times New Roman" w:hAnsi="Times New Roman"/>
          <w:b/>
          <w:sz w:val="17"/>
        </w:rPr>
        <w:t>The date of this prospectus is September      , 2005.</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firstLine="400"/>
        <w:rPr>
          <w:rFonts w:ascii="Times New Roman" w:hAnsi="Times New Roman"/>
          <w:sz w:val="17"/>
        </w:rPr>
      </w:pPr>
      <w:r>
        <w:rPr>
          <w:rFonts w:ascii="Times New Roman" w:hAnsi="Times New Roman"/>
          <w:sz w:val="17"/>
        </w:rPr>
        <w:t>This prospectus is part of a registration statement we filed with the Securities and Exchange Commission. In making your investment decision, you should rely only on the information contained in this prospectus and in the accompanying letter of transmittal. We have not authorized anyone to provide you with any other information. If you receive any unauthorized information, you must not rely on it. We are not making an offer to sell these securities in any state where the offer is not permitted. You should not assume that the information contained in this prospectus, or the documents incorporated by reference into this prospectus, is accurate as of any date other than the date on the front cover of this prospectus or the date of such document, as the case may be.</w:t>
      </w:r>
    </w:p>
    <w:p>
      <w:pPr>
        <w:pStyle w:val="TextBody"/>
        <w:spacing w:before="0" w:after="240"/>
        <w:ind w:left="0" w:right="0" w:firstLine="400"/>
        <w:rPr>
          <w:rFonts w:ascii="Times New Roman" w:hAnsi="Times New Roman"/>
          <w:sz w:val="17"/>
        </w:rPr>
      </w:pPr>
      <w:r>
        <w:rPr>
          <w:rFonts w:ascii="Times New Roman" w:hAnsi="Times New Roman"/>
          <w:sz w:val="17"/>
        </w:rPr>
        <w:t>Each broker-dealer that receives the notes for its own account pursuant to this exchange offer must acknowledge in the letter of transmittal that it will deliver a prospectus in connection with any resale of the notes. This prospectus, as it may be amended or supplemented from time to time, may be used by a broker dealer in connection with resales of the notes received in exchange for outstanding notes where such outstanding notes were acquired by such broker-dealer as a result of market-making activities or other trading activities. We have agreed to make this prospectus available for a period of one year from the expiration date of this exchange offer to any broker-dealer for use in connection with any such resale. See Plan of Distribution.</w:t>
      </w:r>
    </w:p>
    <w:p>
      <w:pPr>
        <w:pStyle w:val="TextBody"/>
        <w:keepNext w:val="true"/>
        <w:spacing w:before="0" w:after="240"/>
        <w:ind w:left="0" w:right="0" w:hanging="0"/>
        <w:jc w:val="center"/>
        <w:rPr>
          <w:rFonts w:ascii="Times New Roman" w:hAnsi="Times New Roman"/>
          <w:b/>
          <w:sz w:val="17"/>
        </w:rPr>
      </w:pPr>
      <w:bookmarkStart w:id="3" w:name="TableOfContents_073737"/>
      <w:bookmarkEnd w:id="3"/>
      <w:r>
        <w:rPr>
          <w:rFonts w:ascii="Times New Roman" w:hAnsi="Times New Roman"/>
          <w:b/>
          <w:sz w:val="17"/>
        </w:rPr>
        <w:t>TABLE OF CONTENTS</w:t>
      </w:r>
    </w:p>
    <w:tbl>
      <w:tblPr>
        <w:tblW w:w="9150" w:type="dxa"/>
        <w:jc w:val="left"/>
        <w:tblInd w:w="0" w:type="dxa"/>
        <w:tblCellMar>
          <w:top w:w="0" w:type="dxa"/>
          <w:left w:w="0" w:type="dxa"/>
          <w:bottom w:w="0" w:type="dxa"/>
          <w:right w:w="0" w:type="dxa"/>
        </w:tblCellMar>
      </w:tblPr>
      <w:tblGrid>
        <w:gridCol w:w="8055"/>
        <w:gridCol w:w="135"/>
        <w:gridCol w:w="810"/>
        <w:gridCol w:w="150"/>
      </w:tblGrid>
      <w:tr>
        <w:trPr/>
        <w:tc>
          <w:tcPr>
            <w:tcW w:w="8055" w:type="dxa"/>
            <w:tcBorders/>
            <w:shd w:fill="auto" w:val="clear"/>
          </w:tcPr>
          <w:p>
            <w:pPr>
              <w:pStyle w:val="TableContents"/>
              <w:spacing w:before="0" w:after="0"/>
              <w:ind w:left="0" w:right="0" w:hanging="0"/>
              <w:rPr/>
            </w:pPr>
            <w:hyperlink w:anchor="ProspectusSummary_133942">
              <w:r>
                <w:rPr>
                  <w:rStyle w:val="InternetLink"/>
                  <w:rFonts w:ascii="Times New Roman" w:hAnsi="Times New Roman"/>
                  <w:color w:val="0000FF"/>
                  <w:sz w:val="17"/>
                  <w:u w:val="single"/>
                </w:rPr>
                <w:t>Prospectus Summary</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RecentDevelopments_133949">
              <w:r>
                <w:rPr>
                  <w:rStyle w:val="InternetLink"/>
                  <w:rFonts w:ascii="Times New Roman" w:hAnsi="Times New Roman"/>
                  <w:color w:val="0000FF"/>
                  <w:sz w:val="17"/>
                  <w:u w:val="single"/>
                </w:rPr>
                <w:t>Recent Developments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RiskFactors_081523">
              <w:r>
                <w:rPr>
                  <w:rStyle w:val="InternetLink"/>
                  <w:rFonts w:ascii="Times New Roman" w:hAnsi="Times New Roman"/>
                  <w:color w:val="0000FF"/>
                  <w:sz w:val="17"/>
                  <w:u w:val="single"/>
                </w:rPr>
                <w:t>Risk Factors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ExchangeOffer_081026">
              <w:r>
                <w:rPr>
                  <w:rStyle w:val="InternetLink"/>
                  <w:rFonts w:ascii="Times New Roman" w:hAnsi="Times New Roman"/>
                  <w:color w:val="0000FF"/>
                  <w:sz w:val="17"/>
                  <w:u w:val="single"/>
                </w:rPr>
                <w:t>Exchange Offer</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RatioOfEarningsToFixedCharges_082021">
              <w:r>
                <w:rPr>
                  <w:rStyle w:val="InternetLink"/>
                  <w:rFonts w:ascii="Times New Roman" w:hAnsi="Times New Roman"/>
                  <w:color w:val="0000FF"/>
                  <w:sz w:val="17"/>
                  <w:u w:val="single"/>
                </w:rPr>
                <w:t>Ratio of Earnings to Fixed Charges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UseOfProceeds_082130">
              <w:r>
                <w:rPr>
                  <w:rStyle w:val="InternetLink"/>
                  <w:rFonts w:ascii="Times New Roman" w:hAnsi="Times New Roman"/>
                  <w:color w:val="0000FF"/>
                  <w:sz w:val="17"/>
                  <w:u w:val="single"/>
                </w:rPr>
                <w:t>Use of Proceeds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DescriptionOfTheNotes_082136">
              <w:r>
                <w:rPr>
                  <w:rStyle w:val="InternetLink"/>
                  <w:rFonts w:ascii="Times New Roman" w:hAnsi="Times New Roman"/>
                  <w:color w:val="0000FF"/>
                  <w:sz w:val="17"/>
                  <w:u w:val="single"/>
                </w:rPr>
                <w:t>Description of the Notes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U_s_FederalIncomeTaxConsideration_085532">
              <w:r>
                <w:rPr>
                  <w:rStyle w:val="InternetLink"/>
                  <w:rFonts w:ascii="Times New Roman" w:hAnsi="Times New Roman"/>
                  <w:color w:val="0000FF"/>
                  <w:sz w:val="17"/>
                  <w:u w:val="single"/>
                </w:rPr>
                <w:t>U.S. Federal Income Tax Considerations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PlanOfDistribution_085533">
              <w:r>
                <w:rPr>
                  <w:rStyle w:val="InternetLink"/>
                  <w:rFonts w:ascii="Times New Roman" w:hAnsi="Times New Roman"/>
                  <w:color w:val="0000FF"/>
                  <w:sz w:val="17"/>
                  <w:u w:val="single"/>
                </w:rPr>
                <w:t>Plan of Distribution</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LegalMatters_085544">
              <w:r>
                <w:rPr>
                  <w:rStyle w:val="InternetLink"/>
                  <w:rFonts w:ascii="Times New Roman" w:hAnsi="Times New Roman"/>
                  <w:color w:val="0000FF"/>
                  <w:sz w:val="17"/>
                  <w:u w:val="single"/>
                </w:rPr>
                <w:t>Legal Matters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Experts_085545">
              <w:r>
                <w:rPr>
                  <w:rStyle w:val="InternetLink"/>
                  <w:rFonts w:ascii="Times New Roman" w:hAnsi="Times New Roman"/>
                  <w:color w:val="0000FF"/>
                  <w:sz w:val="17"/>
                  <w:u w:val="single"/>
                </w:rPr>
                <w:t>Experts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WhereYouCanFindMoreInformation_085547">
              <w:r>
                <w:rPr>
                  <w:rStyle w:val="InternetLink"/>
                  <w:rFonts w:ascii="Times New Roman" w:hAnsi="Times New Roman"/>
                  <w:color w:val="0000FF"/>
                  <w:sz w:val="17"/>
                  <w:u w:val="single"/>
                </w:rPr>
                <w:t>Where You Can Find More Information</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ForwardlookingStatements_085608">
              <w:r>
                <w:rPr>
                  <w:rStyle w:val="InternetLink"/>
                  <w:rFonts w:ascii="Times New Roman" w:hAnsi="Times New Roman"/>
                  <w:color w:val="0000FF"/>
                  <w:sz w:val="17"/>
                  <w:u w:val="single"/>
                </w:rPr>
                <w:t>Forward-Looking Statements</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50" w:type="dxa"/>
            <w:tcBorders/>
            <w:shd w:fill="auto" w:val="clear"/>
            <w:vAlign w:val="bottom"/>
          </w:tcPr>
          <w:p>
            <w:pPr>
              <w:pStyle w:val="TableContents"/>
              <w:spacing w:before="0" w:after="0"/>
              <w:ind w:left="0" w:right="0" w:hanging="0"/>
              <w:rPr/>
            </w:pPr>
            <w:r>
              <w:rPr/>
              <w:t> </w:t>
            </w:r>
          </w:p>
        </w:tc>
      </w:tr>
      <w:tr>
        <w:trPr/>
        <w:tc>
          <w:tcPr>
            <w:tcW w:w="8055" w:type="dxa"/>
            <w:tcBorders/>
            <w:shd w:fill="auto" w:val="clear"/>
          </w:tcPr>
          <w:p>
            <w:pPr>
              <w:pStyle w:val="TableContents"/>
              <w:spacing w:before="0" w:after="0"/>
              <w:ind w:left="0" w:right="0" w:hanging="0"/>
              <w:rPr/>
            </w:pPr>
            <w:hyperlink w:anchor="LetterOfTransmittal_082036">
              <w:r>
                <w:rPr>
                  <w:rStyle w:val="InternetLink"/>
                  <w:rFonts w:ascii="Times New Roman" w:hAnsi="Times New Roman"/>
                  <w:sz w:val="17"/>
                </w:rPr>
                <w:t>Letter of Transmittal</w:t>
              </w:r>
            </w:hyperlink>
          </w:p>
        </w:tc>
        <w:tc>
          <w:tcPr>
            <w:tcW w:w="135" w:type="dxa"/>
            <w:tcBorders/>
            <w:shd w:fill="auto" w:val="clear"/>
            <w:vAlign w:val="bottom"/>
          </w:tcPr>
          <w:p>
            <w:pPr>
              <w:pStyle w:val="TableContents"/>
              <w:spacing w:before="0" w:after="0"/>
              <w:ind w:left="0" w:right="0" w:hanging="0"/>
              <w:rPr/>
            </w:pPr>
            <w:r>
              <w:rPr/>
              <w:t> </w:t>
            </w:r>
          </w:p>
        </w:tc>
        <w:tc>
          <w:tcPr>
            <w:tcW w:w="8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Annex A</w:t>
            </w:r>
          </w:p>
        </w:tc>
        <w:tc>
          <w:tcPr>
            <w:tcW w:w="150"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i</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4" w:name="ProspectusSummary_133942"/>
      <w:bookmarkEnd w:id="4"/>
      <w:r>
        <w:rPr>
          <w:rFonts w:ascii="Times New Roman" w:hAnsi="Times New Roman"/>
          <w:b/>
          <w:sz w:val="17"/>
        </w:rPr>
        <w:t>PROSPECTUS SUMMARY</w:t>
      </w:r>
    </w:p>
    <w:p>
      <w:pPr>
        <w:pStyle w:val="TextBody"/>
        <w:spacing w:before="0" w:after="120"/>
        <w:ind w:left="0" w:right="0" w:firstLine="400"/>
        <w:rPr>
          <w:rFonts w:ascii="Times New Roman" w:hAnsi="Times New Roman"/>
          <w:sz w:val="17"/>
        </w:rPr>
      </w:pPr>
      <w:r>
        <w:rPr>
          <w:rFonts w:ascii="Times New Roman" w:hAnsi="Times New Roman"/>
          <w:sz w:val="17"/>
        </w:rPr>
        <w:t>This summary may not contain all the information that may be important to you. You should read this entire prospectus and the documents we have incorporated into this prospectus by reference before making an investment decision. You should carefully consider the information set forth under Risk Factors. In addition, certain statements include forward-looking information which involves risks and uncertainties. Please read Forward-Looking Statements. References to the notes in this prospectus include both the outstanding notes and the new notes.</w:t>
      </w:r>
    </w:p>
    <w:p>
      <w:pPr>
        <w:pStyle w:val="TextBody"/>
        <w:spacing w:before="0" w:after="120"/>
        <w:ind w:left="0" w:right="0" w:firstLine="403"/>
        <w:rPr>
          <w:rFonts w:ascii="Times New Roman" w:hAnsi="Times New Roman"/>
          <w:b/>
          <w:sz w:val="17"/>
        </w:rPr>
      </w:pPr>
      <w:bookmarkStart w:id="5" w:name="PlainsAllAmericanPipelineL_p__074656"/>
      <w:bookmarkEnd w:id="5"/>
      <w:r>
        <w:rPr>
          <w:rFonts w:ascii="Times New Roman" w:hAnsi="Times New Roman"/>
          <w:b/>
          <w:sz w:val="17"/>
        </w:rPr>
        <w:t>Plains All American Pipeline, L.P.</w:t>
      </w:r>
    </w:p>
    <w:p>
      <w:pPr>
        <w:pStyle w:val="TextBody"/>
        <w:spacing w:before="0" w:after="120"/>
        <w:ind w:left="0" w:right="0" w:firstLine="400"/>
        <w:rPr>
          <w:rFonts w:ascii="Times New Roman" w:hAnsi="Times New Roman"/>
          <w:sz w:val="17"/>
        </w:rPr>
      </w:pPr>
      <w:r>
        <w:rPr>
          <w:rFonts w:ascii="Times New Roman" w:hAnsi="Times New Roman"/>
          <w:sz w:val="17"/>
        </w:rPr>
        <w:t>We are a publicly traded Delaware limited partnership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w:t>
      </w:r>
    </w:p>
    <w:p>
      <w:pPr>
        <w:pStyle w:val="TextBody"/>
        <w:spacing w:before="0" w:after="240"/>
        <w:ind w:left="0" w:right="0" w:firstLine="400"/>
        <w:rPr>
          <w:rFonts w:ascii="Times New Roman" w:hAnsi="Times New Roman"/>
          <w:sz w:val="17"/>
        </w:rPr>
      </w:pPr>
      <w:r>
        <w:rPr>
          <w:rFonts w:ascii="Times New Roman" w:hAnsi="Times New Roman"/>
          <w:sz w:val="17"/>
        </w:rPr>
        <w:t>Our executive offices are located at 333 Clay Street, Suite 1600, Houston, Texas 77002 and our telephone number is (713) 646-4100.</w:t>
      </w:r>
    </w:p>
    <w:p>
      <w:pPr>
        <w:pStyle w:val="TextBody"/>
        <w:keepNext w:val="true"/>
        <w:spacing w:before="0" w:after="120"/>
        <w:ind w:left="0" w:right="0" w:hanging="0"/>
        <w:jc w:val="center"/>
        <w:rPr>
          <w:rFonts w:ascii="Times New Roman" w:hAnsi="Times New Roman"/>
          <w:b/>
          <w:sz w:val="17"/>
        </w:rPr>
      </w:pPr>
      <w:bookmarkStart w:id="6" w:name="TheExchangeOffer_133944"/>
      <w:bookmarkEnd w:id="6"/>
      <w:r>
        <w:rPr>
          <w:rFonts w:ascii="Times New Roman" w:hAnsi="Times New Roman"/>
          <w:b/>
          <w:sz w:val="17"/>
        </w:rPr>
        <w:t>The Exchange Offer</w:t>
      </w:r>
    </w:p>
    <w:p>
      <w:pPr>
        <w:pStyle w:val="TextBody"/>
        <w:keepNext w:val="true"/>
        <w:spacing w:before="0" w:after="240"/>
        <w:ind w:left="0" w:right="0" w:firstLine="400"/>
        <w:rPr>
          <w:rFonts w:ascii="Times New Roman" w:hAnsi="Times New Roman"/>
          <w:i/>
          <w:sz w:val="17"/>
        </w:rPr>
      </w:pPr>
      <w:r>
        <w:rPr>
          <w:rFonts w:ascii="Times New Roman" w:hAnsi="Times New Roman"/>
          <w:i/>
          <w:sz w:val="17"/>
        </w:rPr>
        <w:t>On May 27, 2005, we completed a private offering of the outstanding notes. We entered into a registration rights agreement with the initial purchaser in the private offering in which we agreed to deliver to you this prospectus and to use our reasonable best efforts to consummate the exchange offer within 240 days after the date we issued the outstanding notes.</w:t>
      </w:r>
    </w:p>
    <w:tbl>
      <w:tblPr>
        <w:tblW w:w="9105" w:type="dxa"/>
        <w:jc w:val="left"/>
        <w:tblInd w:w="0" w:type="dxa"/>
        <w:tblCellMar>
          <w:top w:w="0" w:type="dxa"/>
          <w:left w:w="0" w:type="dxa"/>
          <w:bottom w:w="0" w:type="dxa"/>
          <w:right w:w="0" w:type="dxa"/>
        </w:tblCellMar>
      </w:tblPr>
      <w:tblGrid>
        <w:gridCol w:w="3255"/>
        <w:gridCol w:w="240"/>
        <w:gridCol w:w="5610"/>
      </w:tblGrid>
      <w:tr>
        <w:trPr/>
        <w:tc>
          <w:tcPr>
            <w:tcW w:w="3255" w:type="dxa"/>
            <w:tcBorders/>
            <w:shd w:fill="auto" w:val="clear"/>
          </w:tcPr>
          <w:p>
            <w:pPr>
              <w:pStyle w:val="TableContents"/>
              <w:spacing w:before="0" w:after="0"/>
              <w:ind w:left="0" w:right="0" w:hanging="0"/>
              <w:rPr>
                <w:sz w:val="17"/>
              </w:rPr>
            </w:pPr>
            <w:r>
              <w:rPr>
                <w:sz w:val="17"/>
              </w:rPr>
              <w:t>Exchange Offer</w:t>
            </w:r>
          </w:p>
        </w:tc>
        <w:tc>
          <w:tcPr>
            <w:tcW w:w="240" w:type="dxa"/>
            <w:tcBorders/>
            <w:shd w:fill="auto" w:val="clear"/>
            <w:vAlign w:val="bottom"/>
          </w:tcPr>
          <w:p>
            <w:pPr>
              <w:pStyle w:val="TableContents"/>
              <w:spacing w:before="0" w:after="0"/>
              <w:ind w:left="0" w:right="0" w:hanging="0"/>
              <w:rPr/>
            </w:pPr>
            <w:r>
              <w:rPr/>
              <w:t> </w:t>
            </w:r>
          </w:p>
        </w:tc>
        <w:tc>
          <w:tcPr>
            <w:tcW w:w="56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are offering to exchange new notes for outstanding notes.</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Expiration Date</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The exchange offer will expire at 5:00 p.m. New York City time, on                        , 2005, unless we decide to extend it.</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Condition to the Exchange Offer</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The registration rights agreement does not require us to accept outstanding notes for exchange if the exchange offer or the making of any exchange by a holder of the outstanding notes would violate any applicable law or interpretation of the staff of the SEC. A minimum aggregate principal amount of outstanding notes being tendered is not a condition to the exchange offer.</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Procedures for Tendering Outstanding Notes</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br/>
              <w:t>To participate in the exchange offer, you must follow the procedures established by The Depository Trust Company, which we call DTC, for tendering notes held in book-entry form. These procedures, which we call ATOP, require that (i) the exchange agent receive, prior to the expiration date of the exchange offer, a computer generated message known as an agents message that is transmitted through DTCs automated tender offer program, and (ii) DTC confirms that: and</w:t>
            </w:r>
          </w:p>
        </w:tc>
      </w:tr>
      <w:tr>
        <w:trPr/>
        <w:tc>
          <w:tcPr>
            <w:tcW w:w="3255" w:type="dxa"/>
            <w:tcBorders/>
            <w:shd w:fill="auto" w:val="clear"/>
          </w:tcPr>
          <w:p>
            <w:pPr>
              <w:pStyle w:val="TableContents"/>
              <w:spacing w:before="80" w:after="80"/>
              <w:ind w:left="0" w:right="0" w:hanging="0"/>
              <w:rPr/>
            </w:pPr>
            <w:r>
              <w:rPr/>
              <w:t> </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sz w:val="17"/>
              </w:rPr>
            </w:pPr>
            <w:r>
              <w:rPr>
                <w:rFonts w:ascii="Symbol" w:hAnsi="Symbol"/>
                <w:sz w:val="17"/>
              </w:rPr>
              <w:t>·</w:t>
            </w:r>
            <w:r>
              <w:rPr>
                <w:sz w:val="17"/>
              </w:rPr>
              <w:t>  DTC has received your instructions to exchange your notes,</w:t>
            </w:r>
          </w:p>
        </w:tc>
      </w:tr>
      <w:tr>
        <w:trPr/>
        <w:tc>
          <w:tcPr>
            <w:tcW w:w="3255" w:type="dxa"/>
            <w:tcBorders/>
            <w:shd w:fill="auto" w:val="clear"/>
          </w:tcPr>
          <w:p>
            <w:pPr>
              <w:pStyle w:val="TableContents"/>
              <w:spacing w:before="80" w:after="80"/>
              <w:ind w:left="0" w:right="0" w:hanging="0"/>
              <w:rPr/>
            </w:pPr>
            <w:r>
              <w:rPr/>
              <w:t> </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sz w:val="17"/>
              </w:rPr>
            </w:pPr>
            <w:r>
              <w:rPr>
                <w:rFonts w:ascii="Symbol" w:hAnsi="Symbol"/>
                <w:sz w:val="17"/>
              </w:rPr>
              <w:t>·</w:t>
            </w:r>
            <w:r>
              <w:rPr>
                <w:sz w:val="17"/>
              </w:rPr>
              <w:t>  you agree to be bound by the terms of the letter of transmittal.</w:t>
            </w:r>
          </w:p>
        </w:tc>
      </w:tr>
    </w:tbl>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9105" w:type="dxa"/>
        <w:jc w:val="left"/>
        <w:tblInd w:w="0" w:type="dxa"/>
        <w:tblCellMar>
          <w:top w:w="0" w:type="dxa"/>
          <w:left w:w="0" w:type="dxa"/>
          <w:bottom w:w="0" w:type="dxa"/>
          <w:right w:w="0" w:type="dxa"/>
        </w:tblCellMar>
      </w:tblPr>
      <w:tblGrid>
        <w:gridCol w:w="3255"/>
        <w:gridCol w:w="240"/>
        <w:gridCol w:w="5610"/>
      </w:tblGrid>
      <w:tr>
        <w:trPr/>
        <w:tc>
          <w:tcPr>
            <w:tcW w:w="3255" w:type="dxa"/>
            <w:tcBorders/>
            <w:shd w:fill="auto" w:val="clear"/>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before="0" w:after="0"/>
              <w:ind w:left="0" w:right="0" w:hanging="0"/>
              <w:rPr/>
            </w:pPr>
            <w:r>
              <w:rPr/>
              <w:t> </w:t>
            </w:r>
          </w:p>
        </w:tc>
        <w:tc>
          <w:tcPr>
            <w:tcW w:w="56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 more information on tendering your outstanding notes, please refer to the sections in this prospectus entitled Exchange OfferTerms of the Exchange Offer and Procedures for Tendering.</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Guaranteed Delivery Procedures</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None.</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Withdrawal of Tenders</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You may withdraw your tender of outstanding notes at any time prior to the expiration date. To withdraw, you must submit a notice of withdrawal to the exchange agent using ATOP procedures before 5:00 p.m. New York City time on the expiration date of the exchange offer. Please read Exchange OfferWithdrawal of Tenders.</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Acceptance of Outstanding Notes and Delivery of New Notes</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br/>
              <w:t>If you fulfill all conditions required for proper acceptance of outstanding notes, we will accept any and all outstanding notes that you properly tender in the exchange offer on or before 5:00 p.m. New York City time on the expiration date. We will return to you, without expense as promptly as practicable after the expiration date, any outstanding note that we do not accept for exchange. We will deliver the new notes as promptly as practicable after the expiration date and acceptance of the outstanding notes for exchange. Please refer to the section in this prospectus entitled Exchange OfferTerms of the Exchange Offer.</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Fees and Expenses</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We will bear all expenses related to the exchange offer. Please refer to the section in this prospectus entitled Exchange OfferFees and Expenses.</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Use of Proceeds</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The issuance of the new notes will not provide us with any new proceeds. We are making this exchange offer solely to satisfy our obligations under our registration rights agreement.</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Consequences of Failure to Exchange Outstanding Notes</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br/>
              <w:t>If you do not exchange your outstanding notes in this exchange offer, you will no longer be able to require us to register the outstanding notes under the Securities Act except in the limited circumstances provided under our registration rights agreement. In addition, you will not be able to resell, offer to resell or otherwise transfer the outstanding notes unless we have registered the outstanding notes under the Securities Act, or unless you resell, offer to resell or otherwise transfer them under an exemption from the registration requirements of, or in a transaction not subject to, the Securities Act.</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U.S. Federal Income Tax Considerations</w:t>
            </w:r>
          </w:p>
        </w:tc>
        <w:tc>
          <w:tcPr>
            <w:tcW w:w="240" w:type="dxa"/>
            <w:tcBorders/>
            <w:shd w:fill="auto" w:val="clear"/>
            <w:vAlign w:val="bottom"/>
          </w:tcPr>
          <w:p>
            <w:pPr>
              <w:pStyle w:val="TableContents"/>
              <w:spacing w:before="80" w:after="80"/>
              <w:ind w:left="0" w:right="0" w:hanging="0"/>
              <w:rPr/>
            </w:pPr>
            <w:r>
              <w:rPr/>
              <w:t> </w:t>
            </w:r>
          </w:p>
        </w:tc>
        <w:tc>
          <w:tcPr>
            <w:tcW w:w="56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br/>
              <w:t>The exchange of new notes for outstanding notes in the exchange offer should not be a taxable event for U.S. federal income tax purposes. Please read U.S. Federal Income Tax Considerations.</w:t>
            </w:r>
          </w:p>
        </w:tc>
      </w:tr>
    </w:tbl>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9105" w:type="dxa"/>
        <w:jc w:val="left"/>
        <w:tblInd w:w="0" w:type="dxa"/>
        <w:tblCellMar>
          <w:top w:w="0" w:type="dxa"/>
          <w:left w:w="0" w:type="dxa"/>
          <w:bottom w:w="0" w:type="dxa"/>
          <w:right w:w="0" w:type="dxa"/>
        </w:tblCellMar>
      </w:tblPr>
      <w:tblGrid>
        <w:gridCol w:w="3255"/>
        <w:gridCol w:w="240"/>
        <w:gridCol w:w="5610"/>
      </w:tblGrid>
      <w:tr>
        <w:trPr/>
        <w:tc>
          <w:tcPr>
            <w:tcW w:w="3255" w:type="dxa"/>
            <w:tcBorders/>
            <w:shd w:fill="auto" w:val="clear"/>
          </w:tcPr>
          <w:p>
            <w:pPr>
              <w:pStyle w:val="TableContents"/>
              <w:spacing w:before="0" w:after="0"/>
              <w:ind w:left="0" w:right="0" w:hanging="0"/>
              <w:rPr>
                <w:sz w:val="17"/>
              </w:rPr>
            </w:pPr>
            <w:r>
              <w:rPr>
                <w:sz w:val="17"/>
              </w:rPr>
              <w:t>Exchange Agent</w:t>
            </w:r>
          </w:p>
        </w:tc>
        <w:tc>
          <w:tcPr>
            <w:tcW w:w="240" w:type="dxa"/>
            <w:tcBorders/>
            <w:shd w:fill="auto" w:val="clear"/>
            <w:vAlign w:val="bottom"/>
          </w:tcPr>
          <w:p>
            <w:pPr>
              <w:pStyle w:val="TableContents"/>
              <w:spacing w:before="0" w:after="0"/>
              <w:ind w:left="0" w:right="0" w:hanging="0"/>
              <w:rPr/>
            </w:pPr>
            <w:r>
              <w:rPr/>
              <w:t> </w:t>
            </w:r>
          </w:p>
        </w:tc>
        <w:tc>
          <w:tcPr>
            <w:tcW w:w="56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have appointed Wachovia Bank, National Association as exchange agent for the exchange offer. You should direct questions and requests for assistance, requests for additional copies of this prospectus or the letter of transmittal and requests for the notice of guaranteed delivery to the exchange agent addressed as follows: Wachovia Bank, National Association, Customer Information Center, Corporate Trust OperationsNC1153, 1525 West W. T. Harris Blvd. 3C3, Charlotte, North Carolina 28288. Eligible institutions may make requests by facsimile at (704) 590-7628.</w:t>
            </w:r>
          </w:p>
        </w:tc>
      </w:tr>
    </w:tbl>
    <w:p>
      <w:pPr>
        <w:pStyle w:val="TextBody"/>
        <w:spacing w:lineRule="atLeast" w:line="141" w:before="0" w:after="240"/>
        <w:ind w:left="0" w:right="0" w:hanging="0"/>
        <w:rPr/>
      </w:pPr>
      <w:r>
        <w:rPr/>
        <w:t> </w:t>
      </w:r>
    </w:p>
    <w:p>
      <w:pPr>
        <w:pStyle w:val="TextBody"/>
        <w:keepNext w:val="true"/>
        <w:spacing w:before="0" w:after="120"/>
        <w:ind w:left="0" w:right="0" w:hanging="0"/>
        <w:jc w:val="center"/>
        <w:rPr>
          <w:rFonts w:ascii="Times New Roman" w:hAnsi="Times New Roman"/>
          <w:b/>
          <w:sz w:val="17"/>
        </w:rPr>
      </w:pPr>
      <w:bookmarkStart w:id="7" w:name="TermsOfTheNotes_133946"/>
      <w:bookmarkEnd w:id="7"/>
      <w:r>
        <w:rPr>
          <w:rFonts w:ascii="Times New Roman" w:hAnsi="Times New Roman"/>
          <w:b/>
          <w:sz w:val="17"/>
        </w:rPr>
        <w:t>Terms of the Notes</w:t>
      </w:r>
    </w:p>
    <w:p>
      <w:pPr>
        <w:pStyle w:val="TextBody"/>
        <w:spacing w:before="0" w:after="120"/>
        <w:ind w:left="0" w:right="0" w:firstLine="400"/>
        <w:rPr>
          <w:rFonts w:ascii="Times New Roman" w:hAnsi="Times New Roman"/>
          <w:i/>
          <w:sz w:val="17"/>
        </w:rPr>
      </w:pPr>
      <w:r>
        <w:rPr>
          <w:rFonts w:ascii="Times New Roman" w:hAnsi="Times New Roman"/>
          <w:i/>
          <w:sz w:val="17"/>
        </w:rPr>
        <w:t>The new notes will be identical to the outstanding notes except that the new notes are registered under the Securities Act and will not have restrictions on transfer, registration rights or provisions for additional interest and will contain different administrative terms. The new notes will evidence the same debt as the outstanding notes, and the same indenture will govern the new notes and the outstanding notes.</w:t>
      </w:r>
    </w:p>
    <w:p>
      <w:pPr>
        <w:pStyle w:val="TextBody"/>
        <w:keepNext w:val="true"/>
        <w:spacing w:before="0" w:after="240"/>
        <w:ind w:left="0" w:right="0" w:firstLine="400"/>
        <w:rPr>
          <w:rFonts w:ascii="Times New Roman" w:hAnsi="Times New Roman"/>
          <w:i/>
          <w:sz w:val="17"/>
        </w:rPr>
      </w:pPr>
      <w:r>
        <w:rPr>
          <w:rFonts w:ascii="Times New Roman" w:hAnsi="Times New Roman"/>
          <w:i/>
          <w:sz w:val="17"/>
        </w:rPr>
        <w:t>The following summary contains basic information about the notes and is not intended to be complete. It does not contain all the information that is important to you. For a more complete understanding of the notes, please refer to the section of this prospectus entitled Description of the Notes.</w:t>
      </w:r>
    </w:p>
    <w:tbl>
      <w:tblPr>
        <w:tblW w:w="9120" w:type="dxa"/>
        <w:jc w:val="left"/>
        <w:tblInd w:w="0" w:type="dxa"/>
        <w:tblCellMar>
          <w:top w:w="0" w:type="dxa"/>
          <w:left w:w="0" w:type="dxa"/>
          <w:bottom w:w="0" w:type="dxa"/>
          <w:right w:w="0" w:type="dxa"/>
        </w:tblCellMar>
      </w:tblPr>
      <w:tblGrid>
        <w:gridCol w:w="3255"/>
        <w:gridCol w:w="240"/>
        <w:gridCol w:w="5625"/>
      </w:tblGrid>
      <w:tr>
        <w:trPr/>
        <w:tc>
          <w:tcPr>
            <w:tcW w:w="3255" w:type="dxa"/>
            <w:tcBorders/>
            <w:shd w:fill="auto" w:val="clear"/>
          </w:tcPr>
          <w:p>
            <w:pPr>
              <w:pStyle w:val="TableContents"/>
              <w:spacing w:before="0" w:after="0"/>
              <w:ind w:left="0" w:right="0" w:hanging="0"/>
              <w:rPr>
                <w:sz w:val="17"/>
              </w:rPr>
            </w:pPr>
            <w:r>
              <w:rPr>
                <w:sz w:val="17"/>
              </w:rPr>
              <w:t>Issuers</w:t>
            </w:r>
          </w:p>
        </w:tc>
        <w:tc>
          <w:tcPr>
            <w:tcW w:w="240" w:type="dxa"/>
            <w:tcBorders/>
            <w:shd w:fill="auto" w:val="clear"/>
            <w:vAlign w:val="bottom"/>
          </w:tcPr>
          <w:p>
            <w:pPr>
              <w:pStyle w:val="TableContents"/>
              <w:spacing w:before="0" w:after="0"/>
              <w:ind w:left="0" w:right="0" w:hanging="0"/>
              <w:rPr/>
            </w:pPr>
            <w:r>
              <w:rPr/>
              <w:t> </w:t>
            </w:r>
          </w:p>
        </w:tc>
        <w:tc>
          <w:tcPr>
            <w:tcW w:w="5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 and PAA Finance Corp.</w:t>
            </w:r>
          </w:p>
        </w:tc>
      </w:tr>
      <w:tr>
        <w:trPr/>
        <w:tc>
          <w:tcPr>
            <w:tcW w:w="3255" w:type="dxa"/>
            <w:tcBorders/>
            <w:shd w:fill="auto" w:val="clear"/>
          </w:tcPr>
          <w:p>
            <w:pPr>
              <w:pStyle w:val="TableContents"/>
              <w:spacing w:before="80" w:after="80"/>
              <w:ind w:left="0" w:right="0" w:hanging="0"/>
              <w:rPr/>
            </w:pPr>
            <w:r>
              <w:rPr/>
              <w:t> </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PAA Finance Corp., a Delaware corporation, is an indirect wholly owned subsidiary of Plains All American Pipeline, L.P. that has been organized for the purpose of co-issuing our existing notes, the notes offered hereby, and the notes issued in any future offerings. PAA Finance Corp. will not have any operations of any kind and will not have any revenue other than as may be incidental to its activities as a co-issuer of the notes.</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Notes Offered</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$150 million in aggregate principal amount of 5.25% senior notes due 2015.</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Maturity Date</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June 15, 2015.</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Interest Payment Dates</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We will pay interest on the notes on June 15 and December 15 of each year, beginning December 15, 2005.</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Optional Redemption</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We may redeem the notes, in whole or in part, at any time at a price equal to 100% of the principal amount of the notes to be redeemed plus a make-whole premium described in the Description of the NotesOptional Redemption section of this prospectus, plus accrued and unpaid interest, if any, to the redemption date.</w:t>
            </w:r>
          </w:p>
        </w:tc>
      </w:tr>
    </w:tbl>
    <w:p>
      <w:pPr>
        <w:pStyle w:val="TextBody"/>
        <w:spacing w:before="480" w:after="48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9120" w:type="dxa"/>
        <w:jc w:val="left"/>
        <w:tblInd w:w="0" w:type="dxa"/>
        <w:tblCellMar>
          <w:top w:w="0" w:type="dxa"/>
          <w:left w:w="0" w:type="dxa"/>
          <w:bottom w:w="0" w:type="dxa"/>
          <w:right w:w="0" w:type="dxa"/>
        </w:tblCellMar>
      </w:tblPr>
      <w:tblGrid>
        <w:gridCol w:w="3255"/>
        <w:gridCol w:w="240"/>
        <w:gridCol w:w="5625"/>
      </w:tblGrid>
      <w:tr>
        <w:trPr/>
        <w:tc>
          <w:tcPr>
            <w:tcW w:w="3255" w:type="dxa"/>
            <w:tcBorders/>
            <w:shd w:fill="auto" w:val="clear"/>
          </w:tcPr>
          <w:p>
            <w:pPr>
              <w:pStyle w:val="TableContents"/>
              <w:spacing w:before="0" w:after="0"/>
              <w:ind w:left="0" w:right="0" w:hanging="0"/>
              <w:rPr>
                <w:sz w:val="17"/>
              </w:rPr>
            </w:pPr>
            <w:r>
              <w:rPr>
                <w:sz w:val="17"/>
              </w:rPr>
              <w:t>Guarantees</w:t>
            </w:r>
          </w:p>
        </w:tc>
        <w:tc>
          <w:tcPr>
            <w:tcW w:w="240" w:type="dxa"/>
            <w:tcBorders/>
            <w:shd w:fill="auto" w:val="clear"/>
            <w:vAlign w:val="bottom"/>
          </w:tcPr>
          <w:p>
            <w:pPr>
              <w:pStyle w:val="TableContents"/>
              <w:spacing w:before="0" w:after="0"/>
              <w:ind w:left="0" w:right="0" w:hanging="0"/>
              <w:rPr/>
            </w:pPr>
            <w:r>
              <w:rPr/>
              <w:t> </w:t>
            </w:r>
          </w:p>
        </w:tc>
        <w:tc>
          <w:tcPr>
            <w:tcW w:w="5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Initially, all payments with respect to the notes (including principal and interest) are fully and unconditionally guaranteed, jointly and severally, by substantially all of our existing subsidiaries. In the future our subsidiaries that guarantee other indebtedness of ours or another restricted subsidiary must also guarantee the notes. The guarantees are also subject to release in certain circumstances. The guarantees are general unsecured obligations of the subsidiary guarantors and rank equally with the existing and future senior unsecured indebtedness of the subsidiary guarantors.</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Ranking</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The notes are general senior unsecured obligations of the issuers and rank equally with the existing and future senior unsecured indebtedness of the issuers.</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Certain Covenants</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 xml:space="preserve">The indenture governing the notes contains covenants that limit our ability and our restricted subsidiaries ability, with certain exceptions, to: </w:t>
            </w:r>
          </w:p>
        </w:tc>
      </w:tr>
      <w:tr>
        <w:trPr/>
        <w:tc>
          <w:tcPr>
            <w:tcW w:w="3255" w:type="dxa"/>
            <w:tcBorders/>
            <w:shd w:fill="auto" w:val="clear"/>
          </w:tcPr>
          <w:p>
            <w:pPr>
              <w:pStyle w:val="TableContents"/>
              <w:spacing w:before="80" w:after="80"/>
              <w:ind w:left="0" w:right="0" w:hanging="0"/>
              <w:rPr/>
            </w:pPr>
            <w:r>
              <w:rPr/>
              <w:t> </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sz w:val="17"/>
              </w:rPr>
            </w:pPr>
            <w:r>
              <w:rPr>
                <w:rFonts w:ascii="Symbol" w:hAnsi="Symbol"/>
                <w:sz w:val="17"/>
              </w:rPr>
              <w:t>·</w:t>
            </w:r>
            <w:r>
              <w:rPr>
                <w:sz w:val="17"/>
              </w:rPr>
              <w:t>  incur liens on principal properties to secure debt;·</w:t>
            </w:r>
          </w:p>
        </w:tc>
      </w:tr>
      <w:tr>
        <w:trPr/>
        <w:tc>
          <w:tcPr>
            <w:tcW w:w="3255" w:type="dxa"/>
            <w:tcBorders/>
            <w:shd w:fill="auto" w:val="clear"/>
          </w:tcPr>
          <w:p>
            <w:pPr>
              <w:pStyle w:val="TableContents"/>
              <w:spacing w:before="80" w:after="80"/>
              <w:ind w:left="0" w:right="0" w:hanging="0"/>
              <w:rPr/>
            </w:pPr>
            <w:r>
              <w:rPr/>
              <w:t> </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sz w:val="17"/>
              </w:rPr>
            </w:pPr>
            <w:r>
              <w:rPr>
                <w:rFonts w:ascii="Symbol" w:hAnsi="Symbol"/>
                <w:sz w:val="17"/>
              </w:rPr>
              <w:t>·</w:t>
            </w:r>
            <w:r>
              <w:rPr>
                <w:sz w:val="17"/>
              </w:rPr>
              <w:t>  engage in sale-leaseback transactions; or·</w:t>
            </w:r>
          </w:p>
        </w:tc>
      </w:tr>
      <w:tr>
        <w:trPr/>
        <w:tc>
          <w:tcPr>
            <w:tcW w:w="3255" w:type="dxa"/>
            <w:tcBorders/>
            <w:shd w:fill="auto" w:val="clear"/>
          </w:tcPr>
          <w:p>
            <w:pPr>
              <w:pStyle w:val="TableContents"/>
              <w:spacing w:before="80" w:after="80"/>
              <w:ind w:left="0" w:right="0" w:hanging="0"/>
              <w:rPr/>
            </w:pPr>
            <w:r>
              <w:rPr/>
              <w:t> </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sz w:val="17"/>
              </w:rPr>
            </w:pPr>
            <w:r>
              <w:rPr>
                <w:rFonts w:ascii="Symbol" w:hAnsi="Symbol"/>
                <w:sz w:val="17"/>
              </w:rPr>
              <w:t>·</w:t>
            </w:r>
            <w:r>
              <w:rPr>
                <w:sz w:val="17"/>
              </w:rPr>
              <w:t>  merge or consolidate with another entity or sell, lease or transfer substantially all of our properties or assets to another entity.</w:t>
            </w:r>
          </w:p>
        </w:tc>
      </w:tr>
      <w:tr>
        <w:trPr/>
        <w:tc>
          <w:tcPr>
            <w:tcW w:w="325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Transfer Restrictions; Absence of a Public Market for the Notes</w:t>
            </w:r>
          </w:p>
        </w:tc>
        <w:tc>
          <w:tcPr>
            <w:tcW w:w="240" w:type="dxa"/>
            <w:tcBorders/>
            <w:shd w:fill="auto" w:val="clear"/>
            <w:vAlign w:val="bottom"/>
          </w:tcPr>
          <w:p>
            <w:pPr>
              <w:pStyle w:val="TableContents"/>
              <w:spacing w:before="80" w:after="80"/>
              <w:ind w:left="0" w:right="0" w:hanging="0"/>
              <w:rPr/>
            </w:pPr>
            <w:r>
              <w:rPr/>
              <w:t> </w:t>
            </w:r>
          </w:p>
        </w:tc>
        <w:tc>
          <w:tcPr>
            <w:tcW w:w="562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br/>
              <w:t>The new notes generally will be freely transferable, but will also be new securities for which there will not initially be a market. There can be no assurance as to the development or liquidity of any market for the new notes.</w:t>
            </w:r>
          </w:p>
        </w:tc>
      </w:tr>
    </w:tbl>
    <w:p>
      <w:pPr>
        <w:pStyle w:val="TextBody"/>
        <w:spacing w:lineRule="atLeast" w:line="141" w:before="0" w:after="240"/>
        <w:ind w:left="0" w:right="0" w:hanging="0"/>
        <w:rPr/>
      </w:pPr>
      <w:r>
        <w:rPr/>
        <w:t> </w:t>
      </w:r>
    </w:p>
    <w:p>
      <w:pPr>
        <w:pStyle w:val="TextBody"/>
        <w:keepNext w:val="true"/>
        <w:spacing w:before="0" w:after="120"/>
        <w:ind w:left="200" w:right="0" w:hanging="200"/>
        <w:rPr>
          <w:rFonts w:ascii="Times New Roman" w:hAnsi="Times New Roman"/>
          <w:b/>
          <w:sz w:val="17"/>
        </w:rPr>
      </w:pPr>
      <w:bookmarkStart w:id="8" w:name="RecentDevelopments_133949"/>
      <w:bookmarkEnd w:id="8"/>
      <w:r>
        <w:rPr>
          <w:rFonts w:ascii="Times New Roman" w:hAnsi="Times New Roman"/>
          <w:b/>
          <w:sz w:val="17"/>
        </w:rPr>
        <w:t>Recent Developments</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Acquisition of Natural Gas Storage Facilities</w:t>
      </w:r>
    </w:p>
    <w:p>
      <w:pPr>
        <w:pStyle w:val="TextBody"/>
        <w:spacing w:before="0" w:after="120"/>
        <w:ind w:left="0" w:right="0" w:firstLine="400"/>
        <w:rPr>
          <w:rFonts w:ascii="Times New Roman" w:hAnsi="Times New Roman"/>
          <w:sz w:val="17"/>
        </w:rPr>
      </w:pPr>
      <w:r>
        <w:rPr>
          <w:rFonts w:ascii="Times New Roman" w:hAnsi="Times New Roman"/>
          <w:sz w:val="17"/>
        </w:rPr>
        <w:t>On September 14, 2005, Plains/Vulcan completed the acquisition of all of the equity interests of ECI, an indirect subsidiary of Sempra Energy that develops and operates underground natural gas storage facilities. Plains/Vulcan is owned 50% by us and 50% by a subsidiary of Vulcan Capital, the investment arm of Paul G. Allen ("Vulcan Capital"). The total purchase price, excluding transaction costs, for the ECI equity interests was approximately $250 million. Plains/Vulcan anticipates that it will make additional expenditures of approximately $260 million over the next several years to complete a project under construction. Plains/Vulcan anticipates entering into a credit facility to cover a portion of these costs and base gas requirements.</w:t>
      </w:r>
    </w:p>
    <w:p>
      <w:pPr>
        <w:pStyle w:val="TextBody"/>
        <w:spacing w:before="0" w:after="120"/>
        <w:ind w:left="0" w:right="0" w:firstLine="400"/>
        <w:rPr>
          <w:rFonts w:ascii="Times New Roman" w:hAnsi="Times New Roman"/>
          <w:sz w:val="17"/>
        </w:rPr>
      </w:pPr>
      <w:r>
        <w:rPr>
          <w:rFonts w:ascii="Times New Roman" w:hAnsi="Times New Roman"/>
          <w:sz w:val="17"/>
        </w:rPr>
        <w:t>We and Vulcan Capital each made an initial cash investment of $112.5 million ($225 million in the aggregate to Plains/Vulcan), and a subsidiary of Plains/Vulcan placed a $90 million credit facility contemporaneously with closing. Our portion of the purchase price was funded with a combination of the $112.5 million cash investment, borrowed under our senior unsecured revolving credit facility, and our indirect share of the borrowings under the Plains/Vulcan subsidiary level credit facility, with excess funds from such sources used for closing costs and future liquidity.</w:t>
      </w:r>
    </w:p>
    <w:p>
      <w:pPr>
        <w:pStyle w:val="TextBody"/>
        <w:spacing w:before="0" w:after="120"/>
        <w:ind w:left="0" w:right="0" w:firstLine="400"/>
        <w:rPr>
          <w:rFonts w:ascii="Times New Roman" w:hAnsi="Times New Roman"/>
          <w:sz w:val="17"/>
        </w:rPr>
      </w:pPr>
      <w:r>
        <w:rPr>
          <w:rFonts w:ascii="Times New Roman" w:hAnsi="Times New Roman"/>
          <w:sz w:val="17"/>
        </w:rPr>
        <w:t xml:space="preserve">ECI's principal assets consist of (i) Bluewater Gas Storage, an operating natural gas storage facility in Michigan with current natural gas storage working capacity of approximately 20 Bcf; (ii) Pine Prairie </w:t>
      </w:r>
    </w:p>
    <w:p>
      <w:pPr>
        <w:pStyle w:val="TextBody"/>
        <w:spacing w:before="480" w:after="480"/>
        <w:ind w:left="0" w:right="0" w:hanging="0"/>
        <w:rPr>
          <w:rFonts w:ascii="Times New Roman" w:hAnsi="Times New Roman"/>
          <w:sz w:val="17"/>
        </w:rPr>
      </w:pPr>
      <w:r>
        <w:rPr>
          <w:rFonts w:ascii="Times New Roman" w:hAnsi="Times New Roman"/>
          <w:sz w:val="17"/>
        </w:rPr>
        <w:t>5</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Energy Center ("Pine Prairie"), a 24 Bcf salt dome natural gas storage facility under development in Louisiana; and (iii) other similar projects and opportunities under various stages of review and evaluation.</w:t>
      </w:r>
    </w:p>
    <w:p>
      <w:pPr>
        <w:pStyle w:val="TextBody"/>
        <w:spacing w:before="0" w:after="120"/>
        <w:ind w:left="0" w:right="0" w:firstLine="400"/>
        <w:rPr>
          <w:rFonts w:ascii="Times New Roman" w:hAnsi="Times New Roman"/>
          <w:sz w:val="17"/>
        </w:rPr>
      </w:pPr>
      <w:r>
        <w:rPr>
          <w:rFonts w:ascii="Times New Roman" w:hAnsi="Times New Roman"/>
          <w:sz w:val="17"/>
        </w:rPr>
        <w:t>Based on current estimates, we expect the initial capital requirements associated with our proportionate ownership of Plains/Vulcan to be approximately $255 million, which includes our initial cash payment of $112.5 million and our indirect share of the Plains/Vulcan subsidiary level credit facility, as well as future capital contributions. Actual costs may differ materially from current estimates because of factors beyond our control such as shortages or cost increases of power supplies, materials or labor (including the direct and indirect effects of Hurricane Katrina on the availability of materials, the cost of natural gas and the demand for oil field services).</w:t>
      </w:r>
    </w:p>
    <w:p>
      <w:pPr>
        <w:pStyle w:val="TextBody"/>
        <w:spacing w:before="0" w:after="120"/>
        <w:ind w:left="0" w:right="0" w:firstLine="400"/>
        <w:rPr>
          <w:rFonts w:ascii="Times New Roman" w:hAnsi="Times New Roman"/>
          <w:sz w:val="17"/>
        </w:rPr>
      </w:pPr>
      <w:r>
        <w:rPr>
          <w:rFonts w:ascii="Times New Roman" w:hAnsi="Times New Roman"/>
          <w:sz w:val="17"/>
        </w:rPr>
        <w:t>The Board of Directors of Plains/Vulcan, which will include an equal number of representatives from us and Vulcan Capital, will be responsible for providing strategic direction and policy making, and we will be responsible for the day to day operations of Plains/Vulcan.</w:t>
      </w:r>
    </w:p>
    <w:p>
      <w:pPr>
        <w:pStyle w:val="TextBody"/>
        <w:spacing w:before="0" w:after="240"/>
        <w:ind w:left="0" w:right="0" w:firstLine="400"/>
        <w:rPr>
          <w:rFonts w:ascii="Times New Roman" w:hAnsi="Times New Roman"/>
          <w:sz w:val="17"/>
        </w:rPr>
      </w:pPr>
      <w:r>
        <w:rPr>
          <w:rFonts w:ascii="Times New Roman" w:hAnsi="Times New Roman"/>
          <w:sz w:val="17"/>
        </w:rPr>
        <w:t>Through its affiliates, Vulcan Capital owns approximately 54% of our general partner and approximately 20% of our outstanding common units.</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Equity Offering</w:t>
      </w:r>
    </w:p>
    <w:p>
      <w:pPr>
        <w:pStyle w:val="TextBody"/>
        <w:spacing w:before="0" w:after="120"/>
        <w:ind w:left="0" w:right="0" w:firstLine="400"/>
        <w:rPr>
          <w:rFonts w:ascii="Times New Roman" w:hAnsi="Times New Roman"/>
          <w:sz w:val="17"/>
        </w:rPr>
      </w:pPr>
      <w:r>
        <w:rPr>
          <w:rFonts w:ascii="Times New Roman" w:hAnsi="Times New Roman"/>
          <w:sz w:val="17"/>
        </w:rPr>
        <w:t>On September 20, 2005, we announced a public offering of 4,500,000 units. At approximately the same time we expect to issue 679,000 common units pursuant to our existing shelf registration statement directly to investment funds affiliated with Kayne Anderson Capital Advisors, L.P. in a privately negotiated transaction (the "Concurrent Sale") for a purchase price per unit equal to the public offering price less underwriting discounts and commissions, which equates to the net price per unit received by us in the public offering. The Concurrent Sale is conditioned on the consummation of the underwritten offering of common units, but the consummation of the offering of common units is not conditioned upon consummation of the Concurrent Sale.</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Impact of Hurricane Katrina</w:t>
      </w:r>
    </w:p>
    <w:p>
      <w:pPr>
        <w:pStyle w:val="TextBody"/>
        <w:spacing w:before="0" w:after="120"/>
        <w:ind w:left="0" w:right="0" w:firstLine="400"/>
        <w:rPr>
          <w:rFonts w:ascii="Times New Roman" w:hAnsi="Times New Roman"/>
          <w:sz w:val="17"/>
        </w:rPr>
      </w:pPr>
      <w:r>
        <w:rPr>
          <w:rFonts w:ascii="Times New Roman" w:hAnsi="Times New Roman"/>
          <w:sz w:val="17"/>
        </w:rPr>
        <w:t>Our preliminary damage assessment of the impact of Hurricane Katrina on our Gulf Coast assets indicates that in most cases, our facilities lost power and communications but sustained relatively limited physical damage. As of September 19, 2005, access to certain assets remains difficult.</w:t>
      </w:r>
    </w:p>
    <w:p>
      <w:pPr>
        <w:pStyle w:val="TextBody"/>
        <w:spacing w:before="0" w:after="120"/>
        <w:ind w:left="0" w:right="0" w:firstLine="400"/>
        <w:rPr>
          <w:rFonts w:ascii="Times New Roman" w:hAnsi="Times New Roman"/>
          <w:sz w:val="17"/>
        </w:rPr>
      </w:pPr>
      <w:r>
        <w:rPr>
          <w:rFonts w:ascii="Times New Roman" w:hAnsi="Times New Roman"/>
          <w:sz w:val="17"/>
        </w:rPr>
        <w:t>We are continuing to assess damage to our Gulf Coast assets. The aggregate impact of the hurricane on our operations, however, may not be known for some time and will be dependent upon when power is restored to our various facilities, the extent of the damage to our and third party assets, the potential impact of shut-in crude oil production and refining capacity and the extent of any environmental exposure. The profitability of our pipeline operations depends on the 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also dependent upon our securing additional supplies of crude oil. The interruption in the production of crude oil in the Gulf Coast region caused by Hurricane Katrina has reduced the production and limited the supply of crude oil available in the market and therefore decreased the volumes shipped on our pipelines and the volumes available for us to purchase in the market. Although substantial uncertainty remains, as of the date of this exchange offer, we do not anticipate that the effects of Hurricane Katrina will have a material impact on our results of operations.</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Ownership Changes at Our General Partner</w:t>
      </w:r>
    </w:p>
    <w:p>
      <w:pPr>
        <w:pStyle w:val="TextBody"/>
        <w:spacing w:before="0" w:after="120"/>
        <w:ind w:left="0" w:right="0" w:firstLine="400"/>
        <w:rPr>
          <w:rFonts w:ascii="Times New Roman" w:hAnsi="Times New Roman"/>
          <w:sz w:val="17"/>
        </w:rPr>
      </w:pPr>
      <w:r>
        <w:rPr>
          <w:rFonts w:ascii="Times New Roman" w:hAnsi="Times New Roman"/>
          <w:sz w:val="17"/>
        </w:rPr>
        <w:t xml:space="preserve">On August 12, 2005, Sable Investments, L.P., a 19.0% owner of our general partner, sold its interest to the remaining owners of our general partner. This transaction resulted from the exercise of a right of first refusal by all of the remaining owners in response to an offer to purchase the Sable interest. As a result of </w:t>
      </w:r>
    </w:p>
    <w:p>
      <w:pPr>
        <w:pStyle w:val="TextBody"/>
        <w:spacing w:before="480" w:after="480"/>
        <w:ind w:left="0" w:right="0" w:hanging="0"/>
        <w:rPr>
          <w:rFonts w:ascii="Times New Roman" w:hAnsi="Times New Roman"/>
          <w:sz w:val="17"/>
        </w:rPr>
      </w:pPr>
      <w:r>
        <w:rPr>
          <w:rFonts w:ascii="Times New Roman" w:hAnsi="Times New Roman"/>
          <w:sz w:val="17"/>
        </w:rPr>
        <w:t>6</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this transaction, Vulcan Energy Corporation ("Vulcan"), an affiliate of Vulcan Capital, increased its ownership interest in our general partner from 44% to approximately 54%, which effectively would have enabled Vulcan to elect five of our general partner's eight board members.</w:t>
      </w:r>
    </w:p>
    <w:p>
      <w:pPr>
        <w:pStyle w:val="TextBody"/>
        <w:spacing w:before="0" w:after="120"/>
        <w:ind w:left="0" w:right="0" w:firstLine="400"/>
        <w:rPr>
          <w:rFonts w:ascii="Times New Roman" w:hAnsi="Times New Roman"/>
          <w:sz w:val="17"/>
        </w:rPr>
      </w:pPr>
      <w:r>
        <w:rPr>
          <w:rFonts w:ascii="Times New Roman" w:hAnsi="Times New Roman"/>
          <w:sz w:val="17"/>
        </w:rPr>
        <w:t>In conjunction with the transaction, our general partner entered into an excess voting rights agreement with Vulcan pursuant to which Vulcan has agreed to restrict certain of its voting rights to help preserve a balanced board. Specifically, Vulcan agreed that with respect to any action taken by the members for the election or removal of an independent director, Vulcan will vote all of its membership interest in excess of 49.9% in the same manner as, and proportionate to, the votes of all membership interests other than Vulcan's. Vulcan has the right at any time to give notice of termination of the agreement. The time between notice and termination depends on the circumstances, but would never be longer than one year. Upon any breach by Vulcan of, or notice of termination under, the agreement, the employment agreement waivers described below would terminate. In addition, Lynx Holdings, L.P., similarly agreed that, in the same circumstances, it will vote all of its 1.23% membership interest in the same manner as, and proportionate to, the votes of all membership interests other than Vulcan's and Lynx Holdings'. Also in connection with the transaction, the chief executive officer and the chief operating officer of our general partner agreed to waive certain change-of-control payment rights that would otherwise have been triggered as a result of the increase in Vulcan's ownership interest in the general partner to approximately 54%.</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Distribution Increase</w:t>
      </w:r>
    </w:p>
    <w:p>
      <w:pPr>
        <w:pStyle w:val="TextBody"/>
        <w:spacing w:before="0" w:after="120"/>
        <w:ind w:left="0" w:right="0" w:firstLine="400"/>
        <w:rPr>
          <w:rFonts w:ascii="Times New Roman" w:hAnsi="Times New Roman"/>
          <w:sz w:val="17"/>
        </w:rPr>
      </w:pPr>
      <w:r>
        <w:rPr>
          <w:rFonts w:ascii="Times New Roman" w:hAnsi="Times New Roman"/>
          <w:sz w:val="17"/>
        </w:rPr>
        <w:t>On July 21, 2005, we announced a cash distribution of $0.65 per unit on all outstanding limited partner units. This second quarter distribution was paid on August 12, 2005. This distribution equals an annual distribution of $2.60 per unit and represents an increase of 12.6% over the second quarter of 2004 distribution.</w:t>
      </w:r>
    </w:p>
    <w:p>
      <w:pPr>
        <w:pStyle w:val="TextBody"/>
        <w:spacing w:before="0" w:after="120"/>
        <w:ind w:left="0" w:right="0" w:firstLine="400"/>
        <w:rPr>
          <w:rFonts w:ascii="Times New Roman" w:hAnsi="Times New Roman"/>
          <w:sz w:val="17"/>
        </w:rPr>
      </w:pPr>
      <w:r>
        <w:rPr>
          <w:rFonts w:ascii="Times New Roman" w:hAnsi="Times New Roman"/>
          <w:sz w:val="17"/>
        </w:rPr>
        <w:t>During our conference call to discuss the acquisition of ECI, our management disclosed its intent to recommend to the board of directors of our general partner a post-closing distribution increase of two and a half cents per quarter, or ten cents per unit on an annualized basis. Such an increase would result in a quarterly distribution of $0.675 per unit, which equals an annualized distribution rate of $2.70 per unit. Subject to the approval of the board of directors of our general partner and the absence of any material adverse developments or potentially attractive opportunities that would make such an increase inadvisable, we expect this increase to be reflected in our distribution related to the third quarter of 2005.  Under our partnership agreement, generally our general partner is entitled to 50% of the amount we distribute to each unitholder in excess of $0.675 per unit per quarter.</w:t>
      </w:r>
    </w:p>
    <w:p>
      <w:pPr>
        <w:pStyle w:val="TextBody"/>
        <w:spacing w:before="480" w:after="480"/>
        <w:ind w:left="0" w:right="0" w:hanging="0"/>
        <w:rPr>
          <w:rFonts w:ascii="Times New Roman" w:hAnsi="Times New Roman"/>
          <w:sz w:val="17"/>
        </w:rPr>
      </w:pPr>
      <w:r>
        <w:rPr>
          <w:rFonts w:ascii="Times New Roman" w:hAnsi="Times New Roman"/>
          <w:sz w:val="17"/>
        </w:rPr>
        <w:t>7</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0"/>
        <w:ind w:left="0" w:right="0" w:hanging="0"/>
        <w:jc w:val="center"/>
        <w:rPr>
          <w:rFonts w:ascii="Times New Roman" w:hAnsi="Times New Roman"/>
          <w:b/>
          <w:sz w:val="16"/>
        </w:rPr>
      </w:pPr>
      <w:bookmarkStart w:id="9" w:name="RiskFactors_081523"/>
      <w:bookmarkEnd w:id="9"/>
      <w:r>
        <w:rPr>
          <w:rFonts w:ascii="Times New Roman" w:hAnsi="Times New Roman"/>
          <w:b/>
          <w:sz w:val="16"/>
        </w:rPr>
        <w:t>RISK FACTORS</w:t>
      </w:r>
    </w:p>
    <w:p>
      <w:pPr>
        <w:pStyle w:val="TextBody"/>
        <w:spacing w:before="0" w:after="140"/>
        <w:ind w:left="0" w:right="0" w:firstLine="400"/>
        <w:rPr>
          <w:rFonts w:ascii="Times New Roman" w:hAnsi="Times New Roman"/>
          <w:i/>
          <w:sz w:val="16"/>
        </w:rPr>
      </w:pPr>
      <w:r>
        <w:rPr>
          <w:rFonts w:ascii="Times New Roman" w:hAnsi="Times New Roman"/>
          <w:i/>
          <w:sz w:val="16"/>
        </w:rPr>
        <w:t>In addition to the other information set forth elsewhere or incorporated by reference in this prospectus, the following factors relating to our partnership and the exchange offer and the notes should be considered carefully in deciding whether to participate in the exchange offer.</w:t>
      </w:r>
    </w:p>
    <w:p>
      <w:pPr>
        <w:pStyle w:val="TextBody"/>
        <w:keepNext w:val="true"/>
        <w:spacing w:before="0" w:after="20"/>
        <w:ind w:left="200" w:right="0" w:hanging="200"/>
        <w:rPr>
          <w:rFonts w:ascii="Times New Roman" w:hAnsi="Times New Roman"/>
          <w:b/>
          <w:sz w:val="16"/>
        </w:rPr>
      </w:pPr>
      <w:bookmarkStart w:id="10" w:name="RisksRelatedToOurBusiness_081523"/>
      <w:bookmarkEnd w:id="10"/>
      <w:r>
        <w:rPr>
          <w:rFonts w:ascii="Times New Roman" w:hAnsi="Times New Roman"/>
          <w:b/>
          <w:sz w:val="16"/>
        </w:rPr>
        <w:t>Risks Related to Our Business</w:t>
      </w:r>
    </w:p>
    <w:p>
      <w:pPr>
        <w:pStyle w:val="TextBody"/>
        <w:spacing w:before="0" w:after="20"/>
        <w:ind w:left="0" w:right="0" w:firstLine="400"/>
        <w:rPr>
          <w:rFonts w:ascii="Times New Roman" w:hAnsi="Times New Roman"/>
          <w:b/>
          <w:i/>
          <w:sz w:val="16"/>
        </w:rPr>
      </w:pPr>
      <w:r>
        <w:rPr>
          <w:rFonts w:ascii="Times New Roman" w:hAnsi="Times New Roman"/>
          <w:b/>
          <w:i/>
          <w:sz w:val="16"/>
        </w:rPr>
        <w:t>The level of our profitability is dependent upon an adequate supply of crude oil from fields located offshore and onshore California. Production from these offshore fields has experienced substantial production declines since 1995.</w:t>
      </w:r>
    </w:p>
    <w:p>
      <w:pPr>
        <w:pStyle w:val="TextBody"/>
        <w:spacing w:before="0" w:after="20"/>
        <w:ind w:left="0" w:right="0" w:firstLine="400"/>
        <w:rPr>
          <w:rFonts w:ascii="Times New Roman" w:hAnsi="Times New Roman"/>
          <w:sz w:val="16"/>
        </w:rPr>
      </w:pPr>
      <w:r>
        <w:rPr>
          <w:rFonts w:ascii="Times New Roman" w:hAnsi="Times New Roman"/>
          <w:sz w:val="16"/>
        </w:rPr>
        <w:t>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w:t>
      </w:r>
    </w:p>
    <w:p>
      <w:pPr>
        <w:pStyle w:val="TextBody"/>
        <w:spacing w:before="0" w:after="20"/>
        <w:ind w:left="0" w:right="0" w:firstLine="400"/>
        <w:rPr>
          <w:rFonts w:ascii="Times New Roman" w:hAnsi="Times New Roman"/>
          <w:b/>
          <w:i/>
          <w:sz w:val="16"/>
        </w:rPr>
      </w:pPr>
      <w:r>
        <w:rPr>
          <w:rFonts w:ascii="Times New Roman" w:hAnsi="Times New Roman"/>
          <w:b/>
          <w:i/>
          <w:sz w:val="16"/>
        </w:rPr>
        <w:t>Our trading policies cannot eliminate all price risks. In addition, any non-compliance with our trading policies could result in significant financial losses.</w:t>
      </w:r>
    </w:p>
    <w:p>
      <w:pPr>
        <w:pStyle w:val="TextBody"/>
        <w:spacing w:before="0" w:after="20"/>
        <w:ind w:left="0" w:right="0" w:firstLine="400"/>
        <w:rPr>
          <w:rFonts w:ascii="Times New Roman" w:hAnsi="Times New Roman"/>
          <w:sz w:val="16"/>
        </w:rPr>
      </w:pPr>
      <w:r>
        <w:rPr>
          <w:rFonts w:ascii="Times New Roman" w:hAnsi="Times New Roman"/>
          <w:sz w:val="16"/>
        </w:rPr>
        <w:t>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w:t>
      </w:r>
    </w:p>
    <w:p>
      <w:pPr>
        <w:pStyle w:val="TextBody"/>
        <w:spacing w:before="0" w:after="20"/>
        <w:ind w:left="0" w:right="0" w:firstLine="400"/>
        <w:rPr>
          <w:rFonts w:ascii="Times New Roman" w:hAnsi="Times New Roman"/>
          <w:sz w:val="16"/>
        </w:rPr>
      </w:pPr>
      <w:r>
        <w:rPr>
          <w:rFonts w:ascii="Times New Roman" w:hAnsi="Times New Roman"/>
          <w:sz w:val="16"/>
        </w:rPr>
        <w:t>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w:t>
      </w:r>
    </w:p>
    <w:p>
      <w:pPr>
        <w:pStyle w:val="TextBody"/>
        <w:spacing w:before="0" w:after="20"/>
        <w:ind w:left="0" w:right="0" w:firstLine="400"/>
        <w:rPr>
          <w:rFonts w:ascii="Times New Roman" w:hAnsi="Times New Roman"/>
          <w:b/>
          <w:i/>
          <w:sz w:val="16"/>
        </w:rPr>
      </w:pPr>
      <w:r>
        <w:rPr>
          <w:rFonts w:ascii="Times New Roman" w:hAnsi="Times New Roman"/>
          <w:b/>
          <w:i/>
          <w:sz w:val="16"/>
        </w:rPr>
        <w:t>If we do not make acquisitions on economically acceptable terms our future growth may be limited.</w:t>
      </w:r>
    </w:p>
    <w:p>
      <w:pPr>
        <w:pStyle w:val="TextBody"/>
        <w:spacing w:before="0" w:after="20"/>
        <w:ind w:left="0" w:right="0" w:firstLine="400"/>
        <w:rPr>
          <w:rFonts w:ascii="Times New Roman" w:hAnsi="Times New Roman"/>
          <w:sz w:val="16"/>
        </w:rPr>
      </w:pPr>
      <w:r>
        <w:rPr>
          <w:rFonts w:ascii="Times New Roman" w:hAnsi="Times New Roman"/>
          <w:sz w:val="16"/>
        </w:rPr>
        <w:t>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w:t>
      </w:r>
    </w:p>
    <w:p>
      <w:pPr>
        <w:pStyle w:val="TextBody"/>
        <w:keepNext w:val="true"/>
        <w:spacing w:before="0" w:after="20"/>
        <w:ind w:left="0" w:right="0" w:firstLine="400"/>
        <w:rPr>
          <w:rFonts w:ascii="Times New Roman" w:hAnsi="Times New Roman"/>
          <w:sz w:val="16"/>
        </w:rPr>
      </w:pPr>
      <w:r>
        <w:rPr>
          <w:rFonts w:ascii="Times New Roman" w:hAnsi="Times New Roman"/>
          <w:sz w:val="16"/>
        </w:rPr>
        <w:t>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w:t>
      </w:r>
    </w:p>
    <w:p>
      <w:pPr>
        <w:pStyle w:val="TextBody"/>
        <w:spacing w:before="0" w:after="20"/>
        <w:ind w:left="0" w:right="0" w:firstLine="400"/>
        <w:rPr>
          <w:rFonts w:ascii="Times New Roman" w:hAnsi="Times New Roman"/>
          <w:b/>
          <w:i/>
          <w:sz w:val="16"/>
        </w:rPr>
      </w:pPr>
      <w:r>
        <w:rPr>
          <w:rFonts w:ascii="Times New Roman" w:hAnsi="Times New Roman"/>
          <w:b/>
          <w:i/>
          <w:sz w:val="16"/>
        </w:rPr>
        <w:t>Our acquisition strategy requires access to new capital. Tightened capital markets or other factors which increase our cost of capital could impair our ability to grow.</w:t>
      </w:r>
    </w:p>
    <w:p>
      <w:pPr>
        <w:pStyle w:val="TextBody"/>
        <w:spacing w:before="0" w:after="20"/>
        <w:ind w:left="0" w:right="0" w:firstLine="400"/>
        <w:rPr>
          <w:rFonts w:ascii="Times New Roman" w:hAnsi="Times New Roman"/>
          <w:sz w:val="16"/>
        </w:rPr>
      </w:pPr>
      <w:r>
        <w:rPr>
          <w:rFonts w:ascii="Times New Roman" w:hAnsi="Times New Roman"/>
          <w:sz w:val="16"/>
        </w:rPr>
        <w:t>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w:t>
      </w:r>
    </w:p>
    <w:p>
      <w:pPr>
        <w:pStyle w:val="TextBody"/>
        <w:spacing w:before="120" w:after="120"/>
        <w:ind w:left="0" w:right="0" w:hanging="0"/>
        <w:rPr>
          <w:rFonts w:ascii="Times New Roman" w:hAnsi="Times New Roman"/>
          <w:sz w:val="17"/>
        </w:rPr>
      </w:pPr>
      <w:r>
        <w:rPr>
          <w:rFonts w:ascii="Times New Roman" w:hAnsi="Times New Roman"/>
          <w:sz w:val="17"/>
        </w:rPr>
        <w:t>8</w:t>
      </w:r>
    </w:p>
    <w:p>
      <w:pPr>
        <w:pStyle w:val="TextBody"/>
        <w:spacing w:before="0" w:after="0"/>
        <w:rPr/>
      </w:pPr>
      <w:r>
        <w:rPr/>
      </w:r>
    </w:p>
    <w:p>
      <w:pPr>
        <w:pStyle w:val="HorizontalLine"/>
        <w:pBdr>
          <w:bottom w:val="single" w:sz="18" w:space="0" w:color="010101"/>
        </w:pBdr>
        <w:rPr/>
      </w:pPr>
      <w:r>
        <w:rPr/>
      </w:r>
      <w:r>
        <w:br w:type="page"/>
      </w:r>
    </w:p>
    <w:p>
      <w:pPr>
        <w:pStyle w:val="TextBody"/>
        <w:spacing w:before="0" w:after="20"/>
        <w:ind w:left="0" w:right="0" w:firstLine="400"/>
        <w:rPr>
          <w:rFonts w:ascii="Times New Roman" w:hAnsi="Times New Roman"/>
          <w:b/>
          <w:i/>
          <w:sz w:val="16"/>
        </w:rPr>
      </w:pPr>
      <w:r>
        <w:rPr>
          <w:rFonts w:ascii="Times New Roman" w:hAnsi="Times New Roman"/>
          <w:b/>
          <w:i/>
          <w:sz w:val="16"/>
        </w:rPr>
        <w:t>Our acquisition strategy involves risks that may adversely affect our business.</w:t>
      </w:r>
    </w:p>
    <w:p>
      <w:pPr>
        <w:pStyle w:val="TextBody"/>
        <w:keepNext w:val="true"/>
        <w:spacing w:before="0" w:after="20"/>
        <w:ind w:left="0" w:right="0" w:firstLine="400"/>
        <w:rPr>
          <w:rFonts w:ascii="Times New Roman" w:hAnsi="Times New Roman"/>
          <w:sz w:val="16"/>
        </w:rPr>
      </w:pPr>
      <w:r>
        <w:rPr>
          <w:rFonts w:ascii="Times New Roman" w:hAnsi="Times New Roman"/>
          <w:sz w:val="16"/>
        </w:rPr>
        <w:t>Any acquisition involves potential risks, including:</w:t>
      </w:r>
    </w:p>
    <w:p>
      <w:pPr>
        <w:pStyle w:val="TextBody"/>
        <w:spacing w:before="0" w:after="2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performance from the acquired assets and businesses that is below the forecasts we used in evaluating the acquisition;</w:t>
      </w:r>
    </w:p>
    <w:p>
      <w:pPr>
        <w:pStyle w:val="TextBody"/>
        <w:spacing w:before="0" w:after="2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a significant increase in our indebtedness and working capital requirements;</w:t>
      </w:r>
    </w:p>
    <w:p>
      <w:pPr>
        <w:pStyle w:val="TextBody"/>
        <w:spacing w:before="0" w:after="2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the inability to timely and effectively integrate the operations of recently acquired businesses or assets;</w:t>
      </w:r>
    </w:p>
    <w:p>
      <w:pPr>
        <w:pStyle w:val="TextBody"/>
        <w:spacing w:before="0" w:after="2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the incurrence of substantial unforeseen environmental and other liabilities arising out of the acquired businesses or assets, including liabilities arising from the operation of the acquired businesses or assets prior to our acquisition;</w:t>
      </w:r>
    </w:p>
    <w:p>
      <w:pPr>
        <w:pStyle w:val="TextBody"/>
        <w:spacing w:before="0" w:after="2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risks associated with operating in lines of business that are distinct and separate from our historical operations</w:t>
      </w:r>
    </w:p>
    <w:p>
      <w:pPr>
        <w:pStyle w:val="TextBody"/>
        <w:spacing w:before="0" w:after="2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customer or key employee loss from the acquired businesses; and</w:t>
      </w:r>
    </w:p>
    <w:p>
      <w:pPr>
        <w:pStyle w:val="TextBody"/>
        <w:spacing w:before="0" w:after="2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the diversion of managements attention from other business concerns.</w:t>
      </w:r>
    </w:p>
    <w:p>
      <w:pPr>
        <w:pStyle w:val="TextBody"/>
        <w:spacing w:before="0" w:after="20"/>
        <w:ind w:left="0" w:right="0" w:firstLine="400"/>
        <w:rPr>
          <w:rFonts w:ascii="Times New Roman" w:hAnsi="Times New Roman"/>
          <w:sz w:val="16"/>
        </w:rPr>
      </w:pPr>
      <w:r>
        <w:rPr>
          <w:rFonts w:ascii="Times New Roman" w:hAnsi="Times New Roman"/>
          <w:sz w:val="16"/>
        </w:rPr>
        <w:t>Any of these factors could adversely affect our ability to achieve anticipated levels of cash flows from our acquisitions, realize other anticipated benefits and our ability to pay distributions or meet our debt service requirements.</w:t>
      </w:r>
    </w:p>
    <w:p>
      <w:pPr>
        <w:pStyle w:val="TextBody"/>
        <w:spacing w:before="0" w:after="20"/>
        <w:ind w:left="0" w:right="0" w:firstLine="400"/>
        <w:rPr>
          <w:rFonts w:ascii="Times New Roman" w:hAnsi="Times New Roman"/>
          <w:b/>
          <w:i/>
          <w:sz w:val="16"/>
        </w:rPr>
      </w:pPr>
      <w:r>
        <w:rPr>
          <w:rFonts w:ascii="Times New Roman" w:hAnsi="Times New Roman"/>
          <w:b/>
          <w:i/>
          <w:sz w:val="16"/>
        </w:rPr>
        <w:t>The nature of our assets and business could expose us to significant compliance costs and liabilities.</w:t>
      </w:r>
    </w:p>
    <w:p>
      <w:pPr>
        <w:pStyle w:val="TextBody"/>
        <w:spacing w:before="0" w:after="20"/>
        <w:ind w:left="0" w:right="0" w:firstLine="400"/>
        <w:rPr>
          <w:rFonts w:ascii="Times New Roman" w:hAnsi="Times New Roman"/>
          <w:sz w:val="16"/>
        </w:rPr>
      </w:pPr>
      <w:r>
        <w:rPr>
          <w:rFonts w:ascii="Times New Roman" w:hAnsi="Times New Roman"/>
          <w:sz w:val="16"/>
        </w:rPr>
        <w:t>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doing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w:t>
      </w:r>
    </w:p>
    <w:p>
      <w:pPr>
        <w:pStyle w:val="TextBody"/>
        <w:spacing w:before="0" w:after="20"/>
        <w:ind w:left="0" w:right="0" w:firstLine="400"/>
        <w:rPr>
          <w:rFonts w:ascii="Times New Roman" w:hAnsi="Times New Roman"/>
          <w:b/>
          <w:i/>
          <w:sz w:val="16"/>
        </w:rPr>
      </w:pPr>
      <w:r>
        <w:rPr>
          <w:rFonts w:ascii="Times New Roman" w:hAnsi="Times New Roman"/>
          <w:b/>
          <w:i/>
          <w:sz w:val="16"/>
        </w:rPr>
        <w:t>The profitability of our pipeline operations depends on the volume of crude oil shipped.</w:t>
      </w:r>
    </w:p>
    <w:p>
      <w:pPr>
        <w:pStyle w:val="TextBody"/>
        <w:spacing w:before="0" w:after="20"/>
        <w:ind w:left="0" w:right="0" w:firstLine="400"/>
        <w:rPr>
          <w:rFonts w:ascii="Times New Roman" w:hAnsi="Times New Roman"/>
          <w:sz w:val="16"/>
        </w:rPr>
      </w:pPr>
      <w:r>
        <w:rPr>
          <w:rFonts w:ascii="Times New Roman" w:hAnsi="Times New Roman"/>
          <w:sz w:val="16"/>
        </w:rPr>
        <w:t>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$1.8 million. In addition, we estimate that an average 10,000 barrel per day variance on the Capline Pipeline System, equivalent to an approximate 7% volume variance on that system, would change annualized segment profit by approximately $1.5 million.</w:t>
      </w:r>
    </w:p>
    <w:p>
      <w:pPr>
        <w:pStyle w:val="TextBody"/>
        <w:spacing w:before="0" w:after="20"/>
        <w:ind w:left="0" w:right="0" w:firstLine="400"/>
        <w:rPr>
          <w:rFonts w:ascii="Times New Roman" w:hAnsi="Times New Roman"/>
          <w:b/>
          <w:i/>
          <w:sz w:val="16"/>
        </w:rPr>
      </w:pPr>
      <w:r>
        <w:rPr>
          <w:rFonts w:ascii="Times New Roman" w:hAnsi="Times New Roman"/>
          <w:b/>
          <w:i/>
          <w:sz w:val="16"/>
        </w:rPr>
        <w:t>The success of our business strategy to increase and optimize throughput on our pipeline and gathering assets is dependent upon our securing additional supplies of crude oil.</w:t>
      </w:r>
    </w:p>
    <w:p>
      <w:pPr>
        <w:pStyle w:val="TextBody"/>
        <w:spacing w:before="0" w:after="20"/>
        <w:ind w:left="0" w:right="0" w:firstLine="400"/>
        <w:rPr>
          <w:rFonts w:ascii="Times New Roman" w:hAnsi="Times New Roman"/>
          <w:sz w:val="16"/>
        </w:rPr>
      </w:pPr>
      <w:r>
        <w:rPr>
          <w:rFonts w:ascii="Times New Roman" w:hAnsi="Times New Roman"/>
          <w:sz w:val="16"/>
        </w:rPr>
        <w:t>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w:t>
      </w:r>
    </w:p>
    <w:p>
      <w:pPr>
        <w:pStyle w:val="TextBody"/>
        <w:spacing w:before="0" w:after="20"/>
        <w:ind w:left="0" w:right="0" w:firstLine="400"/>
        <w:rPr>
          <w:rFonts w:ascii="Times New Roman" w:hAnsi="Times New Roman"/>
          <w:b/>
          <w:i/>
          <w:sz w:val="16"/>
        </w:rPr>
      </w:pPr>
      <w:r>
        <w:rPr>
          <w:rFonts w:ascii="Times New Roman" w:hAnsi="Times New Roman"/>
          <w:b/>
          <w:i/>
          <w:sz w:val="16"/>
        </w:rPr>
        <w:t>Our operations are dependent upon demand for crude oil by refiners in the Midwest and on the Gulf Coast. Fluctuations in demand can negatively affect our operating results.</w:t>
      </w:r>
    </w:p>
    <w:p>
      <w:pPr>
        <w:pStyle w:val="TextBody"/>
        <w:spacing w:before="0" w:after="20"/>
        <w:ind w:left="0" w:right="0" w:firstLine="400"/>
        <w:rPr>
          <w:rFonts w:ascii="Times New Roman" w:hAnsi="Times New Roman"/>
          <w:sz w:val="16"/>
        </w:rPr>
      </w:pPr>
      <w:r>
        <w:rPr>
          <w:rFonts w:ascii="Times New Roman" w:hAnsi="Times New Roman"/>
          <w:sz w:val="16"/>
        </w:rPr>
        <w:t xml:space="preserve">Demand for crude oil is dependent upon the impact of future economic conditions, fuel conservation measures, alternative fuel requirements, governmental regulation or technological advances in fuel economy and </w:t>
      </w:r>
    </w:p>
    <w:p>
      <w:pPr>
        <w:pStyle w:val="TextBody"/>
        <w:spacing w:before="120" w:after="120"/>
        <w:ind w:left="0" w:right="0" w:hanging="0"/>
        <w:rPr>
          <w:rFonts w:ascii="Times New Roman" w:hAnsi="Times New Roman"/>
          <w:sz w:val="17"/>
        </w:rPr>
      </w:pPr>
      <w:r>
        <w:rPr>
          <w:rFonts w:ascii="Times New Roman" w:hAnsi="Times New Roman"/>
          <w:sz w:val="17"/>
        </w:rPr>
        <w:t>9</w:t>
      </w:r>
    </w:p>
    <w:p>
      <w:pPr>
        <w:pStyle w:val="TextBody"/>
        <w:spacing w:before="0" w:after="0"/>
        <w:rPr/>
      </w:pPr>
      <w:r>
        <w:rPr/>
      </w:r>
    </w:p>
    <w:p>
      <w:pPr>
        <w:pStyle w:val="HorizontalLine"/>
        <w:pBdr>
          <w:bottom w:val="single" w:sz="18" w:space="0" w:color="010101"/>
        </w:pBdr>
        <w:rPr/>
      </w:pPr>
      <w:r>
        <w:rPr/>
      </w:r>
      <w:r>
        <w:br w:type="page"/>
      </w:r>
    </w:p>
    <w:p>
      <w:pPr>
        <w:pStyle w:val="TextBody"/>
        <w:spacing w:before="0" w:after="20"/>
        <w:ind w:left="0" w:right="0" w:hanging="0"/>
        <w:rPr>
          <w:rFonts w:ascii="Times New Roman" w:hAnsi="Times New Roman"/>
          <w:sz w:val="16"/>
        </w:rPr>
      </w:pPr>
      <w:r>
        <w:rPr>
          <w:rFonts w:ascii="Times New Roman" w:hAnsi="Times New Roman"/>
          <w:sz w:val="16"/>
        </w:rPr>
        <w:t>energy generation devices, all of which could reduce demand. Demand also depends on the ability and willingness of shippers having access to our transportation assets to satisfy their demand by deliveries through those assets.</w:t>
      </w:r>
    </w:p>
    <w:p>
      <w:pPr>
        <w:pStyle w:val="TextBody"/>
        <w:spacing w:before="0" w:after="20"/>
        <w:ind w:left="0" w:right="0" w:firstLine="400"/>
        <w:rPr>
          <w:rFonts w:ascii="Times New Roman" w:hAnsi="Times New Roman"/>
          <w:sz w:val="16"/>
        </w:rPr>
      </w:pPr>
      <w:r>
        <w:rPr>
          <w:rFonts w:ascii="Times New Roman" w:hAnsi="Times New Roman"/>
          <w:sz w:val="16"/>
        </w:rPr>
        <w:t>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pStyle w:val="TextBody"/>
        <w:spacing w:before="0" w:after="20"/>
        <w:ind w:left="0" w:right="0" w:firstLine="400"/>
        <w:rPr>
          <w:rFonts w:ascii="Times New Roman" w:hAnsi="Times New Roman"/>
          <w:b/>
          <w:i/>
          <w:sz w:val="16"/>
        </w:rPr>
      </w:pPr>
      <w:r>
        <w:rPr>
          <w:rFonts w:ascii="Times New Roman" w:hAnsi="Times New Roman"/>
          <w:b/>
          <w:i/>
          <w:sz w:val="16"/>
        </w:rPr>
        <w:t>We face intense competition in our gathering, marketing, terminalling and storage activities.</w:t>
      </w:r>
    </w:p>
    <w:p>
      <w:pPr>
        <w:pStyle w:val="TextBody"/>
        <w:spacing w:before="0" w:after="20"/>
        <w:ind w:left="0" w:right="0" w:firstLine="400"/>
        <w:rPr>
          <w:rFonts w:ascii="Times New Roman" w:hAnsi="Times New Roman"/>
          <w:sz w:val="16"/>
        </w:rPr>
      </w:pPr>
      <w:r>
        <w:rPr>
          <w:rFonts w:ascii="Times New Roman" w:hAnsi="Times New Roman"/>
          <w:sz w:val="16"/>
        </w:rPr>
        <w:t>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w:t>
      </w:r>
    </w:p>
    <w:p>
      <w:pPr>
        <w:pStyle w:val="TextBody"/>
        <w:spacing w:before="0" w:after="20"/>
        <w:ind w:left="0" w:right="0" w:firstLine="400"/>
        <w:rPr>
          <w:rFonts w:ascii="Times New Roman" w:hAnsi="Times New Roman"/>
          <w:b/>
          <w:i/>
          <w:sz w:val="16"/>
        </w:rPr>
      </w:pPr>
      <w:r>
        <w:rPr>
          <w:rFonts w:ascii="Times New Roman" w:hAnsi="Times New Roman"/>
          <w:b/>
          <w:i/>
          <w:sz w:val="16"/>
        </w:rPr>
        <w:t>The profitability of our gathering and marketing activities is generally dependent on the volumes of crude oil we purchase and gather.</w:t>
      </w:r>
    </w:p>
    <w:p>
      <w:pPr>
        <w:pStyle w:val="TextBody"/>
        <w:spacing w:before="0" w:after="20"/>
        <w:ind w:left="0" w:right="0" w:firstLine="400"/>
        <w:rPr>
          <w:rFonts w:ascii="Times New Roman" w:hAnsi="Times New Roman"/>
          <w:sz w:val="16"/>
        </w:rPr>
      </w:pPr>
      <w:r>
        <w:rPr>
          <w:rFonts w:ascii="Times New Roman" w:hAnsi="Times New Roman"/>
          <w:sz w:val="16"/>
        </w:rPr>
        <w:t>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$4.2 million per year negative impact on segment profit. This impact is based on a reasonable margin throughout various market conditions. Actual margins vary based on the location of the crude oil, the strength or weakness of the market and the grade or quality of crude oil.</w:t>
      </w:r>
    </w:p>
    <w:p>
      <w:pPr>
        <w:pStyle w:val="TextBody"/>
        <w:spacing w:before="0" w:after="20"/>
        <w:ind w:left="0" w:right="0" w:firstLine="400"/>
        <w:rPr>
          <w:rFonts w:ascii="Times New Roman" w:hAnsi="Times New Roman"/>
          <w:b/>
          <w:i/>
          <w:sz w:val="16"/>
        </w:rPr>
      </w:pPr>
      <w:r>
        <w:rPr>
          <w:rFonts w:ascii="Times New Roman" w:hAnsi="Times New Roman"/>
          <w:b/>
          <w:i/>
          <w:sz w:val="16"/>
        </w:rPr>
        <w:t>Loss of credit rating or the ability to receive open credit could negatively affect our ability to capitalize on a volatile market</w:t>
      </w:r>
    </w:p>
    <w:p>
      <w:pPr>
        <w:pStyle w:val="TextBody"/>
        <w:spacing w:before="0" w:after="20"/>
        <w:ind w:left="0" w:right="0" w:firstLine="400"/>
        <w:rPr>
          <w:rFonts w:ascii="Times New Roman" w:hAnsi="Times New Roman"/>
          <w:sz w:val="16"/>
        </w:rPr>
      </w:pPr>
      <w:r>
        <w:rPr>
          <w:rFonts w:ascii="Times New Roman" w:hAnsi="Times New Roman"/>
          <w:sz w:val="16"/>
        </w:rPr>
        <w:t>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w:t>
      </w:r>
    </w:p>
    <w:p>
      <w:pPr>
        <w:pStyle w:val="TextBody"/>
        <w:spacing w:before="0" w:after="20"/>
        <w:ind w:left="0" w:right="0" w:firstLine="400"/>
        <w:rPr>
          <w:rFonts w:ascii="Times New Roman" w:hAnsi="Times New Roman"/>
          <w:b/>
          <w:i/>
          <w:sz w:val="16"/>
        </w:rPr>
      </w:pPr>
      <w:r>
        <w:rPr>
          <w:rFonts w:ascii="Times New Roman" w:hAnsi="Times New Roman"/>
          <w:b/>
          <w:i/>
          <w:sz w:val="16"/>
        </w:rPr>
        <w:t>We are exposed to the credit risk of our customers in the ordinary course of our gathering and marketing activities.</w:t>
      </w:r>
    </w:p>
    <w:p>
      <w:pPr>
        <w:pStyle w:val="TextBody"/>
        <w:spacing w:before="0" w:after="20"/>
        <w:ind w:left="0" w:right="0" w:firstLine="400"/>
        <w:rPr>
          <w:rFonts w:ascii="Times New Roman" w:hAnsi="Times New Roman"/>
          <w:sz w:val="16"/>
        </w:rPr>
      </w:pPr>
      <w:r>
        <w:rPr>
          <w:rFonts w:ascii="Times New Roman" w:hAnsi="Times New Roman"/>
          <w:sz w:val="16"/>
        </w:rPr>
        <w:t>There can be no assurance that we have adequately assessed the credit worthiness of our existing or future counterparties or that there will not be an unanticipated deterioration in their credit worthiness, which could have an adverse impact on us.</w:t>
      </w:r>
    </w:p>
    <w:p>
      <w:pPr>
        <w:pStyle w:val="TextBody"/>
        <w:spacing w:before="0" w:after="20"/>
        <w:ind w:left="0" w:right="0" w:firstLine="400"/>
        <w:rPr>
          <w:rFonts w:ascii="Times New Roman" w:hAnsi="Times New Roman"/>
          <w:sz w:val="16"/>
        </w:rPr>
      </w:pPr>
      <w:r>
        <w:rPr>
          <w:rFonts w:ascii="Times New Roman" w:hAnsi="Times New Roman"/>
          <w:sz w:val="16"/>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pStyle w:val="TextBody"/>
        <w:spacing w:before="0" w:after="20"/>
        <w:ind w:left="0" w:right="0" w:firstLine="400"/>
        <w:rPr>
          <w:rFonts w:ascii="Times New Roman" w:hAnsi="Times New Roman"/>
          <w:b/>
          <w:i/>
          <w:sz w:val="16"/>
        </w:rPr>
      </w:pPr>
      <w:r>
        <w:rPr>
          <w:rFonts w:ascii="Times New Roman" w:hAnsi="Times New Roman"/>
          <w:b/>
          <w:i/>
          <w:sz w:val="16"/>
        </w:rPr>
        <w:t>Our pipeline assets are subject to federal, state and provincial regulation.</w:t>
      </w:r>
    </w:p>
    <w:p>
      <w:pPr>
        <w:pStyle w:val="TextBody"/>
        <w:spacing w:before="0" w:after="20"/>
        <w:ind w:left="0" w:right="0" w:firstLine="400"/>
        <w:rPr>
          <w:rFonts w:ascii="Times New Roman" w:hAnsi="Times New Roman"/>
          <w:sz w:val="16"/>
        </w:rPr>
      </w:pPr>
      <w:r>
        <w:rPr>
          <w:rFonts w:ascii="Times New Roman" w:hAnsi="Times New Roman"/>
          <w:sz w:val="16"/>
        </w:rPr>
        <w:t>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w:t>
      </w:r>
    </w:p>
    <w:p>
      <w:pPr>
        <w:pStyle w:val="TextBody"/>
        <w:spacing w:before="0" w:after="20"/>
        <w:ind w:left="0" w:right="0" w:firstLine="400"/>
        <w:rPr>
          <w:rFonts w:ascii="Times New Roman" w:hAnsi="Times New Roman"/>
          <w:sz w:val="16"/>
        </w:rPr>
      </w:pPr>
      <w:r>
        <w:rPr>
          <w:rFonts w:ascii="Times New Roman" w:hAnsi="Times New Roman"/>
          <w:sz w:val="16"/>
        </w:rPr>
        <w:t xml:space="preserve">Our Canadian pipeline assets are subject to regulation by the National Energy Board and by provincial agencies. With respect to a pipeline over which it has jurisdiction, each of these Canadian agencies has the </w:t>
      </w:r>
    </w:p>
    <w:p>
      <w:pPr>
        <w:pStyle w:val="TextBody"/>
        <w:spacing w:before="120" w:after="120"/>
        <w:ind w:left="0" w:right="0" w:hanging="0"/>
        <w:rPr>
          <w:rFonts w:ascii="Times New Roman" w:hAnsi="Times New Roman"/>
          <w:sz w:val="17"/>
        </w:rPr>
      </w:pPr>
      <w:r>
        <w:rPr>
          <w:rFonts w:ascii="Times New Roman" w:hAnsi="Times New Roman"/>
          <w:sz w:val="17"/>
        </w:rPr>
        <w:t>10</w:t>
      </w:r>
    </w:p>
    <w:p>
      <w:pPr>
        <w:pStyle w:val="TextBody"/>
        <w:spacing w:before="0" w:after="0"/>
        <w:rPr/>
      </w:pPr>
      <w:r>
        <w:rPr/>
      </w:r>
    </w:p>
    <w:p>
      <w:pPr>
        <w:pStyle w:val="HorizontalLine"/>
        <w:pBdr>
          <w:bottom w:val="single" w:sz="18" w:space="0" w:color="010101"/>
        </w:pBdr>
        <w:rPr/>
      </w:pPr>
      <w:r>
        <w:rPr/>
      </w:r>
      <w:r>
        <w:br w:type="page"/>
      </w:r>
    </w:p>
    <w:p>
      <w:pPr>
        <w:pStyle w:val="TextBody"/>
        <w:spacing w:before="0" w:after="20"/>
        <w:ind w:left="0" w:right="0" w:hanging="0"/>
        <w:rPr>
          <w:rFonts w:ascii="Times New Roman" w:hAnsi="Times New Roman"/>
          <w:sz w:val="16"/>
        </w:rPr>
      </w:pPr>
      <w:r>
        <w:rPr>
          <w:rFonts w:ascii="Times New Roman" w:hAnsi="Times New Roman"/>
          <w:sz w:val="16"/>
        </w:rPr>
        <w:t>power to determine the rates we are allowed to charge for transportation on such pipeline. The extent to which regulatory agencies can override existing transportation contracts has not been fully decided.</w:t>
      </w:r>
    </w:p>
    <w:p>
      <w:pPr>
        <w:pStyle w:val="TextBody"/>
        <w:spacing w:before="0" w:after="20"/>
        <w:ind w:left="0" w:right="0" w:firstLine="400"/>
        <w:rPr>
          <w:rFonts w:ascii="Times New Roman" w:hAnsi="Times New Roman"/>
          <w:b/>
          <w:i/>
          <w:sz w:val="16"/>
        </w:rPr>
      </w:pPr>
      <w:r>
        <w:rPr>
          <w:rFonts w:ascii="Times New Roman" w:hAnsi="Times New Roman"/>
          <w:b/>
          <w:i/>
          <w:sz w:val="16"/>
        </w:rPr>
        <w:t>Our pipeline systems are dependent upon their interconnections with other crude oil pipelines to reach end markets.</w:t>
      </w:r>
    </w:p>
    <w:p>
      <w:pPr>
        <w:pStyle w:val="TextBody"/>
        <w:spacing w:before="0" w:after="140"/>
        <w:ind w:left="0" w:right="0" w:firstLine="400"/>
        <w:rPr>
          <w:rFonts w:ascii="Times New Roman" w:hAnsi="Times New Roman"/>
          <w:sz w:val="16"/>
        </w:rPr>
      </w:pPr>
      <w:r>
        <w:rPr>
          <w:rFonts w:ascii="Times New Roman" w:hAnsi="Times New Roman"/>
          <w:sz w:val="16"/>
        </w:rPr>
        <w:t>Reduced throughput on these interconnecting pipelines as a result of testing, line repair, reduced operating pressures or other causes could result in reduced throughput on our pipeline systems that would adversely affect our profitability.</w:t>
      </w:r>
    </w:p>
    <w:p>
      <w:pPr>
        <w:pStyle w:val="TextBody"/>
        <w:keepNext w:val="true"/>
        <w:spacing w:before="0" w:after="20"/>
        <w:ind w:left="0" w:right="0" w:firstLine="400"/>
        <w:rPr>
          <w:rFonts w:ascii="Times New Roman" w:hAnsi="Times New Roman"/>
          <w:b/>
          <w:i/>
          <w:sz w:val="16"/>
        </w:rPr>
      </w:pPr>
      <w:r>
        <w:rPr>
          <w:rFonts w:ascii="Times New Roman" w:hAnsi="Times New Roman"/>
          <w:b/>
          <w:i/>
          <w:sz w:val="16"/>
        </w:rPr>
        <w:t>The effects of Hurricane Katrina and other hurricanes may adversely affect our business.</w:t>
      </w:r>
    </w:p>
    <w:p>
      <w:pPr>
        <w:pStyle w:val="TextBody"/>
        <w:keepNext w:val="true"/>
        <w:spacing w:before="0" w:after="20"/>
        <w:ind w:left="0" w:right="0" w:firstLine="400"/>
        <w:rPr>
          <w:rFonts w:ascii="Times New Roman" w:hAnsi="Times New Roman"/>
          <w:sz w:val="16"/>
        </w:rPr>
      </w:pPr>
      <w:r>
        <w:rPr>
          <w:rFonts w:ascii="Times New Roman" w:hAnsi="Times New Roman"/>
          <w:sz w:val="16"/>
        </w:rPr>
        <w:t>Our preliminary damage assessment of the impact of Hurricane Katrina on our Gulf Coast assets indicates that in most cases, our facilities lost power and communications but sustained relatively limited physical damage. We are continuing to assess damage to our Gulf Coast assets. The aggregate impact of the hurricane on our operations, however, may not be known for some time and will be dependent upon when power is restored to our various facilities, the extent of the damage to our and third party assets, the potential impact of shut-in crude oil production and refining capacity and the extent of any environmental exposure.</w:t>
      </w:r>
    </w:p>
    <w:p>
      <w:pPr>
        <w:pStyle w:val="TextBody"/>
        <w:spacing w:before="0" w:after="20"/>
        <w:ind w:left="0" w:right="0" w:firstLine="400"/>
        <w:rPr>
          <w:rFonts w:ascii="Times New Roman" w:hAnsi="Times New Roman"/>
          <w:sz w:val="16"/>
        </w:rPr>
      </w:pPr>
      <w:r>
        <w:rPr>
          <w:rFonts w:ascii="Times New Roman" w:hAnsi="Times New Roman"/>
          <w:sz w:val="16"/>
        </w:rPr>
        <w:t>The profitability of our pipeline operations depends on the 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also dependent upon our securing additional supplies of crude oil. The interruption in the production of crude oil in the Gulf Coast region caused by Hurricane Katrina has reduced the production and limited the supply of crude oil available in the market and therefore decreased the volumes shipped on our pipelines and the volumes available for us to purchase in the market. Although substantial uncertainty remains, as of the date of this prospectus supplement, we do not anticipate that the effects of Hurricane Katrina will have a material impact on our results of operations.</w:t>
      </w:r>
    </w:p>
    <w:p>
      <w:pPr>
        <w:pStyle w:val="TextBody"/>
        <w:spacing w:before="0" w:after="20"/>
        <w:ind w:left="0" w:right="0" w:firstLine="400"/>
        <w:rPr>
          <w:rFonts w:ascii="Times New Roman" w:hAnsi="Times New Roman"/>
          <w:sz w:val="16"/>
        </w:rPr>
      </w:pPr>
      <w:r>
        <w:rPr>
          <w:rFonts w:ascii="Times New Roman" w:hAnsi="Times New Roman"/>
          <w:sz w:val="16"/>
        </w:rPr>
        <w:t>Future hurricanes, including Hurricane Rita, which is entering the Gulf of Mexico as of the date of this exchange offer, could have effects similar to Hurricane Katrina and materially impact our results of operations.</w:t>
      </w:r>
    </w:p>
    <w:p>
      <w:pPr>
        <w:pStyle w:val="TextBody"/>
        <w:keepNext w:val="true"/>
        <w:spacing w:before="0" w:after="20"/>
        <w:ind w:left="0" w:right="0" w:firstLine="400"/>
        <w:rPr>
          <w:rFonts w:ascii="Times New Roman" w:hAnsi="Times New Roman"/>
          <w:b/>
          <w:i/>
          <w:sz w:val="16"/>
        </w:rPr>
      </w:pPr>
      <w:bookmarkStart w:id="11" w:name="MarineTransportationOfCrudeOilHas_194239"/>
      <w:bookmarkEnd w:id="11"/>
      <w:r>
        <w:rPr>
          <w:rFonts w:ascii="Times New Roman" w:hAnsi="Times New Roman"/>
          <w:b/>
          <w:i/>
          <w:sz w:val="16"/>
        </w:rPr>
        <w:t>Marine transportation of crude oil has inherent operating risks.</w:t>
      </w:r>
    </w:p>
    <w:p>
      <w:pPr>
        <w:pStyle w:val="TextBody"/>
        <w:spacing w:before="0" w:after="20"/>
        <w:ind w:left="0" w:right="0" w:firstLine="400"/>
        <w:rPr>
          <w:rFonts w:ascii="Times New Roman" w:hAnsi="Times New Roman"/>
          <w:sz w:val="16"/>
        </w:rPr>
      </w:pPr>
      <w:r>
        <w:rPr>
          <w:rFonts w:ascii="Times New Roman" w:hAnsi="Times New Roman"/>
          <w:sz w:val="16"/>
        </w:rPr>
        <w:t>Our gathering and marketing operations include purchasing crude oil that is carried on third party tankers. Our water 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While certain of these risks may be covered under our insurance program, any of these circumstances or events could increase our costs or lower our revenues, which could result in a reduction in the market price of our equity or debt securities.</w:t>
      </w:r>
    </w:p>
    <w:p>
      <w:pPr>
        <w:pStyle w:val="TextBody"/>
        <w:keepNext w:val="true"/>
        <w:spacing w:before="0" w:after="20"/>
        <w:ind w:left="0" w:right="0" w:firstLine="400"/>
        <w:rPr>
          <w:rFonts w:ascii="Times New Roman" w:hAnsi="Times New Roman"/>
          <w:b/>
          <w:i/>
          <w:sz w:val="16"/>
        </w:rPr>
      </w:pPr>
      <w:r>
        <w:rPr>
          <w:rFonts w:ascii="Times New Roman" w:hAnsi="Times New Roman"/>
          <w:b/>
          <w:i/>
          <w:sz w:val="16"/>
        </w:rPr>
        <w:t>Maritime claimants could arrest the vessels carrying our cargoes.</w:t>
      </w:r>
    </w:p>
    <w:p>
      <w:pPr>
        <w:pStyle w:val="TextBody"/>
        <w:spacing w:before="0" w:after="20"/>
        <w:ind w:left="0" w:right="0" w:firstLine="400"/>
        <w:rPr>
          <w:rFonts w:ascii="Times New Roman" w:hAnsi="Times New Roman"/>
          <w:sz w:val="16"/>
        </w:rPr>
      </w:pPr>
      <w:r>
        <w:rPr>
          <w:rFonts w:ascii="Times New Roman" w:hAnsi="Times New Roman"/>
          <w:sz w:val="16"/>
        </w:rPr>
        <w:t xml:space="preserve">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 </w:t>
      </w:r>
    </w:p>
    <w:p>
      <w:pPr>
        <w:pStyle w:val="TextBody"/>
        <w:spacing w:before="0" w:after="20"/>
        <w:ind w:left="0" w:right="0" w:firstLine="400"/>
        <w:rPr>
          <w:rFonts w:ascii="Times New Roman" w:hAnsi="Times New Roman"/>
          <w:sz w:val="16"/>
        </w:rPr>
      </w:pPr>
      <w:r>
        <w:rPr>
          <w:rFonts w:ascii="Times New Roman" w:hAnsi="Times New Roman"/>
          <w:sz w:val="16"/>
        </w:rPr>
        <w:t xml:space="preserve">In addition, in some jurisdictions, such as,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 </w:t>
      </w:r>
    </w:p>
    <w:p>
      <w:pPr>
        <w:pStyle w:val="TextBody"/>
        <w:keepNext w:val="true"/>
        <w:spacing w:before="0" w:after="20"/>
        <w:ind w:left="0" w:right="0" w:firstLine="400"/>
        <w:rPr>
          <w:rFonts w:ascii="Times New Roman" w:hAnsi="Times New Roman"/>
          <w:b/>
          <w:i/>
          <w:sz w:val="16"/>
        </w:rPr>
      </w:pPr>
      <w:r>
        <w:rPr>
          <w:rFonts w:ascii="Times New Roman" w:hAnsi="Times New Roman"/>
          <w:b/>
          <w:i/>
          <w:sz w:val="16"/>
        </w:rPr>
        <w:t>The terms of our indebtedness may limit our ability to borrow additional funds or capitalize on business opportunities.</w:t>
      </w:r>
    </w:p>
    <w:p>
      <w:pPr>
        <w:pStyle w:val="TextBody"/>
        <w:spacing w:before="0" w:after="20"/>
        <w:ind w:left="0" w:right="0" w:firstLine="400"/>
        <w:rPr>
          <w:rFonts w:ascii="Times New Roman" w:hAnsi="Times New Roman"/>
          <w:sz w:val="16"/>
        </w:rPr>
      </w:pPr>
      <w:r>
        <w:rPr>
          <w:rFonts w:ascii="Times New Roman" w:hAnsi="Times New Roman"/>
          <w:sz w:val="16"/>
        </w:rPr>
        <w:t>As of June 30, 2005, our total outstanding long-term debt was approximately $953 million. Various limitations in our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pStyle w:val="TextBody"/>
        <w:spacing w:before="0" w:after="20"/>
        <w:ind w:left="0" w:right="0" w:firstLine="400"/>
        <w:rPr>
          <w:rFonts w:ascii="Times New Roman" w:hAnsi="Times New Roman"/>
          <w:b/>
          <w:i/>
          <w:sz w:val="16"/>
        </w:rPr>
      </w:pPr>
      <w:r>
        <w:rPr>
          <w:rFonts w:ascii="Times New Roman" w:hAnsi="Times New Roman"/>
          <w:b/>
          <w:i/>
          <w:sz w:val="16"/>
        </w:rPr>
        <w:t>Changes in currency exchange rates could adversely affect our operating results.</w:t>
      </w:r>
    </w:p>
    <w:p>
      <w:pPr>
        <w:pStyle w:val="TextBody"/>
        <w:spacing w:before="120" w:after="120"/>
        <w:ind w:left="0" w:right="0" w:hanging="0"/>
        <w:rPr>
          <w:rFonts w:ascii="Times New Roman" w:hAnsi="Times New Roman"/>
          <w:sz w:val="17"/>
        </w:rPr>
      </w:pPr>
      <w:r>
        <w:rPr>
          <w:rFonts w:ascii="Times New Roman" w:hAnsi="Times New Roman"/>
          <w:sz w:val="17"/>
        </w:rPr>
        <w:t>11</w:t>
      </w:r>
    </w:p>
    <w:p>
      <w:pPr>
        <w:pStyle w:val="TextBody"/>
        <w:spacing w:before="0" w:after="0"/>
        <w:rPr/>
      </w:pPr>
      <w:r>
        <w:rPr/>
      </w:r>
    </w:p>
    <w:p>
      <w:pPr>
        <w:pStyle w:val="HorizontalLine"/>
        <w:pBdr>
          <w:bottom w:val="single" w:sz="18" w:space="0" w:color="010101"/>
        </w:pBdr>
        <w:rPr/>
      </w:pPr>
      <w:r>
        <w:rPr/>
      </w:r>
      <w:r>
        <w:br w:type="page"/>
      </w:r>
    </w:p>
    <w:p>
      <w:pPr>
        <w:pStyle w:val="TextBody"/>
        <w:spacing w:before="0" w:after="20"/>
        <w:ind w:left="0" w:right="0" w:firstLine="400"/>
        <w:rPr>
          <w:rFonts w:ascii="Times New Roman" w:hAnsi="Times New Roman"/>
          <w:sz w:val="16"/>
        </w:rPr>
      </w:pPr>
      <w:r>
        <w:rPr>
          <w:rFonts w:ascii="Times New Roman" w:hAnsi="Times New Roman"/>
          <w:sz w:val="16"/>
        </w:rPr>
        <w:t>Because we conduct operations in Canada, we are exposed to currency fluctuations and exchange rate risks that may adversely affect our results of operations.</w:t>
      </w:r>
    </w:p>
    <w:p>
      <w:pPr>
        <w:pStyle w:val="TextBody"/>
        <w:spacing w:before="0" w:after="20"/>
        <w:ind w:left="0" w:right="0" w:firstLine="400"/>
        <w:rPr>
          <w:rFonts w:ascii="Times New Roman" w:hAnsi="Times New Roman"/>
          <w:b/>
          <w:i/>
          <w:sz w:val="16"/>
        </w:rPr>
      </w:pPr>
      <w:r>
        <w:rPr>
          <w:rFonts w:ascii="Times New Roman" w:hAnsi="Times New Roman"/>
          <w:b/>
          <w:i/>
          <w:sz w:val="16"/>
        </w:rPr>
        <w:t>Cash distributions are not guaranteed and may fluctuate with our performance and the establishment of financial reserves.</w:t>
      </w:r>
    </w:p>
    <w:p>
      <w:pPr>
        <w:pStyle w:val="TextBody"/>
        <w:spacing w:before="0" w:after="140"/>
        <w:ind w:left="0" w:right="0" w:firstLine="400"/>
        <w:rPr>
          <w:rFonts w:ascii="Times New Roman" w:hAnsi="Times New Roman"/>
          <w:sz w:val="16"/>
        </w:rPr>
      </w:pPr>
      <w:r>
        <w:rPr>
          <w:rFonts w:ascii="Times New Roman" w:hAnsi="Times New Roman"/>
          <w:sz w:val="16"/>
        </w:rPr>
        <w:t>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pStyle w:val="TextBody"/>
        <w:keepNext w:val="true"/>
        <w:spacing w:before="0" w:after="20"/>
        <w:ind w:left="200" w:right="0" w:hanging="200"/>
        <w:rPr>
          <w:rFonts w:ascii="Times New Roman" w:hAnsi="Times New Roman"/>
          <w:b/>
          <w:sz w:val="16"/>
        </w:rPr>
      </w:pPr>
      <w:bookmarkStart w:id="12" w:name="RisksRelatedToOurNaturalGasStorag_081526"/>
      <w:bookmarkEnd w:id="12"/>
      <w:r>
        <w:rPr>
          <w:rFonts w:ascii="Times New Roman" w:hAnsi="Times New Roman"/>
          <w:b/>
          <w:sz w:val="16"/>
        </w:rPr>
        <w:t>Risks Related to Our Natural Gas Storage Business</w:t>
      </w:r>
    </w:p>
    <w:p>
      <w:pPr>
        <w:pStyle w:val="TextBody"/>
        <w:spacing w:before="0" w:after="20"/>
        <w:ind w:left="0" w:right="0" w:firstLine="400"/>
        <w:rPr>
          <w:rFonts w:ascii="Times New Roman" w:hAnsi="Times New Roman"/>
          <w:b/>
          <w:i/>
          <w:sz w:val="16"/>
        </w:rPr>
      </w:pPr>
      <w:r>
        <w:rPr>
          <w:rFonts w:ascii="Times New Roman" w:hAnsi="Times New Roman"/>
          <w:b/>
          <w:i/>
          <w:sz w:val="16"/>
        </w:rPr>
        <w:t>Our facilities are new and have limited operating history.</w:t>
      </w:r>
    </w:p>
    <w:p>
      <w:pPr>
        <w:pStyle w:val="TextBody"/>
        <w:spacing w:before="0" w:after="20"/>
        <w:ind w:left="0" w:right="0" w:firstLine="400"/>
        <w:rPr>
          <w:rFonts w:ascii="Times New Roman" w:hAnsi="Times New Roman"/>
          <w:sz w:val="16"/>
        </w:rPr>
      </w:pPr>
      <w:r>
        <w:rPr>
          <w:rFonts w:ascii="Times New Roman" w:hAnsi="Times New Roman"/>
          <w:sz w:val="16"/>
        </w:rPr>
        <w:t>Although we believe that our operating facilities are designed substantially to meet our contractual obligations with respect to injection and withdrawal volumes and specifications, the facilities are new and have a limited operating history. If we fail to receive or deliver natural gas at contracted rates, or cannot deliver natural gas consistent with contractual quality specifications, we could incur significant costs to maintain compliance with our contracts.</w:t>
      </w:r>
    </w:p>
    <w:p>
      <w:pPr>
        <w:pStyle w:val="TextBody"/>
        <w:spacing w:before="0" w:after="20"/>
        <w:ind w:left="0" w:right="0" w:firstLine="400"/>
        <w:rPr>
          <w:rFonts w:ascii="Times New Roman" w:hAnsi="Times New Roman"/>
          <w:b/>
          <w:i/>
          <w:sz w:val="16"/>
        </w:rPr>
      </w:pPr>
      <w:r>
        <w:rPr>
          <w:rFonts w:ascii="Times New Roman" w:hAnsi="Times New Roman"/>
          <w:b/>
          <w:i/>
          <w:sz w:val="16"/>
        </w:rPr>
        <w:t>We have no history operating natural gas storage facilities.</w:t>
      </w:r>
    </w:p>
    <w:p>
      <w:pPr>
        <w:pStyle w:val="TextBody"/>
        <w:spacing w:before="0" w:after="20"/>
        <w:ind w:left="0" w:right="0" w:firstLine="400"/>
        <w:rPr>
          <w:rFonts w:ascii="Times New Roman" w:hAnsi="Times New Roman"/>
          <w:sz w:val="16"/>
        </w:rPr>
      </w:pPr>
      <w:r>
        <w:rPr>
          <w:rFonts w:ascii="Times New Roman" w:hAnsi="Times New Roman"/>
          <w:sz w:val="16"/>
        </w:rPr>
        <w:t>Although many aspects of the natural gas storage industry are similar in many respects to our crude oil gathering, marketing, terminalling and storage operations, our current management does not have any experience in operating natural gas storage facilities. There are significant risks and costs inherent in our efforts to undertake entering into natural gas storage operations, including the risk that our new line of business may not be profitable and that we might not be able to operate the natural gas storage business or implement our operating policies and strategies successfully.</w:t>
      </w:r>
    </w:p>
    <w:p>
      <w:pPr>
        <w:pStyle w:val="TextBody"/>
        <w:spacing w:before="0" w:after="20"/>
        <w:ind w:left="0" w:right="0" w:firstLine="400"/>
        <w:rPr>
          <w:rFonts w:ascii="Times New Roman" w:hAnsi="Times New Roman"/>
          <w:sz w:val="16"/>
        </w:rPr>
      </w:pPr>
      <w:r>
        <w:rPr>
          <w:rFonts w:ascii="Times New Roman" w:hAnsi="Times New Roman"/>
          <w:sz w:val="16"/>
        </w:rPr>
        <w:t>We will be required to devote a great deal of capital, management time and other resources by entering into the natural gas storage business. The devotion of these resources to natural gas storage operations could adversely affect our existing business. Entering into the natural gas storage industry may require substantial changes, including acquisition costs, capital development expenditures, adding management and employees who possess the skills we believe we will need to operate a natural gas storage business, and realigning our current organization to reflect this new line of business. Entering into the natural gas storage industry will require an investment in personnel and assets and the assumption of risks that may be greater than we have previously assumed.</w:t>
      </w:r>
    </w:p>
    <w:p>
      <w:pPr>
        <w:pStyle w:val="TextBody"/>
        <w:keepNext w:val="true"/>
        <w:spacing w:before="0" w:after="20"/>
        <w:ind w:left="0" w:right="0" w:firstLine="400"/>
        <w:rPr>
          <w:rFonts w:ascii="Times New Roman" w:hAnsi="Times New Roman"/>
          <w:b/>
          <w:i/>
          <w:sz w:val="16"/>
        </w:rPr>
      </w:pPr>
      <w:r>
        <w:rPr>
          <w:rFonts w:ascii="Times New Roman" w:hAnsi="Times New Roman"/>
          <w:b/>
          <w:i/>
          <w:sz w:val="16"/>
        </w:rPr>
        <w:t>Federal, state or local regulatory measures could adversely affect our business.</w:t>
      </w:r>
    </w:p>
    <w:p>
      <w:pPr>
        <w:pStyle w:val="TextBody"/>
        <w:keepNext w:val="true"/>
        <w:spacing w:before="0" w:after="20"/>
        <w:ind w:left="0" w:right="0" w:firstLine="400"/>
        <w:rPr>
          <w:rFonts w:ascii="Times New Roman" w:hAnsi="Times New Roman"/>
          <w:sz w:val="16"/>
        </w:rPr>
      </w:pPr>
      <w:r>
        <w:rPr>
          <w:rFonts w:ascii="Times New Roman" w:hAnsi="Times New Roman"/>
          <w:sz w:val="16"/>
        </w:rPr>
        <w:t>Our natural gas storage operations are subject to federal, state and local regulatory authorities. Specifically, our natural gas storage facilities and related assets are or will be subject to regulation by the FERC or the Michigan Public Service Commission. Our facilities essentially have market-based rate authority from such agencies. Any loss of market-based rate authority could have an adverse impact on our revenues associated with providing storage services.</w:t>
      </w:r>
    </w:p>
    <w:p>
      <w:pPr>
        <w:pStyle w:val="TextBody"/>
        <w:spacing w:before="0" w:after="20"/>
        <w:ind w:left="0" w:right="0" w:firstLine="400"/>
        <w:rPr>
          <w:rFonts w:ascii="Times New Roman" w:hAnsi="Times New Roman"/>
          <w:sz w:val="16"/>
        </w:rPr>
      </w:pPr>
      <w:r>
        <w:rPr>
          <w:rFonts w:ascii="Times New Roman" w:hAnsi="Times New Roman"/>
          <w:sz w:val="16"/>
        </w:rPr>
        <w:t>In addition, failure to comply with applicable regulations under the Natural Gas Act of 1938, Natural Gas Policy Act of 1978, and certain other state laws could result in the imposition of administrative, civil and criminal remedies.</w:t>
      </w:r>
    </w:p>
    <w:p>
      <w:pPr>
        <w:pStyle w:val="TextBody"/>
        <w:spacing w:before="0" w:after="20"/>
        <w:ind w:left="0" w:right="0" w:firstLine="400"/>
        <w:rPr>
          <w:rFonts w:ascii="Times New Roman" w:hAnsi="Times New Roman"/>
          <w:b/>
          <w:i/>
          <w:sz w:val="16"/>
        </w:rPr>
      </w:pPr>
      <w:r>
        <w:rPr>
          <w:rFonts w:ascii="Times New Roman" w:hAnsi="Times New Roman"/>
          <w:b/>
          <w:i/>
          <w:sz w:val="16"/>
        </w:rPr>
        <w:t>Our gas storage business depends on third-party pipelines to transport natural gas.</w:t>
      </w:r>
    </w:p>
    <w:p>
      <w:pPr>
        <w:pStyle w:val="TextBody"/>
        <w:spacing w:before="0" w:after="20"/>
        <w:ind w:left="0" w:right="0" w:firstLine="400"/>
        <w:rPr>
          <w:rFonts w:ascii="Times New Roman" w:hAnsi="Times New Roman"/>
          <w:sz w:val="16"/>
        </w:rPr>
      </w:pPr>
      <w:r>
        <w:rPr>
          <w:rFonts w:ascii="Times New Roman" w:hAnsi="Times New Roman"/>
          <w:sz w:val="16"/>
        </w:rPr>
        <w:t>We depend on third-party pipelines to move natural gas for our customers to and from our facilities. Any interruption of service on the pipelines or lateral connections or adverse change in the terms and conditions of service could have a material adverse effect on our ability, and the ability of our customers, to transport natural gas to and from our facilities, and could have a corresponding material adverse effect on our storage revenues. In addition, the rates charged by the interconnected pipeline for transportation to and from our facilities affect the utilization and value of our storage services. Significant changes in the rates charged by the pipeline or the rates charged by other pipelines with which the interconnected pipelines compete could also have a material adverse effect on our storage revenues.</w:t>
      </w:r>
    </w:p>
    <w:p>
      <w:pPr>
        <w:pStyle w:val="TextBody"/>
        <w:spacing w:before="120" w:after="120"/>
        <w:ind w:left="0" w:right="0" w:hanging="0"/>
        <w:rPr>
          <w:rFonts w:ascii="Times New Roman" w:hAnsi="Times New Roman"/>
          <w:sz w:val="17"/>
        </w:rPr>
      </w:pPr>
      <w:r>
        <w:rPr>
          <w:rFonts w:ascii="Times New Roman" w:hAnsi="Times New Roman"/>
          <w:sz w:val="17"/>
        </w:rPr>
        <w:t>12</w:t>
      </w:r>
    </w:p>
    <w:p>
      <w:pPr>
        <w:pStyle w:val="TextBody"/>
        <w:spacing w:before="0" w:after="0"/>
        <w:rPr/>
      </w:pPr>
      <w:r>
        <w:rPr/>
      </w:r>
    </w:p>
    <w:p>
      <w:pPr>
        <w:pStyle w:val="HorizontalLine"/>
        <w:pBdr>
          <w:bottom w:val="single" w:sz="18" w:space="0" w:color="010101"/>
        </w:pBdr>
        <w:rPr/>
      </w:pPr>
      <w:r>
        <w:rPr/>
      </w:r>
      <w:r>
        <w:br w:type="page"/>
      </w:r>
    </w:p>
    <w:p>
      <w:pPr>
        <w:pStyle w:val="TextBody"/>
        <w:spacing w:before="0" w:after="100"/>
        <w:ind w:left="0" w:right="0" w:firstLine="400"/>
        <w:rPr>
          <w:rFonts w:ascii="Times New Roman" w:hAnsi="Times New Roman"/>
          <w:b/>
          <w:i/>
          <w:sz w:val="16"/>
        </w:rPr>
      </w:pPr>
      <w:r>
        <w:rPr>
          <w:rFonts w:ascii="Times New Roman" w:hAnsi="Times New Roman"/>
          <w:b/>
          <w:i/>
          <w:sz w:val="16"/>
        </w:rPr>
        <w:t>We encounter competition from a variety of sources.</w:t>
      </w:r>
    </w:p>
    <w:p>
      <w:pPr>
        <w:pStyle w:val="TextBody"/>
        <w:spacing w:before="0" w:after="100"/>
        <w:ind w:left="0" w:right="0" w:firstLine="400"/>
        <w:rPr>
          <w:rFonts w:ascii="Times New Roman" w:hAnsi="Times New Roman"/>
          <w:sz w:val="16"/>
        </w:rPr>
      </w:pPr>
      <w:r>
        <w:rPr>
          <w:rFonts w:ascii="Times New Roman" w:hAnsi="Times New Roman"/>
          <w:sz w:val="16"/>
        </w:rPr>
        <w:t>We compete with other storage providers, including local distribution companies (LDCs), utilities and affiliates of LDCs and utilities. Certain major pipeline companies have existing storage facilities connected to their systems that compete with certain of our facilities. Construction of new capacity could have an adverse impact on our competitive position.</w:t>
      </w:r>
    </w:p>
    <w:p>
      <w:pPr>
        <w:pStyle w:val="TextBody"/>
        <w:spacing w:before="0" w:after="100"/>
        <w:ind w:left="0" w:right="0" w:firstLine="400"/>
        <w:rPr>
          <w:rFonts w:ascii="Times New Roman" w:hAnsi="Times New Roman"/>
          <w:b/>
          <w:i/>
          <w:sz w:val="16"/>
        </w:rPr>
      </w:pPr>
      <w:r>
        <w:rPr>
          <w:rFonts w:ascii="Times New Roman" w:hAnsi="Times New Roman"/>
          <w:b/>
          <w:i/>
          <w:sz w:val="16"/>
        </w:rPr>
        <w:t>Expanding our business by constructing new storage facilities subjects us to construction risks; there is no guarantee that Pine Prairie will be developed in the expected time frame or at the expected cost or generate the expected returns.</w:t>
      </w:r>
    </w:p>
    <w:p>
      <w:pPr>
        <w:pStyle w:val="TextBody"/>
        <w:spacing w:before="0" w:after="100"/>
        <w:ind w:left="0" w:right="0" w:firstLine="400"/>
        <w:rPr>
          <w:rFonts w:ascii="Times New Roman" w:hAnsi="Times New Roman"/>
          <w:sz w:val="16"/>
        </w:rPr>
      </w:pPr>
      <w:r>
        <w:rPr>
          <w:rFonts w:ascii="Times New Roman" w:hAnsi="Times New Roman"/>
          <w:sz w:val="16"/>
        </w:rPr>
        <w:t>One of the ways we intend to grow our business is through the construction and development of new storage facilities or additions to our existing facilities. The construction of additional storage facilities or new pipeline interconnects involves numerous regulatory, environmental, political and legal uncertainties beyond our control, and requires the expenditure of significant amounts of capital. As we undertake these projects, they may be completed behind schedule or over the budgeted cost. Moreover, our revenues will not increase immediately upon the expenditure of funds on a particular project. We may also construct facilities in anticipation of market growth that may never materialize. For example, Pine Prairie is currently under development and there is no guarantee that it will be fully developed in the expected time frame or at the expected cost or generate the expected returns.</w:t>
      </w:r>
    </w:p>
    <w:p>
      <w:pPr>
        <w:pStyle w:val="TextBody"/>
        <w:spacing w:before="0" w:after="100"/>
        <w:ind w:left="0" w:right="0" w:firstLine="400"/>
        <w:rPr>
          <w:rFonts w:ascii="Times New Roman" w:hAnsi="Times New Roman"/>
          <w:b/>
          <w:i/>
          <w:sz w:val="16"/>
        </w:rPr>
      </w:pPr>
      <w:r>
        <w:rPr>
          <w:rFonts w:ascii="Times New Roman" w:hAnsi="Times New Roman"/>
          <w:b/>
          <w:i/>
          <w:sz w:val="16"/>
        </w:rPr>
        <w:t>We may not be able to retain existing customers or acquire new customers, which would reduce our revenues and limit our future profitability.</w:t>
      </w:r>
    </w:p>
    <w:p>
      <w:pPr>
        <w:pStyle w:val="TextBody"/>
        <w:spacing w:before="0" w:after="100"/>
        <w:ind w:left="0" w:right="0" w:firstLine="400"/>
        <w:rPr>
          <w:rFonts w:ascii="Times New Roman" w:hAnsi="Times New Roman"/>
          <w:sz w:val="16"/>
        </w:rPr>
      </w:pPr>
      <w:r>
        <w:rPr>
          <w:rFonts w:ascii="Times New Roman" w:hAnsi="Times New Roman"/>
          <w:sz w:val="16"/>
        </w:rPr>
        <w:t>The renewal or replacement of existing contracts with our customers at rates sufficient to maintain or exceed current or anticipated revenues and cash flows depends on a number of factors beyond our control, including competition from other storage providers and the supply of and demand for natural gas in the markets we serve. The inability to renew or replace our current contracts as they expire and to respond appropriately to changing market conditions could have a negative effect on our profitability.</w:t>
      </w:r>
    </w:p>
    <w:p>
      <w:pPr>
        <w:pStyle w:val="TextBody"/>
        <w:spacing w:before="0" w:after="100"/>
        <w:ind w:left="0" w:right="0" w:firstLine="400"/>
        <w:rPr>
          <w:rFonts w:ascii="Times New Roman" w:hAnsi="Times New Roman"/>
          <w:b/>
          <w:i/>
          <w:sz w:val="16"/>
        </w:rPr>
      </w:pPr>
      <w:r>
        <w:rPr>
          <w:rFonts w:ascii="Times New Roman" w:hAnsi="Times New Roman"/>
          <w:b/>
          <w:i/>
          <w:sz w:val="16"/>
        </w:rPr>
        <w:t>Third parties obligations under storage agreements may be suspended in some circumstances.</w:t>
      </w:r>
    </w:p>
    <w:p>
      <w:pPr>
        <w:pStyle w:val="TextBody"/>
        <w:spacing w:before="0" w:after="220"/>
        <w:ind w:left="0" w:right="0" w:firstLine="400"/>
        <w:rPr>
          <w:rFonts w:ascii="Times New Roman" w:hAnsi="Times New Roman"/>
          <w:sz w:val="16"/>
        </w:rPr>
      </w:pPr>
      <w:r>
        <w:rPr>
          <w:rFonts w:ascii="Times New Roman" w:hAnsi="Times New Roman"/>
          <w:sz w:val="16"/>
        </w:rPr>
        <w:t>Some third parties obligations under their agreements with us may be permanently or temporarily reduced upon the occurrence of certain events, some of which are beyond our control, including force majeure. Force majeure events include (but are not limited to) revolutions, wars, acts of enemies, embargoes, import or export restrictions, strikes, lockouts, fires, storms, floods, acts of God, explosions and mechanical or physical failures of equipment or facilities or the equiptment or facilities of  third parties.</w:t>
      </w:r>
    </w:p>
    <w:p>
      <w:pPr>
        <w:pStyle w:val="TextBody"/>
        <w:spacing w:before="0" w:after="100"/>
        <w:ind w:left="0" w:right="0" w:firstLine="400"/>
        <w:rPr>
          <w:rFonts w:ascii="Times New Roman" w:hAnsi="Times New Roman"/>
          <w:b/>
          <w:i/>
          <w:sz w:val="16"/>
        </w:rPr>
      </w:pPr>
      <w:r>
        <w:rPr>
          <w:rFonts w:ascii="Times New Roman" w:hAnsi="Times New Roman"/>
          <w:b/>
          <w:i/>
          <w:sz w:val="16"/>
        </w:rPr>
        <w:t>The nature of our investment in natural gas storage assets and business could expose us to significant compliance costs and liabilities.</w:t>
      </w:r>
    </w:p>
    <w:p>
      <w:pPr>
        <w:pStyle w:val="TextBody"/>
        <w:spacing w:before="0" w:after="100"/>
        <w:ind w:left="0" w:right="0" w:firstLine="400"/>
        <w:rPr>
          <w:rFonts w:ascii="Times New Roman" w:hAnsi="Times New Roman"/>
          <w:sz w:val="16"/>
        </w:rPr>
      </w:pPr>
      <w:r>
        <w:rPr>
          <w:rFonts w:ascii="Times New Roman" w:hAnsi="Times New Roman"/>
          <w:sz w:val="16"/>
        </w:rPr>
        <w:t>Our operations involving the storage of natural gas are subject to stringent federal, state and local laws and regulations governing the discharge of materials into the environment,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and the issuance of injunctions that may restrict or prohibit our operations or even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materials into the environment could, to the extent such event is not insured, subject us to substantial expense, including both the cost to comply with applicable laws and regulations and liability to private parties for personal injury or property damage.</w:t>
      </w:r>
    </w:p>
    <w:p>
      <w:pPr>
        <w:pStyle w:val="TextBody"/>
        <w:spacing w:before="0" w:after="100"/>
        <w:ind w:left="0" w:right="0" w:firstLine="400"/>
        <w:rPr>
          <w:rFonts w:ascii="Times New Roman" w:hAnsi="Times New Roman"/>
          <w:b/>
          <w:i/>
          <w:sz w:val="16"/>
        </w:rPr>
      </w:pPr>
      <w:r>
        <w:rPr>
          <w:rFonts w:ascii="Times New Roman" w:hAnsi="Times New Roman"/>
          <w:b/>
          <w:i/>
          <w:sz w:val="16"/>
        </w:rPr>
        <w:t>Joint venture structures can create operational difficulties.</w:t>
      </w:r>
    </w:p>
    <w:p>
      <w:pPr>
        <w:pStyle w:val="TextBody"/>
        <w:spacing w:before="0" w:after="100"/>
        <w:ind w:left="0" w:right="0" w:firstLine="400"/>
        <w:rPr>
          <w:rFonts w:ascii="Times New Roman" w:hAnsi="Times New Roman"/>
          <w:sz w:val="16"/>
        </w:rPr>
      </w:pPr>
      <w:r>
        <w:rPr>
          <w:rFonts w:ascii="Times New Roman" w:hAnsi="Times New Roman"/>
          <w:sz w:val="16"/>
        </w:rPr>
        <w:t xml:space="preserve">Our natural gas storage operations are conducted through Plains/Vulcan, a joint venture between us and a subsidiary of Vulcan Capital, with each of us owning 50%. The board of directors of Plains/Vulcan, which will </w:t>
      </w:r>
    </w:p>
    <w:p>
      <w:pPr>
        <w:pStyle w:val="TextBody"/>
        <w:spacing w:before="120" w:after="120"/>
        <w:ind w:left="0" w:right="0" w:hanging="0"/>
        <w:rPr>
          <w:rFonts w:ascii="Times New Roman" w:hAnsi="Times New Roman"/>
          <w:sz w:val="17"/>
        </w:rPr>
      </w:pPr>
      <w:r>
        <w:rPr>
          <w:rFonts w:ascii="Times New Roman" w:hAnsi="Times New Roman"/>
          <w:sz w:val="17"/>
        </w:rPr>
        <w:t>13</w:t>
      </w:r>
    </w:p>
    <w:p>
      <w:pPr>
        <w:pStyle w:val="TextBody"/>
        <w:spacing w:before="0" w:after="0"/>
        <w:rPr/>
      </w:pPr>
      <w:r>
        <w:rPr/>
      </w:r>
    </w:p>
    <w:p>
      <w:pPr>
        <w:pStyle w:val="HorizontalLine"/>
        <w:pBdr>
          <w:bottom w:val="single" w:sz="18" w:space="0" w:color="010101"/>
        </w:pBdr>
        <w:rPr/>
      </w:pPr>
      <w:r>
        <w:rPr/>
      </w:r>
      <w:r>
        <w:br w:type="page"/>
      </w:r>
    </w:p>
    <w:p>
      <w:pPr>
        <w:pStyle w:val="TextBody"/>
        <w:spacing w:before="0" w:after="100"/>
        <w:ind w:left="0" w:right="0" w:hanging="0"/>
        <w:rPr>
          <w:rFonts w:ascii="Times New Roman" w:hAnsi="Times New Roman"/>
          <w:sz w:val="16"/>
        </w:rPr>
      </w:pPr>
      <w:r>
        <w:rPr>
          <w:rFonts w:ascii="Times New Roman" w:hAnsi="Times New Roman"/>
          <w:sz w:val="16"/>
        </w:rPr>
        <w:t>include an equal number of representatives from us and Vulcan Capital, will be responsible for providing strategic direction and policy making, and we will be responsible for the day-to-day operations of Plains/Vulcan.</w:t>
      </w:r>
    </w:p>
    <w:p>
      <w:pPr>
        <w:pStyle w:val="TextBody"/>
        <w:spacing w:before="0" w:after="100"/>
        <w:ind w:left="0" w:right="0" w:firstLine="400"/>
        <w:rPr>
          <w:rFonts w:ascii="Times New Roman" w:hAnsi="Times New Roman"/>
          <w:sz w:val="16"/>
        </w:rPr>
      </w:pPr>
      <w:r>
        <w:rPr>
          <w:rFonts w:ascii="Times New Roman" w:hAnsi="Times New Roman"/>
          <w:sz w:val="16"/>
        </w:rPr>
        <w:t>As with any such joint venture arrangements, differences in views among the joint venture participants may result in delayed decisions or in failures to agree on major matters, potentially adversely affecting the business and operations of the joint ventures and in turn our business and operations.</w:t>
      </w:r>
    </w:p>
    <w:p>
      <w:pPr>
        <w:pStyle w:val="TextBody"/>
        <w:keepNext w:val="true"/>
        <w:spacing w:before="0" w:after="100"/>
        <w:ind w:left="200" w:right="0" w:hanging="200"/>
        <w:rPr>
          <w:rFonts w:ascii="Times New Roman" w:hAnsi="Times New Roman"/>
          <w:b/>
          <w:sz w:val="16"/>
        </w:rPr>
      </w:pPr>
      <w:bookmarkStart w:id="13" w:name="RisksRelatedToTheExchangeOfferAnd_075313"/>
      <w:bookmarkEnd w:id="13"/>
      <w:r>
        <w:rPr>
          <w:rFonts w:ascii="Times New Roman" w:hAnsi="Times New Roman"/>
          <w:b/>
          <w:sz w:val="16"/>
        </w:rPr>
        <w:t>Risks Related to the Exchange Offer and the Notes</w:t>
      </w:r>
    </w:p>
    <w:p>
      <w:pPr>
        <w:pStyle w:val="TextBody"/>
        <w:spacing w:before="0" w:after="100"/>
        <w:ind w:left="0" w:right="0" w:firstLine="400"/>
        <w:rPr>
          <w:rFonts w:ascii="Times New Roman" w:hAnsi="Times New Roman"/>
          <w:b/>
          <w:i/>
          <w:sz w:val="16"/>
        </w:rPr>
      </w:pPr>
      <w:r>
        <w:rPr>
          <w:rFonts w:ascii="Times New Roman" w:hAnsi="Times New Roman"/>
          <w:b/>
          <w:i/>
          <w:sz w:val="16"/>
        </w:rPr>
        <w:t>If you do not properly tender your outstanding notes, you will continue to hold unregistered outstanding notes and your ability to transfer outstanding notes will be adversely affected.</w:t>
      </w:r>
    </w:p>
    <w:p>
      <w:pPr>
        <w:pStyle w:val="TextBody"/>
        <w:spacing w:before="0" w:after="100"/>
        <w:ind w:left="0" w:right="0" w:firstLine="400"/>
        <w:rPr>
          <w:rFonts w:ascii="Times New Roman" w:hAnsi="Times New Roman"/>
          <w:sz w:val="16"/>
        </w:rPr>
      </w:pPr>
      <w:r>
        <w:rPr>
          <w:rFonts w:ascii="Times New Roman" w:hAnsi="Times New Roman"/>
          <w:sz w:val="16"/>
        </w:rPr>
        <w:t>We will only issue new notes in exchange for outstanding notes that you timely and properly tender. Therefore, you should allow sufficient time to ensure timely delivery of the outstanding notes and you should carefully follow the instructions on how to tender your outstanding notes. Neither we nor the exchange agent is required to tell you of any defects or irregularities with respect to your tender of outstanding notes.</w:t>
      </w:r>
    </w:p>
    <w:p>
      <w:pPr>
        <w:pStyle w:val="TextBody"/>
        <w:spacing w:before="0" w:after="100"/>
        <w:ind w:left="0" w:right="0" w:firstLine="400"/>
        <w:rPr>
          <w:rFonts w:ascii="Times New Roman" w:hAnsi="Times New Roman"/>
          <w:sz w:val="16"/>
        </w:rPr>
      </w:pPr>
      <w:r>
        <w:rPr>
          <w:rFonts w:ascii="Times New Roman" w:hAnsi="Times New Roman"/>
          <w:sz w:val="16"/>
        </w:rPr>
        <w:t>If you do not exchange your outstanding notes for new notes pursuant to the exchange offer, the outstanding notes you hold will continue to be subject to the existing transfer restrictions. In general, you may not offer or sell the outstanding notes except under an exemption from, or in a transaction not subject to, the Securities Act and applicable state securities laws. We do not plan to register outstanding notes under the Securities Act unless our registration rights agreement with the initial purchaser of the outstanding notes requires us to do so. Further, if you continue to hold any outstanding notes after the exchange offer is consummated, you may have trouble selling them because there will be fewer notes outstanding.</w:t>
      </w:r>
    </w:p>
    <w:p>
      <w:pPr>
        <w:pStyle w:val="TextBody"/>
        <w:spacing w:before="0" w:after="100"/>
        <w:ind w:left="0" w:right="0" w:firstLine="400"/>
        <w:rPr>
          <w:rFonts w:ascii="Times New Roman" w:hAnsi="Times New Roman"/>
          <w:b/>
          <w:i/>
          <w:sz w:val="16"/>
        </w:rPr>
      </w:pPr>
      <w:r>
        <w:rPr>
          <w:rFonts w:ascii="Times New Roman" w:hAnsi="Times New Roman"/>
          <w:b/>
          <w:i/>
          <w:sz w:val="16"/>
        </w:rPr>
        <w:t>We have a holding company structure in which our subsidiaries conduct our operations and own our operating assets.</w:t>
      </w:r>
    </w:p>
    <w:p>
      <w:pPr>
        <w:pStyle w:val="TextBody"/>
        <w:spacing w:before="0" w:after="100"/>
        <w:ind w:left="0" w:right="0" w:firstLine="400"/>
        <w:rPr>
          <w:rFonts w:ascii="Times New Roman" w:hAnsi="Times New Roman"/>
          <w:sz w:val="16"/>
        </w:rPr>
      </w:pPr>
      <w:r>
        <w:rPr>
          <w:rFonts w:ascii="Times New Roman" w:hAnsi="Times New Roman"/>
          <w:sz w:val="16"/>
        </w:rPr>
        <w:t>We are a holding company, and our subsidiaries conduct all of our operations and own all of our operating assets. We have no significant assets other than the partnership interests and the equity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pStyle w:val="TextBody"/>
        <w:spacing w:before="0" w:after="100"/>
        <w:ind w:left="0" w:right="0" w:firstLine="400"/>
        <w:rPr>
          <w:rFonts w:ascii="Times New Roman" w:hAnsi="Times New Roman"/>
          <w:b/>
          <w:i/>
          <w:sz w:val="16"/>
        </w:rPr>
      </w:pPr>
      <w:r>
        <w:rPr>
          <w:rFonts w:ascii="Times New Roman" w:hAnsi="Times New Roman"/>
          <w:b/>
          <w:i/>
          <w:sz w:val="16"/>
        </w:rPr>
        <w:t>Your right to receive payments on the notes and the guarantees is unsecured and will be effectively subordinated to our existing and future secured indebtedness as well as to any existing and future indebtedness of our subsidiaries that do not guarantee the notes.</w:t>
      </w:r>
    </w:p>
    <w:p>
      <w:pPr>
        <w:pStyle w:val="TextBody"/>
        <w:spacing w:before="0" w:after="100"/>
        <w:ind w:left="0" w:right="0" w:firstLine="400"/>
        <w:rPr>
          <w:rFonts w:ascii="Times New Roman" w:hAnsi="Times New Roman"/>
          <w:sz w:val="16"/>
        </w:rPr>
      </w:pPr>
      <w:r>
        <w:rPr>
          <w:rFonts w:ascii="Times New Roman" w:hAnsi="Times New Roman"/>
          <w:sz w:val="16"/>
        </w:rPr>
        <w:t>The notes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the notes, will initially guarantee the notes, in the future, under certain circumstances, the guarantees are subject to release and we may have subsidiaries that are not guarantors. In that case, the notes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w:t>
      </w:r>
    </w:p>
    <w:p>
      <w:pPr>
        <w:pStyle w:val="TextBody"/>
        <w:spacing w:before="0" w:after="100"/>
        <w:ind w:left="0" w:right="0" w:firstLine="400"/>
        <w:rPr>
          <w:rFonts w:ascii="Times New Roman" w:hAnsi="Times New Roman"/>
          <w:b/>
          <w:i/>
          <w:sz w:val="16"/>
        </w:rPr>
      </w:pPr>
      <w:r>
        <w:rPr>
          <w:rFonts w:ascii="Times New Roman" w:hAnsi="Times New Roman"/>
          <w:b/>
          <w:i/>
          <w:sz w:val="16"/>
        </w:rPr>
        <w:t>Our leverage may limit our ability to borrow additional funds, comply with the terms of our indebtedness or capitalize on business opportunities.</w:t>
      </w:r>
    </w:p>
    <w:p>
      <w:pPr>
        <w:pStyle w:val="TextBody"/>
        <w:spacing w:before="0" w:after="100"/>
        <w:ind w:left="0" w:right="0" w:firstLine="400"/>
        <w:rPr>
          <w:rFonts w:ascii="Times New Roman" w:hAnsi="Times New Roman"/>
          <w:sz w:val="16"/>
        </w:rPr>
      </w:pPr>
      <w:r>
        <w:rPr>
          <w:rFonts w:ascii="Times New Roman" w:hAnsi="Times New Roman"/>
          <w:sz w:val="16"/>
        </w:rPr>
        <w:t xml:space="preserve">Our leverage is significant in relation to our partners capital. At June 30, 2005, our total outstanding long-term debt and short-term borrowings under our revolving credit facility were approximately $160 million. We will be prohibited from making cash distributions during an event of default under any of our indebtedness. Various limitations in our credit facilities may reduce our ability to incur additional debt, to engage in some </w:t>
      </w:r>
    </w:p>
    <w:p>
      <w:pPr>
        <w:pStyle w:val="TextBody"/>
        <w:spacing w:before="120" w:after="120"/>
        <w:ind w:left="0" w:right="0" w:hanging="0"/>
        <w:rPr>
          <w:rFonts w:ascii="Times New Roman" w:hAnsi="Times New Roman"/>
          <w:sz w:val="17"/>
        </w:rPr>
      </w:pPr>
      <w:r>
        <w:rPr>
          <w:rFonts w:ascii="Times New Roman" w:hAnsi="Times New Roman"/>
          <w:sz w:val="17"/>
        </w:rPr>
        <w:t>14</w:t>
      </w:r>
    </w:p>
    <w:p>
      <w:pPr>
        <w:pStyle w:val="TextBody"/>
        <w:spacing w:before="0" w:after="0"/>
        <w:rPr/>
      </w:pPr>
      <w:r>
        <w:rPr/>
      </w:r>
    </w:p>
    <w:p>
      <w:pPr>
        <w:pStyle w:val="HorizontalLine"/>
        <w:pBdr>
          <w:bottom w:val="single" w:sz="18" w:space="0" w:color="010101"/>
        </w:pBdr>
        <w:rPr/>
      </w:pPr>
      <w:r>
        <w:rPr/>
      </w:r>
      <w:r>
        <w:br w:type="page"/>
      </w:r>
    </w:p>
    <w:p>
      <w:pPr>
        <w:pStyle w:val="TextBody"/>
        <w:spacing w:before="0" w:after="100"/>
        <w:ind w:left="0" w:right="0" w:hanging="0"/>
        <w:rPr>
          <w:rFonts w:ascii="Times New Roman" w:hAnsi="Times New Roman"/>
          <w:sz w:val="16"/>
        </w:rPr>
      </w:pPr>
      <w:r>
        <w:rPr>
          <w:rFonts w:ascii="Times New Roman" w:hAnsi="Times New Roman"/>
          <w:sz w:val="16"/>
        </w:rPr>
        <w:t>transactions and to capitalize on business opportunities. Any subsequent refinancing of our current indebtedness or any new indebtedness could have similar or greater restrictions.</w:t>
      </w:r>
    </w:p>
    <w:p>
      <w:pPr>
        <w:pStyle w:val="TextBody"/>
        <w:spacing w:before="0" w:after="100"/>
        <w:ind w:left="0" w:right="0" w:firstLine="400"/>
        <w:rPr>
          <w:rFonts w:ascii="Times New Roman" w:hAnsi="Times New Roman"/>
          <w:sz w:val="16"/>
        </w:rPr>
      </w:pPr>
      <w:r>
        <w:rPr>
          <w:rFonts w:ascii="Times New Roman" w:hAnsi="Times New Roman"/>
          <w:sz w:val="16"/>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cannot assure you that we 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w:t>
      </w:r>
    </w:p>
    <w:p>
      <w:pPr>
        <w:pStyle w:val="TextBody"/>
        <w:spacing w:before="0" w:after="100"/>
        <w:ind w:left="0" w:right="0" w:firstLine="400"/>
        <w:rPr>
          <w:rFonts w:ascii="Times New Roman" w:hAnsi="Times New Roman"/>
          <w:sz w:val="16"/>
        </w:rPr>
      </w:pPr>
      <w:r>
        <w:rPr>
          <w:rFonts w:ascii="Times New Roman" w:hAnsi="Times New Roman"/>
          <w:sz w:val="16"/>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pStyle w:val="TextBody"/>
        <w:spacing w:before="0" w:after="100"/>
        <w:ind w:left="0" w:right="0" w:firstLine="400"/>
        <w:rPr>
          <w:rFonts w:ascii="Times New Roman" w:hAnsi="Times New Roman"/>
          <w:b/>
          <w:i/>
          <w:sz w:val="16"/>
        </w:rPr>
      </w:pPr>
      <w:r>
        <w:rPr>
          <w:rFonts w:ascii="Times New Roman" w:hAnsi="Times New Roman"/>
          <w:b/>
          <w:i/>
          <w:sz w:val="16"/>
        </w:rPr>
        <w:t>A court may use fraudulent conveyance considerations to avoid or subordinate the subsidiary guarantees.</w:t>
      </w:r>
    </w:p>
    <w:p>
      <w:pPr>
        <w:pStyle w:val="TextBody"/>
        <w:spacing w:before="0" w:after="100"/>
        <w:ind w:left="0" w:right="0" w:firstLine="400"/>
        <w:rPr>
          <w:rFonts w:ascii="Times New Roman" w:hAnsi="Times New Roman"/>
          <w:sz w:val="16"/>
        </w:rPr>
      </w:pPr>
      <w:r>
        <w:rPr>
          <w:rFonts w:ascii="Times New Roman" w:hAnsi="Times New Roman"/>
          <w:sz w:val="16"/>
        </w:rPr>
        <w:t>Various applicable fraudulent conveyance laws have been enacted for the protection of creditors. A court may use fraudulent conveyance laws to subordinate or avoid the subsidiary guarantees of the notes issued by any of our subsidiary guarantors. It is also possible that under certain circumstances a court could hold that the direct obligations of a subsidiary guaranteeing the notes could be superior to the obligations under that guarantee.</w:t>
      </w:r>
    </w:p>
    <w:p>
      <w:pPr>
        <w:pStyle w:val="TextBody"/>
        <w:keepNext w:val="true"/>
        <w:spacing w:before="0" w:after="100"/>
        <w:ind w:left="0" w:right="0" w:firstLine="400"/>
        <w:rPr>
          <w:rFonts w:ascii="Times New Roman" w:hAnsi="Times New Roman"/>
          <w:sz w:val="16"/>
        </w:rPr>
      </w:pPr>
      <w:r>
        <w:rPr>
          <w:rFonts w:ascii="Times New Roman" w:hAnsi="Times New Roman"/>
          <w:sz w:val="16"/>
        </w:rPr>
        <w:t>A court could avoid or subordinate the guarantee of the notes by any of our subsidiaries in favor of that subsidiarys other debts or liabilities to the extent that the court determined either of the following were true at the time the subsidiary issued the guarantee:</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that subsidiary incurred the guarantee with the intent to hinder, delay or defraud any of its present or future creditors or that subsidiary contemplated insolvency with a design to favor one or more creditors to the total or partial exclusion of others; or</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that subsidiary did not receive fair consideration or reasonable equivalent value for issuing the guarantee and, at the time it issued the guarantee, that subsidiary:</w:t>
      </w:r>
    </w:p>
    <w:p>
      <w:pPr>
        <w:pStyle w:val="TextBody"/>
        <w:spacing w:before="0" w:after="100"/>
        <w:ind w:left="10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was insolvent or rendered insolvent by reason of the issuance of the guarantee;</w:t>
      </w:r>
    </w:p>
    <w:p>
      <w:pPr>
        <w:pStyle w:val="TextBody"/>
        <w:spacing w:before="0" w:after="100"/>
        <w:ind w:left="10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was engaged or about to engage in a business or transaction for which the remaining assets of that subsidiary constituted unreasonably small capital; or</w:t>
      </w:r>
    </w:p>
    <w:p>
      <w:pPr>
        <w:pStyle w:val="TextBody"/>
        <w:spacing w:before="0" w:after="100"/>
        <w:ind w:left="10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intended to incur, or believed that it would incur, debts beyond its ability to pay such debts as they matured.</w:t>
      </w:r>
    </w:p>
    <w:p>
      <w:pPr>
        <w:pStyle w:val="TextBody"/>
        <w:spacing w:before="0" w:after="100"/>
        <w:ind w:left="0" w:right="0" w:firstLine="400"/>
        <w:rPr>
          <w:rFonts w:ascii="Times New Roman" w:hAnsi="Times New Roman"/>
          <w:sz w:val="16"/>
        </w:rPr>
      </w:pPr>
      <w:r>
        <w:rPr>
          <w:rFonts w:ascii="Times New Roman" w:hAnsi="Times New Roman"/>
          <w:sz w:val="16"/>
        </w:rPr>
        <w:t>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w:t>
      </w:r>
    </w:p>
    <w:p>
      <w:pPr>
        <w:pStyle w:val="TextBody"/>
        <w:spacing w:before="120" w:after="120"/>
        <w:ind w:left="0" w:right="0" w:hanging="0"/>
        <w:rPr>
          <w:rFonts w:ascii="Times New Roman" w:hAnsi="Times New Roman"/>
          <w:sz w:val="17"/>
        </w:rPr>
      </w:pPr>
      <w:r>
        <w:rPr>
          <w:rFonts w:ascii="Times New Roman" w:hAnsi="Times New Roman"/>
          <w:sz w:val="17"/>
        </w:rPr>
        <w:t>15</w:t>
      </w:r>
    </w:p>
    <w:p>
      <w:pPr>
        <w:pStyle w:val="TextBody"/>
        <w:spacing w:before="0" w:after="0"/>
        <w:rPr/>
      </w:pPr>
      <w:r>
        <w:rPr/>
      </w:r>
    </w:p>
    <w:p>
      <w:pPr>
        <w:pStyle w:val="HorizontalLine"/>
        <w:pBdr>
          <w:bottom w:val="single" w:sz="18" w:space="0" w:color="010101"/>
        </w:pBdr>
        <w:rPr/>
      </w:pPr>
      <w:r>
        <w:rPr/>
      </w:r>
      <w:r>
        <w:br w:type="page"/>
      </w:r>
    </w:p>
    <w:p>
      <w:pPr>
        <w:pStyle w:val="TextBody"/>
        <w:spacing w:before="0" w:after="100"/>
        <w:ind w:left="0" w:right="0" w:firstLine="400"/>
        <w:rPr>
          <w:rFonts w:ascii="Times New Roman" w:hAnsi="Times New Roman"/>
          <w:sz w:val="16"/>
        </w:rPr>
      </w:pPr>
      <w:r>
        <w:rPr>
          <w:rFonts w:ascii="Times New Roman" w:hAnsi="Times New Roman"/>
          <w:sz w:val="16"/>
        </w:rPr>
        <w:t>Among other things, a legal challenge of a subsidiarys guarantee of the notes on fraudulent conveyance grounds may focus on the benefits, if any, realized by that subsidiary as a result of our issuance of the notes. To the extent a subsidiarys guarantee of the notes is avoided as a result of fraudulent conveyance or held unenforceable for any other reason, the note holders would cease to have any claim in respect of that guarantee.</w:t>
      </w:r>
    </w:p>
    <w:p>
      <w:pPr>
        <w:pStyle w:val="TextBody"/>
        <w:spacing w:before="0" w:after="100"/>
        <w:ind w:left="0" w:right="0" w:firstLine="400"/>
        <w:rPr>
          <w:rFonts w:ascii="Times New Roman" w:hAnsi="Times New Roman"/>
          <w:b/>
          <w:i/>
          <w:sz w:val="16"/>
        </w:rPr>
      </w:pPr>
      <w:r>
        <w:rPr>
          <w:rFonts w:ascii="Times New Roman" w:hAnsi="Times New Roman"/>
          <w:b/>
          <w:i/>
          <w:sz w:val="16"/>
        </w:rPr>
        <w:t>Your ability to transfer the notes may be limited by the absence of a trading market.</w:t>
      </w:r>
    </w:p>
    <w:p>
      <w:pPr>
        <w:pStyle w:val="TextBody"/>
        <w:spacing w:before="0" w:after="100"/>
        <w:ind w:left="0" w:right="0" w:firstLine="400"/>
        <w:rPr>
          <w:rFonts w:ascii="Times New Roman" w:hAnsi="Times New Roman"/>
          <w:sz w:val="16"/>
        </w:rPr>
      </w:pPr>
      <w:r>
        <w:rPr>
          <w:rFonts w:ascii="Times New Roman" w:hAnsi="Times New Roman"/>
          <w:sz w:val="16"/>
        </w:rPr>
        <w:t>The notes will be new securities for which currently there is no trading market. We do not currently intend to apply for listing of the notes on any securities exchange or stock market. Although certain of the initial purchasers have informed us that they currently intend to make a market in the notes, they are not obligated to do so. In addition, the initial purchasers may discontinue any such market-making at any time without notice. The liquidity of any market for the notes will depend on the number of holders of those notes, the interest of securities dealers in making a market in those notes and other factors. Accordingly, we cannot assure you as to the development or liquidity of any market for the notes.</w:t>
      </w:r>
    </w:p>
    <w:p>
      <w:pPr>
        <w:pStyle w:val="TextBody"/>
        <w:keepNext w:val="true"/>
        <w:spacing w:before="0" w:after="100"/>
        <w:ind w:left="0" w:right="0" w:firstLine="400"/>
        <w:rPr>
          <w:rFonts w:ascii="Times New Roman" w:hAnsi="Times New Roman"/>
          <w:b/>
          <w:i/>
          <w:sz w:val="16"/>
        </w:rPr>
      </w:pPr>
      <w:r>
        <w:rPr>
          <w:rFonts w:ascii="Times New Roman" w:hAnsi="Times New Roman"/>
          <w:b/>
          <w:i/>
          <w:sz w:val="16"/>
        </w:rPr>
        <w:t>We do not have the same flexibility as other types of organizations to accumulate cash, which may limit cash available to service the notes or to repay them at maturity.</w:t>
      </w:r>
    </w:p>
    <w:p>
      <w:pPr>
        <w:pStyle w:val="TextBody"/>
        <w:keepNext w:val="true"/>
        <w:spacing w:before="0" w:after="100"/>
        <w:ind w:left="0" w:right="0" w:firstLine="400"/>
        <w:rPr>
          <w:rFonts w:ascii="Times New Roman" w:hAnsi="Times New Roman"/>
          <w:sz w:val="16"/>
        </w:rPr>
      </w:pPr>
      <w:r>
        <w:rPr>
          <w:rFonts w:ascii="Times New Roman" w:hAnsi="Times New Roman"/>
          <w:sz w:val="16"/>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to provide for the proper conduct of our business and the businesses of our operating partnerships (including reserves for future capital expenditures and for our anticipated future credit needs),</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to provide funds for distributions to our unitholders and the general partner for any one or more of the next four calendar quarters, or</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to comply with applicable law or any of our loan or other agreements.</w:t>
      </w:r>
    </w:p>
    <w:p>
      <w:pPr>
        <w:pStyle w:val="TextBody"/>
        <w:spacing w:before="0" w:after="220"/>
        <w:ind w:left="0" w:right="0" w:firstLine="400"/>
        <w:rPr>
          <w:rFonts w:ascii="Times New Roman" w:hAnsi="Times New Roman"/>
          <w:sz w:val="16"/>
        </w:rPr>
      </w:pPr>
      <w:r>
        <w:rPr>
          <w:rFonts w:ascii="Times New Roman" w:hAnsi="Times New Roman"/>
          <w:sz w:val="16"/>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pStyle w:val="TextBody"/>
        <w:keepNext w:val="true"/>
        <w:spacing w:before="0" w:after="100"/>
        <w:ind w:left="0" w:right="0" w:hanging="0"/>
        <w:jc w:val="center"/>
        <w:rPr>
          <w:rFonts w:ascii="Times New Roman" w:hAnsi="Times New Roman"/>
          <w:b/>
          <w:sz w:val="16"/>
        </w:rPr>
      </w:pPr>
      <w:bookmarkStart w:id="14" w:name="ExchangeOffer_081026"/>
      <w:bookmarkEnd w:id="14"/>
      <w:r>
        <w:rPr>
          <w:rFonts w:ascii="Times New Roman" w:hAnsi="Times New Roman"/>
          <w:b/>
          <w:sz w:val="16"/>
        </w:rPr>
        <w:t>EXCHANGE OFFER</w:t>
      </w:r>
    </w:p>
    <w:p>
      <w:pPr>
        <w:pStyle w:val="TextBody"/>
        <w:keepNext w:val="true"/>
        <w:spacing w:before="0" w:after="100"/>
        <w:ind w:left="200" w:right="0" w:hanging="200"/>
        <w:rPr>
          <w:rFonts w:ascii="Times New Roman" w:hAnsi="Times New Roman"/>
          <w:b/>
          <w:sz w:val="16"/>
        </w:rPr>
      </w:pPr>
      <w:bookmarkStart w:id="15" w:name="PurposeAndEffectOfTheExchangeOffe_081027"/>
      <w:bookmarkEnd w:id="15"/>
      <w:r>
        <w:rPr>
          <w:rFonts w:ascii="Times New Roman" w:hAnsi="Times New Roman"/>
          <w:b/>
          <w:sz w:val="16"/>
        </w:rPr>
        <w:t>Purpose and Effect of the Exchange Offer</w:t>
      </w:r>
    </w:p>
    <w:p>
      <w:pPr>
        <w:pStyle w:val="TextBody"/>
        <w:keepNext w:val="true"/>
        <w:spacing w:before="0" w:after="100"/>
        <w:ind w:left="0" w:right="0" w:firstLine="400"/>
        <w:rPr>
          <w:rFonts w:ascii="Times New Roman" w:hAnsi="Times New Roman"/>
          <w:sz w:val="16"/>
        </w:rPr>
      </w:pPr>
      <w:r>
        <w:rPr>
          <w:rFonts w:ascii="Times New Roman" w:hAnsi="Times New Roman"/>
          <w:sz w:val="16"/>
        </w:rPr>
        <w:t>In connection with the issuance of the outstanding notes, we entered into a registration rights agreement. Under the registration rights agreement, we agreed to use our reasonable best efforts to:</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within 120 days after the original issuance of the outstanding notes on May 27, 2005, file a registration statement with the SEC with respect to a registered offer to exchange each outstanding note for a new note having terms substantially identical in all material respects to such note except that the new note will not contain terms with respect to transfer restrictions, registration rights or additional interest;</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cause the registration statement to be declared effective under the Securities Act within 210 days after the original issuance of the outstanding notes;</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consummate the exchange of the outstanding notes for new notes within 240 days after the original issuance of the outstanding notes;</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promptly following the effectiveness of the registration statement, offer the new notes in exchange for surrender of the outstanding notes; and</w:t>
      </w:r>
    </w:p>
    <w:p>
      <w:pPr>
        <w:pStyle w:val="TextBody"/>
        <w:spacing w:before="0" w:after="100"/>
        <w:ind w:left="600" w:right="0" w:hanging="200"/>
        <w:rPr>
          <w:rFonts w:ascii="Times New Roman" w:hAnsi="Times New Roman"/>
        </w:rPr>
      </w:pPr>
      <w:r>
        <w:rPr>
          <w:rFonts w:ascii="Symbol" w:hAnsi="Symbol"/>
          <w:sz w:val="16"/>
        </w:rPr>
        <w:t>·</w:t>
      </w:r>
      <w:r>
        <w:rPr>
          <w:rFonts w:ascii="Times New Roman" w:hAnsi="Times New Roman"/>
        </w:rPr>
        <w:t xml:space="preserve">  </w:t>
      </w:r>
      <w:r>
        <w:rPr>
          <w:rFonts w:ascii="Times New Roman" w:hAnsi="Times New Roman"/>
          <w:sz w:val="16"/>
        </w:rPr>
        <w:t>keep the exchange offer open for not less than 20 business days (or longer if required by applicable law) after the date notice of the exchange offer is mailed to the holders of the outstanding notes.</w:t>
      </w:r>
    </w:p>
    <w:p>
      <w:pPr>
        <w:pStyle w:val="TextBody"/>
        <w:spacing w:before="120" w:after="120"/>
        <w:ind w:left="0" w:right="0" w:hanging="0"/>
        <w:rPr>
          <w:rFonts w:ascii="Times New Roman" w:hAnsi="Times New Roman"/>
          <w:sz w:val="17"/>
        </w:rPr>
      </w:pPr>
      <w:r>
        <w:rPr>
          <w:rFonts w:ascii="Times New Roman" w:hAnsi="Times New Roman"/>
          <w:sz w:val="17"/>
        </w:rPr>
        <w:t>16</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firstLine="400"/>
        <w:rPr>
          <w:rFonts w:ascii="Times New Roman" w:hAnsi="Times New Roman"/>
          <w:sz w:val="17"/>
        </w:rPr>
      </w:pPr>
      <w:r>
        <w:rPr>
          <w:rFonts w:ascii="Times New Roman" w:hAnsi="Times New Roman"/>
          <w:sz w:val="17"/>
        </w:rPr>
        <w:t>We have fulfilled the agreements described in the first two preceding bullet points and are now offering eligible holders of the outstanding notes the opportunity to exchange their outstanding notes for new notes registered under the Securities Act. Holders are eligible if they are not prohibited by any law or policy of the SEC from participating in this exchange offer. The new notes will be substantially identical to the outstanding notes except that the new notes will not contain terms with respect to transfer restrictions, registration rights or additional interest.</w:t>
      </w:r>
    </w:p>
    <w:p>
      <w:pPr>
        <w:pStyle w:val="TextBody"/>
        <w:keepNext w:val="true"/>
        <w:spacing w:before="0" w:after="120"/>
        <w:ind w:left="0" w:right="0" w:firstLine="400"/>
        <w:rPr>
          <w:rFonts w:ascii="Times New Roman" w:hAnsi="Times New Roman"/>
          <w:sz w:val="17"/>
        </w:rPr>
      </w:pPr>
      <w:r>
        <w:rPr>
          <w:rFonts w:ascii="Times New Roman" w:hAnsi="Times New Roman"/>
          <w:sz w:val="17"/>
        </w:rPr>
        <w:t>Under limited circumstances, we agreed to use our reasonable best efforts to cause the SEC to declare effective a shelf registration statement for the resale of the outstanding notes. We also agreed to use our reasonable best efforts to keep the shelf registration statement effective for up to two years after its effective date. The circumstances include if:</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 change in law or in applicable interpretations thereof by the staff of the SEC do not permit us to effect the exchange offer;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for any other reason the exchange offer is not consummated within 240 days from May 27, 2005, the date of the original issuance of the outstanding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initial purchaser notifies us following consummation of the exchange offer that outstanding notes held by it are not eligible to be exchanged for new notes in the exchange offer; 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holder other than the initial purchaser is not eligible to participate in the exchange offer.</w:t>
      </w:r>
    </w:p>
    <w:p>
      <w:pPr>
        <w:pStyle w:val="TextBody"/>
        <w:keepNext w:val="true"/>
        <w:spacing w:before="0" w:after="120"/>
        <w:ind w:left="0" w:right="0" w:firstLine="400"/>
        <w:rPr>
          <w:rFonts w:ascii="Times New Roman" w:hAnsi="Times New Roman"/>
          <w:sz w:val="17"/>
        </w:rPr>
      </w:pPr>
      <w:r>
        <w:rPr>
          <w:rFonts w:ascii="Times New Roman" w:hAnsi="Times New Roman"/>
          <w:sz w:val="17"/>
        </w:rPr>
        <w:t>Subject to certain exceptions, we will pay additional cash interest on the applicable outstanding notes if:</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exchange offer registration statement is not filed with the SEC on or before the 120th day after the original issuance of the outstanding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exchange offer registration statement is not declared effective by the SEC on or before the 210th day after the original issuance of the outstanding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exchange offer is not consummated on or before the 240th day after May 27, 2005, the date of the original issuance of the outstanding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obligated to file a shelf registration statement, we fail to file the shelf registration statement with the SEC on or prior to the 120th day after the date on which the obligation to file a shelf registration statement arises;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obligated to file a shelf registration statement, the shelf registration statement is not declared effective on or prior to the 210th day after the date on which the obligation to file a shelf registration statement arises; 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after this registration statement or the shelf registration statement, as the case may be, is declared effective, such registration statement thereafter ceases to be effective (subject to certain exceptions) (each such event referred to in the preceding clauses being a registration default).</w:t>
      </w:r>
    </w:p>
    <w:p>
      <w:pPr>
        <w:pStyle w:val="TextBody"/>
        <w:spacing w:before="0" w:after="120"/>
        <w:ind w:left="0" w:right="0" w:firstLine="400"/>
        <w:rPr>
          <w:rFonts w:ascii="Times New Roman" w:hAnsi="Times New Roman"/>
          <w:sz w:val="17"/>
        </w:rPr>
      </w:pPr>
      <w:r>
        <w:rPr>
          <w:rFonts w:ascii="Times New Roman" w:hAnsi="Times New Roman"/>
          <w:sz w:val="17"/>
        </w:rPr>
        <w:t>Such additional interest will be payable from and including the date on which any such registration default occurs to the date on which all registration defaults have been cured.</w:t>
      </w:r>
    </w:p>
    <w:p>
      <w:pPr>
        <w:pStyle w:val="TextBody"/>
        <w:spacing w:before="0" w:after="120"/>
        <w:ind w:left="0" w:right="0" w:firstLine="400"/>
        <w:rPr>
          <w:rFonts w:ascii="Times New Roman" w:hAnsi="Times New Roman"/>
          <w:sz w:val="17"/>
        </w:rPr>
      </w:pPr>
      <w:r>
        <w:rPr>
          <w:rFonts w:ascii="Times New Roman" w:hAnsi="Times New Roman"/>
          <w:sz w:val="17"/>
        </w:rPr>
        <w:t>The rate of the additional interest will be 0.25% per year for the first 90-day period immediately following the occurrence of a registration default, and such rate will increase by an additional 0.25% per year with respect to each subsequent 90-day period until all registration defaults have been cured, up to a maximum additional interest rate of 0.50% per year. We will pay such additional interest on regular interest payment dates. Such additional interest will be in addition to any other interest payable from time to time with respect to the outstanding notes and the new notes.</w:t>
      </w:r>
    </w:p>
    <w:p>
      <w:pPr>
        <w:pStyle w:val="TextBody"/>
        <w:spacing w:before="480" w:after="480"/>
        <w:ind w:left="0" w:right="0" w:hanging="0"/>
        <w:rPr>
          <w:rFonts w:ascii="Times New Roman" w:hAnsi="Times New Roman"/>
          <w:sz w:val="17"/>
        </w:rPr>
      </w:pPr>
      <w:r>
        <w:rPr>
          <w:rFonts w:ascii="Times New Roman" w:hAnsi="Times New Roman"/>
          <w:sz w:val="17"/>
        </w:rPr>
        <w:t>17</w:t>
      </w:r>
    </w:p>
    <w:p>
      <w:pPr>
        <w:pStyle w:val="TextBody"/>
        <w:spacing w:before="0" w:after="0"/>
        <w:rPr/>
      </w:pPr>
      <w:r>
        <w:rPr/>
      </w:r>
    </w:p>
    <w:p>
      <w:pPr>
        <w:pStyle w:val="HorizontalLine"/>
        <w:pBdr>
          <w:bottom w:val="single" w:sz="18" w:space="0" w:color="010101"/>
        </w:pBdr>
        <w:rPr/>
      </w:pPr>
      <w:r>
        <w:rPr/>
      </w:r>
      <w:r>
        <w:br w:type="page"/>
      </w:r>
    </w:p>
    <w:p>
      <w:pPr>
        <w:pStyle w:val="TextBody"/>
        <w:spacing w:before="0" w:after="100"/>
        <w:ind w:left="0" w:right="0" w:firstLine="400"/>
        <w:rPr>
          <w:rFonts w:ascii="Times New Roman" w:hAnsi="Times New Roman"/>
          <w:sz w:val="17"/>
        </w:rPr>
      </w:pPr>
      <w:r>
        <w:rPr>
          <w:rFonts w:ascii="Times New Roman" w:hAnsi="Times New Roman"/>
          <w:sz w:val="17"/>
        </w:rPr>
        <w:t>Upon the filing or effectiveness of this registration statement, the consummation of the exchange offer, the filing or effectiveness of a shelf registration statement, or the effectiveness of a succeeding registration statement, as the case may be, the interest rate borne by the notes from the date of such filing, effectiveness or consummation, as the case may be, will be reduced to the original interest rate. However, if after any such reduction in interest rate, a different event specified in the clauses above occurs, the interest rate may again be increased pursuant to the preceding provisions.</w:t>
      </w:r>
    </w:p>
    <w:p>
      <w:pPr>
        <w:pStyle w:val="TextBody"/>
        <w:keepNext w:val="true"/>
        <w:spacing w:before="0" w:after="100"/>
        <w:ind w:left="0" w:right="0" w:firstLine="400"/>
        <w:rPr>
          <w:rFonts w:ascii="Times New Roman" w:hAnsi="Times New Roman"/>
          <w:sz w:val="17"/>
        </w:rPr>
      </w:pPr>
      <w:r>
        <w:rPr>
          <w:rFonts w:ascii="Times New Roman" w:hAnsi="Times New Roman"/>
          <w:sz w:val="17"/>
        </w:rPr>
        <w:t>To exchange your outstanding notes for transferable new notes in the exchange offer, you will be required to make the following representations:</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any new notes will be acquired in the ordinary course of your business;</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you have no arrangement or understanding with any person or entity to participate in the distribution of the new notes;</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you are not engaged in and do not intend to engage in the distribution of the new notes;</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you are not our affiliate, as defined in Rule 405 of the Securities Act.</w:t>
      </w:r>
    </w:p>
    <w:p>
      <w:pPr>
        <w:pStyle w:val="TextBody"/>
        <w:spacing w:before="0" w:after="100"/>
        <w:ind w:left="0" w:right="0" w:firstLine="400"/>
        <w:rPr>
          <w:rFonts w:ascii="Times New Roman" w:hAnsi="Times New Roman"/>
          <w:sz w:val="17"/>
        </w:rPr>
      </w:pPr>
      <w:r>
        <w:rPr>
          <w:rFonts w:ascii="Times New Roman" w:hAnsi="Times New Roman"/>
          <w:sz w:val="17"/>
        </w:rPr>
        <w:t>In addition, we may require you to provide information to be used in connection with the shelf registration statement to have your outstanding notes included in the shelf registration statement. A holder who sells outstanding notes under the shelf registration statement generally will be required to be named as a selling securityholder in the related prospectus and to deliver a prospectus to purchasers. Such a holder will also be subject to the civil liability provisions under the Securities Act in connection with such sales and will be bound by the provisions of the registration rights agreement that are applicable to such a holder, including indemnification obligations.</w:t>
      </w:r>
    </w:p>
    <w:p>
      <w:pPr>
        <w:pStyle w:val="TextBody"/>
        <w:spacing w:before="0" w:after="220"/>
        <w:ind w:left="0" w:right="0" w:firstLine="400"/>
        <w:rPr>
          <w:rFonts w:ascii="Times New Roman" w:hAnsi="Times New Roman"/>
          <w:sz w:val="17"/>
        </w:rPr>
      </w:pPr>
      <w:r>
        <w:rPr>
          <w:rFonts w:ascii="Times New Roman" w:hAnsi="Times New Roman"/>
          <w:sz w:val="17"/>
        </w:rPr>
        <w:t>The description of the registration rights agreement contained in this section is a summary only. For more information, you should review the provisions of the registration rights agreement that we filed with the SEC as an exhibit to the registration statement of which this prospectus is a part.</w:t>
      </w:r>
    </w:p>
    <w:p>
      <w:pPr>
        <w:pStyle w:val="TextBody"/>
        <w:keepNext w:val="true"/>
        <w:spacing w:before="0" w:after="100"/>
        <w:ind w:left="200" w:right="0" w:hanging="200"/>
        <w:rPr>
          <w:rFonts w:ascii="Times New Roman" w:hAnsi="Times New Roman"/>
          <w:b/>
          <w:sz w:val="17"/>
        </w:rPr>
      </w:pPr>
      <w:bookmarkStart w:id="16" w:name="ResaleOfNewNotes_081101"/>
      <w:bookmarkEnd w:id="16"/>
      <w:r>
        <w:rPr>
          <w:rFonts w:ascii="Times New Roman" w:hAnsi="Times New Roman"/>
          <w:b/>
          <w:sz w:val="17"/>
        </w:rPr>
        <w:t>Resale of New Notes</w:t>
      </w:r>
    </w:p>
    <w:p>
      <w:pPr>
        <w:pStyle w:val="TextBody"/>
        <w:keepNext w:val="true"/>
        <w:spacing w:before="0" w:after="100"/>
        <w:ind w:left="0" w:right="0" w:firstLine="400"/>
        <w:rPr>
          <w:rFonts w:ascii="Times New Roman" w:hAnsi="Times New Roman"/>
          <w:sz w:val="17"/>
        </w:rPr>
      </w:pPr>
      <w:r>
        <w:rPr>
          <w:rFonts w:ascii="Times New Roman" w:hAnsi="Times New Roman"/>
          <w:sz w:val="17"/>
        </w:rPr>
        <w:t>Based on no action letters of the SEC staff issued to third parties, we believe that new notes may be offered for resale, resold and otherwise transferred by you without further compliance with the registration and prospectus delivery provisions of the Securities Act if:</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you are not our affiliate within the meaning of Rule 405 under the Securities Act;</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such new notes are acquired in the ordinary course of your business; and</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you do not intend to participate in a distribution of the new notes.</w:t>
      </w:r>
    </w:p>
    <w:p>
      <w:pPr>
        <w:pStyle w:val="TextBody"/>
        <w:spacing w:before="0" w:after="100"/>
        <w:ind w:left="0" w:right="0" w:firstLine="400"/>
        <w:rPr>
          <w:rFonts w:ascii="Times New Roman" w:hAnsi="Times New Roman"/>
          <w:sz w:val="17"/>
        </w:rPr>
      </w:pPr>
      <w:r>
        <w:rPr>
          <w:rFonts w:ascii="Times New Roman" w:hAnsi="Times New Roman"/>
          <w:sz w:val="17"/>
        </w:rPr>
        <w:t>The SEC, however, has not considered the exchange offer for the new notes in the context of a no action letter, and the SEC may not make a similar determination as in the no action letters issued to these third parties.</w:t>
      </w:r>
    </w:p>
    <w:p>
      <w:pPr>
        <w:pStyle w:val="TextBody"/>
        <w:keepNext w:val="true"/>
        <w:spacing w:before="0" w:after="100"/>
        <w:ind w:left="0" w:right="0" w:firstLine="400"/>
        <w:rPr>
          <w:rFonts w:ascii="Times New Roman" w:hAnsi="Times New Roman"/>
          <w:sz w:val="17"/>
        </w:rPr>
      </w:pPr>
      <w:r>
        <w:rPr>
          <w:rFonts w:ascii="Times New Roman" w:hAnsi="Times New Roman"/>
          <w:sz w:val="17"/>
        </w:rPr>
        <w:t>If you tender in the exchange offer with the intention of participating in any manner in a distribution of the new notes, you</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cannot rely on such interpretations by the SEC staff; and</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must comply with the registration and prospectus delivery requirements of the Securities Act in connection with a secondary resale transaction.</w:t>
      </w:r>
    </w:p>
    <w:p>
      <w:pPr>
        <w:pStyle w:val="TextBody"/>
        <w:spacing w:before="480" w:after="480"/>
        <w:ind w:left="0" w:right="0" w:hanging="0"/>
        <w:rPr>
          <w:rFonts w:ascii="Times New Roman" w:hAnsi="Times New Roman"/>
          <w:sz w:val="17"/>
        </w:rPr>
      </w:pPr>
      <w:r>
        <w:rPr>
          <w:rFonts w:ascii="Times New Roman" w:hAnsi="Times New Roman"/>
          <w:sz w:val="17"/>
        </w:rPr>
        <w:t>18</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firstLine="400"/>
        <w:rPr>
          <w:rFonts w:ascii="Times New Roman" w:hAnsi="Times New Roman"/>
          <w:sz w:val="17"/>
        </w:rPr>
      </w:pPr>
      <w:r>
        <w:rPr>
          <w:rFonts w:ascii="Times New Roman" w:hAnsi="Times New Roman"/>
          <w:sz w:val="17"/>
        </w:rPr>
        <w:t>Unless an exemption from registration is otherwise available, any security holder intending to distribute new notes should be covered by an effective registration statement under the Securities Act. The registration statement should contain the selling security holders information required by Item 507 of Regulation S-K under the Securities Act.</w:t>
      </w:r>
    </w:p>
    <w:p>
      <w:pPr>
        <w:pStyle w:val="TextBody"/>
        <w:spacing w:before="0" w:after="240"/>
        <w:ind w:left="0" w:right="0" w:firstLine="400"/>
        <w:rPr>
          <w:rFonts w:ascii="Times New Roman" w:hAnsi="Times New Roman"/>
          <w:sz w:val="17"/>
        </w:rPr>
      </w:pPr>
      <w:r>
        <w:rPr>
          <w:rFonts w:ascii="Times New Roman" w:hAnsi="Times New Roman"/>
          <w:sz w:val="17"/>
        </w:rPr>
        <w:t>This prospectus may be used for an offer to resell, resale or other retransfer of new notes only as specifically described in this prospectus. Failure to comply with the registration and prospectus delivery requirements by a holder subject to these requirements could result in that holder incurring liability for which it is not indemnified by us. If you are a broker-dealer, you may participate in the exchange offer only if you acquired the outstanding notes as a result of market-making activities or other trading activities. Each broker-dealer that receives new notes for its own account in exchange for outstanding notes, where such outstanding notes were acquired by such broker dealer as a result of market-making activities or other trading activities, must acknowledge in the letter of transmittal that it will deliver a prospectus in connection with any resale of the new notes. Please read the section captioned Plan of Distribution for more details regarding the transfer of new notes.</w:t>
      </w:r>
    </w:p>
    <w:p>
      <w:pPr>
        <w:pStyle w:val="TextBody"/>
        <w:keepNext w:val="true"/>
        <w:spacing w:before="0" w:after="120"/>
        <w:ind w:left="200" w:right="0" w:hanging="200"/>
        <w:rPr>
          <w:rFonts w:ascii="Times New Roman" w:hAnsi="Times New Roman"/>
          <w:b/>
          <w:sz w:val="17"/>
        </w:rPr>
      </w:pPr>
      <w:bookmarkStart w:id="17" w:name="TermsOfTheExchangeOffer_081110"/>
      <w:bookmarkEnd w:id="17"/>
      <w:r>
        <w:rPr>
          <w:rFonts w:ascii="Times New Roman" w:hAnsi="Times New Roman"/>
          <w:b/>
          <w:sz w:val="17"/>
        </w:rPr>
        <w:t>Terms of the Exchange Offer</w:t>
      </w:r>
    </w:p>
    <w:p>
      <w:pPr>
        <w:pStyle w:val="TextBody"/>
        <w:spacing w:before="0" w:after="120"/>
        <w:ind w:left="0" w:right="0" w:firstLine="400"/>
        <w:rPr>
          <w:rFonts w:ascii="Times New Roman" w:hAnsi="Times New Roman"/>
          <w:sz w:val="17"/>
        </w:rPr>
      </w:pPr>
      <w:r>
        <w:rPr>
          <w:rFonts w:ascii="Times New Roman" w:hAnsi="Times New Roman"/>
          <w:sz w:val="17"/>
        </w:rPr>
        <w:t>Subject to the terms and conditions described in this prospectus and in the letter of transmittal, we will accept for exchange any outstanding notes properly tendered and not withdrawn prior to 5:00 p.m. New York City time on the expiration date. We will issue new notes in principal amount equal to the principal amount of outstanding notes surrendered under the exchange offer. Outstanding notes may be tendered only for new notes and only in integral multiples of $1,000.</w:t>
      </w:r>
    </w:p>
    <w:p>
      <w:pPr>
        <w:pStyle w:val="TextBody"/>
        <w:spacing w:before="0" w:after="120"/>
        <w:ind w:left="0" w:right="0" w:firstLine="400"/>
        <w:rPr>
          <w:rFonts w:ascii="Times New Roman" w:hAnsi="Times New Roman"/>
          <w:sz w:val="17"/>
        </w:rPr>
      </w:pPr>
      <w:r>
        <w:rPr>
          <w:rFonts w:ascii="Times New Roman" w:hAnsi="Times New Roman"/>
          <w:sz w:val="17"/>
        </w:rPr>
        <w:t>The exchange offer is not conditioned upon any minimum aggregate principal amount of outstanding notes being tendered for exchange.</w:t>
      </w:r>
    </w:p>
    <w:p>
      <w:pPr>
        <w:pStyle w:val="TextBody"/>
        <w:spacing w:before="0" w:after="120"/>
        <w:ind w:left="0" w:right="0" w:firstLine="400"/>
        <w:rPr>
          <w:rFonts w:ascii="Times New Roman" w:hAnsi="Times New Roman"/>
          <w:sz w:val="17"/>
        </w:rPr>
      </w:pPr>
      <w:r>
        <w:rPr>
          <w:rFonts w:ascii="Times New Roman" w:hAnsi="Times New Roman"/>
          <w:sz w:val="17"/>
        </w:rPr>
        <w:t>As of the date of this prospectus, $150 million in aggregate principal amount of the outstanding notes are outstanding. This prospectus is being sent to DTC, the sole registered holder of the outstanding notes, and to all persons that we can identify as beneficial owners of the outstanding notes. There will be no fixed record date for determining registered holders of outstanding notes entitled to participate in the exchange offer.</w:t>
      </w:r>
    </w:p>
    <w:p>
      <w:pPr>
        <w:pStyle w:val="TextBody"/>
        <w:spacing w:before="0" w:after="120"/>
        <w:ind w:left="0" w:right="0" w:firstLine="400"/>
        <w:rPr>
          <w:rFonts w:ascii="Times New Roman" w:hAnsi="Times New Roman"/>
          <w:sz w:val="17"/>
        </w:rPr>
      </w:pPr>
      <w:r>
        <w:rPr>
          <w:rFonts w:ascii="Times New Roman" w:hAnsi="Times New Roman"/>
          <w:sz w:val="17"/>
        </w:rPr>
        <w:t>We intend to conduct the exchange offer in accordance with the provisions of the registration rights agreement, the applicable requirements of the Securities Act and the Securities Exchange Act of 1934 and the rules and regulations of the SEC. Outstanding notes that the holders thereof do not tender for exchange in the exchange offer will remain outstanding and continue to accrue interest. These outstanding notes will be entitled to the rights and benefits such holders have under the indenture relating to the notes and the registration rights agreement.</w:t>
      </w:r>
    </w:p>
    <w:p>
      <w:pPr>
        <w:pStyle w:val="TextBody"/>
        <w:spacing w:before="0" w:after="120"/>
        <w:ind w:left="0" w:right="0" w:firstLine="400"/>
        <w:rPr>
          <w:rFonts w:ascii="Times New Roman" w:hAnsi="Times New Roman"/>
          <w:sz w:val="17"/>
        </w:rPr>
      </w:pPr>
      <w:r>
        <w:rPr>
          <w:rFonts w:ascii="Times New Roman" w:hAnsi="Times New Roman"/>
          <w:sz w:val="17"/>
        </w:rPr>
        <w:t>We will be deemed to have accepted for exchange properly tendered outstanding notes when we have given oral or written notice of the acceptance to the exchange agent and complied with the applicable provisions of the registration rights agreement. The exchange agent will act as agent for the tendering holders for the purposes of receiving the new notes from us.</w:t>
      </w:r>
    </w:p>
    <w:p>
      <w:pPr>
        <w:pStyle w:val="TextBody"/>
        <w:spacing w:before="0" w:after="120"/>
        <w:ind w:left="0" w:right="0" w:firstLine="400"/>
        <w:rPr>
          <w:rFonts w:ascii="Times New Roman" w:hAnsi="Times New Roman"/>
          <w:sz w:val="17"/>
        </w:rPr>
      </w:pPr>
      <w:r>
        <w:rPr>
          <w:rFonts w:ascii="Times New Roman" w:hAnsi="Times New Roman"/>
          <w:sz w:val="17"/>
        </w:rPr>
        <w:t>If you tender outstanding notes in the exchange offer, you will not be required to pay brokerage commissions or fees or, subject to the letter of transmittal, transfer taxes with respect to the exchange of outstanding notes. We will pay all charges and expenses, other than certain applicable taxes described below, in connection with the exchange offer. It is important that you read the section labeled Fees and Expenses for more details regarding fees and expenses incurred in the exchange offer.</w:t>
      </w:r>
    </w:p>
    <w:p>
      <w:pPr>
        <w:pStyle w:val="TextBody"/>
        <w:spacing w:before="0" w:after="240"/>
        <w:ind w:left="0" w:right="0" w:firstLine="400"/>
        <w:rPr>
          <w:rFonts w:ascii="Times New Roman" w:hAnsi="Times New Roman"/>
          <w:sz w:val="17"/>
        </w:rPr>
      </w:pPr>
      <w:r>
        <w:rPr>
          <w:rFonts w:ascii="Times New Roman" w:hAnsi="Times New Roman"/>
          <w:sz w:val="17"/>
        </w:rPr>
        <w:t>We will return any outstanding notes that we do not accept for exchange for any reason without expense to their tendering holder as promptly as practicable after the expiration or termination of the exchange offer.</w:t>
      </w:r>
    </w:p>
    <w:p>
      <w:pPr>
        <w:pStyle w:val="TextBody"/>
        <w:spacing w:before="480" w:after="480"/>
        <w:ind w:left="0" w:right="0" w:hanging="0"/>
        <w:rPr>
          <w:rFonts w:ascii="Times New Roman" w:hAnsi="Times New Roman"/>
          <w:sz w:val="17"/>
        </w:rPr>
      </w:pPr>
      <w:r>
        <w:rPr>
          <w:rFonts w:ascii="Times New Roman" w:hAnsi="Times New Roman"/>
          <w:sz w:val="17"/>
        </w:rPr>
        <w:t>19</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18" w:name="ExpirationDate_081114"/>
      <w:bookmarkEnd w:id="18"/>
      <w:r>
        <w:rPr>
          <w:rFonts w:ascii="Times New Roman" w:hAnsi="Times New Roman"/>
          <w:b/>
          <w:sz w:val="17"/>
        </w:rPr>
        <w:t>Expiration Date</w:t>
      </w:r>
    </w:p>
    <w:p>
      <w:pPr>
        <w:pStyle w:val="TextBody"/>
        <w:spacing w:before="0" w:after="240"/>
        <w:ind w:left="0" w:right="0" w:firstLine="400"/>
        <w:rPr>
          <w:rFonts w:ascii="Times New Roman" w:hAnsi="Times New Roman"/>
          <w:sz w:val="17"/>
        </w:rPr>
      </w:pPr>
      <w:r>
        <w:rPr>
          <w:rFonts w:ascii="Times New Roman" w:hAnsi="Times New Roman"/>
          <w:sz w:val="17"/>
        </w:rPr>
        <w:t>The exchange offer will expire at 5:00 p.m. New York City time on                   , 2005, unless, in our sole discretion, we extend it.</w:t>
      </w:r>
    </w:p>
    <w:p>
      <w:pPr>
        <w:pStyle w:val="TextBody"/>
        <w:keepNext w:val="true"/>
        <w:spacing w:before="0" w:after="120"/>
        <w:ind w:left="200" w:right="0" w:hanging="200"/>
        <w:rPr>
          <w:rFonts w:ascii="Times New Roman" w:hAnsi="Times New Roman"/>
          <w:b/>
          <w:sz w:val="17"/>
        </w:rPr>
      </w:pPr>
      <w:bookmarkStart w:id="19" w:name="ExtensionsDelaysInAcceptanceTermi_081115"/>
      <w:bookmarkEnd w:id="19"/>
      <w:r>
        <w:rPr>
          <w:rFonts w:ascii="Times New Roman" w:hAnsi="Times New Roman"/>
          <w:b/>
          <w:sz w:val="17"/>
        </w:rPr>
        <w:t>Extensions, Delays in Acceptance, Termination or Amendment</w:t>
      </w:r>
    </w:p>
    <w:p>
      <w:pPr>
        <w:pStyle w:val="TextBody"/>
        <w:spacing w:before="0" w:after="120"/>
        <w:ind w:left="0" w:right="0" w:firstLine="400"/>
        <w:rPr>
          <w:rFonts w:ascii="Times New Roman" w:hAnsi="Times New Roman"/>
          <w:sz w:val="17"/>
        </w:rPr>
      </w:pPr>
      <w:r>
        <w:rPr>
          <w:rFonts w:ascii="Times New Roman" w:hAnsi="Times New Roman"/>
          <w:sz w:val="17"/>
        </w:rPr>
        <w:t>We expressly reserve the right, at any time or various times, to extend the period of time during which the exchange offer is open. During any such extensions, all outstanding notes previously tendered will remain subject to the exchange offer, and we may accept them for exchange.</w:t>
      </w:r>
    </w:p>
    <w:p>
      <w:pPr>
        <w:pStyle w:val="TextBody"/>
        <w:spacing w:before="0" w:after="120"/>
        <w:ind w:left="0" w:right="0" w:firstLine="400"/>
        <w:rPr>
          <w:rFonts w:ascii="Times New Roman" w:hAnsi="Times New Roman"/>
          <w:sz w:val="17"/>
        </w:rPr>
      </w:pPr>
      <w:r>
        <w:rPr>
          <w:rFonts w:ascii="Times New Roman" w:hAnsi="Times New Roman"/>
          <w:sz w:val="17"/>
        </w:rPr>
        <w:t>In order to extend the exchange offer, we will notify the exchange agent orally or in writing of any extension. We will notify the registered holders of outstanding notes of the extension no later than 9:00 a.m., New York City time, on the business day after the previously scheduled expiration date.</w:t>
      </w:r>
    </w:p>
    <w:p>
      <w:pPr>
        <w:pStyle w:val="TextBody"/>
        <w:keepNext w:val="true"/>
        <w:spacing w:before="0" w:after="120"/>
        <w:ind w:left="0" w:right="0" w:firstLine="400"/>
        <w:rPr>
          <w:rFonts w:ascii="Times New Roman" w:hAnsi="Times New Roman"/>
          <w:sz w:val="17"/>
        </w:rPr>
      </w:pPr>
      <w:r>
        <w:rPr>
          <w:rFonts w:ascii="Times New Roman" w:hAnsi="Times New Roman"/>
          <w:sz w:val="17"/>
        </w:rPr>
        <w:t>If any of the conditions described below under Conditions to the Exchange Offer have not been satisfied, we reserve the right, in our sole discretion</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delay accepting for exchange any outstanding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extend the exchange offer, 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terminate the exchange offer,</w:t>
      </w:r>
    </w:p>
    <w:p>
      <w:pPr>
        <w:pStyle w:val="TextBody"/>
        <w:spacing w:before="0" w:after="120"/>
        <w:ind w:left="0" w:right="0" w:firstLine="400"/>
        <w:rPr>
          <w:rFonts w:ascii="Times New Roman" w:hAnsi="Times New Roman"/>
          <w:sz w:val="17"/>
        </w:rPr>
      </w:pPr>
      <w:r>
        <w:rPr>
          <w:rFonts w:ascii="Times New Roman" w:hAnsi="Times New Roman"/>
          <w:sz w:val="17"/>
        </w:rPr>
        <w:t>by giving oral or written notice of such delay, extension or termination to the exchange agent. Subject to the terms of the registration rights agreement, we also reserve the right to amend the terms of the exchange offer in any manner.</w:t>
      </w:r>
    </w:p>
    <w:p>
      <w:pPr>
        <w:pStyle w:val="TextBody"/>
        <w:spacing w:before="0" w:after="240"/>
        <w:ind w:left="0" w:right="0" w:firstLine="400"/>
        <w:rPr>
          <w:rFonts w:ascii="Times New Roman" w:hAnsi="Times New Roman"/>
          <w:sz w:val="17"/>
        </w:rPr>
      </w:pPr>
      <w:r>
        <w:rPr>
          <w:rFonts w:ascii="Times New Roman" w:hAnsi="Times New Roman"/>
          <w:sz w:val="17"/>
        </w:rPr>
        <w:t>Any such delay in acceptance, extension, termination or amendment will be followed as promptly as practicable by oral or written notice thereof to the registered holders of outstanding notes. If we amend the exchange offer in a manner that we determine to constitute a material change, we will promptly disclose such amendment by means of a prospectus supplement. The supplement will be distributed to the registered holders of the outstanding notes. Depending upon the significance of the amendment and the manner of disclosure to the registered holders, we will extend the exchange offer if the exchange offer would otherwise expire during such period.</w:t>
      </w:r>
    </w:p>
    <w:p>
      <w:pPr>
        <w:pStyle w:val="TextBody"/>
        <w:keepNext w:val="true"/>
        <w:spacing w:before="0" w:after="120"/>
        <w:ind w:left="200" w:right="0" w:hanging="200"/>
        <w:rPr>
          <w:rFonts w:ascii="Times New Roman" w:hAnsi="Times New Roman"/>
          <w:b/>
          <w:sz w:val="17"/>
        </w:rPr>
      </w:pPr>
      <w:bookmarkStart w:id="20" w:name="ConditionsToTheExchangeOffer_081134"/>
      <w:bookmarkEnd w:id="20"/>
      <w:r>
        <w:rPr>
          <w:rFonts w:ascii="Times New Roman" w:hAnsi="Times New Roman"/>
          <w:b/>
          <w:sz w:val="17"/>
        </w:rPr>
        <w:t>Conditions to the Exchange Offer</w:t>
      </w:r>
    </w:p>
    <w:p>
      <w:pPr>
        <w:pStyle w:val="TextBody"/>
        <w:spacing w:before="0" w:after="120"/>
        <w:ind w:left="0" w:right="0" w:firstLine="400"/>
        <w:rPr>
          <w:rFonts w:ascii="Times New Roman" w:hAnsi="Times New Roman"/>
          <w:sz w:val="17"/>
        </w:rPr>
      </w:pPr>
      <w:r>
        <w:rPr>
          <w:rFonts w:ascii="Times New Roman" w:hAnsi="Times New Roman"/>
          <w:sz w:val="17"/>
        </w:rPr>
        <w:t>We will not be required to accept for exchange, or exchange any new notes for, any outstanding notes if the exchange offer, or the making of any exchange by a holder of outstanding notes, would violate applicable law or any applicable interpretation of the staff of the SEC. Similarly, we may terminate the exchange offer as provided in this prospectus before accepting outstanding notes for exchange in the event of such a potential violation.</w:t>
      </w:r>
    </w:p>
    <w:p>
      <w:pPr>
        <w:pStyle w:val="TextBody"/>
        <w:spacing w:before="0" w:after="120"/>
        <w:ind w:left="0" w:right="0" w:firstLine="400"/>
        <w:rPr>
          <w:rFonts w:ascii="Times New Roman" w:hAnsi="Times New Roman"/>
          <w:sz w:val="17"/>
        </w:rPr>
      </w:pPr>
      <w:r>
        <w:rPr>
          <w:rFonts w:ascii="Times New Roman" w:hAnsi="Times New Roman"/>
          <w:sz w:val="17"/>
        </w:rPr>
        <w:t>In addition, we will not be obligated to accept for exchange the outstanding notes of any holder that has not made to us the representations described under Purpose and Effect of the Exchange Offer, Procedures for Tendering and Plan of Distribution and such other representations as may be reasonably necessary under applicable SEC rules, regulations or interpretations to allow us to use an appropriate form to register the new notes under the Securities Act.</w:t>
      </w:r>
    </w:p>
    <w:p>
      <w:pPr>
        <w:pStyle w:val="TextBody"/>
        <w:spacing w:before="0" w:after="120"/>
        <w:ind w:left="0" w:right="0" w:firstLine="400"/>
        <w:rPr>
          <w:rFonts w:ascii="Times New Roman" w:hAnsi="Times New Roman"/>
          <w:sz w:val="17"/>
        </w:rPr>
      </w:pPr>
      <w:r>
        <w:rPr>
          <w:rFonts w:ascii="Times New Roman" w:hAnsi="Times New Roman"/>
          <w:sz w:val="17"/>
        </w:rPr>
        <w:t>We expressly reserve the right to amend or terminate the exchange offer, and to reject for exchange any outstanding notes not previously accepted for exchange, upon the occurrence of any of the conditions to the exchange offer specified above. We will give oral or written notice of any extension, amendment, non-acceptance or termination to the holders of the outstanding notes as promptly as practicable.</w:t>
      </w:r>
    </w:p>
    <w:p>
      <w:pPr>
        <w:pStyle w:val="TextBody"/>
        <w:spacing w:before="480" w:after="480"/>
        <w:ind w:left="0" w:right="0" w:hanging="0"/>
        <w:rPr>
          <w:rFonts w:ascii="Times New Roman" w:hAnsi="Times New Roman"/>
          <w:sz w:val="17"/>
        </w:rPr>
      </w:pPr>
      <w:r>
        <w:rPr>
          <w:rFonts w:ascii="Times New Roman" w:hAnsi="Times New Roman"/>
          <w:sz w:val="17"/>
        </w:rPr>
        <w:t>20</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firstLine="400"/>
        <w:rPr>
          <w:rFonts w:ascii="Times New Roman" w:hAnsi="Times New Roman"/>
          <w:sz w:val="17"/>
        </w:rPr>
      </w:pPr>
      <w:r>
        <w:rPr>
          <w:rFonts w:ascii="Times New Roman" w:hAnsi="Times New Roman"/>
          <w:sz w:val="17"/>
        </w:rPr>
        <w:t>These conditions are for our sole benefit, and we may assert them or waive them in whole or in part at any time or at various times in our sole discretion. If we fail at any time to exercise any of these rights, this failure will not mean that we have waived our rights. Each such right will be deemed an ongoing right that we may assert at any time or at various times.</w:t>
      </w:r>
    </w:p>
    <w:p>
      <w:pPr>
        <w:pStyle w:val="TextBody"/>
        <w:spacing w:before="0" w:after="240"/>
        <w:ind w:left="0" w:right="0" w:firstLine="400"/>
        <w:rPr>
          <w:rFonts w:ascii="Times New Roman" w:hAnsi="Times New Roman"/>
          <w:sz w:val="17"/>
        </w:rPr>
      </w:pPr>
      <w:r>
        <w:rPr>
          <w:rFonts w:ascii="Times New Roman" w:hAnsi="Times New Roman"/>
          <w:sz w:val="17"/>
        </w:rPr>
        <w:t>In addition, we will not accept for exchange any outstanding notes tendered, and will not issue new notes in exchange for any such outstanding notes, if at such time any stop order has been threatened or is in effect with respect to (1) the registration statement of which this prospectus constitutes a part or (2) the qualification of the indenture relating to the notes under the Trust Indenture Act of 1939.</w:t>
      </w:r>
    </w:p>
    <w:p>
      <w:pPr>
        <w:pStyle w:val="TextBody"/>
        <w:keepNext w:val="true"/>
        <w:spacing w:before="0" w:after="120"/>
        <w:ind w:left="200" w:right="0" w:hanging="200"/>
        <w:rPr>
          <w:rFonts w:ascii="Times New Roman" w:hAnsi="Times New Roman"/>
          <w:b/>
          <w:sz w:val="17"/>
        </w:rPr>
      </w:pPr>
      <w:bookmarkStart w:id="21" w:name="ProceduresForTendering_081138"/>
      <w:bookmarkEnd w:id="21"/>
      <w:r>
        <w:rPr>
          <w:rFonts w:ascii="Times New Roman" w:hAnsi="Times New Roman"/>
          <w:b/>
          <w:sz w:val="17"/>
        </w:rPr>
        <w:t>Procedures for Tendering</w:t>
      </w:r>
    </w:p>
    <w:p>
      <w:pPr>
        <w:pStyle w:val="TextBody"/>
        <w:spacing w:before="0" w:after="120"/>
        <w:ind w:left="0" w:right="0" w:firstLine="400"/>
        <w:rPr>
          <w:rFonts w:ascii="Times New Roman" w:hAnsi="Times New Roman"/>
          <w:sz w:val="17"/>
        </w:rPr>
      </w:pPr>
      <w:r>
        <w:rPr>
          <w:rFonts w:ascii="Times New Roman" w:hAnsi="Times New Roman"/>
          <w:sz w:val="17"/>
        </w:rPr>
        <w:t>In order to participate in the exchange offer, you must properly tender your outstanding notes to the exchange agent as described below. It is your responsibility to properly tender your notes. We have the right to waive any defects. However, we are not required to waive defects and are not required to notify you of defects in your tender.</w:t>
      </w:r>
    </w:p>
    <w:p>
      <w:pPr>
        <w:pStyle w:val="TextBody"/>
        <w:spacing w:before="0" w:after="120"/>
        <w:ind w:left="0" w:right="0" w:firstLine="400"/>
        <w:rPr>
          <w:rFonts w:ascii="Times New Roman" w:hAnsi="Times New Roman"/>
          <w:sz w:val="17"/>
        </w:rPr>
      </w:pPr>
      <w:r>
        <w:rPr>
          <w:rFonts w:ascii="Times New Roman" w:hAnsi="Times New Roman"/>
          <w:sz w:val="17"/>
        </w:rPr>
        <w:t>If you have any questions or need help in exchanging your notes, please call the exchange agent, whose address and phone number are set forth in Prospectus SummaryThe Exchange OfferExchange Agent.</w:t>
      </w:r>
    </w:p>
    <w:p>
      <w:pPr>
        <w:pStyle w:val="TextBody"/>
        <w:spacing w:before="0" w:after="120"/>
        <w:ind w:left="0" w:right="0" w:firstLine="400"/>
        <w:rPr>
          <w:rFonts w:ascii="Times New Roman" w:hAnsi="Times New Roman"/>
          <w:sz w:val="17"/>
        </w:rPr>
      </w:pPr>
      <w:r>
        <w:rPr>
          <w:rFonts w:ascii="Times New Roman" w:hAnsi="Times New Roman"/>
          <w:sz w:val="17"/>
        </w:rPr>
        <w:t>All of the outstanding notes were issued in book-entry form, and all of the outstanding notes are currently represented by global certificates held for the account of DTC. We have confirmed with DTC that the outstanding notes may be tendered using the Automated Tender Offer Program (ATOP) instituted by DTC. The exchange agent will establish an account with DTC for purposes of the exchange offer promptly after the commencement of the exchange offer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the letter of transmittal.</w:t>
      </w:r>
    </w:p>
    <w:p>
      <w:pPr>
        <w:pStyle w:val="TextBody"/>
        <w:spacing w:before="0" w:after="120"/>
        <w:ind w:left="0" w:right="0" w:firstLine="400"/>
        <w:rPr>
          <w:rFonts w:ascii="Times New Roman" w:hAnsi="Times New Roman"/>
          <w:sz w:val="17"/>
        </w:rPr>
      </w:pPr>
      <w:r>
        <w:rPr>
          <w:rFonts w:ascii="Times New Roman" w:hAnsi="Times New Roman"/>
          <w:sz w:val="17"/>
        </w:rPr>
        <w:t>By using the ATOP procedures to exchange outstanding notes, you will not be required to deliver a letter of transmittal to the exchange agent. However, you will be bound by its terms just as if you had signed it.</w:t>
      </w:r>
    </w:p>
    <w:p>
      <w:pPr>
        <w:pStyle w:val="TextBody"/>
        <w:spacing w:before="0" w:after="240"/>
        <w:ind w:left="0" w:right="0" w:firstLine="400"/>
        <w:rPr>
          <w:rFonts w:ascii="Times New Roman" w:hAnsi="Times New Roman"/>
          <w:sz w:val="17"/>
        </w:rPr>
      </w:pPr>
      <w:r>
        <w:rPr>
          <w:rFonts w:ascii="Times New Roman" w:hAnsi="Times New Roman"/>
          <w:sz w:val="17"/>
        </w:rPr>
        <w:t>There is no procedure for guaranteed late delivery of the notes.</w:t>
      </w:r>
    </w:p>
    <w:p>
      <w:pPr>
        <w:pStyle w:val="TextBody"/>
        <w:spacing w:before="0" w:after="120"/>
        <w:ind w:left="0" w:right="0" w:firstLine="400"/>
        <w:rPr>
          <w:rFonts w:ascii="Times New Roman" w:hAnsi="Times New Roman"/>
          <w:b/>
          <w:i/>
          <w:sz w:val="17"/>
        </w:rPr>
      </w:pPr>
      <w:r>
        <w:rPr>
          <w:rFonts w:ascii="Times New Roman" w:hAnsi="Times New Roman"/>
          <w:b/>
          <w:i/>
          <w:sz w:val="17"/>
        </w:rPr>
        <w:t>Determinations Under the Exchange Offer</w:t>
      </w:r>
    </w:p>
    <w:p>
      <w:pPr>
        <w:pStyle w:val="TextBody"/>
        <w:spacing w:before="0" w:after="240"/>
        <w:ind w:left="0" w:right="0" w:firstLine="400"/>
        <w:rPr>
          <w:rFonts w:ascii="Times New Roman" w:hAnsi="Times New Roman"/>
          <w:sz w:val="17"/>
        </w:rPr>
      </w:pPr>
      <w:r>
        <w:rPr>
          <w:rFonts w:ascii="Times New Roman" w:hAnsi="Times New Roman"/>
          <w:sz w:val="17"/>
        </w:rPr>
        <w:t xml:space="preserve">We will determine in our sole discretion all questions as to the validity, form, eligibility, time of receipt, 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the exchange offer, including the instructions in the letter of transmittal, will be final and binding on all parties. Unless waived, all defects or irregularities in connection with tenders of outstanding notes must be cured within such time as we shall determine. Although we intend to notify holders of defects or irregularities with respect to tenders of outstanding notes, neither we, the exchange agent nor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t>
      </w:r>
    </w:p>
    <w:p>
      <w:pPr>
        <w:pStyle w:val="TextBody"/>
        <w:spacing w:before="480" w:after="480"/>
        <w:ind w:left="0" w:right="0" w:hanging="0"/>
        <w:rPr>
          <w:rFonts w:ascii="Times New Roman" w:hAnsi="Times New Roman"/>
          <w:sz w:val="17"/>
        </w:rPr>
      </w:pPr>
      <w:r>
        <w:rPr>
          <w:rFonts w:ascii="Times New Roman" w:hAnsi="Times New Roman"/>
          <w:sz w:val="17"/>
        </w:rPr>
        <w:t>21</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will be returned to the tendering holder, unless otherwise provided in the letter of transmittal, as soon as practicable following the expiration date.</w:t>
      </w:r>
    </w:p>
    <w:p>
      <w:pPr>
        <w:pStyle w:val="TextBody"/>
        <w:keepNext w:val="true"/>
        <w:spacing w:before="0" w:after="120"/>
        <w:ind w:left="600" w:right="0" w:hanging="200"/>
        <w:rPr>
          <w:rFonts w:ascii="Times New Roman" w:hAnsi="Times New Roman"/>
          <w:b/>
          <w:i/>
          <w:sz w:val="17"/>
        </w:rPr>
      </w:pPr>
      <w:r>
        <w:rPr>
          <w:rFonts w:ascii="Times New Roman" w:hAnsi="Times New Roman"/>
          <w:b/>
          <w:i/>
          <w:sz w:val="17"/>
        </w:rPr>
        <w:t>When We Will Issue New Notes</w:t>
      </w:r>
    </w:p>
    <w:p>
      <w:pPr>
        <w:pStyle w:val="TextBody"/>
        <w:keepNext w:val="true"/>
        <w:spacing w:before="0" w:after="120"/>
        <w:ind w:left="0" w:right="0" w:firstLine="400"/>
        <w:rPr>
          <w:rFonts w:ascii="Times New Roman" w:hAnsi="Times New Roman"/>
          <w:sz w:val="17"/>
        </w:rPr>
      </w:pPr>
      <w:r>
        <w:rPr>
          <w:rFonts w:ascii="Times New Roman" w:hAnsi="Times New Roman"/>
          <w:sz w:val="17"/>
        </w:rPr>
        <w:t>In all cases, we will issue new notes for outstanding notes that we have accepted for exchange under the exchange offer only after the exchange agent timely receives: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 book-entry confirmation of such outstanding notes into the exchange agents account at DTC; and</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a properly transmitted agents message.</w:t>
      </w:r>
    </w:p>
    <w:p>
      <w:pPr>
        <w:pStyle w:val="TextBody"/>
        <w:keepNext w:val="true"/>
        <w:spacing w:before="0" w:after="120"/>
        <w:ind w:left="600" w:right="0" w:hanging="200"/>
        <w:rPr>
          <w:rFonts w:ascii="Times New Roman" w:hAnsi="Times New Roman"/>
          <w:b/>
          <w:i/>
          <w:sz w:val="17"/>
        </w:rPr>
      </w:pPr>
      <w:r>
        <w:rPr>
          <w:rFonts w:ascii="Times New Roman" w:hAnsi="Times New Roman"/>
          <w:b/>
          <w:i/>
          <w:sz w:val="17"/>
        </w:rPr>
        <w:t>Return of Outstanding Notes Not Accepted or Exchanged</w:t>
      </w:r>
    </w:p>
    <w:p>
      <w:pPr>
        <w:pStyle w:val="TextBody"/>
        <w:spacing w:before="0" w:after="240"/>
        <w:ind w:left="0" w:right="0" w:firstLine="400"/>
        <w:rPr>
          <w:rFonts w:ascii="Times New Roman" w:hAnsi="Times New Roman"/>
          <w:sz w:val="17"/>
        </w:rPr>
      </w:pPr>
      <w:r>
        <w:rPr>
          <w:rFonts w:ascii="Times New Roman" w:hAnsi="Times New Roman"/>
          <w:sz w:val="17"/>
        </w:rPr>
        <w:t>If we do not accept any tendered outstanding notes for exchange or if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w:t>
      </w:r>
    </w:p>
    <w:p>
      <w:pPr>
        <w:pStyle w:val="TextBody"/>
        <w:keepNext w:val="true"/>
        <w:spacing w:before="0" w:after="120"/>
        <w:ind w:left="600" w:right="0" w:hanging="200"/>
        <w:rPr>
          <w:rFonts w:ascii="Times New Roman" w:hAnsi="Times New Roman"/>
          <w:b/>
          <w:i/>
          <w:sz w:val="17"/>
        </w:rPr>
      </w:pPr>
      <w:r>
        <w:rPr>
          <w:rFonts w:ascii="Times New Roman" w:hAnsi="Times New Roman"/>
          <w:b/>
          <w:i/>
          <w:sz w:val="17"/>
        </w:rPr>
        <w:t>Your Representations to Us</w:t>
      </w:r>
    </w:p>
    <w:p>
      <w:pPr>
        <w:pStyle w:val="TextBody"/>
        <w:keepNext w:val="true"/>
        <w:spacing w:before="0" w:after="120"/>
        <w:ind w:left="0" w:right="0" w:firstLine="400"/>
        <w:rPr>
          <w:rFonts w:ascii="Times New Roman" w:hAnsi="Times New Roman"/>
          <w:sz w:val="17"/>
        </w:rPr>
      </w:pPr>
      <w:r>
        <w:rPr>
          <w:rFonts w:ascii="Times New Roman" w:hAnsi="Times New Roman"/>
          <w:sz w:val="17"/>
        </w:rPr>
        <w:t>By agreeing to be bound by the letter of transmittal, you will represent to us that, among other things: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new notes that you receive will be acquired in the ordinary course of your business;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you have no arrangement or understanding with any person or entity to participate in the distribution of the new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you are not engaged in and do not intend to engage in the distribution of the new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you are not our affiliate, as defined in Rule 405 of the Securities Act.</w:t>
      </w:r>
    </w:p>
    <w:p>
      <w:pPr>
        <w:pStyle w:val="TextBody"/>
        <w:keepNext w:val="true"/>
        <w:spacing w:before="0" w:after="120"/>
        <w:ind w:left="200" w:right="0" w:hanging="200"/>
        <w:rPr>
          <w:rFonts w:ascii="Times New Roman" w:hAnsi="Times New Roman"/>
          <w:b/>
          <w:sz w:val="17"/>
        </w:rPr>
      </w:pPr>
      <w:bookmarkStart w:id="22" w:name="WithdrawalOfTenders_081255"/>
      <w:bookmarkEnd w:id="22"/>
      <w:r>
        <w:rPr>
          <w:rFonts w:ascii="Times New Roman" w:hAnsi="Times New Roman"/>
          <w:b/>
          <w:sz w:val="17"/>
        </w:rPr>
        <w:t>Withdrawal of Tenders</w:t>
      </w:r>
    </w:p>
    <w:p>
      <w:pPr>
        <w:pStyle w:val="TextBody"/>
        <w:spacing w:before="0" w:after="120"/>
        <w:ind w:left="0" w:right="0" w:firstLine="400"/>
        <w:rPr>
          <w:rFonts w:ascii="Times New Roman" w:hAnsi="Times New Roman"/>
          <w:sz w:val="17"/>
        </w:rPr>
      </w:pPr>
      <w:r>
        <w:rPr>
          <w:rFonts w:ascii="Times New Roman" w:hAnsi="Times New Roman"/>
          <w:sz w:val="17"/>
        </w:rPr>
        <w:t>Except as otherwise provided in this prospectus, you may withdraw your tender at any time prior to 5:00 p.m. New York City time on the expiration date. For a withdrawal to be effective you must comply with the appropriate procedures of DTCs ATOP system. Any notice of withdrawal must specify the name and number of the account at DTC to be credited with withdrawn outstanding notes and otherwise comply with the procedures of DTC.</w:t>
      </w:r>
    </w:p>
    <w:p>
      <w:pPr>
        <w:pStyle w:val="TextBody"/>
        <w:spacing w:before="0" w:after="120"/>
        <w:ind w:left="0" w:right="0" w:firstLine="400"/>
        <w:rPr>
          <w:rFonts w:ascii="Times New Roman" w:hAnsi="Times New Roman"/>
          <w:sz w:val="17"/>
        </w:rPr>
      </w:pPr>
      <w:r>
        <w:rPr>
          <w:rFonts w:ascii="Times New Roman" w:hAnsi="Times New Roman"/>
          <w:sz w:val="17"/>
        </w:rPr>
        <w:t>We will determine all questions as to the validity, form, eligibility and time of receipt of notice of withdrawal. Our determination shall be final and binding on all parties. We will deem any outstanding notes so withdrawn not to have been validly tendered for exchange for purposes of the exchange offer.</w:t>
      </w:r>
    </w:p>
    <w:p>
      <w:pPr>
        <w:pStyle w:val="TextBody"/>
        <w:spacing w:before="0" w:after="120"/>
        <w:ind w:left="0" w:right="0" w:firstLine="400"/>
        <w:rPr>
          <w:rFonts w:ascii="Times New Roman" w:hAnsi="Times New Roman"/>
          <w:sz w:val="17"/>
        </w:rPr>
      </w:pPr>
      <w:r>
        <w:rPr>
          <w:rFonts w:ascii="Times New Roman" w:hAnsi="Times New Roman"/>
          <w:sz w:val="17"/>
        </w:rPr>
        <w:t>Any outstanding notes that have been tendered for exchange but are not exchanged for any reason will be credited to an account maintained with DTC for the outstanding notes. This return or crediting will take place as soon as practicable after withdrawal, rejection of tender or termination of the exchange offer. You may retender properly withdrawn outstanding notes by following the procedures described under Procedures for Tendering above at any time prior to 5:00 p.m., New York City time, on the expiration date.</w:t>
      </w:r>
    </w:p>
    <w:p>
      <w:pPr>
        <w:pStyle w:val="TextBody"/>
        <w:spacing w:before="480" w:after="480"/>
        <w:ind w:left="0" w:right="0" w:hanging="0"/>
        <w:rPr>
          <w:rFonts w:ascii="Times New Roman" w:hAnsi="Times New Roman"/>
          <w:sz w:val="17"/>
        </w:rPr>
      </w:pPr>
      <w:r>
        <w:rPr>
          <w:rFonts w:ascii="Times New Roman" w:hAnsi="Times New Roman"/>
          <w:sz w:val="17"/>
        </w:rPr>
        <w:t>22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23" w:name="FeesAndExpenses_081954"/>
      <w:bookmarkEnd w:id="23"/>
      <w:r>
        <w:rPr>
          <w:rFonts w:ascii="Times New Roman" w:hAnsi="Times New Roman"/>
          <w:b/>
          <w:sz w:val="17"/>
        </w:rPr>
        <w:t>Fees and Expenses</w:t>
      </w:r>
    </w:p>
    <w:p>
      <w:pPr>
        <w:pStyle w:val="TextBody"/>
        <w:spacing w:before="0" w:after="120"/>
        <w:ind w:left="0" w:right="0" w:firstLine="400"/>
        <w:rPr>
          <w:rFonts w:ascii="Times New Roman" w:hAnsi="Times New Roman"/>
          <w:sz w:val="17"/>
        </w:rPr>
      </w:pPr>
      <w:r>
        <w:rPr>
          <w:rFonts w:ascii="Times New Roman" w:hAnsi="Times New Roman"/>
          <w:sz w:val="17"/>
        </w:rPr>
        <w:t>We will bear the expenses of soliciting tenders. The principal solicitation is being made by mail; however, we may make additional solicitation by telegraph, telephone or in person by our officers and regular employees and those of our affiliates.</w:t>
      </w:r>
    </w:p>
    <w:p>
      <w:pPr>
        <w:pStyle w:val="TextBody"/>
        <w:spacing w:before="0" w:after="120"/>
        <w:ind w:left="0" w:right="0" w:firstLine="400"/>
        <w:rPr>
          <w:rFonts w:ascii="Times New Roman" w:hAnsi="Times New Roman"/>
          <w:sz w:val="17"/>
        </w:rPr>
      </w:pPr>
      <w:r>
        <w:rPr>
          <w:rFonts w:ascii="Times New Roman" w:hAnsi="Times New Roman"/>
          <w:sz w:val="17"/>
        </w:rPr>
        <w:t>We have not retained any dealer manager in connection with the exchange offer and will not make any payments to broker dealers or others soliciting acceptances of the exchange offer. We will, however, pay the exchange agent reasonable and customary fees for its services and reimburse it for its related reasonable out of pocket expenses.</w:t>
      </w:r>
    </w:p>
    <w:p>
      <w:pPr>
        <w:pStyle w:val="TextBody"/>
        <w:keepNext w:val="true"/>
        <w:spacing w:before="0" w:after="120"/>
        <w:ind w:left="0" w:right="0" w:firstLine="400"/>
        <w:rPr>
          <w:rFonts w:ascii="Times New Roman" w:hAnsi="Times New Roman"/>
          <w:sz w:val="17"/>
        </w:rPr>
      </w:pPr>
      <w:r>
        <w:rPr>
          <w:rFonts w:ascii="Times New Roman" w:hAnsi="Times New Roman"/>
          <w:sz w:val="17"/>
        </w:rPr>
        <w:t>We will pay the cash expenses to be incurred in connection with the exchange offer. They include: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SEC registration fees;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fees and expenses of the exchange agent and trustee;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accounting and legal fees and printing costs; and</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related fees and expenses.</w:t>
      </w:r>
    </w:p>
    <w:p>
      <w:pPr>
        <w:pStyle w:val="TextBody"/>
        <w:keepNext w:val="true"/>
        <w:spacing w:before="0" w:after="120"/>
        <w:ind w:left="200" w:right="0" w:hanging="200"/>
        <w:rPr>
          <w:rFonts w:ascii="Times New Roman" w:hAnsi="Times New Roman"/>
          <w:b/>
          <w:sz w:val="17"/>
        </w:rPr>
      </w:pPr>
      <w:bookmarkStart w:id="24" w:name="TransferTaxes_081959"/>
      <w:bookmarkEnd w:id="24"/>
      <w:r>
        <w:rPr>
          <w:rFonts w:ascii="Times New Roman" w:hAnsi="Times New Roman"/>
          <w:b/>
          <w:sz w:val="17"/>
        </w:rPr>
        <w:t>Transfer Taxes</w:t>
      </w:r>
    </w:p>
    <w:p>
      <w:pPr>
        <w:pStyle w:val="TextBody"/>
        <w:spacing w:before="0" w:after="240"/>
        <w:ind w:left="0" w:right="0" w:firstLine="400"/>
        <w:rPr>
          <w:rFonts w:ascii="Times New Roman" w:hAnsi="Times New Roman"/>
          <w:sz w:val="17"/>
        </w:rPr>
      </w:pPr>
      <w:r>
        <w:rPr>
          <w:rFonts w:ascii="Times New Roman" w:hAnsi="Times New Roman"/>
          <w:sz w:val="17"/>
        </w:rPr>
        <w:t>We will pay all transfer taxes, if any, applicable to the exchange of outstanding notes under the exchange offer. The tendering holder, however, will be required to pay any transfer taxes, whether imposed on the registered holder or any other person, if a transfer tax is imposed for any reason other than the exchange of outstanding notes under the exchange offer.</w:t>
      </w:r>
    </w:p>
    <w:p>
      <w:pPr>
        <w:pStyle w:val="TextBody"/>
        <w:keepNext w:val="true"/>
        <w:spacing w:before="0" w:after="120"/>
        <w:ind w:left="200" w:right="0" w:hanging="200"/>
        <w:rPr>
          <w:rFonts w:ascii="Times New Roman" w:hAnsi="Times New Roman"/>
          <w:b/>
          <w:sz w:val="17"/>
        </w:rPr>
      </w:pPr>
      <w:bookmarkStart w:id="25" w:name="ConsequencesOfFailureToExchange_082001"/>
      <w:bookmarkEnd w:id="25"/>
      <w:r>
        <w:rPr>
          <w:rFonts w:ascii="Times New Roman" w:hAnsi="Times New Roman"/>
          <w:b/>
          <w:sz w:val="17"/>
        </w:rPr>
        <w:t>Consequences of Failure to Exchange</w:t>
      </w:r>
    </w:p>
    <w:p>
      <w:pPr>
        <w:pStyle w:val="TextBody"/>
        <w:spacing w:before="0" w:after="240"/>
        <w:ind w:left="0" w:right="0" w:firstLine="400"/>
        <w:rPr>
          <w:rFonts w:ascii="Times New Roman" w:hAnsi="Times New Roman"/>
          <w:sz w:val="17"/>
        </w:rPr>
      </w:pPr>
      <w:r>
        <w:rPr>
          <w:rFonts w:ascii="Times New Roman" w:hAnsi="Times New Roman"/>
          <w:sz w:val="17"/>
        </w:rPr>
        <w:t>If you do not exchange new notes for your outstanding notes under the exchange offer, you will remain subject to the existing restrictions on transfer of the outstanding notes. In general, you may not offer or sell the outstanding notes unless the offer or sale is either registered under the Securities Act or exempt from the registration under the Securities Act and applicable state securities laws. Except as required by the registration rights agreement, we do not intend to register resales of the outstanding notes under the Securities Act.</w:t>
      </w:r>
    </w:p>
    <w:p>
      <w:pPr>
        <w:pStyle w:val="TextBody"/>
        <w:keepNext w:val="true"/>
        <w:spacing w:before="0" w:after="120"/>
        <w:ind w:left="200" w:right="0" w:hanging="200"/>
        <w:rPr>
          <w:rFonts w:ascii="Times New Roman" w:hAnsi="Times New Roman"/>
          <w:b/>
          <w:sz w:val="17"/>
        </w:rPr>
      </w:pPr>
      <w:bookmarkStart w:id="26" w:name="AccountingTreatment_082002"/>
      <w:bookmarkEnd w:id="26"/>
      <w:r>
        <w:rPr>
          <w:rFonts w:ascii="Times New Roman" w:hAnsi="Times New Roman"/>
          <w:b/>
          <w:sz w:val="17"/>
        </w:rPr>
        <w:t>Accounting Treatment</w:t>
      </w:r>
    </w:p>
    <w:p>
      <w:pPr>
        <w:pStyle w:val="TextBody"/>
        <w:spacing w:before="0" w:after="240"/>
        <w:ind w:left="0" w:right="0" w:firstLine="400"/>
        <w:rPr>
          <w:rFonts w:ascii="Times New Roman" w:hAnsi="Times New Roman"/>
          <w:sz w:val="17"/>
        </w:rPr>
      </w:pPr>
      <w:r>
        <w:rPr>
          <w:rFonts w:ascii="Times New Roman" w:hAnsi="Times New Roman"/>
          <w:sz w:val="17"/>
        </w:rPr>
        <w:t>We will record the new notes in our accounting records at the same carrying value as the outstanding notes. This carrying value is the aggregate principal amount of the outstanding notes less any bond discount, as reflected in our accounting records on the date of exchange. Accordingly, we will not recognize any gain or loss for accounting purposes in connection with the exchange offer.</w:t>
      </w:r>
    </w:p>
    <w:p>
      <w:pPr>
        <w:pStyle w:val="TextBody"/>
        <w:keepNext w:val="true"/>
        <w:spacing w:before="0" w:after="120"/>
        <w:ind w:left="200" w:right="0" w:hanging="200"/>
        <w:rPr>
          <w:rFonts w:ascii="Times New Roman" w:hAnsi="Times New Roman"/>
          <w:b/>
          <w:sz w:val="17"/>
        </w:rPr>
      </w:pPr>
      <w:bookmarkStart w:id="27" w:name="Other_082002"/>
      <w:bookmarkEnd w:id="27"/>
      <w:r>
        <w:rPr>
          <w:rFonts w:ascii="Times New Roman" w:hAnsi="Times New Roman"/>
          <w:b/>
          <w:sz w:val="17"/>
        </w:rPr>
        <w:t>Other</w:t>
      </w:r>
    </w:p>
    <w:p>
      <w:pPr>
        <w:pStyle w:val="TextBody"/>
        <w:spacing w:before="0" w:after="120"/>
        <w:ind w:left="0" w:right="0" w:firstLine="400"/>
        <w:rPr>
          <w:rFonts w:ascii="Times New Roman" w:hAnsi="Times New Roman"/>
          <w:sz w:val="17"/>
        </w:rPr>
      </w:pPr>
      <w:r>
        <w:rPr>
          <w:rFonts w:ascii="Times New Roman" w:hAnsi="Times New Roman"/>
          <w:sz w:val="17"/>
        </w:rPr>
        <w:t>Participation in the exchange offer is voluntary, and you should carefully consider whether to accept. You are urged to consult your financial and tax advisors in making your own decision on what action to take.</w:t>
      </w:r>
    </w:p>
    <w:p>
      <w:pPr>
        <w:pStyle w:val="TextBody"/>
        <w:spacing w:before="0" w:after="240"/>
        <w:ind w:left="0" w:right="0" w:firstLine="400"/>
        <w:rPr>
          <w:rFonts w:ascii="Times New Roman" w:hAnsi="Times New Roman"/>
          <w:sz w:val="17"/>
        </w:rPr>
      </w:pPr>
      <w:r>
        <w:rPr>
          <w:rFonts w:ascii="Times New Roman" w:hAnsi="Times New Roman"/>
          <w:sz w:val="17"/>
        </w:rPr>
        <w:t>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w:t>
      </w:r>
    </w:p>
    <w:p>
      <w:pPr>
        <w:pStyle w:val="TextBody"/>
        <w:spacing w:before="480" w:after="480"/>
        <w:ind w:left="0" w:right="0" w:hanging="0"/>
        <w:rPr>
          <w:rFonts w:ascii="Times New Roman" w:hAnsi="Times New Roman"/>
          <w:sz w:val="17"/>
        </w:rPr>
      </w:pPr>
      <w:r>
        <w:rPr>
          <w:rFonts w:ascii="Times New Roman" w:hAnsi="Times New Roman"/>
          <w:sz w:val="17"/>
        </w:rPr>
        <w:t>23</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center"/>
        <w:rPr>
          <w:rFonts w:ascii="Times New Roman" w:hAnsi="Times New Roman"/>
          <w:b/>
          <w:sz w:val="17"/>
        </w:rPr>
      </w:pPr>
      <w:bookmarkStart w:id="28" w:name="RatioOfEarningsToFixedCharges_082021"/>
      <w:bookmarkEnd w:id="28"/>
      <w:r>
        <w:rPr>
          <w:rFonts w:ascii="Times New Roman" w:hAnsi="Times New Roman"/>
          <w:b/>
          <w:sz w:val="17"/>
        </w:rPr>
        <w:t>RATIO OF EARNINGS TO FIXED CHARGES</w:t>
      </w:r>
    </w:p>
    <w:tbl>
      <w:tblPr>
        <w:tblW w:w="9354" w:type="dxa"/>
        <w:jc w:val="center"/>
        <w:tblInd w:w="0" w:type="dxa"/>
        <w:tblCellMar>
          <w:top w:w="0" w:type="dxa"/>
          <w:left w:w="0" w:type="dxa"/>
          <w:bottom w:w="0" w:type="dxa"/>
          <w:right w:w="0" w:type="dxa"/>
        </w:tblCellMar>
      </w:tblPr>
      <w:tblGrid>
        <w:gridCol w:w="4410"/>
        <w:gridCol w:w="240"/>
        <w:gridCol w:w="240"/>
        <w:gridCol w:w="482"/>
        <w:gridCol w:w="240"/>
        <w:gridCol w:w="240"/>
        <w:gridCol w:w="482"/>
        <w:gridCol w:w="240"/>
        <w:gridCol w:w="482"/>
        <w:gridCol w:w="240"/>
        <w:gridCol w:w="482"/>
        <w:gridCol w:w="240"/>
        <w:gridCol w:w="482"/>
        <w:gridCol w:w="240"/>
        <w:gridCol w:w="482"/>
        <w:gridCol w:w="132"/>
      </w:tblGrid>
      <w:tr>
        <w:trPr/>
        <w:tc>
          <w:tcPr>
            <w:tcW w:w="441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62" w:type="dxa"/>
            <w:gridSpan w:val="3"/>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w:t>
              <w:br/>
              <w:t>Ended</w:t>
            </w:r>
          </w:p>
        </w:tc>
        <w:tc>
          <w:tcPr>
            <w:tcW w:w="240" w:type="dxa"/>
            <w:tcBorders/>
            <w:shd w:fill="auto" w:val="clear"/>
            <w:vAlign w:val="bottom"/>
          </w:tcPr>
          <w:p>
            <w:pPr>
              <w:pStyle w:val="TableContents"/>
              <w:spacing w:lineRule="atLeast" w:line="160" w:before="0" w:after="0"/>
              <w:ind w:left="0" w:right="0" w:hanging="0"/>
              <w:rPr/>
            </w:pPr>
            <w:r>
              <w:rPr/>
              <w:t> </w:t>
            </w:r>
          </w:p>
        </w:tc>
        <w:tc>
          <w:tcPr>
            <w:tcW w:w="3370"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Year Ended December 31,</w:t>
            </w:r>
          </w:p>
        </w:tc>
        <w:tc>
          <w:tcPr>
            <w:tcW w:w="132" w:type="dxa"/>
            <w:tcBorders/>
            <w:shd w:fill="auto" w:val="clear"/>
            <w:vAlign w:val="bottom"/>
          </w:tcPr>
          <w:p>
            <w:pPr>
              <w:pStyle w:val="TableContents"/>
              <w:spacing w:lineRule="atLeast" w:line="160" w:before="0" w:after="0"/>
              <w:ind w:left="0" w:right="0" w:hanging="0"/>
              <w:rPr/>
            </w:pPr>
            <w:r>
              <w:rPr/>
              <w:t> </w:t>
            </w:r>
          </w:p>
        </w:tc>
      </w:tr>
      <w:tr>
        <w:trPr/>
        <w:tc>
          <w:tcPr>
            <w:tcW w:w="441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62" w:type="dxa"/>
            <w:gridSpan w:val="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 2005</w:t>
            </w:r>
          </w:p>
        </w:tc>
        <w:tc>
          <w:tcPr>
            <w:tcW w:w="240" w:type="dxa"/>
            <w:tcBorders/>
            <w:shd w:fill="auto" w:val="clear"/>
            <w:vAlign w:val="bottom"/>
          </w:tcPr>
          <w:p>
            <w:pPr>
              <w:pStyle w:val="TableContents"/>
              <w:spacing w:lineRule="atLeast" w:line="160" w:before="0" w:after="0"/>
              <w:ind w:left="0" w:right="0" w:hanging="0"/>
              <w:rPr/>
            </w:pPr>
            <w:r>
              <w:rPr/>
              <w:t> </w:t>
            </w:r>
          </w:p>
        </w:tc>
        <w:tc>
          <w:tcPr>
            <w:tcW w:w="48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48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2003</w:t>
            </w:r>
          </w:p>
        </w:tc>
        <w:tc>
          <w:tcPr>
            <w:tcW w:w="240" w:type="dxa"/>
            <w:tcBorders/>
            <w:shd w:fill="auto" w:val="clear"/>
            <w:vAlign w:val="bottom"/>
          </w:tcPr>
          <w:p>
            <w:pPr>
              <w:pStyle w:val="TableContents"/>
              <w:spacing w:lineRule="atLeast" w:line="160" w:before="0" w:after="0"/>
              <w:ind w:left="0" w:right="0" w:hanging="0"/>
              <w:rPr/>
            </w:pPr>
            <w:r>
              <w:rPr/>
              <w:t> </w:t>
            </w:r>
          </w:p>
        </w:tc>
        <w:tc>
          <w:tcPr>
            <w:tcW w:w="48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2002</w:t>
            </w:r>
          </w:p>
        </w:tc>
        <w:tc>
          <w:tcPr>
            <w:tcW w:w="240" w:type="dxa"/>
            <w:tcBorders/>
            <w:shd w:fill="auto" w:val="clear"/>
            <w:vAlign w:val="bottom"/>
          </w:tcPr>
          <w:p>
            <w:pPr>
              <w:pStyle w:val="TableContents"/>
              <w:spacing w:lineRule="atLeast" w:line="160" w:before="0" w:after="0"/>
              <w:ind w:left="0" w:right="0" w:hanging="0"/>
              <w:rPr/>
            </w:pPr>
            <w:r>
              <w:rPr/>
              <w:t> </w:t>
            </w:r>
          </w:p>
        </w:tc>
        <w:tc>
          <w:tcPr>
            <w:tcW w:w="48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2001</w:t>
            </w:r>
          </w:p>
        </w:tc>
        <w:tc>
          <w:tcPr>
            <w:tcW w:w="240" w:type="dxa"/>
            <w:tcBorders/>
            <w:shd w:fill="auto" w:val="clear"/>
            <w:vAlign w:val="bottom"/>
          </w:tcPr>
          <w:p>
            <w:pPr>
              <w:pStyle w:val="TableContents"/>
              <w:spacing w:lineRule="atLeast" w:line="160" w:before="0" w:after="0"/>
              <w:ind w:left="0" w:right="0" w:hanging="0"/>
              <w:rPr/>
            </w:pPr>
            <w:r>
              <w:rPr/>
              <w:t> </w:t>
            </w:r>
          </w:p>
        </w:tc>
        <w:tc>
          <w:tcPr>
            <w:tcW w:w="48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2000</w:t>
            </w:r>
          </w:p>
        </w:tc>
        <w:tc>
          <w:tcPr>
            <w:tcW w:w="132" w:type="dxa"/>
            <w:tcBorders/>
            <w:shd w:fill="auto" w:val="clear"/>
            <w:vAlign w:val="bottom"/>
          </w:tcPr>
          <w:p>
            <w:pPr>
              <w:pStyle w:val="TableContents"/>
              <w:spacing w:lineRule="atLeast" w:line="160" w:before="0" w:after="0"/>
              <w:ind w:left="0" w:right="0" w:hanging="0"/>
              <w:rPr/>
            </w:pPr>
            <w:r>
              <w:rPr/>
              <w:t> </w:t>
            </w:r>
          </w:p>
        </w:tc>
      </w:tr>
      <w:tr>
        <w:trPr/>
        <w:tc>
          <w:tcPr>
            <w:tcW w:w="4410" w:type="dxa"/>
            <w:tcBorders/>
            <w:shd w:fill="CCEEFF" w:val="clear"/>
          </w:tcPr>
          <w:p>
            <w:pPr>
              <w:pStyle w:val="TableContents"/>
              <w:spacing w:before="0" w:after="0"/>
              <w:ind w:left="0" w:right="0" w:hanging="0"/>
              <w:rPr/>
            </w:pPr>
            <w:r>
              <w:rPr>
                <w:rFonts w:ascii="Times New Roman" w:hAnsi="Times New Roman"/>
                <w:sz w:val="17"/>
              </w:rPr>
              <w:t>RATIO OF EARNINGS TO FIXED CHARGES</w:t>
            </w:r>
            <w:r>
              <w:rPr>
                <w:sz w:val="8"/>
              </w:rPr>
              <w:t>(1)(2)</w:t>
            </w:r>
          </w:p>
        </w:tc>
        <w:tc>
          <w:tcPr>
            <w:tcW w:w="24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48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3.24x</w:t>
            </w:r>
          </w:p>
        </w:tc>
        <w:tc>
          <w:tcPr>
            <w:tcW w:w="24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48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3.37x</w:t>
            </w:r>
          </w:p>
        </w:tc>
        <w:tc>
          <w:tcPr>
            <w:tcW w:w="240" w:type="dxa"/>
            <w:tcBorders/>
            <w:shd w:fill="CCEEFF" w:val="clear"/>
            <w:vAlign w:val="bottom"/>
          </w:tcPr>
          <w:p>
            <w:pPr>
              <w:pStyle w:val="TableContents"/>
              <w:spacing w:before="0" w:after="0"/>
              <w:ind w:left="0" w:right="0" w:hanging="0"/>
              <w:rPr/>
            </w:pPr>
            <w:r>
              <w:rPr/>
              <w:t> </w:t>
            </w:r>
          </w:p>
        </w:tc>
        <w:tc>
          <w:tcPr>
            <w:tcW w:w="48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2.36x</w:t>
            </w:r>
          </w:p>
        </w:tc>
        <w:tc>
          <w:tcPr>
            <w:tcW w:w="240" w:type="dxa"/>
            <w:tcBorders/>
            <w:shd w:fill="CCEEFF" w:val="clear"/>
            <w:vAlign w:val="bottom"/>
          </w:tcPr>
          <w:p>
            <w:pPr>
              <w:pStyle w:val="TableContents"/>
              <w:spacing w:before="0" w:after="0"/>
              <w:ind w:left="0" w:right="0" w:hanging="0"/>
              <w:rPr/>
            </w:pPr>
            <w:r>
              <w:rPr/>
              <w:t> </w:t>
            </w:r>
          </w:p>
        </w:tc>
        <w:tc>
          <w:tcPr>
            <w:tcW w:w="48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2.65x</w:t>
            </w:r>
          </w:p>
        </w:tc>
        <w:tc>
          <w:tcPr>
            <w:tcW w:w="240" w:type="dxa"/>
            <w:tcBorders/>
            <w:shd w:fill="CCEEFF" w:val="clear"/>
            <w:vAlign w:val="bottom"/>
          </w:tcPr>
          <w:p>
            <w:pPr>
              <w:pStyle w:val="TableContents"/>
              <w:spacing w:before="0" w:after="0"/>
              <w:ind w:left="0" w:right="0" w:hanging="0"/>
              <w:rPr/>
            </w:pPr>
            <w:r>
              <w:rPr/>
              <w:t> </w:t>
            </w:r>
          </w:p>
        </w:tc>
        <w:tc>
          <w:tcPr>
            <w:tcW w:w="48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2.16x</w:t>
            </w:r>
          </w:p>
        </w:tc>
        <w:tc>
          <w:tcPr>
            <w:tcW w:w="240" w:type="dxa"/>
            <w:tcBorders/>
            <w:shd w:fill="CCEEFF" w:val="clear"/>
            <w:vAlign w:val="bottom"/>
          </w:tcPr>
          <w:p>
            <w:pPr>
              <w:pStyle w:val="TableContents"/>
              <w:spacing w:before="0" w:after="0"/>
              <w:ind w:left="0" w:right="0" w:hanging="0"/>
              <w:rPr/>
            </w:pPr>
            <w:r>
              <w:rPr/>
              <w:t> </w:t>
            </w:r>
          </w:p>
        </w:tc>
        <w:tc>
          <w:tcPr>
            <w:tcW w:w="48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3.28x</w:t>
            </w:r>
          </w:p>
        </w:tc>
        <w:tc>
          <w:tcPr>
            <w:tcW w:w="132" w:type="dxa"/>
            <w:tcBorders/>
            <w:shd w:fill="CCEEFF" w:val="clear"/>
            <w:vAlign w:val="bottom"/>
          </w:tcPr>
          <w:p>
            <w:pPr>
              <w:pStyle w:val="TableContents"/>
              <w:spacing w:before="0" w:after="0"/>
              <w:ind w:left="0" w:right="0" w:hanging="0"/>
              <w:rPr/>
            </w:pPr>
            <w:r>
              <w:rPr/>
              <w:t> </w:t>
            </w:r>
          </w:p>
        </w:tc>
      </w:tr>
      <w:tr>
        <w:trPr/>
        <w:tc>
          <w:tcPr>
            <w:tcW w:w="441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sz w:val="8"/>
        </w:rPr>
        <w:t>(1)</w:t>
      </w:r>
      <w:r>
        <w:rPr>
          <w:rFonts w:ascii="Times New Roman" w:hAnsi="Times New Roman"/>
          <w:sz w:val="17"/>
        </w:rPr>
        <w:t>                 The 2000 period includes a loss of $15.1 million related to early extinguishment of debt previously classified as extraordinary items. Effective with the FASBs issuance of SFAS 145, Rescission of FASB Statements No. 4, 44, and 64, Amendment of FASB Statement No. 13, and Technical Corrections in April 2002, such items are included in income from continuing operations.</w:t>
      </w:r>
    </w:p>
    <w:p>
      <w:pPr>
        <w:pStyle w:val="TextBody"/>
        <w:spacing w:before="0" w:after="240"/>
        <w:ind w:left="400" w:right="0" w:hanging="400"/>
        <w:rPr>
          <w:rFonts w:ascii="Times New Roman" w:hAnsi="Times New Roman"/>
          <w:sz w:val="17"/>
        </w:rPr>
      </w:pPr>
      <w:r>
        <w:rPr>
          <w:rFonts w:ascii="Times New Roman" w:hAnsi="Times New Roman"/>
          <w:sz w:val="8"/>
        </w:rPr>
        <w:t>(2)</w:t>
      </w:r>
      <w:r>
        <w:rPr>
          <w:rFonts w:ascii="Times New Roman" w:hAnsi="Times New Roman"/>
          <w:sz w:val="17"/>
        </w:rPr>
        <w:t>                 Includes interest costs attributable to borrowings for inventory stored in a contango market of $9.2 million for the six months ended June 30, 2005, and $2.0 million, $1.0 million, $2.7 million, $3.2 million and $0.7 million for each of the years ended December 31, 2004, ,2003, 2002, 2001 and 2000, respectively. These interest costs are included in purchases and related costs in our GMT&amp;S segment profit as we consider interest on these borrowings a direct cost to storing the inventory.</w:t>
      </w:r>
    </w:p>
    <w:p>
      <w:pPr>
        <w:pStyle w:val="TextBody"/>
        <w:keepNext w:val="true"/>
        <w:spacing w:before="0" w:after="120"/>
        <w:ind w:left="0" w:right="0" w:hanging="0"/>
        <w:jc w:val="center"/>
        <w:rPr>
          <w:rFonts w:ascii="Times New Roman" w:hAnsi="Times New Roman"/>
          <w:b/>
          <w:sz w:val="17"/>
        </w:rPr>
      </w:pPr>
      <w:bookmarkStart w:id="29" w:name="UseOfProceeds_082130"/>
      <w:bookmarkEnd w:id="29"/>
      <w:r>
        <w:rPr>
          <w:rFonts w:ascii="Times New Roman" w:hAnsi="Times New Roman"/>
          <w:b/>
          <w:sz w:val="17"/>
        </w:rPr>
        <w:t>USE OF PROCEEDS</w:t>
      </w:r>
    </w:p>
    <w:p>
      <w:pPr>
        <w:pStyle w:val="TextBody"/>
        <w:spacing w:before="0" w:after="240"/>
        <w:ind w:left="0" w:right="0" w:firstLine="400"/>
        <w:rPr>
          <w:rFonts w:ascii="Times New Roman" w:hAnsi="Times New Roman"/>
          <w:sz w:val="17"/>
        </w:rPr>
      </w:pPr>
      <w:r>
        <w:rPr>
          <w:rFonts w:ascii="Times New Roman" w:hAnsi="Times New Roman"/>
          <w:sz w:val="17"/>
        </w:rPr>
        <w:t>The exchange offer is intended to satisfy our obligations under the registration rights agreement. We will not receive any cash proceeds from the issuance of the new notes in the exchange offer. In consideration for issuing the new notes as contemplated by this prospectus, we will receive outstanding notes in a like principal amount. The form and terms of the new notes are identical in all respects to the form and terms of the outstanding notes, except the new notes do not include certain transfer restrictions. Outstanding notes surrendered in exchange for the new notes will be retired and cancelled and will not be reissued. Accordingly, the issuance of the new notes will not result in any change in our outstanding indebtedness.</w:t>
      </w:r>
    </w:p>
    <w:p>
      <w:pPr>
        <w:pStyle w:val="TextBody"/>
        <w:keepNext w:val="true"/>
        <w:spacing w:before="0" w:after="120"/>
        <w:ind w:left="0" w:right="0" w:hanging="0"/>
        <w:jc w:val="center"/>
        <w:rPr>
          <w:rFonts w:ascii="Times New Roman" w:hAnsi="Times New Roman"/>
          <w:b/>
          <w:sz w:val="17"/>
        </w:rPr>
      </w:pPr>
      <w:bookmarkStart w:id="30" w:name="DescriptionOfTheNotes_082136"/>
      <w:bookmarkEnd w:id="30"/>
      <w:r>
        <w:rPr>
          <w:rFonts w:ascii="Times New Roman" w:hAnsi="Times New Roman"/>
          <w:b/>
          <w:sz w:val="17"/>
        </w:rPr>
        <w:t>DESCRIPTION OF THE NOTES</w:t>
      </w:r>
    </w:p>
    <w:p>
      <w:pPr>
        <w:pStyle w:val="TextBody"/>
        <w:spacing w:before="0" w:after="120"/>
        <w:ind w:left="0" w:right="0" w:firstLine="400"/>
        <w:rPr>
          <w:rFonts w:ascii="Times New Roman" w:hAnsi="Times New Roman"/>
          <w:sz w:val="17"/>
        </w:rPr>
      </w:pPr>
      <w:r>
        <w:rPr>
          <w:rFonts w:ascii="Times New Roman" w:hAnsi="Times New Roman"/>
          <w:sz w:val="17"/>
        </w:rPr>
        <w:t>We will issue the new notes, and the outstanding notes were issued, under an Indenture (the Base Indenture) dated September 25, 2002, among us, the subsidiary guarantors and Wachovia Bank, National Association, as trustee, and a Supplemental Indenture thereto dated as of May 27, 2005 (the Supplemental Indenture, and together with the Base Indenture, the Indenture). 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As used in this description, the terms we, us and our refer to Plains All American Pipeline, L.P. and PAA Finance Corp. as co-issuers of the notes and not to any of their subsidiaries or affiliates. The definitions of certain capitalized terms used in this Description of the Notes are set forth below under Optional Redemption and Definitions. Capitalized terms used but not defined below have the meanings assigned to them in the Indenture. References to the notes in this section of the prospectus include both the outstanding notes and the new notes.</w:t>
      </w:r>
    </w:p>
    <w:p>
      <w:pPr>
        <w:pStyle w:val="TextBody"/>
        <w:spacing w:before="0" w:after="240"/>
        <w:ind w:left="0" w:right="0" w:firstLine="400"/>
        <w:rPr>
          <w:rFonts w:ascii="Times New Roman" w:hAnsi="Times New Roman"/>
          <w:sz w:val="17"/>
        </w:rPr>
      </w:pPr>
      <w:r>
        <w:rPr>
          <w:rFonts w:ascii="Times New Roman" w:hAnsi="Times New Roman"/>
          <w:sz w:val="17"/>
        </w:rPr>
        <w:t>We have summarized some of the material provisions of the notes and the Indenture below. The following description of the notes is not complete and is subject to, and is qualified in its entirety by reference to, all the provisions of the Indenture.</w:t>
      </w:r>
    </w:p>
    <w:p>
      <w:pPr>
        <w:pStyle w:val="TextBody"/>
        <w:spacing w:before="480" w:after="480"/>
        <w:ind w:left="0" w:right="0" w:hanging="0"/>
        <w:rPr>
          <w:rFonts w:ascii="Times New Roman" w:hAnsi="Times New Roman"/>
          <w:sz w:val="17"/>
        </w:rPr>
      </w:pPr>
      <w:r>
        <w:rPr>
          <w:rFonts w:ascii="Times New Roman" w:hAnsi="Times New Roman"/>
          <w:sz w:val="17"/>
        </w:rPr>
        <w:t>24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31" w:name="GeneralDescriptionOfTheNotesAndTh_082139"/>
      <w:bookmarkEnd w:id="31"/>
      <w:r>
        <w:rPr>
          <w:rFonts w:ascii="Times New Roman" w:hAnsi="Times New Roman"/>
          <w:b/>
          <w:sz w:val="17"/>
        </w:rPr>
        <w:t>General Description of the Notes and the Guarantees</w:t>
      </w:r>
    </w:p>
    <w:p>
      <w:pPr>
        <w:pStyle w:val="TextBody"/>
        <w:keepNext w:val="true"/>
        <w:spacing w:before="0" w:after="120"/>
        <w:ind w:left="0" w:right="0" w:firstLine="400"/>
        <w:rPr>
          <w:rFonts w:ascii="Times New Roman" w:hAnsi="Times New Roman"/>
          <w:sz w:val="17"/>
        </w:rPr>
      </w:pPr>
      <w:r>
        <w:rPr>
          <w:rFonts w:ascii="Times New Roman" w:hAnsi="Times New Roman"/>
          <w:sz w:val="17"/>
        </w:rPr>
        <w:t>The notes are: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our senior unsecured indebtedness ranking equally in right of payment with all of our existing and future unsubordinated debt;</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unconditionally guaranteed by the subsidiary guarantors;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non-recourse to our general partner;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senior in right of payment to any of our future subordinated debt;</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effectively junior to any of our existing and future secured debt to the extent of the security for that debt;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effectively junior to any existing and future debt of our subsidiaries that do not guarantee the notes.</w:t>
      </w:r>
    </w:p>
    <w:p>
      <w:pPr>
        <w:pStyle w:val="TextBody"/>
        <w:keepNext w:val="true"/>
        <w:spacing w:before="0" w:after="120"/>
        <w:ind w:left="0" w:right="0" w:firstLine="400"/>
        <w:rPr>
          <w:rFonts w:ascii="Times New Roman" w:hAnsi="Times New Roman"/>
          <w:sz w:val="17"/>
        </w:rPr>
      </w:pPr>
      <w:r>
        <w:rPr>
          <w:rFonts w:ascii="Times New Roman" w:hAnsi="Times New Roman"/>
          <w:sz w:val="17"/>
        </w:rPr>
        <w:t>Initially our obligations under the notes are jointly and severally guaranteed by all of the subsidiaries of Plains All American Pipeline existing at the time of issuance of the outstanding notes other than PAA Finance Corp., Plains LPG Services GP LLC, Plains LPG Services, L.P., Plains LPG Marketing, L.P. and Atchafalaya Pipeline LLC, which we sometimes refer to collectively as the non-guarantor subsidiaries. Each guarantee by a subsidiary guarantor of the notes is: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 general unsecured obligation of that subsidiary guarantor;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equal in right of payment with all other existing and future unsubordinated debt of that subsidiary guarantor;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senior in right of payment to any future subordinated debt of that subsidiary guarantor;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effectively junior to any secured debt of that subsidiary guarantor, to the extent of the security for that debt.</w:t>
      </w:r>
    </w:p>
    <w:p>
      <w:pPr>
        <w:pStyle w:val="TextBody"/>
        <w:spacing w:before="0" w:after="120"/>
        <w:ind w:left="0" w:right="0" w:firstLine="400"/>
        <w:rPr>
          <w:rFonts w:ascii="Times New Roman" w:hAnsi="Times New Roman"/>
          <w:sz w:val="17"/>
        </w:rPr>
      </w:pPr>
      <w:r>
        <w:rPr>
          <w:rFonts w:ascii="Times New Roman" w:hAnsi="Times New Roman"/>
          <w:sz w:val="17"/>
        </w:rPr>
        <w:t>As of June 30, 2005, on an as-adjusted basis after giving effect to the original issuance of the outstanding notes and the application of the net proceeds therefrom, the notes and the guarantees would have been effectively subordinated to $655.7 million of short-term secured indebtedness. See Risk factorsRisks Related to the Exchange Offer and the NotesYour right to receive payments on the notes and the guarantees is unsecured and will be effectively subordinated to our existing and future secured indebtedness as well as to any existing and future indebtedness of our subsidiaries that do not guarantee the notes.</w:t>
      </w:r>
    </w:p>
    <w:p>
      <w:pPr>
        <w:pStyle w:val="TextBody"/>
        <w:spacing w:before="0" w:after="240"/>
        <w:ind w:left="0" w:right="0" w:firstLine="400"/>
        <w:rPr>
          <w:rFonts w:ascii="Times New Roman" w:hAnsi="Times New Roman"/>
          <w:sz w:val="17"/>
        </w:rPr>
      </w:pPr>
      <w:r>
        <w:rPr>
          <w:rFonts w:ascii="Times New Roman" w:hAnsi="Times New Roman"/>
          <w:sz w:val="17"/>
        </w:rPr>
        <w:t>The Indenture does not limit the aggregate principal amount of debt securities that may be issued thereunder and provides that debt securities may be issued thereunder from time to time in one or more additional series. Except to the extent described below, the Indenture does not limit our ability or the ability of our subsidiaries to incur additional indebtedness.</w:t>
      </w:r>
    </w:p>
    <w:p>
      <w:pPr>
        <w:pStyle w:val="TextBody"/>
        <w:keepNext w:val="true"/>
        <w:spacing w:before="0" w:after="120"/>
        <w:ind w:left="200" w:right="0" w:hanging="200"/>
        <w:rPr>
          <w:rFonts w:ascii="Times New Roman" w:hAnsi="Times New Roman"/>
          <w:b/>
          <w:sz w:val="17"/>
        </w:rPr>
      </w:pPr>
      <w:bookmarkStart w:id="32" w:name="FurtherIssuances_082148"/>
      <w:bookmarkEnd w:id="32"/>
      <w:r>
        <w:rPr>
          <w:rFonts w:ascii="Times New Roman" w:hAnsi="Times New Roman"/>
          <w:b/>
          <w:sz w:val="17"/>
        </w:rPr>
        <w:t>Further Issuances</w:t>
      </w:r>
    </w:p>
    <w:p>
      <w:pPr>
        <w:pStyle w:val="TextBody"/>
        <w:spacing w:before="0" w:after="240"/>
        <w:ind w:left="0" w:right="0" w:firstLine="400"/>
        <w:rPr>
          <w:rFonts w:ascii="Times New Roman" w:hAnsi="Times New Roman"/>
          <w:sz w:val="17"/>
        </w:rPr>
      </w:pPr>
      <w:r>
        <w:rPr>
          <w:rFonts w:ascii="Times New Roman" w:hAnsi="Times New Roman"/>
          <w:sz w:val="17"/>
        </w:rPr>
        <w:t>We may, from time to time, without notice to or the consent of the holders of the notes, create and issue additional notes ranking equally and ratably with the notes offered hereby in all respects (except for the payment of interest accruing prior to the issue date of such additional notes), so that such additional notes form a single series with the notes and have the same terms as to status, redemption or otherwise as the notes. If we issue such additional notes prior to the completion of the exchange offer, the period of the resale restrictions applicable to any notes previously offered and sold in reliance on Rule 144A under the Securities Act will be automatically extended to the last day of the period of any resale restrictions imposed on any such additional notes.</w:t>
      </w:r>
    </w:p>
    <w:p>
      <w:pPr>
        <w:pStyle w:val="TextBody"/>
        <w:spacing w:before="480" w:after="480"/>
        <w:ind w:left="0" w:right="0" w:hanging="0"/>
        <w:rPr>
          <w:rFonts w:ascii="Times New Roman" w:hAnsi="Times New Roman"/>
          <w:sz w:val="17"/>
        </w:rPr>
      </w:pPr>
      <w:r>
        <w:rPr>
          <w:rFonts w:ascii="Times New Roman" w:hAnsi="Times New Roman"/>
          <w:sz w:val="17"/>
        </w:rPr>
        <w:t>25</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33" w:name="PrincipalMaturityAndInterest_082150"/>
      <w:bookmarkEnd w:id="33"/>
      <w:r>
        <w:rPr>
          <w:rFonts w:ascii="Times New Roman" w:hAnsi="Times New Roman"/>
          <w:b/>
          <w:sz w:val="17"/>
        </w:rPr>
        <w:t>Principal, Maturity And Interest</w:t>
      </w:r>
    </w:p>
    <w:p>
      <w:pPr>
        <w:pStyle w:val="TextBody"/>
        <w:spacing w:before="0" w:after="240"/>
        <w:ind w:left="0" w:right="0" w:firstLine="400"/>
        <w:rPr>
          <w:rFonts w:ascii="Times New Roman" w:hAnsi="Times New Roman"/>
          <w:sz w:val="17"/>
        </w:rPr>
      </w:pPr>
      <w:r>
        <w:rPr>
          <w:rFonts w:ascii="Times New Roman" w:hAnsi="Times New Roman"/>
          <w:sz w:val="17"/>
        </w:rPr>
        <w:t>We have issued the notes in an initial aggregate principal amount of $150 million. The notes will mature on June 15, 2015 and bear interest at the annual rate of 5.25%. Additional interest may also accrue on the notes in the circumstances described under Exchange Offer. All references to interest in this description of the notes include any such additional interest. Interest on the notes accrues from May 27, 2005 and is payable semi-annually in arrears on June 15 and December 15 of each year, commencing December 15, 2005. We will make each interest payment to the holders of record at the close of business on the June 1 and December 1 preceding such interest payment date. Interest will be computed on the basis of a 360-day year consisting of twelve 30-day months. We will issue the notes in denominations of $1,000 and integral multiples of $1,000.</w:t>
      </w:r>
    </w:p>
    <w:p>
      <w:pPr>
        <w:pStyle w:val="TextBody"/>
        <w:keepNext w:val="true"/>
        <w:spacing w:before="0" w:after="120"/>
        <w:ind w:left="200" w:right="0" w:hanging="200"/>
        <w:rPr>
          <w:rFonts w:ascii="Times New Roman" w:hAnsi="Times New Roman"/>
          <w:b/>
          <w:sz w:val="17"/>
        </w:rPr>
      </w:pPr>
      <w:bookmarkStart w:id="34" w:name="NoLiabilityOfGeneralPartner_082151"/>
      <w:bookmarkEnd w:id="34"/>
      <w:r>
        <w:rPr>
          <w:rFonts w:ascii="Times New Roman" w:hAnsi="Times New Roman"/>
          <w:b/>
          <w:sz w:val="17"/>
        </w:rPr>
        <w:t>No Liability of General Partner</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Pipelines general partner and its directors, officers, employees and partners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pStyle w:val="TextBody"/>
        <w:keepNext w:val="true"/>
        <w:spacing w:before="0" w:after="120"/>
        <w:ind w:left="200" w:right="0" w:hanging="200"/>
        <w:rPr>
          <w:rFonts w:ascii="Times New Roman" w:hAnsi="Times New Roman"/>
          <w:b/>
          <w:sz w:val="17"/>
        </w:rPr>
      </w:pPr>
      <w:bookmarkStart w:id="35" w:name="TheGuarantees_082152"/>
      <w:bookmarkEnd w:id="35"/>
      <w:r>
        <w:rPr>
          <w:rFonts w:ascii="Times New Roman" w:hAnsi="Times New Roman"/>
          <w:b/>
          <w:sz w:val="17"/>
        </w:rPr>
        <w:t>The Guarantees</w:t>
      </w:r>
    </w:p>
    <w:p>
      <w:pPr>
        <w:pStyle w:val="TextBody"/>
        <w:spacing w:before="0" w:after="120"/>
        <w:ind w:left="0" w:right="0" w:firstLine="400"/>
        <w:rPr>
          <w:rFonts w:ascii="Times New Roman" w:hAnsi="Times New Roman"/>
          <w:sz w:val="17"/>
        </w:rPr>
      </w:pPr>
      <w:r>
        <w:rPr>
          <w:rFonts w:ascii="Times New Roman" w:hAnsi="Times New Roman"/>
          <w:sz w:val="17"/>
        </w:rPr>
        <w:t>Initially, our payment obligations under the notes are jointly and severally guaranteed by all existing Subsidiaries of Plains All American Pipeline other than the non-guarantor subsidiaries. The obligations of each subsidiary guarantor under its guarantee are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w:t>
      </w:r>
    </w:p>
    <w:p>
      <w:pPr>
        <w:pStyle w:val="TextBody"/>
        <w:keepNext w:val="true"/>
        <w:spacing w:before="0" w:after="120"/>
        <w:ind w:left="0" w:right="0" w:firstLine="400"/>
        <w:rPr>
          <w:rFonts w:ascii="Times New Roman" w:hAnsi="Times New Roman"/>
          <w:sz w:val="17"/>
        </w:rPr>
      </w:pPr>
      <w:r>
        <w:rPr>
          <w:rFonts w:ascii="Times New Roman" w:hAnsi="Times New Roman"/>
          <w:sz w:val="17"/>
        </w:rPr>
        <w:t>Provided that no default shall have occurred and shall be continuing under the indenture, a subsidiary guarantor will be unconditionally released and discharged from its guarantee: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upon any sale or other disposition of all of our direct or indirect equity interests in that subsidiary guarantor to any person that is not our affiliate; 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following delivery of a written notice of the release from the guarantee by us to the trustee, upon the release of all guarantees by the subsidiary guarantor of any debt of ours and any Subsidiary of Plains All American Pipeline (other than debt securities issued under the Indenture on or after the Issue Date).</w:t>
      </w:r>
    </w:p>
    <w:p>
      <w:pPr>
        <w:pStyle w:val="TextBody"/>
        <w:spacing w:before="0" w:after="240"/>
        <w:ind w:left="0" w:right="0" w:firstLine="400"/>
        <w:rPr>
          <w:rFonts w:ascii="Times New Roman" w:hAnsi="Times New Roman"/>
          <w:sz w:val="17"/>
        </w:rPr>
      </w:pPr>
      <w:r>
        <w:rPr>
          <w:rFonts w:ascii="Times New Roman" w:hAnsi="Times New Roman"/>
          <w:sz w:val="17"/>
        </w:rPr>
        <w:t>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w:t>
      </w:r>
    </w:p>
    <w:p>
      <w:pPr>
        <w:pStyle w:val="TextBody"/>
        <w:spacing w:before="480" w:after="480"/>
        <w:ind w:left="0" w:right="0" w:hanging="0"/>
        <w:rPr>
          <w:rFonts w:ascii="Times New Roman" w:hAnsi="Times New Roman"/>
          <w:sz w:val="17"/>
        </w:rPr>
      </w:pPr>
      <w:r>
        <w:rPr>
          <w:rFonts w:ascii="Times New Roman" w:hAnsi="Times New Roman"/>
          <w:sz w:val="17"/>
        </w:rPr>
        <w:t>26</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00"/>
        <w:ind w:left="200" w:right="0" w:hanging="200"/>
        <w:rPr>
          <w:rFonts w:ascii="Times New Roman" w:hAnsi="Times New Roman"/>
          <w:b/>
          <w:sz w:val="17"/>
        </w:rPr>
      </w:pPr>
      <w:bookmarkStart w:id="36" w:name="OptionalRedemption_082157"/>
      <w:bookmarkEnd w:id="36"/>
      <w:r>
        <w:rPr>
          <w:rFonts w:ascii="Times New Roman" w:hAnsi="Times New Roman"/>
          <w:b/>
          <w:sz w:val="17"/>
        </w:rPr>
        <w:t>Optional Redemption</w:t>
      </w:r>
    </w:p>
    <w:p>
      <w:pPr>
        <w:pStyle w:val="TextBody"/>
        <w:spacing w:before="0" w:after="100"/>
        <w:ind w:left="0" w:right="0" w:firstLine="400"/>
        <w:rPr>
          <w:rFonts w:ascii="Times New Roman" w:hAnsi="Times New Roman"/>
          <w:sz w:val="17"/>
        </w:rPr>
      </w:pPr>
      <w:r>
        <w:rPr>
          <w:rFonts w:ascii="Times New Roman" w:hAnsi="Times New Roman"/>
          <w:sz w:val="17"/>
        </w:rPr>
        <w:t>The notes are redeemable, in whole or in part, at our option at any time prior to maturity at a redemption price equal to the greater of (a) 100% of the principal amount of the notes, and (b) as determined by the Quotation Agent, the sum of the present values of the remaining scheduled payments of principal and interest (not including any portion of those payments of interest accrued as of the date of redemption) discounted to the date of redemption on a semi-annual basis (assuming 360-day years, each consisting of twelve 30-day months), at the Adjusted Treasury Rate plus 25 basis points plus, in each case, accrued interest to the date of redemption.</w:t>
      </w:r>
    </w:p>
    <w:p>
      <w:pPr>
        <w:pStyle w:val="TextBody"/>
        <w:spacing w:before="0" w:after="100"/>
        <w:ind w:left="0" w:right="0" w:firstLine="400"/>
        <w:rPr>
          <w:rFonts w:ascii="Times New Roman" w:hAnsi="Times New Roman"/>
          <w:sz w:val="17"/>
        </w:rPr>
      </w:pPr>
      <w:r>
        <w:rPr>
          <w:rFonts w:ascii="Times New Roman" w:hAnsi="Times New Roman"/>
          <w:sz w:val="17"/>
        </w:rPr>
        <w:t></w:t>
      </w:r>
      <w:r>
        <w:rPr>
          <w:rFonts w:ascii="Times New Roman" w:hAnsi="Times New Roman"/>
          <w:i/>
          <w:sz w:val="17"/>
        </w:rPr>
        <w:t>Adjusted Treasury Rate</w:t>
      </w:r>
      <w:r>
        <w:rPr>
          <w:rFonts w:ascii="Times New Roman" w:hAnsi="Times New Roman"/>
          <w:sz w:val="17"/>
        </w:rPr>
        <w:t>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pStyle w:val="TextBody"/>
        <w:spacing w:before="0" w:after="100"/>
        <w:ind w:left="0" w:right="0" w:firstLine="400"/>
        <w:rPr>
          <w:rFonts w:ascii="Times New Roman" w:hAnsi="Times New Roman"/>
          <w:sz w:val="17"/>
        </w:rPr>
      </w:pPr>
      <w:r>
        <w:rPr>
          <w:rFonts w:ascii="Times New Roman" w:hAnsi="Times New Roman"/>
          <w:sz w:val="17"/>
        </w:rPr>
        <w:t></w:t>
      </w:r>
      <w:r>
        <w:rPr>
          <w:rFonts w:ascii="Times New Roman" w:hAnsi="Times New Roman"/>
          <w:i/>
          <w:sz w:val="17"/>
        </w:rPr>
        <w:t>Comparable Treasury Issue</w:t>
      </w:r>
      <w:r>
        <w:rPr>
          <w:rFonts w:ascii="Times New Roman" w:hAnsi="Times New Roman"/>
          <w:sz w:val="17"/>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w:t>
      </w:r>
    </w:p>
    <w:p>
      <w:pPr>
        <w:pStyle w:val="TextBody"/>
        <w:spacing w:before="0" w:after="100"/>
        <w:ind w:left="0" w:right="0" w:firstLine="400"/>
        <w:rPr>
          <w:rFonts w:ascii="Times New Roman" w:hAnsi="Times New Roman"/>
          <w:sz w:val="17"/>
        </w:rPr>
      </w:pPr>
      <w:r>
        <w:rPr>
          <w:rFonts w:ascii="Times New Roman" w:hAnsi="Times New Roman"/>
          <w:sz w:val="17"/>
        </w:rPr>
        <w:t></w:t>
      </w:r>
      <w:r>
        <w:rPr>
          <w:rFonts w:ascii="Times New Roman" w:hAnsi="Times New Roman"/>
          <w:i/>
          <w:sz w:val="17"/>
        </w:rPr>
        <w:t>Comparable Treasury Price</w:t>
      </w:r>
      <w:r>
        <w:rPr>
          <w:rFonts w:ascii="Times New Roman" w:hAnsi="Times New Roman"/>
          <w:sz w:val="17"/>
        </w:rPr>
        <w:t>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w:t>
      </w:r>
    </w:p>
    <w:p>
      <w:pPr>
        <w:pStyle w:val="TextBody"/>
        <w:spacing w:before="0" w:after="100"/>
        <w:ind w:left="0" w:right="0" w:firstLine="400"/>
        <w:rPr>
          <w:rFonts w:ascii="Times New Roman" w:hAnsi="Times New Roman"/>
          <w:sz w:val="17"/>
        </w:rPr>
      </w:pPr>
      <w:r>
        <w:rPr>
          <w:rFonts w:ascii="Times New Roman" w:hAnsi="Times New Roman"/>
          <w:sz w:val="17"/>
        </w:rPr>
        <w:t></w:t>
      </w:r>
      <w:r>
        <w:rPr>
          <w:rFonts w:ascii="Times New Roman" w:hAnsi="Times New Roman"/>
          <w:i/>
          <w:sz w:val="17"/>
        </w:rPr>
        <w:t>Quotation Agent</w:t>
      </w:r>
      <w:r>
        <w:rPr>
          <w:rFonts w:ascii="Times New Roman" w:hAnsi="Times New Roman"/>
          <w:sz w:val="17"/>
        </w:rPr>
        <w:t> means J.P. Morgan Securities Inc. or another Reference Treasury Dealer appointed by us.</w:t>
      </w:r>
    </w:p>
    <w:p>
      <w:pPr>
        <w:pStyle w:val="TextBody"/>
        <w:spacing w:before="0" w:after="100"/>
        <w:ind w:left="0" w:right="0" w:firstLine="400"/>
        <w:rPr>
          <w:rFonts w:ascii="Times New Roman" w:hAnsi="Times New Roman"/>
          <w:sz w:val="17"/>
        </w:rPr>
      </w:pPr>
      <w:r>
        <w:rPr>
          <w:rFonts w:ascii="Times New Roman" w:hAnsi="Times New Roman"/>
          <w:sz w:val="17"/>
        </w:rPr>
        <w:t></w:t>
      </w:r>
      <w:r>
        <w:rPr>
          <w:rFonts w:ascii="Times New Roman" w:hAnsi="Times New Roman"/>
          <w:i/>
          <w:sz w:val="17"/>
        </w:rPr>
        <w:t>Reference Treasury Dealer</w:t>
      </w:r>
      <w:r>
        <w:rPr>
          <w:rFonts w:ascii="Times New Roman" w:hAnsi="Times New Roman"/>
          <w:sz w:val="17"/>
        </w:rPr>
        <w:t> means (a) J.P. Morgan Securities Inc. and its successors; provided, however, that if the foregoing shall cease to be a primary U.S. Government securities dealer in the United States (a Primary Treasury Dealer), we shall substitute another Primary Treasury Dealer; and (b) any other Primary Treasury Dealers selected by us.</w:t>
      </w:r>
    </w:p>
    <w:p>
      <w:pPr>
        <w:pStyle w:val="TextBody"/>
        <w:spacing w:before="0" w:after="100"/>
        <w:ind w:left="0" w:right="0" w:firstLine="400"/>
        <w:rPr>
          <w:rFonts w:ascii="Times New Roman" w:hAnsi="Times New Roman"/>
          <w:sz w:val="17"/>
        </w:rPr>
      </w:pPr>
      <w:r>
        <w:rPr>
          <w:rFonts w:ascii="Times New Roman" w:hAnsi="Times New Roman"/>
          <w:sz w:val="17"/>
        </w:rPr>
        <w:t></w:t>
      </w:r>
      <w:r>
        <w:rPr>
          <w:rFonts w:ascii="Times New Roman" w:hAnsi="Times New Roman"/>
          <w:i/>
          <w:sz w:val="17"/>
        </w:rPr>
        <w:t>Reference Treasury Dealer Quotations</w:t>
      </w:r>
      <w:r>
        <w:rPr>
          <w:rFonts w:ascii="Times New Roman" w:hAnsi="Times New Roman"/>
          <w:sz w:val="17"/>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pStyle w:val="TextBody"/>
        <w:spacing w:before="0" w:after="100"/>
        <w:ind w:left="0" w:right="0" w:firstLine="400"/>
        <w:rPr>
          <w:rFonts w:ascii="Times New Roman" w:hAnsi="Times New Roman"/>
          <w:sz w:val="17"/>
        </w:rPr>
      </w:pPr>
      <w:r>
        <w:rPr>
          <w:rFonts w:ascii="Times New Roman" w:hAnsi="Times New Roman"/>
          <w:sz w:val="17"/>
        </w:rPr>
        <w:t>Unless we default in payment of the redemption price, on and after the date of redemption, interest will cease to accrue on the notes or portions thereof called for redemption.</w:t>
      </w:r>
    </w:p>
    <w:p>
      <w:pPr>
        <w:pStyle w:val="TextBody"/>
        <w:spacing w:before="0" w:after="100"/>
        <w:ind w:left="0" w:right="0" w:firstLine="400"/>
        <w:rPr>
          <w:rFonts w:ascii="Times New Roman" w:hAnsi="Times New Roman"/>
          <w:sz w:val="17"/>
        </w:rPr>
      </w:pPr>
      <w:r>
        <w:rPr>
          <w:rFonts w:ascii="Times New Roman" w:hAnsi="Times New Roman"/>
          <w:sz w:val="17"/>
        </w:rPr>
        <w:t>On or before a redemption date, we will deposit with a paying agent (or with the trustee) sufficient money to pay the redemption price and accrued interest on the notes to be redeemed.</w:t>
      </w:r>
    </w:p>
    <w:p>
      <w:pPr>
        <w:pStyle w:val="TextBody"/>
        <w:keepNext w:val="true"/>
        <w:spacing w:before="0" w:after="100"/>
        <w:ind w:left="0" w:right="0" w:firstLine="400"/>
        <w:rPr>
          <w:rFonts w:ascii="Times New Roman" w:hAnsi="Times New Roman"/>
          <w:sz w:val="17"/>
        </w:rPr>
      </w:pPr>
      <w:r>
        <w:rPr>
          <w:rFonts w:ascii="Times New Roman" w:hAnsi="Times New Roman"/>
          <w:sz w:val="17"/>
        </w:rPr>
        <w:t>If less than all of the notes are to be redeemed at any time, the trustee will select notes (or any portion of notes in integral multiples of $1,000) for redemption as follows:</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if the notes are listed, in compliance with the requirements of the principal national securities exchange on which the notes are listed; or</w:t>
      </w:r>
    </w:p>
    <w:p>
      <w:pPr>
        <w:pStyle w:val="TextBody"/>
        <w:spacing w:before="0" w:after="100"/>
        <w:ind w:left="600" w:right="0" w:hanging="200"/>
        <w:rPr>
          <w:rFonts w:ascii="Times New Roman" w:hAnsi="Times New Roman"/>
          <w:sz w:val="17"/>
        </w:rPr>
      </w:pPr>
      <w:r>
        <w:rPr>
          <w:rFonts w:ascii="Symbol" w:hAnsi="Symbol"/>
          <w:sz w:val="17"/>
        </w:rPr>
        <w:t>·</w:t>
      </w:r>
      <w:r>
        <w:rPr>
          <w:rFonts w:ascii="Times New Roman" w:hAnsi="Times New Roman"/>
          <w:sz w:val="17"/>
        </w:rPr>
        <w:t>       if the notes are not so listed or there are no such requirements, on a pro rata basis, by lot or by such method as the trustee shall deem fair and appropriate.</w:t>
      </w:r>
    </w:p>
    <w:p>
      <w:pPr>
        <w:pStyle w:val="TextBody"/>
        <w:spacing w:before="0" w:after="220"/>
        <w:ind w:left="0" w:right="0" w:firstLine="400"/>
        <w:rPr>
          <w:rFonts w:ascii="Times New Roman" w:hAnsi="Times New Roman"/>
          <w:sz w:val="17"/>
        </w:rPr>
      </w:pPr>
      <w:r>
        <w:rPr>
          <w:rFonts w:ascii="Times New Roman" w:hAnsi="Times New Roman"/>
          <w:sz w:val="17"/>
        </w:rPr>
        <w:t xml:space="preserve">However, no note with a principal amount of $1,000 or less will be redeemed in part. Notice of redemption will be mailed by first class mail at least 30 days but not more than 60 days before the redemption date to each holder of notes to be redeemed at its registered address. If any note is to be </w:t>
      </w:r>
    </w:p>
    <w:p>
      <w:pPr>
        <w:pStyle w:val="TextBody"/>
        <w:spacing w:before="480" w:after="480"/>
        <w:ind w:left="0" w:right="0" w:hanging="0"/>
        <w:rPr>
          <w:rFonts w:ascii="Times New Roman" w:hAnsi="Times New Roman"/>
          <w:sz w:val="17"/>
        </w:rPr>
      </w:pPr>
      <w:r>
        <w:rPr>
          <w:rFonts w:ascii="Times New Roman" w:hAnsi="Times New Roman"/>
          <w:sz w:val="17"/>
        </w:rPr>
        <w:t>27</w:t>
      </w:r>
    </w:p>
    <w:p>
      <w:pPr>
        <w:pStyle w:val="TextBody"/>
        <w:spacing w:before="0" w:after="0"/>
        <w:rPr/>
      </w:pPr>
      <w:r>
        <w:rPr/>
      </w:r>
    </w:p>
    <w:p>
      <w:pPr>
        <w:pStyle w:val="HorizontalLine"/>
        <w:pBdr>
          <w:bottom w:val="single" w:sz="18" w:space="0" w:color="010101"/>
        </w:pBdr>
        <w:rPr/>
      </w:pPr>
      <w:r>
        <w:rPr/>
      </w:r>
      <w:r>
        <w:br w:type="page"/>
      </w:r>
    </w:p>
    <w:p>
      <w:pPr>
        <w:pStyle w:val="TextBody"/>
        <w:spacing w:before="0" w:after="220"/>
        <w:ind w:left="0" w:right="0" w:hanging="0"/>
        <w:rPr>
          <w:rFonts w:ascii="Times New Roman" w:hAnsi="Times New Roman"/>
          <w:sz w:val="17"/>
        </w:rPr>
      </w:pPr>
      <w:r>
        <w:rPr>
          <w:rFonts w:ascii="Times New Roman" w:hAnsi="Times New Roman"/>
          <w:sz w:val="17"/>
        </w:rPr>
        <w:t>redeemed in part only, the notice of redemption that relates to that note will state the portion of the principal amount of that note to be redeemed.</w:t>
      </w:r>
    </w:p>
    <w:p>
      <w:pPr>
        <w:pStyle w:val="TextBody"/>
        <w:keepNext w:val="true"/>
        <w:spacing w:before="0" w:after="100"/>
        <w:ind w:left="200" w:right="0" w:hanging="200"/>
        <w:rPr>
          <w:rFonts w:ascii="Times New Roman" w:hAnsi="Times New Roman"/>
          <w:b/>
          <w:sz w:val="17"/>
        </w:rPr>
      </w:pPr>
      <w:bookmarkStart w:id="37" w:name="EventsOfDefault_082212"/>
      <w:bookmarkEnd w:id="37"/>
      <w:r>
        <w:rPr>
          <w:rFonts w:ascii="Times New Roman" w:hAnsi="Times New Roman"/>
          <w:b/>
          <w:sz w:val="17"/>
        </w:rPr>
        <w:t>Events of Default</w:t>
      </w:r>
    </w:p>
    <w:p>
      <w:pPr>
        <w:pStyle w:val="TextBody"/>
        <w:keepNext w:val="true"/>
        <w:spacing w:before="0" w:after="100"/>
        <w:ind w:left="0" w:right="0" w:firstLine="400"/>
        <w:rPr>
          <w:rFonts w:ascii="Times New Roman" w:hAnsi="Times New Roman"/>
          <w:sz w:val="17"/>
        </w:rPr>
      </w:pPr>
      <w:r>
        <w:rPr>
          <w:rFonts w:ascii="Times New Roman" w:hAnsi="Times New Roman"/>
          <w:sz w:val="17"/>
        </w:rPr>
        <w:t>Each of the following constitutes an Event of Default with respect to the notes:</w:t>
      </w:r>
    </w:p>
    <w:p>
      <w:pPr>
        <w:pStyle w:val="TextBody"/>
        <w:spacing w:before="0" w:after="100"/>
        <w:ind w:left="800" w:right="0" w:hanging="400"/>
        <w:rPr>
          <w:rFonts w:ascii="Times New Roman" w:hAnsi="Times New Roman"/>
          <w:sz w:val="17"/>
        </w:rPr>
      </w:pPr>
      <w:r>
        <w:rPr>
          <w:rFonts w:ascii="Times New Roman" w:hAnsi="Times New Roman"/>
          <w:sz w:val="17"/>
        </w:rPr>
        <w:t>(1)         default in payment when due of the principal of or any premium on the notes at maturity, upon redemption or otherwise;</w:t>
      </w:r>
    </w:p>
    <w:p>
      <w:pPr>
        <w:pStyle w:val="TextBody"/>
        <w:spacing w:before="0" w:after="100"/>
        <w:ind w:left="800" w:right="0" w:hanging="400"/>
        <w:rPr>
          <w:rFonts w:ascii="Times New Roman" w:hAnsi="Times New Roman"/>
          <w:sz w:val="17"/>
        </w:rPr>
      </w:pPr>
      <w:r>
        <w:rPr>
          <w:rFonts w:ascii="Times New Roman" w:hAnsi="Times New Roman"/>
          <w:sz w:val="17"/>
        </w:rPr>
        <w:t>(2)         default for 60 days in the payment when due of interest on the notes;</w:t>
      </w:r>
    </w:p>
    <w:p>
      <w:pPr>
        <w:pStyle w:val="TextBody"/>
        <w:spacing w:before="0" w:after="100"/>
        <w:ind w:left="800" w:right="0" w:hanging="400"/>
        <w:rPr>
          <w:rFonts w:ascii="Times New Roman" w:hAnsi="Times New Roman"/>
          <w:sz w:val="17"/>
        </w:rPr>
      </w:pPr>
      <w:r>
        <w:rPr>
          <w:rFonts w:ascii="Times New Roman" w:hAnsi="Times New Roman"/>
          <w:sz w:val="17"/>
        </w:rPr>
        <w:t>(3)         failure by us or, so long as the notes are guaranteed by a subsidiary guarantor, by such subsidiary guarantor, for 30 days after receipt of notice from the trustee or the holders to comply with any other term, covenant or warranty in the Indenture or the notes (provided that notice need not be given, and an Event of Default will occur, 30 days after any breach of the covenants described under Consolidation, Merger or Sale);</w:t>
      </w:r>
    </w:p>
    <w:p>
      <w:pPr>
        <w:pStyle w:val="TextBody"/>
        <w:spacing w:before="0" w:after="100"/>
        <w:ind w:left="800" w:right="0" w:hanging="400"/>
        <w:rPr>
          <w:rFonts w:ascii="Times New Roman" w:hAnsi="Times New Roman"/>
          <w:sz w:val="17"/>
        </w:rPr>
      </w:pPr>
      <w:r>
        <w:rPr>
          <w:rFonts w:ascii="Times New Roman" w:hAnsi="Times New Roman"/>
          <w:sz w:val="17"/>
        </w:rPr>
        <w:t>(4)         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clauses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pStyle w:val="TextBody"/>
        <w:spacing w:before="0" w:after="100"/>
        <w:ind w:left="800" w:right="0" w:hanging="400"/>
        <w:rPr>
          <w:rFonts w:ascii="Times New Roman" w:hAnsi="Times New Roman"/>
          <w:sz w:val="17"/>
        </w:rPr>
      </w:pPr>
      <w:r>
        <w:rPr>
          <w:rFonts w:ascii="Times New Roman" w:hAnsi="Times New Roman"/>
          <w:sz w:val="17"/>
        </w:rPr>
        <w:t>(5)         specified events in bankruptcy, insolvency or reorganization of us or, so long as the notes are guaranteed by a subsidiary guarantor, by such subsidiary guarantor;</w:t>
      </w:r>
    </w:p>
    <w:p>
      <w:pPr>
        <w:pStyle w:val="TextBody"/>
        <w:spacing w:before="0" w:after="100"/>
        <w:ind w:left="800" w:right="0" w:hanging="400"/>
        <w:rPr>
          <w:rFonts w:ascii="Times New Roman" w:hAnsi="Times New Roman"/>
          <w:sz w:val="17"/>
        </w:rPr>
      </w:pPr>
      <w:r>
        <w:rPr>
          <w:rFonts w:ascii="Times New Roman" w:hAnsi="Times New Roman"/>
          <w:sz w:val="17"/>
        </w:rPr>
        <w:t>(6)         so long as the notes are guaranteed by a subsidiary guarantor:</w:t>
      </w:r>
    </w:p>
    <w:p>
      <w:pPr>
        <w:pStyle w:val="TextBody"/>
        <w:spacing w:before="0" w:after="100"/>
        <w:ind w:left="1200" w:right="0" w:hanging="400"/>
        <w:rPr>
          <w:rFonts w:ascii="Times New Roman" w:hAnsi="Times New Roman"/>
          <w:sz w:val="17"/>
        </w:rPr>
      </w:pPr>
      <w:r>
        <w:rPr>
          <w:rFonts w:ascii="Times New Roman" w:hAnsi="Times New Roman"/>
          <w:sz w:val="17"/>
        </w:rPr>
        <w:t>(a)           the guarantee by such subsidiary guarantor ceases to be in full force and effect, except as otherwise provided in the Indenture;</w:t>
      </w:r>
    </w:p>
    <w:p>
      <w:pPr>
        <w:pStyle w:val="TextBody"/>
        <w:spacing w:before="0" w:after="100"/>
        <w:ind w:left="1200" w:right="0" w:hanging="400"/>
        <w:rPr>
          <w:rFonts w:ascii="Times New Roman" w:hAnsi="Times New Roman"/>
          <w:sz w:val="17"/>
        </w:rPr>
      </w:pPr>
      <w:r>
        <w:rPr>
          <w:rFonts w:ascii="Times New Roman" w:hAnsi="Times New Roman"/>
          <w:sz w:val="17"/>
        </w:rPr>
        <w:t>(b)          the guarantee by such subsidiary guarantor is declared null and void in a judicial proceeding; or</w:t>
      </w:r>
    </w:p>
    <w:p>
      <w:pPr>
        <w:pStyle w:val="TextBody"/>
        <w:spacing w:before="0" w:after="100"/>
        <w:ind w:left="1200" w:right="0" w:hanging="400"/>
        <w:rPr>
          <w:rFonts w:ascii="Times New Roman" w:hAnsi="Times New Roman"/>
          <w:sz w:val="17"/>
        </w:rPr>
      </w:pPr>
      <w:r>
        <w:rPr>
          <w:rFonts w:ascii="Times New Roman" w:hAnsi="Times New Roman"/>
          <w:sz w:val="17"/>
        </w:rPr>
        <w:t>(c)           such subsidiary guarantor denies or disaffirms its obligations under the indenture or its guarantee.</w:t>
      </w:r>
    </w:p>
    <w:p>
      <w:pPr>
        <w:pStyle w:val="TextBody"/>
        <w:spacing w:before="0" w:after="100"/>
        <w:ind w:left="0" w:right="0" w:firstLine="400"/>
        <w:rPr>
          <w:rFonts w:ascii="Times New Roman" w:hAnsi="Times New Roman"/>
          <w:sz w:val="17"/>
        </w:rPr>
      </w:pPr>
      <w:r>
        <w:rPr>
          <w:rFonts w:ascii="Times New Roman" w:hAnsi="Times New Roman"/>
          <w:sz w:val="17"/>
        </w:rPr>
        <w:t>An Event of Default for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pStyle w:val="TextBody"/>
        <w:spacing w:before="480" w:after="480"/>
        <w:ind w:left="0" w:right="0" w:hanging="0"/>
        <w:rPr>
          <w:rFonts w:ascii="Times New Roman" w:hAnsi="Times New Roman"/>
          <w:sz w:val="17"/>
        </w:rPr>
      </w:pPr>
      <w:r>
        <w:rPr>
          <w:rFonts w:ascii="Times New Roman" w:hAnsi="Times New Roman"/>
          <w:sz w:val="17"/>
        </w:rPr>
        <w:t>28</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r>
        <w:rPr>
          <w:rFonts w:ascii="Times New Roman" w:hAnsi="Times New Roman"/>
          <w:b/>
          <w:sz w:val="17"/>
        </w:rPr>
        <w:t>Consolidation, Merger or Sale</w:t>
      </w:r>
    </w:p>
    <w:p>
      <w:pPr>
        <w:pStyle w:val="TextBody"/>
        <w:keepNext w:val="true"/>
        <w:spacing w:before="0" w:after="120"/>
        <w:ind w:left="0" w:right="0" w:firstLine="400"/>
        <w:rPr>
          <w:rFonts w:ascii="Times New Roman" w:hAnsi="Times New Roman"/>
          <w:sz w:val="17"/>
        </w:rPr>
      </w:pPr>
      <w:r>
        <w:rPr>
          <w:rFonts w:ascii="Times New Roman" w:hAnsi="Times New Roman"/>
          <w:sz w:val="17"/>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our partnership agreement, and unless: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we are the surviving Person in the case of a merger, or the surviving Person:</w:t>
      </w:r>
    </w:p>
    <w:p>
      <w:pPr>
        <w:pStyle w:val="TextBody"/>
        <w:spacing w:before="0" w:after="120"/>
        <w:ind w:left="1000" w:right="0" w:hanging="200"/>
        <w:rPr>
          <w:rFonts w:ascii="Times New Roman" w:hAnsi="Times New Roman"/>
          <w:sz w:val="17"/>
        </w:rPr>
      </w:pPr>
      <w:r>
        <w:rPr>
          <w:rFonts w:ascii="Symbol" w:hAnsi="Symbol"/>
          <w:sz w:val="17"/>
        </w:rPr>
        <w:t>·</w:t>
      </w:r>
      <w:r>
        <w:rPr>
          <w:rFonts w:ascii="Times New Roman" w:hAnsi="Times New Roman"/>
          <w:sz w:val="17"/>
        </w:rPr>
        <w:t>        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immediately after giving effect to the transaction or series of transactions, no Default or Event of Default has occurred and is continuing;</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if we are not the surviving Person, then each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pStyle w:val="TextBody"/>
        <w:spacing w:before="0" w:after="240"/>
        <w:ind w:left="0" w:right="0" w:firstLine="400"/>
        <w:rPr>
          <w:rFonts w:ascii="Times New Roman" w:hAnsi="Times New Roman"/>
          <w:sz w:val="17"/>
        </w:rPr>
      </w:pPr>
      <w:r>
        <w:rPr>
          <w:rFonts w:ascii="Times New Roman" w:hAnsi="Times New Roman"/>
          <w:sz w:val="17"/>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Modification of the Indenture</w:t>
      </w:r>
    </w:p>
    <w:p>
      <w:pPr>
        <w:pStyle w:val="TextBody"/>
        <w:keepNext w:val="true"/>
        <w:spacing w:before="0" w:after="120"/>
        <w:ind w:left="0" w:right="0" w:firstLine="400"/>
        <w:rPr>
          <w:rFonts w:ascii="Times New Roman" w:hAnsi="Times New Roman"/>
          <w:sz w:val="17"/>
        </w:rPr>
      </w:pPr>
      <w:r>
        <w:rPr>
          <w:rFonts w:ascii="Times New Roman" w:hAnsi="Times New Roman"/>
          <w:sz w:val="17"/>
        </w:rPr>
        <w:t>Generally, we, the subsidiary guarantors and the trustee may amend or supplement the Indenture, the guarantees and the notes with the written consent of the holders of at least a majority in principal amount of the notes then outstanding. However, without the consent of each holder affected, an amendment, supplement or waiver may not (with respect to any notes held by a nonconsenting holder):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reduce the principal amount of notes whose holders must consent to an amendment, supplement or waiver;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reduce the principal of or change the fixed maturity of any note;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reduce or waive the premium payable upon redemption or alter or waive the provisions with respect to the redemption of the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reduce the rate of or change the time for payment of interest on any note;</w:t>
      </w:r>
    </w:p>
    <w:p>
      <w:pPr>
        <w:pStyle w:val="TextBody"/>
        <w:spacing w:before="480" w:after="480"/>
        <w:ind w:left="0" w:right="0" w:hanging="0"/>
        <w:rPr>
          <w:rFonts w:ascii="Times New Roman" w:hAnsi="Times New Roman"/>
          <w:sz w:val="17"/>
        </w:rPr>
      </w:pPr>
      <w:r>
        <w:rPr>
          <w:rFonts w:ascii="Times New Roman" w:hAnsi="Times New Roman"/>
          <w:sz w:val="17"/>
        </w:rPr>
        <w:t>29</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waive a Default or an Event of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release any security that may have been granted with respect to the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make any note payable in currency other than that stated in the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make any change in the provisions of the Indenture relating to waivers of past Defaults or the rights of holders of notes to receive payments of principal of or premium, if any, or interest on the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waive a redemption payment with respect to any note;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except as otherwise permitted in the Indenture, release any subsidiary guarantor from its obligations under its guarantee or the Indenture or change any guarantee in any manner that would adversely affect the rights of holders; 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make any change in the preceding amendment, supplement and waiver provisions (except to increase any percentage set forth therein).</w:t>
      </w:r>
    </w:p>
    <w:p>
      <w:pPr>
        <w:pStyle w:val="TextBody"/>
        <w:keepNext w:val="true"/>
        <w:spacing w:before="0" w:after="120"/>
        <w:ind w:left="0" w:right="0" w:firstLine="400"/>
        <w:rPr>
          <w:rFonts w:ascii="Times New Roman" w:hAnsi="Times New Roman"/>
          <w:sz w:val="17"/>
        </w:rPr>
      </w:pPr>
      <w:r>
        <w:rPr>
          <w:rFonts w:ascii="Times New Roman" w:hAnsi="Times New Roman"/>
          <w:sz w:val="17"/>
        </w:rPr>
        <w:t>Notwithstanding the preceding, without the consent of any holder of notes, we, the subsidiary guarantors and the trustee may amend or supplement the Indenture or the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cure any ambiguity, defect or inconsistency;</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provide for uncertificated notes in addition to or in place of certificated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provide for the assumption of our or the confirmation of a subsidiary guarantors obligations to holders of notes in the case of a merger or consolidation or sale of all or substantially all of our assets;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add or release subsidiary guarantors as permitted pursuant to the terms of the Indenture (please read The Guarantees);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make any changes that would provide any additional rights or benefits to the holders of notes that do not, taken as a whole, adversely affect the rights under the Indenture of any holder of the notes;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comply with requirements of the SEC in order to effect or maintain the qualification of the Indenture under the Trust Indenture Act;</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evidence or provide for the acceptance of appointment under the Indenture of a successor trustee;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add any additional Events of Default;</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to secure the notes and/or the guarantees; or</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to establish the form or terms of any other series of debt securities under the Base Indenture.</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Covenants</w:t>
      </w:r>
    </w:p>
    <w:p>
      <w:pPr>
        <w:pStyle w:val="TextBody"/>
        <w:keepNext w:val="true"/>
        <w:spacing w:before="0" w:after="120"/>
        <w:ind w:left="600" w:right="0" w:hanging="200"/>
        <w:rPr>
          <w:rFonts w:ascii="Times New Roman" w:hAnsi="Times New Roman"/>
          <w:b/>
          <w:i/>
          <w:sz w:val="17"/>
        </w:rPr>
      </w:pPr>
      <w:r>
        <w:rPr>
          <w:rFonts w:ascii="Times New Roman" w:hAnsi="Times New Roman"/>
          <w:b/>
          <w:i/>
          <w:sz w:val="17"/>
        </w:rPr>
        <w:t>Limitations on Liens</w:t>
      </w:r>
    </w:p>
    <w:p>
      <w:pPr>
        <w:pStyle w:val="TextBody"/>
        <w:keepNext w:val="true"/>
        <w:spacing w:before="0" w:after="120"/>
        <w:ind w:left="0" w:right="0" w:firstLine="400"/>
        <w:rPr>
          <w:rFonts w:ascii="Times New Roman" w:hAnsi="Times New Roman"/>
          <w:sz w:val="17"/>
        </w:rPr>
      </w:pPr>
      <w:r>
        <w:rPr>
          <w:rFonts w:ascii="Times New Roman" w:hAnsi="Times New Roman"/>
          <w:sz w:val="17"/>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w:t>
      </w:r>
    </w:p>
    <w:p>
      <w:pPr>
        <w:pStyle w:val="TextBody"/>
        <w:spacing w:before="480" w:after="480"/>
        <w:ind w:left="0" w:right="0" w:hanging="0"/>
        <w:rPr>
          <w:rFonts w:ascii="Times New Roman" w:hAnsi="Times New Roman"/>
          <w:sz w:val="17"/>
        </w:rPr>
      </w:pPr>
      <w:r>
        <w:rPr>
          <w:rFonts w:ascii="Times New Roman" w:hAnsi="Times New Roman"/>
          <w:sz w:val="17"/>
        </w:rPr>
        <w:t>30</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rPr>
          <w:rFonts w:ascii="Times New Roman" w:hAnsi="Times New Roman"/>
          <w:sz w:val="17"/>
        </w:rPr>
      </w:pPr>
      <w:r>
        <w:rPr>
          <w:rFonts w:ascii="Times New Roman" w:hAnsi="Times New Roman"/>
          <w:sz w:val="17"/>
        </w:rPr>
        <w:t>shall be secured equally and ratably with, or prior to, such debt so long as such debt shall be so secured. The following are excluded from this restriction:</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Permitted Liens;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lien upon any of our property or assets or the property or assets of any Restricted Subsidiary in existence on the Issue Date or provided for pursuant to agreements existing on the Issue Date;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liens imposed by law or order as a result of any proceeding before any court or regulatory body that is being contested in good faith, and liens which secure a judgment or other court-ordered award or settlement as to which we or the applicable Restricted Subsidiary has not exhausted its appellate rights;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any lien resulting from the deposit of moneys or evidence of indebtedness in trust for the purpose of defeasing our debt or debt of any Restricted Subsidiary.</w:t>
      </w:r>
    </w:p>
    <w:p>
      <w:pPr>
        <w:pStyle w:val="TextBody"/>
        <w:spacing w:before="0" w:after="240"/>
        <w:ind w:left="0" w:right="0" w:firstLine="400"/>
        <w:rPr>
          <w:rFonts w:ascii="Times New Roman" w:hAnsi="Times New Roman"/>
          <w:sz w:val="17"/>
        </w:rPr>
      </w:pPr>
      <w:r>
        <w:rPr>
          <w:rFonts w:ascii="Times New Roman" w:hAnsi="Times New Roman"/>
          <w:sz w:val="17"/>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under Limitations on Sale-Leasebacks, does not exceed 10% of Consolidated Net Tangible Assets.</w:t>
      </w:r>
    </w:p>
    <w:p>
      <w:pPr>
        <w:pStyle w:val="TextBody"/>
        <w:spacing w:before="480" w:after="480"/>
        <w:ind w:left="0" w:right="0" w:hanging="0"/>
        <w:rPr>
          <w:rFonts w:ascii="Times New Roman" w:hAnsi="Times New Roman"/>
          <w:sz w:val="17"/>
        </w:rPr>
      </w:pPr>
      <w:r>
        <w:rPr>
          <w:rFonts w:ascii="Times New Roman" w:hAnsi="Times New Roman"/>
          <w:sz w:val="17"/>
        </w:rPr>
        <w:t>31</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600" w:right="0" w:hanging="200"/>
        <w:rPr>
          <w:rFonts w:ascii="Times New Roman" w:hAnsi="Times New Roman"/>
          <w:b/>
          <w:i/>
          <w:sz w:val="17"/>
        </w:rPr>
      </w:pPr>
      <w:r>
        <w:rPr>
          <w:rFonts w:ascii="Times New Roman" w:hAnsi="Times New Roman"/>
          <w:b/>
          <w:i/>
          <w:sz w:val="17"/>
        </w:rPr>
        <w:t>Limitations on Sale-Leasebacks</w:t>
      </w:r>
    </w:p>
    <w:p>
      <w:pPr>
        <w:pStyle w:val="TextBody"/>
        <w:keepNext w:val="true"/>
        <w:spacing w:before="0" w:after="120"/>
        <w:ind w:left="0" w:right="0" w:firstLine="400"/>
        <w:rPr>
          <w:rFonts w:ascii="Times New Roman" w:hAnsi="Times New Roman"/>
          <w:sz w:val="17"/>
        </w:rPr>
      </w:pPr>
      <w:r>
        <w:rPr>
          <w:rFonts w:ascii="Times New Roman" w:hAnsi="Times New Roman"/>
          <w:sz w:val="17"/>
        </w:rPr>
        <w:t>We will not, and will not permit any Subsidiary to, engage in a Sale-leaseback Transaction, unless: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Sale-leaseback Transaction involves a lease for a period, including renewals, of not more than three years;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pStyle w:val="TextBody"/>
        <w:spacing w:before="0" w:after="120"/>
        <w:ind w:left="0" w:right="0" w:firstLine="400"/>
        <w:rPr>
          <w:rFonts w:ascii="Times New Roman" w:hAnsi="Times New Roman"/>
          <w:sz w:val="17"/>
        </w:rPr>
      </w:pPr>
      <w:r>
        <w:rPr>
          <w:rFonts w:ascii="Times New Roman" w:hAnsi="Times New Roman"/>
          <w:sz w:val="17"/>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Limitations on Liens, do not exceed 10% of Consolidated Net Tangible Assets.</w:t>
      </w:r>
    </w:p>
    <w:p>
      <w:pPr>
        <w:pStyle w:val="TextBody"/>
        <w:spacing w:before="0" w:after="240"/>
        <w:ind w:left="0" w:right="0" w:firstLine="400"/>
        <w:rPr>
          <w:rFonts w:ascii="Times New Roman" w:hAnsi="Times New Roman"/>
          <w:sz w:val="17"/>
        </w:rPr>
      </w:pPr>
      <w:r>
        <w:rPr>
          <w:rFonts w:ascii="Times New Roman" w:hAnsi="Times New Roman"/>
          <w:sz w:val="17"/>
        </w:rPr>
        <w:t>These limitations on Sale-leaseback Transactions are less restrictive than the restrictions on Sale-leaseback Transactions applicable to our existing senior notes.</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SEC Reports</w:t>
      </w:r>
    </w:p>
    <w:p>
      <w:pPr>
        <w:pStyle w:val="TextBody"/>
        <w:spacing w:before="0" w:after="120"/>
        <w:ind w:left="0" w:right="0" w:firstLine="400"/>
        <w:rPr>
          <w:rFonts w:ascii="Times New Roman" w:hAnsi="Times New Roman"/>
          <w:sz w:val="17"/>
        </w:rPr>
      </w:pPr>
      <w:r>
        <w:rPr>
          <w:rFonts w:ascii="Times New Roman" w:hAnsi="Times New Roman"/>
          <w:sz w:val="17"/>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pStyle w:val="TextBody"/>
        <w:spacing w:before="0" w:after="120"/>
        <w:ind w:left="0" w:right="0" w:firstLine="400"/>
        <w:rPr>
          <w:rFonts w:ascii="Times New Roman" w:hAnsi="Times New Roman"/>
          <w:sz w:val="17"/>
        </w:rPr>
      </w:pPr>
      <w:r>
        <w:rPr>
          <w:rFonts w:ascii="Times New Roman" w:hAnsi="Times New Roman"/>
          <w:sz w:val="17"/>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pStyle w:val="TextBody"/>
        <w:spacing w:before="0" w:after="240"/>
        <w:ind w:left="0" w:right="0" w:firstLine="400"/>
        <w:rPr>
          <w:rFonts w:ascii="Times New Roman" w:hAnsi="Times New Roman"/>
          <w:sz w:val="17"/>
        </w:rPr>
      </w:pPr>
      <w:r>
        <w:rPr>
          <w:rFonts w:ascii="Times New Roman" w:hAnsi="Times New Roman"/>
          <w:sz w:val="17"/>
        </w:rPr>
        <w:t>In addition, we will furnish to the holders of notes and to prospective investors, upon the requests of holders of notes, any information required to be delivered pursuant to Rule 144A(d)(4) under the Securities Act, so long as the notes are not freely transferable under the Securities Act.</w:t>
      </w:r>
    </w:p>
    <w:p>
      <w:pPr>
        <w:pStyle w:val="TextBody"/>
        <w:spacing w:before="480" w:after="480"/>
        <w:ind w:left="0" w:right="0" w:hanging="0"/>
        <w:rPr>
          <w:rFonts w:ascii="Times New Roman" w:hAnsi="Times New Roman"/>
          <w:sz w:val="17"/>
        </w:rPr>
      </w:pPr>
      <w:r>
        <w:rPr>
          <w:rFonts w:ascii="Times New Roman" w:hAnsi="Times New Roman"/>
          <w:sz w:val="17"/>
        </w:rPr>
        <w:t>32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r>
        <w:rPr>
          <w:rFonts w:ascii="Times New Roman" w:hAnsi="Times New Roman"/>
          <w:b/>
          <w:sz w:val="17"/>
        </w:rPr>
        <w:t>Defeasance and Discharge</w:t>
      </w:r>
    </w:p>
    <w:p>
      <w:pPr>
        <w:pStyle w:val="TextBody"/>
        <w:spacing w:before="0" w:after="120"/>
        <w:ind w:left="0" w:right="0" w:firstLine="400"/>
        <w:rPr>
          <w:rFonts w:ascii="Times New Roman" w:hAnsi="Times New Roman"/>
          <w:sz w:val="17"/>
        </w:rPr>
      </w:pPr>
      <w:r>
        <w:rPr>
          <w:rFonts w:ascii="Times New Roman" w:hAnsi="Times New Roman"/>
          <w:sz w:val="17"/>
        </w:rPr>
        <w:t>At any time we may terminate all our obligations under the Indenture as they relate to the notes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in respect of the notes.</w:t>
      </w:r>
    </w:p>
    <w:p>
      <w:pPr>
        <w:pStyle w:val="TextBody"/>
        <w:spacing w:before="0" w:after="120"/>
        <w:ind w:left="0" w:right="0" w:firstLine="400"/>
        <w:rPr>
          <w:rFonts w:ascii="Times New Roman" w:hAnsi="Times New Roman"/>
          <w:sz w:val="17"/>
        </w:rPr>
      </w:pPr>
      <w:r>
        <w:rPr>
          <w:rFonts w:ascii="Times New Roman" w:hAnsi="Times New Roman"/>
          <w:sz w:val="17"/>
        </w:rPr>
        <w:t>Also, at any time we may terminate our obligations under covenants described in the last paragraph of The Guarantees, under Covenants and under SEC Reports with respect to the notes (covenant defeasance), and thereafter our failure to comply with any of such covenants would not constitute an Event of Default.</w:t>
      </w:r>
    </w:p>
    <w:p>
      <w:pPr>
        <w:pStyle w:val="TextBody"/>
        <w:spacing w:before="0" w:after="120"/>
        <w:ind w:left="0" w:right="0" w:firstLine="400"/>
        <w:rPr>
          <w:rFonts w:ascii="Times New Roman" w:hAnsi="Times New Roman"/>
          <w:sz w:val="17"/>
        </w:rPr>
      </w:pPr>
      <w:r>
        <w:rPr>
          <w:rFonts w:ascii="Times New Roman" w:hAnsi="Times New Roman"/>
          <w:sz w:val="17"/>
        </w:rPr>
        <w:t>We may exercise our legal defeasance option notwithstanding our prior exercise of our covenant defeasance option. If we exercise our legal defeasance option, each guarantee obligation will be deemed to have been discharged with respect to the notes.</w:t>
      </w:r>
    </w:p>
    <w:p>
      <w:pPr>
        <w:pStyle w:val="TextBody"/>
        <w:spacing w:before="0" w:after="120"/>
        <w:ind w:left="0" w:right="0" w:firstLine="400"/>
        <w:rPr>
          <w:rFonts w:ascii="Times New Roman" w:hAnsi="Times New Roman"/>
          <w:sz w:val="17"/>
        </w:rPr>
      </w:pPr>
      <w:r>
        <w:rPr>
          <w:rFonts w:ascii="Times New Roman" w:hAnsi="Times New Roman"/>
          <w:sz w:val="17"/>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to the effect that holders of the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pStyle w:val="TextBody"/>
        <w:spacing w:before="0" w:after="120"/>
        <w:ind w:left="0" w:right="0" w:firstLine="400"/>
        <w:rPr>
          <w:rFonts w:ascii="Times New Roman" w:hAnsi="Times New Roman"/>
          <w:sz w:val="17"/>
        </w:rPr>
      </w:pPr>
      <w:r>
        <w:rPr>
          <w:rFonts w:ascii="Times New Roman" w:hAnsi="Times New Roman"/>
          <w:sz w:val="17"/>
        </w:rPr>
        <w:t>In the event of any legal defeasance, holders of the notes would be entitled to look only to the trust for payment of principal of and any premium and interest on their notes until maturity.</w:t>
      </w:r>
    </w:p>
    <w:p>
      <w:pPr>
        <w:pStyle w:val="TextBody"/>
        <w:spacing w:before="0" w:after="120"/>
        <w:ind w:left="0" w:right="0" w:firstLine="400"/>
        <w:rPr>
          <w:rFonts w:ascii="Times New Roman" w:hAnsi="Times New Roman"/>
          <w:sz w:val="17"/>
        </w:rPr>
      </w:pPr>
      <w:r>
        <w:rPr>
          <w:rFonts w:ascii="Times New Roman" w:hAnsi="Times New Roman"/>
          <w:sz w:val="17"/>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pStyle w:val="TextBody"/>
        <w:keepNext w:val="true"/>
        <w:spacing w:before="0" w:after="120"/>
        <w:ind w:left="0" w:right="0" w:firstLine="400"/>
        <w:rPr>
          <w:rFonts w:ascii="Times New Roman" w:hAnsi="Times New Roman"/>
          <w:sz w:val="17"/>
        </w:rPr>
      </w:pPr>
      <w:r>
        <w:rPr>
          <w:rFonts w:ascii="Times New Roman" w:hAnsi="Times New Roman"/>
          <w:sz w:val="17"/>
        </w:rPr>
        <w:t>In addition, we may discharge all our obligations under the Indenture with respect to the notes, other than certain obligations to the trustee and our obligation to register the transfer of and exchange notes, provided that we either: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deliver all outstanding notes to the trustee for cancellation; or</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Concerning the Trustee</w:t>
      </w:r>
    </w:p>
    <w:p>
      <w:pPr>
        <w:pStyle w:val="TextBody"/>
        <w:spacing w:before="0" w:after="240"/>
        <w:ind w:left="0" w:right="0" w:firstLine="400"/>
        <w:rPr>
          <w:rFonts w:ascii="Times New Roman" w:hAnsi="Times New Roman"/>
          <w:sz w:val="17"/>
        </w:rPr>
      </w:pPr>
      <w:r>
        <w:rPr>
          <w:rFonts w:ascii="Times New Roman" w:hAnsi="Times New Roman"/>
          <w:sz w:val="17"/>
        </w:rPr>
        <w:t xml:space="preserve">Wachovia Bank, National Association, acts as indenture trustee, security registrar and paying agent with respect to the notes. The trustee makes no representation or warranty, express or implied, as to the </w:t>
      </w:r>
    </w:p>
    <w:p>
      <w:pPr>
        <w:pStyle w:val="TextBody"/>
        <w:spacing w:before="480" w:after="480"/>
        <w:ind w:left="0" w:right="0" w:hanging="0"/>
        <w:rPr>
          <w:rFonts w:ascii="Times New Roman" w:hAnsi="Times New Roman"/>
          <w:sz w:val="17"/>
        </w:rPr>
      </w:pPr>
      <w:r>
        <w:rPr>
          <w:rFonts w:ascii="Times New Roman" w:hAnsi="Times New Roman"/>
          <w:sz w:val="17"/>
        </w:rPr>
        <w:t>33</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accuracy or completeness of any information contained in this prospectus, except for such information that specifically pertains to the trustee, or any information incorporated by reference.</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Governing Law</w:t>
      </w:r>
    </w:p>
    <w:p>
      <w:pPr>
        <w:pStyle w:val="TextBody"/>
        <w:spacing w:before="0" w:after="240"/>
        <w:ind w:left="0" w:right="0" w:firstLine="400"/>
        <w:rPr>
          <w:rFonts w:ascii="Times New Roman" w:hAnsi="Times New Roman"/>
          <w:sz w:val="17"/>
        </w:rPr>
      </w:pPr>
      <w:r>
        <w:rPr>
          <w:rFonts w:ascii="Times New Roman" w:hAnsi="Times New Roman"/>
          <w:sz w:val="17"/>
        </w:rPr>
        <w:t>The Indenture and the notes are governed by and will be construed in accordance with the laws of the State of New York.</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Definitions</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Attributable Indebtedness</w:t>
      </w:r>
      <w:r>
        <w:rPr>
          <w:rFonts w:ascii="Times New Roman" w:hAnsi="Times New Roman"/>
          <w:sz w:val="17"/>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Board of Directors</w:t>
      </w:r>
      <w:r>
        <w:rPr>
          <w:rFonts w:ascii="Times New Roman" w:hAnsi="Times New Roman"/>
          <w:sz w:val="17"/>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Capital Interests</w:t>
      </w:r>
      <w:r>
        <w:rPr>
          <w:rFonts w:ascii="Times New Roman" w:hAnsi="Times New Roman"/>
          <w:sz w:val="17"/>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pStyle w:val="TextBody"/>
        <w:keepNext w:val="true"/>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Consolidated Net Tangible Assets</w:t>
      </w:r>
      <w:r>
        <w:rPr>
          <w:rFonts w:ascii="Times New Roman" w:hAnsi="Times New Roman"/>
          <w:sz w:val="17"/>
        </w:rPr>
        <w:t> means, at any date of determination, the total amount of assets after deducting therefrom:</w:t>
      </w:r>
    </w:p>
    <w:p>
      <w:pPr>
        <w:pStyle w:val="TextBody"/>
        <w:spacing w:before="0" w:after="120"/>
        <w:ind w:left="800" w:right="0" w:hanging="400"/>
        <w:rPr>
          <w:rFonts w:ascii="Times New Roman" w:hAnsi="Times New Roman"/>
          <w:sz w:val="17"/>
        </w:rPr>
      </w:pPr>
      <w:r>
        <w:rPr>
          <w:rFonts w:ascii="Times New Roman" w:hAnsi="Times New Roman"/>
          <w:sz w:val="17"/>
        </w:rPr>
        <w:t>(1)         all current liabilities excluding:</w:t>
      </w:r>
    </w:p>
    <w:p>
      <w:pPr>
        <w:pStyle w:val="TextBody"/>
        <w:spacing w:before="0" w:after="120"/>
        <w:ind w:left="1200" w:right="0" w:hanging="400"/>
        <w:rPr>
          <w:rFonts w:ascii="Times New Roman" w:hAnsi="Times New Roman"/>
          <w:sz w:val="17"/>
        </w:rPr>
      </w:pPr>
      <w:r>
        <w:rPr>
          <w:rFonts w:ascii="Times New Roman" w:hAnsi="Times New Roman"/>
          <w:sz w:val="17"/>
        </w:rPr>
        <w:t>(a)           any current liabilities that by their terms are extendible or renewable at the option of the obligor thereon to a time more than 12 months after the time as of which the amount thereof is being computed; and</w:t>
      </w:r>
    </w:p>
    <w:p>
      <w:pPr>
        <w:pStyle w:val="TextBody"/>
        <w:spacing w:before="0" w:after="120"/>
        <w:ind w:left="1200" w:right="0" w:hanging="400"/>
        <w:rPr>
          <w:rFonts w:ascii="Times New Roman" w:hAnsi="Times New Roman"/>
          <w:sz w:val="17"/>
        </w:rPr>
      </w:pPr>
      <w:r>
        <w:rPr>
          <w:rFonts w:ascii="Times New Roman" w:hAnsi="Times New Roman"/>
          <w:sz w:val="17"/>
        </w:rPr>
        <w:t>(b)          current maturities of long-term debt; and</w:t>
      </w:r>
    </w:p>
    <w:p>
      <w:pPr>
        <w:pStyle w:val="TextBody"/>
        <w:spacing w:before="0" w:after="120"/>
        <w:ind w:left="800" w:right="0" w:hanging="400"/>
        <w:rPr>
          <w:rFonts w:ascii="Times New Roman" w:hAnsi="Times New Roman"/>
          <w:sz w:val="17"/>
        </w:rPr>
      </w:pPr>
      <w:r>
        <w:rPr>
          <w:rFonts w:ascii="Times New Roman" w:hAnsi="Times New Roman"/>
          <w:sz w:val="17"/>
        </w:rPr>
        <w:t>(2)         the amount, net of any applicable reserves, of all goodwill, trade names, trademarks, patents and other like intangible assets,</w:t>
      </w:r>
    </w:p>
    <w:p>
      <w:pPr>
        <w:pStyle w:val="TextBody"/>
        <w:spacing w:before="0" w:after="120"/>
        <w:ind w:left="400" w:right="0" w:hanging="0"/>
        <w:rPr>
          <w:rFonts w:ascii="Times New Roman" w:hAnsi="Times New Roman"/>
          <w:sz w:val="17"/>
        </w:rPr>
      </w:pPr>
      <w:r>
        <w:rPr>
          <w:rFonts w:ascii="Times New Roman" w:hAnsi="Times New Roman"/>
          <w:sz w:val="17"/>
        </w:rPr>
        <w:t>all as set forth on the consolidated balance sheet of Plains All American Pipeline for its most recently completed fiscal quarter, prepared in accordance with generally accepted accounting principles.</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Exchange Act</w:t>
      </w:r>
      <w:r>
        <w:rPr>
          <w:rFonts w:ascii="Times New Roman" w:hAnsi="Times New Roman"/>
          <w:sz w:val="17"/>
        </w:rPr>
        <w:t> means the Securities Exchange Act of 1934, as amended.</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Funded Debt</w:t>
      </w:r>
      <w:r>
        <w:rPr>
          <w:rFonts w:ascii="Times New Roman" w:hAnsi="Times New Roman"/>
          <w:sz w:val="17"/>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w:t>
      </w:r>
    </w:p>
    <w:p>
      <w:pPr>
        <w:pStyle w:val="TextBody"/>
        <w:spacing w:before="480" w:after="480"/>
        <w:ind w:left="0" w:right="0" w:hanging="0"/>
        <w:rPr>
          <w:rFonts w:ascii="Times New Roman" w:hAnsi="Times New Roman"/>
          <w:sz w:val="17"/>
        </w:rPr>
      </w:pPr>
      <w:r>
        <w:rPr>
          <w:rFonts w:ascii="Times New Roman" w:hAnsi="Times New Roman"/>
          <w:sz w:val="17"/>
        </w:rPr>
        <w:t>34</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thereof, and all debt under a revolving credit or similar agreement obligating the lender or lenders to extend credit over a period of one year or more.</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Issue Date</w:t>
      </w:r>
      <w:r>
        <w:rPr>
          <w:rFonts w:ascii="Times New Roman" w:hAnsi="Times New Roman"/>
          <w:sz w:val="17"/>
        </w:rPr>
        <w:t> means with respect to the notes, the date on which the notes were initially issued, May 27, 2005.</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Managing General Partner</w:t>
      </w:r>
      <w:r>
        <w:rPr>
          <w:rFonts w:ascii="Times New Roman" w:hAnsi="Times New Roman"/>
          <w:sz w:val="17"/>
        </w:rPr>
        <w:t> means Plains All American GP LLC, a Delaware limited liability company, and its successors and permitted assigns, as general partner of Plains AAP, L.P., a Delaware limited partnership (and its successors and permitted assigns, as general partner of Plains All American Pipeline) or as the business entity with the ultimate authority to manage the business and operations of Plains All American Pipeline.</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Pari Passu Debt</w:t>
      </w:r>
      <w:r>
        <w:rPr>
          <w:rFonts w:ascii="Times New Roman" w:hAnsi="Times New Roman"/>
          <w:sz w:val="17"/>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pStyle w:val="TextBody"/>
        <w:keepNext w:val="true"/>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Permitted Liens</w:t>
      </w:r>
      <w:r>
        <w:rPr>
          <w:rFonts w:ascii="Times New Roman" w:hAnsi="Times New Roman"/>
          <w:sz w:val="17"/>
        </w:rPr>
        <w:t> means:</w:t>
      </w:r>
    </w:p>
    <w:p>
      <w:pPr>
        <w:pStyle w:val="TextBody"/>
        <w:spacing w:before="0" w:after="120"/>
        <w:ind w:left="900" w:right="0" w:hanging="500"/>
        <w:rPr>
          <w:rFonts w:ascii="Times New Roman" w:hAnsi="Times New Roman"/>
          <w:sz w:val="17"/>
        </w:rPr>
      </w:pPr>
      <w:r>
        <w:rPr>
          <w:rFonts w:ascii="Times New Roman" w:hAnsi="Times New Roman"/>
          <w:sz w:val="17"/>
        </w:rPr>
        <w:t>(1)                liens upon rights-of-way for pipeline purposes;</w:t>
      </w:r>
    </w:p>
    <w:p>
      <w:pPr>
        <w:pStyle w:val="TextBody"/>
        <w:spacing w:before="0" w:after="120"/>
        <w:ind w:left="900" w:right="0" w:hanging="500"/>
        <w:rPr>
          <w:rFonts w:ascii="Times New Roman" w:hAnsi="Times New Roman"/>
          <w:sz w:val="17"/>
        </w:rPr>
      </w:pPr>
      <w:r>
        <w:rPr>
          <w:rFonts w:ascii="Times New Roman" w:hAnsi="Times New Roman"/>
          <w:sz w:val="17"/>
        </w:rPr>
        <w:t>(2)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pStyle w:val="TextBody"/>
        <w:spacing w:before="0" w:after="120"/>
        <w:ind w:left="900" w:right="0" w:hanging="500"/>
        <w:rPr>
          <w:rFonts w:ascii="Times New Roman" w:hAnsi="Times New Roman"/>
          <w:sz w:val="17"/>
        </w:rPr>
      </w:pPr>
      <w:r>
        <w:rPr>
          <w:rFonts w:ascii="Times New Roman" w:hAnsi="Times New Roman"/>
          <w:sz w:val="17"/>
        </w:rPr>
        <w:t>(3)                the right reserved to, or vested in, any municipality or public authority by the terms of any right, power, franchise, grant, license, permit or by any provision of law, to purchase or recapture or to designate a purchaser of any property;</w:t>
      </w:r>
    </w:p>
    <w:p>
      <w:pPr>
        <w:pStyle w:val="TextBody"/>
        <w:spacing w:before="0" w:after="120"/>
        <w:ind w:left="900" w:right="0" w:hanging="500"/>
        <w:rPr>
          <w:rFonts w:ascii="Times New Roman" w:hAnsi="Times New Roman"/>
          <w:sz w:val="17"/>
        </w:rPr>
      </w:pPr>
      <w:r>
        <w:rPr>
          <w:rFonts w:ascii="Times New Roman" w:hAnsi="Times New Roman"/>
          <w:sz w:val="17"/>
        </w:rPr>
        <w:t>(4)                liens of taxes and assessments which are:</w:t>
      </w:r>
    </w:p>
    <w:p>
      <w:pPr>
        <w:pStyle w:val="TextBody"/>
        <w:spacing w:before="0" w:after="120"/>
        <w:ind w:left="1300" w:right="0" w:hanging="400"/>
        <w:rPr>
          <w:rFonts w:ascii="Times New Roman" w:hAnsi="Times New Roman"/>
          <w:sz w:val="17"/>
        </w:rPr>
      </w:pPr>
      <w:r>
        <w:rPr>
          <w:rFonts w:ascii="Times New Roman" w:hAnsi="Times New Roman"/>
          <w:sz w:val="17"/>
        </w:rPr>
        <w:t>(a)           for the then current year,</w:t>
      </w:r>
    </w:p>
    <w:p>
      <w:pPr>
        <w:pStyle w:val="TextBody"/>
        <w:spacing w:before="0" w:after="120"/>
        <w:ind w:left="1300" w:right="0" w:hanging="400"/>
        <w:rPr>
          <w:rFonts w:ascii="Times New Roman" w:hAnsi="Times New Roman"/>
          <w:sz w:val="17"/>
        </w:rPr>
      </w:pPr>
      <w:r>
        <w:rPr>
          <w:rFonts w:ascii="Times New Roman" w:hAnsi="Times New Roman"/>
          <w:sz w:val="17"/>
        </w:rPr>
        <w:t>(b)          not at the time delinquent, or</w:t>
      </w:r>
    </w:p>
    <w:p>
      <w:pPr>
        <w:pStyle w:val="TextBody"/>
        <w:spacing w:before="0" w:after="120"/>
        <w:ind w:left="1300" w:right="0" w:hanging="400"/>
        <w:rPr>
          <w:rFonts w:ascii="Times New Roman" w:hAnsi="Times New Roman"/>
          <w:sz w:val="17"/>
        </w:rPr>
      </w:pPr>
      <w:r>
        <w:rPr>
          <w:rFonts w:ascii="Times New Roman" w:hAnsi="Times New Roman"/>
          <w:sz w:val="17"/>
        </w:rPr>
        <w:t>(c)           delinquent but the validity of which is being contested at the time by us or any Restricted Subsidiary in good faith;</w:t>
      </w:r>
    </w:p>
    <w:p>
      <w:pPr>
        <w:pStyle w:val="TextBody"/>
        <w:spacing w:before="0" w:after="120"/>
        <w:ind w:left="900" w:right="0" w:hanging="500"/>
        <w:rPr>
          <w:rFonts w:ascii="Times New Roman" w:hAnsi="Times New Roman"/>
          <w:sz w:val="17"/>
        </w:rPr>
      </w:pPr>
      <w:r>
        <w:rPr>
          <w:rFonts w:ascii="Times New Roman" w:hAnsi="Times New Roman"/>
          <w:sz w:val="17"/>
        </w:rPr>
        <w:t>(5)                liens of, or to secure performance of, leases, other than capital leases;</w:t>
      </w:r>
    </w:p>
    <w:p>
      <w:pPr>
        <w:pStyle w:val="TextBody"/>
        <w:spacing w:before="0" w:after="120"/>
        <w:ind w:left="900" w:right="0" w:hanging="500"/>
        <w:rPr>
          <w:rFonts w:ascii="Times New Roman" w:hAnsi="Times New Roman"/>
          <w:sz w:val="17"/>
        </w:rPr>
      </w:pPr>
      <w:r>
        <w:rPr>
          <w:rFonts w:ascii="Times New Roman" w:hAnsi="Times New Roman"/>
          <w:sz w:val="17"/>
        </w:rPr>
        <w:t>(6)                any lien upon, or deposits of, any assets in favor of any surety company or clerk of court for the purpose of obtaining indemnity or stay of judicial proceedings;</w:t>
      </w:r>
    </w:p>
    <w:p>
      <w:pPr>
        <w:pStyle w:val="TextBody"/>
        <w:spacing w:before="0" w:after="120"/>
        <w:ind w:left="900" w:right="0" w:hanging="500"/>
        <w:rPr>
          <w:rFonts w:ascii="Times New Roman" w:hAnsi="Times New Roman"/>
          <w:sz w:val="17"/>
        </w:rPr>
      </w:pPr>
      <w:r>
        <w:rPr>
          <w:rFonts w:ascii="Times New Roman" w:hAnsi="Times New Roman"/>
          <w:sz w:val="17"/>
        </w:rPr>
        <w:t>(7)                any lien upon property or assets acquired or sold by us or any Restricted Subsidiary resulting from the exercise of any rights arising out of defaults on receivables;</w:t>
      </w:r>
    </w:p>
    <w:p>
      <w:pPr>
        <w:pStyle w:val="TextBody"/>
        <w:spacing w:before="0" w:after="120"/>
        <w:ind w:left="900" w:right="0" w:hanging="500"/>
        <w:rPr>
          <w:rFonts w:ascii="Times New Roman" w:hAnsi="Times New Roman"/>
          <w:sz w:val="17"/>
        </w:rPr>
      </w:pPr>
      <w:r>
        <w:rPr>
          <w:rFonts w:ascii="Times New Roman" w:hAnsi="Times New Roman"/>
          <w:sz w:val="17"/>
        </w:rPr>
        <w:t>(8)                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pStyle w:val="TextBody"/>
        <w:spacing w:before="0" w:after="120"/>
        <w:ind w:left="900" w:right="0" w:hanging="500"/>
        <w:rPr>
          <w:rFonts w:ascii="Times New Roman" w:hAnsi="Times New Roman"/>
          <w:sz w:val="17"/>
        </w:rPr>
      </w:pPr>
      <w:r>
        <w:rPr>
          <w:rFonts w:ascii="Times New Roman" w:hAnsi="Times New Roman"/>
          <w:sz w:val="17"/>
        </w:rPr>
        <w:t>(9)                any lien in favor of us or any Restricted Subsidiary;</w:t>
      </w:r>
    </w:p>
    <w:p>
      <w:pPr>
        <w:pStyle w:val="TextBody"/>
        <w:spacing w:before="0" w:after="120"/>
        <w:ind w:left="900" w:right="0" w:hanging="500"/>
        <w:rPr>
          <w:rFonts w:ascii="Times New Roman" w:hAnsi="Times New Roman"/>
          <w:sz w:val="17"/>
        </w:rPr>
      </w:pPr>
      <w:r>
        <w:rPr>
          <w:rFonts w:ascii="Times New Roman" w:hAnsi="Times New Roman"/>
          <w:sz w:val="17"/>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w:t>
      </w:r>
    </w:p>
    <w:p>
      <w:pPr>
        <w:pStyle w:val="TextBody"/>
        <w:spacing w:before="480" w:after="480"/>
        <w:ind w:left="0" w:right="0" w:hanging="0"/>
        <w:rPr>
          <w:rFonts w:ascii="Times New Roman" w:hAnsi="Times New Roman"/>
          <w:sz w:val="17"/>
        </w:rPr>
      </w:pPr>
      <w:r>
        <w:rPr>
          <w:rFonts w:ascii="Times New Roman" w:hAnsi="Times New Roman"/>
          <w:sz w:val="17"/>
        </w:rPr>
        <w:t>35</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900" w:right="0" w:hanging="0"/>
        <w:rPr>
          <w:rFonts w:ascii="Times New Roman" w:hAnsi="Times New Roman"/>
          <w:sz w:val="17"/>
        </w:rPr>
      </w:pPr>
      <w:r>
        <w:rPr>
          <w:rFonts w:ascii="Times New Roman" w:hAnsi="Times New Roman"/>
          <w:sz w:val="17"/>
        </w:rPr>
        <w:t>of the purchase price of, or the cost of constructing, developing, repairing or improving, the property or assets subject to such lien;</w:t>
      </w:r>
    </w:p>
    <w:p>
      <w:pPr>
        <w:pStyle w:val="TextBody"/>
        <w:spacing w:before="0" w:after="120"/>
        <w:ind w:left="900" w:right="0" w:hanging="500"/>
        <w:rPr>
          <w:rFonts w:ascii="Times New Roman" w:hAnsi="Times New Roman"/>
          <w:sz w:val="17"/>
        </w:rPr>
      </w:pPr>
      <w:r>
        <w:rPr>
          <w:rFonts w:ascii="Times New Roman" w:hAnsi="Times New Roman"/>
          <w:sz w:val="17"/>
        </w:rPr>
        <w:t>(11)         any lien securing industrial development, pollution control or similar revenue bonds;</w:t>
      </w:r>
    </w:p>
    <w:p>
      <w:pPr>
        <w:pStyle w:val="TextBody"/>
        <w:spacing w:before="0" w:after="120"/>
        <w:ind w:left="900" w:right="0" w:hanging="500"/>
        <w:rPr>
          <w:rFonts w:ascii="Times New Roman" w:hAnsi="Times New Roman"/>
          <w:sz w:val="17"/>
        </w:rPr>
      </w:pPr>
      <w:r>
        <w:rPr>
          <w:rFonts w:ascii="Times New Roman" w:hAnsi="Times New Roman"/>
          <w:sz w:val="17"/>
        </w:rPr>
        <w:t>(12)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securities under the Indenture (including the notes) in connection with such refunding, refinancing or repurchase, and the required corresponding durations thereof), to refinance, refund or repurchase all outstanding securities under the Indenture (including the notes), including the amount of all accrued interest thereon and reasonable fees and expenses and premium, if any, incurred by us or any Restricted Subsidiary in connection therewith;</w:t>
      </w:r>
    </w:p>
    <w:p>
      <w:pPr>
        <w:pStyle w:val="TextBody"/>
        <w:spacing w:before="0" w:after="120"/>
        <w:ind w:left="900" w:right="0" w:hanging="500"/>
        <w:rPr>
          <w:rFonts w:ascii="Times New Roman" w:hAnsi="Times New Roman"/>
          <w:sz w:val="17"/>
        </w:rPr>
      </w:pPr>
      <w:r>
        <w:rPr>
          <w:rFonts w:ascii="Times New Roman" w:hAnsi="Times New Roman"/>
          <w:sz w:val="17"/>
        </w:rPr>
        <w:t>(13)         liens in favor of any Person to secure obligations under the provisions of any letters of credit, bank guarantees, bonds or surety obligations required or requested by any governmental authority in connection with any contract or statute;</w:t>
      </w:r>
    </w:p>
    <w:p>
      <w:pPr>
        <w:pStyle w:val="TextBody"/>
        <w:spacing w:before="0" w:after="120"/>
        <w:ind w:left="900" w:right="0" w:hanging="500"/>
        <w:rPr>
          <w:rFonts w:ascii="Times New Roman" w:hAnsi="Times New Roman"/>
          <w:sz w:val="17"/>
        </w:rPr>
      </w:pPr>
      <w:r>
        <w:rPr>
          <w:rFonts w:ascii="Times New Roman" w:hAnsi="Times New Roman"/>
          <w:sz w:val="17"/>
        </w:rPr>
        <w:t>(14)         any lien upon or deposits of any assets to secure performance of bids, trade contracts, leases or statutory obligations;</w:t>
      </w:r>
    </w:p>
    <w:p>
      <w:pPr>
        <w:pStyle w:val="TextBody"/>
        <w:spacing w:before="0" w:after="120"/>
        <w:ind w:left="900" w:right="0" w:hanging="500"/>
        <w:rPr>
          <w:rFonts w:ascii="Times New Roman" w:hAnsi="Times New Roman"/>
          <w:sz w:val="17"/>
        </w:rPr>
      </w:pPr>
      <w:r>
        <w:rPr>
          <w:rFonts w:ascii="Times New Roman" w:hAnsi="Times New Roman"/>
          <w:sz w:val="17"/>
        </w:rPr>
        <w:t>(15)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leases,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pStyle w:val="TextBody"/>
        <w:spacing w:before="0" w:after="120"/>
        <w:ind w:left="900" w:right="0" w:hanging="500"/>
        <w:rPr>
          <w:rFonts w:ascii="Times New Roman" w:hAnsi="Times New Roman"/>
          <w:sz w:val="17"/>
        </w:rPr>
      </w:pPr>
      <w:r>
        <w:rPr>
          <w:rFonts w:ascii="Times New Roman" w:hAnsi="Times New Roman"/>
          <w:sz w:val="17"/>
        </w:rPr>
        <w:t>(16)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pStyle w:val="TextBody"/>
        <w:spacing w:before="0" w:after="120"/>
        <w:ind w:left="900" w:right="0" w:hanging="500"/>
        <w:rPr>
          <w:rFonts w:ascii="Times New Roman" w:hAnsi="Times New Roman"/>
          <w:sz w:val="17"/>
        </w:rPr>
      </w:pPr>
      <w:r>
        <w:rPr>
          <w:rFonts w:ascii="Times New Roman" w:hAnsi="Times New Roman"/>
          <w:sz w:val="17"/>
        </w:rPr>
        <w:t>(17)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pStyle w:val="TextBody"/>
        <w:spacing w:before="0" w:after="120"/>
        <w:ind w:left="900" w:right="0" w:hanging="500"/>
        <w:rPr>
          <w:rFonts w:ascii="Times New Roman" w:hAnsi="Times New Roman"/>
          <w:sz w:val="17"/>
        </w:rPr>
      </w:pPr>
      <w:r>
        <w:rPr>
          <w:rFonts w:ascii="Times New Roman" w:hAnsi="Times New Roman"/>
          <w:sz w:val="17"/>
        </w:rPr>
        <w:t>(18)         any obligations or duties to any municipality or public authority with respect to any lease, easement, right-of-way, license, franchise, privilege, permit or grant.</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Person</w:t>
      </w:r>
      <w:r>
        <w:rPr>
          <w:rFonts w:ascii="Times New Roman" w:hAnsi="Times New Roman"/>
          <w:sz w:val="17"/>
        </w:rPr>
        <w:t> means any individual, corporation, partnership, joint venture, limited liability company, association, joint-stock company, trust, other entity, unincorporated organization or government or any agency or political subdivision thereof.</w:t>
      </w:r>
    </w:p>
    <w:p>
      <w:pPr>
        <w:pStyle w:val="TextBody"/>
        <w:spacing w:before="480" w:after="480"/>
        <w:ind w:left="0" w:right="0" w:hanging="0"/>
        <w:rPr>
          <w:rFonts w:ascii="Times New Roman" w:hAnsi="Times New Roman"/>
          <w:sz w:val="17"/>
        </w:rPr>
      </w:pPr>
      <w:r>
        <w:rPr>
          <w:rFonts w:ascii="Times New Roman" w:hAnsi="Times New Roman"/>
          <w:sz w:val="17"/>
        </w:rPr>
        <w:t>36</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Principal Property</w:t>
      </w:r>
      <w:r>
        <w:rPr>
          <w:rFonts w:ascii="Times New Roman" w:hAnsi="Times New Roman"/>
          <w:sz w:val="17"/>
        </w:rPr>
        <w:t> means, whether owned or leased on the Issue Date or thereafter acquired:</w:t>
      </w:r>
    </w:p>
    <w:p>
      <w:pPr>
        <w:pStyle w:val="TextBody"/>
        <w:spacing w:before="0" w:after="120"/>
        <w:ind w:left="900" w:right="0" w:hanging="500"/>
        <w:rPr>
          <w:rFonts w:ascii="Times New Roman" w:hAnsi="Times New Roman"/>
          <w:sz w:val="17"/>
        </w:rPr>
      </w:pPr>
      <w:r>
        <w:rPr>
          <w:rFonts w:ascii="Times New Roman" w:hAnsi="Times New Roman"/>
          <w:sz w:val="17"/>
        </w:rPr>
        <w:t>(1)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pStyle w:val="TextBody"/>
        <w:spacing w:before="0" w:after="120"/>
        <w:ind w:left="900" w:right="0" w:hanging="500"/>
        <w:rPr>
          <w:rFonts w:ascii="Times New Roman" w:hAnsi="Times New Roman"/>
          <w:sz w:val="17"/>
        </w:rPr>
      </w:pPr>
      <w:r>
        <w:rPr>
          <w:rFonts w:ascii="Times New Roman" w:hAnsi="Times New Roman"/>
          <w:sz w:val="17"/>
        </w:rPr>
        <w:t>(2)                any processing or manufacturing plant or terminal owned or leased by Plains All American Pipeline or any Subsidiary of Plains All American Pipeline; except, in either case above:</w:t>
      </w:r>
    </w:p>
    <w:p>
      <w:pPr>
        <w:pStyle w:val="TextBody"/>
        <w:spacing w:before="0" w:after="120"/>
        <w:ind w:left="1300" w:right="0" w:hanging="400"/>
        <w:rPr>
          <w:rFonts w:ascii="Times New Roman" w:hAnsi="Times New Roman"/>
          <w:sz w:val="17"/>
        </w:rPr>
      </w:pPr>
      <w:r>
        <w:rPr>
          <w:rFonts w:ascii="Times New Roman" w:hAnsi="Times New Roman"/>
          <w:sz w:val="17"/>
        </w:rPr>
        <w:t>(a)           any such assets consisting of inventories, furniture, office fixtures and equipment, including data processing equipment, vehicles and equipment used on, or useful with, vehicles, and</w:t>
      </w:r>
    </w:p>
    <w:p>
      <w:pPr>
        <w:pStyle w:val="TextBody"/>
        <w:spacing w:before="0" w:after="120"/>
        <w:ind w:left="1300" w:right="0" w:hanging="400"/>
        <w:rPr>
          <w:rFonts w:ascii="Times New Roman" w:hAnsi="Times New Roman"/>
          <w:sz w:val="17"/>
        </w:rPr>
      </w:pPr>
      <w:r>
        <w:rPr>
          <w:rFonts w:ascii="Times New Roman" w:hAnsi="Times New Roman"/>
          <w:sz w:val="17"/>
        </w:rPr>
        <w:t>(b)          any such assets, plant or terminal which, in the good faith opinion of the Board of Directors, is not material in relation to the activities of Plains All American Pipeline or the activities of Plains All American Pipeline and its Subsidiaries, taken as a whole.</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Restricted Subsidiary</w:t>
      </w:r>
      <w:r>
        <w:rPr>
          <w:rFonts w:ascii="Times New Roman" w:hAnsi="Times New Roman"/>
          <w:sz w:val="17"/>
        </w:rPr>
        <w:t> means any Subsidiary of Plains All American Pipeline owning or leasing, directly or indirectly through ownership in another Subsidiary, any Principal Property.</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Sale-leaseback Transaction</w:t>
      </w:r>
      <w:r>
        <w:rPr>
          <w:rFonts w:ascii="Times New Roman" w:hAnsi="Times New Roman"/>
          <w:sz w:val="17"/>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Securities Act</w:t>
      </w:r>
      <w:r>
        <w:rPr>
          <w:rFonts w:ascii="Times New Roman" w:hAnsi="Times New Roman"/>
          <w:sz w:val="17"/>
        </w:rPr>
        <w:t> means the Securities Act of 1933, as amended.</w:t>
      </w:r>
    </w:p>
    <w:p>
      <w:pPr>
        <w:pStyle w:val="TextBody"/>
        <w:spacing w:before="0" w:after="120"/>
        <w:ind w:left="0" w:right="0" w:firstLine="400"/>
        <w:rPr>
          <w:rFonts w:ascii="Times New Roman" w:hAnsi="Times New Roman"/>
          <w:sz w:val="17"/>
        </w:rPr>
      </w:pPr>
      <w:r>
        <w:rPr>
          <w:rFonts w:ascii="Times New Roman" w:hAnsi="Times New Roman"/>
          <w:sz w:val="17"/>
        </w:rPr>
        <w:t></w:t>
      </w:r>
      <w:r>
        <w:rPr>
          <w:rFonts w:ascii="Times New Roman" w:hAnsi="Times New Roman"/>
          <w:i/>
          <w:sz w:val="17"/>
        </w:rPr>
        <w:t>Subsidiary</w:t>
      </w:r>
      <w:r>
        <w:rPr>
          <w:rFonts w:ascii="Times New Roman" w:hAnsi="Times New Roman"/>
          <w:sz w:val="17"/>
        </w:rPr>
        <w:t> means, with respect to any Person:</w:t>
      </w:r>
    </w:p>
    <w:p>
      <w:pPr>
        <w:pStyle w:val="TextBody"/>
        <w:spacing w:before="0" w:after="120"/>
        <w:ind w:left="900" w:right="0" w:hanging="500"/>
        <w:rPr>
          <w:rFonts w:ascii="Times New Roman" w:hAnsi="Times New Roman"/>
          <w:sz w:val="17"/>
        </w:rPr>
      </w:pPr>
      <w:r>
        <w:rPr>
          <w:rFonts w:ascii="Times New Roman" w:hAnsi="Times New Roman"/>
          <w:sz w:val="17"/>
        </w:rPr>
        <w:t>(1)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pStyle w:val="TextBody"/>
        <w:spacing w:before="0" w:after="240"/>
        <w:ind w:left="900" w:right="0" w:hanging="500"/>
        <w:rPr>
          <w:rFonts w:ascii="Times New Roman" w:hAnsi="Times New Roman"/>
          <w:sz w:val="17"/>
        </w:rPr>
      </w:pPr>
      <w:r>
        <w:rPr>
          <w:rFonts w:ascii="Times New Roman" w:hAnsi="Times New Roman"/>
          <w:sz w:val="17"/>
        </w:rPr>
        <w:t>(2)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pStyle w:val="TextBody"/>
        <w:keepNext w:val="true"/>
        <w:spacing w:before="0" w:after="120"/>
        <w:ind w:left="0" w:right="0" w:hanging="0"/>
        <w:jc w:val="center"/>
        <w:rPr>
          <w:rFonts w:ascii="Times New Roman" w:hAnsi="Times New Roman"/>
          <w:b/>
          <w:sz w:val="17"/>
        </w:rPr>
      </w:pPr>
      <w:bookmarkStart w:id="38" w:name="U_s_FederalIncomeTaxConsideration_085532"/>
      <w:bookmarkEnd w:id="38"/>
      <w:r>
        <w:rPr>
          <w:rFonts w:ascii="Times New Roman" w:hAnsi="Times New Roman"/>
          <w:b/>
          <w:sz w:val="17"/>
        </w:rPr>
        <w:t>U.S. FEDERAL INCOME TAX CONSIDERATIONS</w:t>
      </w:r>
    </w:p>
    <w:p>
      <w:pPr>
        <w:pStyle w:val="TextBody"/>
        <w:spacing w:before="0" w:after="120"/>
        <w:ind w:left="0" w:right="0" w:firstLine="400"/>
        <w:rPr>
          <w:rFonts w:ascii="Times New Roman" w:hAnsi="Times New Roman"/>
          <w:sz w:val="17"/>
        </w:rPr>
      </w:pPr>
      <w:r>
        <w:rPr>
          <w:rFonts w:ascii="Times New Roman" w:hAnsi="Times New Roman"/>
          <w:sz w:val="17"/>
        </w:rPr>
        <w:t>The following discussion is a summary of certain federal income tax considerations relevant to the exchange of outstanding notes for new notes, but does not purport to be a complete analysis of all potential tax effects. The discussion is based upon the Internal Revenue Code of 1986, as amended, Treasury Regulations, Internal Revenue Service rulings and pronouncements and judicial decisions now in effect, all of which may be subject to change at any time by legislative, judicial or administrative action. These changes may be applied retroactively in a manner that could adversely affect a holder of new notes. The description does not consider the effect of any applicable foreign, state, local or other tax laws or estate or gift tax considerations.</w:t>
      </w:r>
    </w:p>
    <w:p>
      <w:pPr>
        <w:pStyle w:val="TextBody"/>
        <w:spacing w:before="0" w:after="240"/>
        <w:ind w:left="0" w:right="0" w:firstLine="400"/>
        <w:rPr>
          <w:rFonts w:ascii="Times New Roman" w:hAnsi="Times New Roman"/>
          <w:sz w:val="17"/>
        </w:rPr>
      </w:pPr>
      <w:r>
        <w:rPr>
          <w:rFonts w:ascii="Times New Roman" w:hAnsi="Times New Roman"/>
          <w:sz w:val="17"/>
        </w:rPr>
        <w:t>We believe that the exchange of outstanding notes for new notes should not be an exchange or otherwise a taxable event to a holder for United States federal income tax purposes. Accordingly, a holder should have the same adjusted issue price, adjusted basis and holding period in the new notes as it had in the outstanding notes immediately before the exchange.</w:t>
      </w:r>
    </w:p>
    <w:p>
      <w:pPr>
        <w:pStyle w:val="TextBody"/>
        <w:spacing w:before="480" w:after="480"/>
        <w:ind w:left="0" w:right="0" w:hanging="0"/>
        <w:rPr>
          <w:rFonts w:ascii="Times New Roman" w:hAnsi="Times New Roman"/>
          <w:sz w:val="17"/>
        </w:rPr>
      </w:pPr>
      <w:r>
        <w:rPr>
          <w:rFonts w:ascii="Times New Roman" w:hAnsi="Times New Roman"/>
          <w:sz w:val="17"/>
        </w:rPr>
        <w:t>37</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39" w:name="PlanOfDistribution_085533"/>
      <w:bookmarkEnd w:id="39"/>
      <w:r>
        <w:rPr>
          <w:rFonts w:ascii="Times New Roman" w:hAnsi="Times New Roman"/>
          <w:b/>
          <w:sz w:val="17"/>
        </w:rPr>
        <w:t>PLAN OF DISTRIBUTION</w:t>
      </w:r>
    </w:p>
    <w:p>
      <w:pPr>
        <w:pStyle w:val="TextBody"/>
        <w:keepNext w:val="true"/>
        <w:spacing w:before="0" w:after="120"/>
        <w:ind w:left="0" w:right="0" w:firstLine="400"/>
        <w:rPr>
          <w:rFonts w:ascii="Times New Roman" w:hAnsi="Times New Roman"/>
          <w:sz w:val="17"/>
        </w:rPr>
      </w:pPr>
      <w:r>
        <w:rPr>
          <w:rFonts w:ascii="Times New Roman" w:hAnsi="Times New Roman"/>
          <w:sz w:val="17"/>
        </w:rPr>
        <w:t>Based on interpretations by the staff of the SEC in no action letters issued to third parties, we believe that you may transfer new notes issued under the exchange offer in exchange for the outstanding notes if:</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you acquire the new notes in the ordinary course of your business;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you are not engaged in, and do not intend to engage in, and have no arrangement or understanding with any person to participate in, a distribution of such new notes.</w:t>
      </w:r>
    </w:p>
    <w:p>
      <w:pPr>
        <w:pStyle w:val="TextBody"/>
        <w:keepNext w:val="true"/>
        <w:spacing w:before="0" w:after="120"/>
        <w:ind w:left="0" w:right="0" w:firstLine="400"/>
        <w:rPr>
          <w:rFonts w:ascii="Times New Roman" w:hAnsi="Times New Roman"/>
          <w:sz w:val="17"/>
        </w:rPr>
      </w:pPr>
      <w:r>
        <w:rPr>
          <w:rFonts w:ascii="Times New Roman" w:hAnsi="Times New Roman"/>
          <w:sz w:val="17"/>
        </w:rPr>
        <w:t>You may not participate in the exchange offer if you are: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our affiliate within the meaning of Rule 405 under the Securities Act; or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 broker-dealer that acquired outstanding notes directly from us.</w:t>
      </w:r>
    </w:p>
    <w:p>
      <w:pPr>
        <w:pStyle w:val="TextBody"/>
        <w:spacing w:before="0" w:after="120"/>
        <w:ind w:left="0" w:right="0" w:firstLine="400"/>
        <w:rPr>
          <w:rFonts w:ascii="Times New Roman" w:hAnsi="Times New Roman"/>
          <w:sz w:val="17"/>
        </w:rPr>
      </w:pPr>
      <w:r>
        <w:rPr>
          <w:rFonts w:ascii="Times New Roman" w:hAnsi="Times New Roman"/>
          <w:sz w:val="17"/>
        </w:rPr>
        <w:t>Each broker-dealer that receives new notes for its own account pursuant to the exchange offer must acknowledge that it will deliver a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outstanding notes, with the prospectus contained in this registration statement. This prospectus, as it may be amended or supplemented from time to time, may be used by a broker-dealer in connection with resales of new notes received in exchange for outstanding notes where such outstanding notes were acquired as a result of market-making activities or other trading activities. We have agreed that, for a period of up to one year after the consummation of the exchange offer, we will make this prospectus, as amended or supplemented, promptly available to any broker-dealer for use in connection with any such resale.</w:t>
      </w:r>
    </w:p>
    <w:p>
      <w:pPr>
        <w:pStyle w:val="TextBody"/>
        <w:spacing w:before="0" w:after="120"/>
        <w:ind w:left="0" w:right="0" w:firstLine="400"/>
        <w:rPr>
          <w:rFonts w:ascii="Times New Roman" w:hAnsi="Times New Roman"/>
          <w:sz w:val="17"/>
        </w:rPr>
      </w:pPr>
      <w:r>
        <w:rPr>
          <w:rFonts w:ascii="Times New Roman" w:hAnsi="Times New Roman"/>
          <w:sz w:val="17"/>
        </w:rPr>
        <w:t>If you wish to exchange your outstanding notes for new notes in the exchange offer, you will be required to make representations to us as described in Exchange OfferPurpose and Effect of the Exchange Offer and Procedures for TenderingYour Representations to Us in this prospectus and in the letter of transmittal. In addition, if you are a broker-dealer who receives new notes for your own account in exchange for outstanding notes that were acquired by you as a result of market-making activities or other trading activities, you will be required to acknowledge that you will deliver a prospectus in connection with any resale by you of such new notes.</w:t>
      </w:r>
    </w:p>
    <w:p>
      <w:pPr>
        <w:pStyle w:val="TextBody"/>
        <w:keepNext w:val="true"/>
        <w:spacing w:before="0" w:after="120"/>
        <w:ind w:left="0" w:right="0" w:firstLine="400"/>
        <w:rPr>
          <w:rFonts w:ascii="Times New Roman" w:hAnsi="Times New Roman"/>
          <w:sz w:val="17"/>
        </w:rPr>
      </w:pPr>
      <w:r>
        <w:rPr>
          <w:rFonts w:ascii="Times New Roman" w:hAnsi="Times New Roman"/>
          <w:sz w:val="17"/>
        </w:rPr>
        <w:t>We will not receive any proceeds from any sale of new notes by broker-dealers. New notes received by broker-dealers for their own account pursuant to the exchange offer may be sold from time to time in one or more transactions: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in the over-the-counter market;</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in negotiated transactions;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through the writing of options on the new notes or a combination of the preceding methods of resale;</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at market prices prevailing at the time of resale;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at prices related to such prevailing market prices or negotiated prices.</w:t>
      </w:r>
    </w:p>
    <w:p>
      <w:pPr>
        <w:pStyle w:val="TextBody"/>
        <w:spacing w:before="0" w:after="120"/>
        <w:ind w:left="0" w:right="0" w:firstLine="400"/>
        <w:rPr>
          <w:rFonts w:ascii="Times New Roman" w:hAnsi="Times New Roman"/>
          <w:sz w:val="17"/>
        </w:rPr>
      </w:pPr>
      <w:r>
        <w:rPr>
          <w:rFonts w:ascii="Times New Roman" w:hAnsi="Times New Roman"/>
          <w:sz w:val="17"/>
        </w:rPr>
        <w:t xml:space="preserve">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w:t>
      </w:r>
    </w:p>
    <w:p>
      <w:pPr>
        <w:pStyle w:val="TextBody"/>
        <w:spacing w:before="480" w:after="480"/>
        <w:ind w:left="0" w:right="0" w:hanging="0"/>
        <w:rPr>
          <w:rFonts w:ascii="Times New Roman" w:hAnsi="Times New Roman"/>
          <w:sz w:val="17"/>
        </w:rPr>
      </w:pPr>
      <w:r>
        <w:rPr>
          <w:rFonts w:ascii="Times New Roman" w:hAnsi="Times New Roman"/>
          <w:sz w:val="17"/>
        </w:rPr>
        <w:t>38</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pStyle w:val="TextBody"/>
        <w:spacing w:before="0" w:after="240"/>
        <w:ind w:left="0" w:right="0" w:firstLine="400"/>
        <w:rPr>
          <w:rFonts w:ascii="Times New Roman" w:hAnsi="Times New Roman"/>
          <w:sz w:val="17"/>
        </w:rPr>
      </w:pPr>
      <w:r>
        <w:rPr>
          <w:rFonts w:ascii="Times New Roman" w:hAnsi="Times New Roman"/>
          <w:sz w:val="17"/>
        </w:rPr>
        <w:t>For a period of one year after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outstanding notes) other than commissions or concessions of any broker-dealers and will indemnify the holders of the outstanding notes (including any broker-dealers) against certain liabilities, including liabilities under the Securities Act.</w:t>
      </w:r>
    </w:p>
    <w:p>
      <w:pPr>
        <w:pStyle w:val="TextBody"/>
        <w:keepNext w:val="true"/>
        <w:spacing w:before="0" w:after="120"/>
        <w:ind w:left="0" w:right="0" w:hanging="0"/>
        <w:jc w:val="center"/>
        <w:rPr>
          <w:rFonts w:ascii="Times New Roman" w:hAnsi="Times New Roman"/>
          <w:b/>
          <w:sz w:val="17"/>
        </w:rPr>
      </w:pPr>
      <w:bookmarkStart w:id="40" w:name="LegalMatters_085544"/>
      <w:bookmarkEnd w:id="40"/>
      <w:r>
        <w:rPr>
          <w:rFonts w:ascii="Times New Roman" w:hAnsi="Times New Roman"/>
          <w:b/>
          <w:sz w:val="17"/>
        </w:rPr>
        <w:t>LEGAL MATTERS</w:t>
      </w:r>
    </w:p>
    <w:p>
      <w:pPr>
        <w:pStyle w:val="TextBody"/>
        <w:spacing w:before="0" w:after="240"/>
        <w:ind w:left="0" w:right="0" w:firstLine="400"/>
        <w:rPr>
          <w:rFonts w:ascii="Times New Roman" w:hAnsi="Times New Roman"/>
          <w:sz w:val="17"/>
        </w:rPr>
      </w:pPr>
      <w:r>
        <w:rPr>
          <w:rFonts w:ascii="Times New Roman" w:hAnsi="Times New Roman"/>
          <w:sz w:val="17"/>
        </w:rPr>
        <w:t>The validity of the new notes offered in this exchange offer will be passed upon for us by Vinson &amp; Elkins L.L.P., Houston, Texas.</w:t>
      </w:r>
    </w:p>
    <w:p>
      <w:pPr>
        <w:pStyle w:val="TextBody"/>
        <w:keepNext w:val="true"/>
        <w:spacing w:before="0" w:after="120"/>
        <w:ind w:left="0" w:right="0" w:hanging="0"/>
        <w:jc w:val="center"/>
        <w:rPr>
          <w:rFonts w:ascii="Times New Roman" w:hAnsi="Times New Roman"/>
          <w:b/>
          <w:sz w:val="17"/>
        </w:rPr>
      </w:pPr>
      <w:bookmarkStart w:id="41" w:name="Experts_085545"/>
      <w:bookmarkEnd w:id="41"/>
      <w:r>
        <w:rPr>
          <w:rFonts w:ascii="Times New Roman" w:hAnsi="Times New Roman"/>
          <w:b/>
          <w:sz w:val="17"/>
        </w:rPr>
        <w:t>EXPERTS</w:t>
      </w:r>
    </w:p>
    <w:p>
      <w:pPr>
        <w:pStyle w:val="TextBody"/>
        <w:spacing w:before="0" w:after="120"/>
        <w:ind w:left="0" w:right="0" w:firstLine="400"/>
        <w:rPr>
          <w:rFonts w:ascii="Times New Roman" w:hAnsi="Times New Roman"/>
          <w:sz w:val="17"/>
        </w:rPr>
      </w:pPr>
      <w:r>
        <w:rPr>
          <w:rFonts w:ascii="Times New Roman" w:hAnsi="Times New Roman"/>
          <w:sz w:val="17"/>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pStyle w:val="TextBody"/>
        <w:spacing w:before="0" w:after="240"/>
        <w:ind w:left="0" w:right="0" w:firstLine="400"/>
        <w:rPr>
          <w:rFonts w:ascii="Times New Roman" w:hAnsi="Times New Roman"/>
          <w:sz w:val="17"/>
        </w:rPr>
      </w:pPr>
      <w:r>
        <w:rPr>
          <w:rFonts w:ascii="Times New Roman" w:hAnsi="Times New Roman"/>
          <w:sz w:val="17"/>
        </w:rPr>
        <w:t>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w:t>
      </w:r>
    </w:p>
    <w:p>
      <w:pPr>
        <w:pStyle w:val="TextBody"/>
        <w:keepNext w:val="true"/>
        <w:spacing w:before="0" w:after="120"/>
        <w:ind w:left="0" w:right="0" w:hanging="0"/>
        <w:jc w:val="center"/>
        <w:rPr>
          <w:rFonts w:ascii="Times New Roman" w:hAnsi="Times New Roman"/>
          <w:b/>
          <w:sz w:val="17"/>
        </w:rPr>
      </w:pPr>
      <w:bookmarkStart w:id="42" w:name="WhereYouCanFindMoreInformation_085547"/>
      <w:bookmarkEnd w:id="42"/>
      <w:r>
        <w:rPr>
          <w:rFonts w:ascii="Times New Roman" w:hAnsi="Times New Roman"/>
          <w:b/>
          <w:sz w:val="17"/>
        </w:rPr>
        <w:t>WHERE YOU CAN FIND MORE INFORMATION</w:t>
      </w:r>
    </w:p>
    <w:p>
      <w:pPr>
        <w:pStyle w:val="TextBody"/>
        <w:keepNext w:val="true"/>
        <w:spacing w:before="0" w:after="120"/>
        <w:ind w:left="0" w:right="0" w:firstLine="400"/>
        <w:rPr>
          <w:rFonts w:ascii="Times New Roman" w:hAnsi="Times New Roman"/>
          <w:sz w:val="17"/>
        </w:rPr>
      </w:pPr>
      <w:r>
        <w:rPr>
          <w:rFonts w:ascii="Times New Roman" w:hAnsi="Times New Roman"/>
          <w:sz w:val="17"/>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Annual Report on Form 10-K for the year ended December 31, 2004;</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Quarterly Reports on Form 10-Q for the quarters ended March 31, 2005 and June 30, 2005;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Current Reports on Forms 8-K filed on January 26, 2005; February 23, 2005; March 8, 2005; April 1, 2005; April 8, 2005; April 21, 2005; April 25, 2005; May 12, 2005; May 25, 2005; May 31, 2005; August 16, 2005; August 22, 2005; September 16, 2005; September 19, 2005 and September 21, 2005.</w:t>
      </w:r>
    </w:p>
    <w:p>
      <w:pPr>
        <w:pStyle w:val="TextBody"/>
        <w:spacing w:before="480" w:after="480"/>
        <w:ind w:left="0" w:right="0" w:hanging="0"/>
        <w:rPr>
          <w:rFonts w:ascii="Times New Roman" w:hAnsi="Times New Roman"/>
          <w:sz w:val="17"/>
        </w:rPr>
      </w:pPr>
      <w:r>
        <w:rPr>
          <w:rFonts w:ascii="Times New Roman" w:hAnsi="Times New Roman"/>
          <w:sz w:val="17"/>
        </w:rPr>
        <w:t>39</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firstLine="400"/>
        <w:rPr>
          <w:rFonts w:ascii="Times New Roman" w:hAnsi="Times New Roman"/>
          <w:sz w:val="17"/>
        </w:rPr>
      </w:pPr>
      <w:r>
        <w:rPr>
          <w:rFonts w:ascii="Times New Roman" w:hAnsi="Times New Roman"/>
          <w:sz w:val="17"/>
        </w:rPr>
        <w:t>You may request a copy of these filings at no cost by making written or telephone requests for copies to:</w:t>
      </w:r>
    </w:p>
    <w:p>
      <w:pPr>
        <w:pStyle w:val="TextBody"/>
        <w:spacing w:before="0" w:after="240"/>
        <w:ind w:left="0" w:right="0" w:hanging="0"/>
        <w:jc w:val="center"/>
        <w:rPr>
          <w:rFonts w:ascii="Times New Roman" w:hAnsi="Times New Roman"/>
          <w:sz w:val="17"/>
        </w:rPr>
      </w:pPr>
      <w:r>
        <w:rPr>
          <w:rFonts w:ascii="Times New Roman" w:hAnsi="Times New Roman"/>
          <w:sz w:val="17"/>
        </w:rPr>
        <w:t>Plains All American Pipeline, L.P.</w:t>
        <w:br/>
        <w:t>333 Clay Street, Suite 1600</w:t>
        <w:br/>
        <w:t>Houston, Texas 77002</w:t>
        <w:br/>
        <w:t>Attention: Tim Moore</w:t>
        <w:br/>
        <w:t>Telephone: (713) 646-4100</w:t>
      </w:r>
    </w:p>
    <w:p>
      <w:pPr>
        <w:pStyle w:val="TextBody"/>
        <w:spacing w:before="0" w:after="120"/>
        <w:ind w:left="0" w:right="0" w:firstLine="400"/>
        <w:rPr>
          <w:rFonts w:ascii="Times New Roman" w:hAnsi="Times New Roman"/>
          <w:sz w:val="17"/>
        </w:rPr>
      </w:pPr>
      <w:r>
        <w:rPr>
          <w:rFonts w:ascii="Times New Roman" w:hAnsi="Times New Roman"/>
          <w:sz w:val="17"/>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 w:hAnsi="Times New Roman"/>
          <w:i/>
          <w:sz w:val="17"/>
        </w:rPr>
        <w:t>www.sec.gov</w:t>
      </w:r>
      <w:r>
        <w:rPr>
          <w:rFonts w:ascii="Times New Roman" w:hAnsi="Times New Roman"/>
          <w:sz w:val="17"/>
        </w:rPr>
        <w:t>.</w:t>
      </w:r>
    </w:p>
    <w:p>
      <w:pPr>
        <w:pStyle w:val="TextBody"/>
        <w:spacing w:before="0" w:after="240"/>
        <w:ind w:left="0" w:right="0" w:firstLine="400"/>
        <w:rPr>
          <w:rFonts w:ascii="Times New Roman" w:hAnsi="Times New Roman"/>
          <w:sz w:val="17"/>
        </w:rPr>
      </w:pPr>
      <w:r>
        <w:rPr>
          <w:rFonts w:ascii="Times New Roman" w:hAnsi="Times New Roman"/>
          <w:sz w:val="17"/>
        </w:rPr>
        <w:t>You should rely only on the information incorporated by reference or provided in this prospectus. We have not authorized anyone else to provide you with any information. You should not assume that the information incorporated by reference or provided in this prospectus is accurate as of any date other than the date on the front cover.</w:t>
      </w:r>
    </w:p>
    <w:p>
      <w:pPr>
        <w:pStyle w:val="TextBody"/>
        <w:keepNext w:val="true"/>
        <w:spacing w:before="0" w:after="120"/>
        <w:ind w:left="0" w:right="0" w:hanging="0"/>
        <w:jc w:val="center"/>
        <w:rPr>
          <w:rFonts w:ascii="Times New Roman" w:hAnsi="Times New Roman"/>
          <w:b/>
          <w:sz w:val="17"/>
        </w:rPr>
      </w:pPr>
      <w:bookmarkStart w:id="43" w:name="ForwardlookingStatements_085608"/>
      <w:bookmarkEnd w:id="43"/>
      <w:r>
        <w:rPr>
          <w:rFonts w:ascii="Times New Roman" w:hAnsi="Times New Roman"/>
          <w:b/>
          <w:sz w:val="17"/>
        </w:rPr>
        <w:t>FORWARD-LOOKING STATEMENTS</w:t>
      </w:r>
    </w:p>
    <w:p>
      <w:pPr>
        <w:pStyle w:val="TextBody"/>
        <w:keepNext w:val="true"/>
        <w:spacing w:before="0" w:after="120"/>
        <w:ind w:left="0" w:right="0" w:firstLine="400"/>
        <w:rPr>
          <w:rFonts w:ascii="Times New Roman" w:hAnsi="Times New Roman"/>
          <w:sz w:val="17"/>
        </w:rPr>
      </w:pPr>
      <w:r>
        <w:rPr>
          <w:rFonts w:ascii="Times New Roman" w:hAnsi="Times New Roman"/>
          <w:sz w:val="17"/>
        </w:rPr>
        <w:t>All statements, other than statements of historical fact, included or incorporated by reference in this prospectus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abrupt or severe production declines or production interruptions in outer continental shelf production located offshore California and transported on our pipeline system;</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success of our risk management activities;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and our ability to consummate, acquisition or combination opportunities;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our access to capital to fund additional acquisitions and our ability to obtain debt or equity financing on satisfactory terms;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successful integration and future performance of acquired assets or businesses and the risks associated with operating in lines of business that are distinct and separate from our historical operations;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environmental liabilities or events that are not covered by an indemnity, insurance or existing reserves;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maintenance of our credit rating and ability to receive open credit from our suppliers and trade counter-parties;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declines in volumes shipped on the Basin Pipeline, Capline Pipeline and our other pipelines by third party shippers;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adequate third party production volumes for transportation and marketing in the areas in which we operate;</w:t>
      </w:r>
    </w:p>
    <w:p>
      <w:pPr>
        <w:pStyle w:val="TextBody"/>
        <w:spacing w:before="480" w:after="480"/>
        <w:ind w:left="0" w:right="0" w:hanging="0"/>
        <w:rPr>
          <w:rFonts w:ascii="Times New Roman" w:hAnsi="Times New Roman"/>
          <w:sz w:val="17"/>
        </w:rPr>
      </w:pPr>
      <w:r>
        <w:rPr>
          <w:rFonts w:ascii="Times New Roman" w:hAnsi="Times New Roman"/>
          <w:sz w:val="17"/>
        </w:rPr>
        <w:t>40</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successful third party drilling efforts in areas in which we operate pipelines or gather crude oil;</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demand for natural gas or various grades of crude oil and resulting changes in pricing conditions or transmission throughput requirements;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fluctuations in refinery capacity in areas supplied by our transmission lines;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interruptions in service and fluctuations in rates of third-party pipelines;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effects of competition;</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continued creditworthiness of, and performance by, counter-parties;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impact of crude oil and natural gas price fluctuations;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impact of current and future laws, rulings and governmental regulations;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shortages or cost increases of power supplies, materials or labor (including the direct and indirect effects of Hurricane Katrina on the availability of materials, the cost of natural gas and the demand for oil-field services);</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weather interference with business operations or project construction;</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the currency exchange rate of the Canadian dollar;</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fluctuations in the debt and equity markets, including the price of our units at the time of vesting under our Long-Term Incentive Plan;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general economic, market or business conditions.</w:t>
      </w:r>
    </w:p>
    <w:p>
      <w:pPr>
        <w:pStyle w:val="TextBody"/>
        <w:spacing w:before="0" w:after="120"/>
        <w:ind w:left="0" w:right="0" w:firstLine="400"/>
        <w:rPr>
          <w:rFonts w:ascii="Times New Roman" w:hAnsi="Times New Roman"/>
          <w:sz w:val="17"/>
        </w:rPr>
      </w:pPr>
      <w:r>
        <w:rPr>
          <w:rFonts w:ascii="Times New Roman" w:hAnsi="Times New Roman"/>
          <w:sz w:val="17"/>
        </w:rPr>
        <w:t>Other factors described herein or incorporated by reference, or factors that are unknown or unpredictable, could also have a material adverse effect on future results. Please read Risk Factors beginning on page 8 of this prospectus. Except as required by securities laws applicable to the documents incorporated by reference, we do not intend to update these forward-looking statements and information.</w:t>
      </w:r>
    </w:p>
    <w:p>
      <w:pPr>
        <w:pStyle w:val="TextBody"/>
        <w:spacing w:before="480" w:after="480"/>
        <w:ind w:left="0" w:right="0" w:hanging="0"/>
        <w:rPr>
          <w:rFonts w:ascii="Times New Roman" w:hAnsi="Times New Roman"/>
          <w:sz w:val="17"/>
        </w:rPr>
      </w:pPr>
      <w:r>
        <w:rPr>
          <w:rFonts w:ascii="Times New Roman" w:hAnsi="Times New Roman"/>
          <w:sz w:val="17"/>
        </w:rPr>
        <w:t>41</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r>
        <w:rPr>
          <w:rFonts w:ascii="Times New Roman" w:hAnsi="Times New Roman"/>
          <w:b/>
          <w:sz w:val="17"/>
        </w:rPr>
        <w:t>ANNEX A</w:t>
      </w:r>
    </w:p>
    <w:p>
      <w:pPr>
        <w:pStyle w:val="TextBody"/>
        <w:keepNext w:val="true"/>
        <w:spacing w:before="0" w:after="120"/>
        <w:ind w:left="0" w:right="0" w:hanging="0"/>
        <w:jc w:val="center"/>
        <w:rPr>
          <w:rFonts w:ascii="Times New Roman" w:hAnsi="Times New Roman"/>
          <w:b/>
          <w:sz w:val="17"/>
        </w:rPr>
      </w:pPr>
      <w:bookmarkStart w:id="44" w:name="LetterOfTransmittal_082036"/>
      <w:bookmarkEnd w:id="44"/>
      <w:r>
        <w:rPr>
          <w:rFonts w:ascii="Times New Roman" w:hAnsi="Times New Roman"/>
          <w:b/>
          <w:sz w:val="17"/>
        </w:rPr>
        <w:t>LETTER OF TRANSMITTAL</w:t>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TO TENDER</w:t>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OUTSTANDING 5.25% SENIOR NOTES DUE 2015</w:t>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OF</w:t>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PLAINS ALL AMERICAN PIPELINE, L.P.</w:t>
        <w:br/>
        <w:t>AND</w:t>
        <w:br/>
        <w:t>PAA FINANCE CORP.</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PURSUANT TO THE EXCHANGE OFFER AND PROSPECTUS</w:t>
        <w:br/>
        <w:t>DATED                 , 2005</w:t>
      </w:r>
    </w:p>
    <w:tbl>
      <w:tblPr>
        <w:tblW w:w="9150" w:type="dxa"/>
        <w:jc w:val="center"/>
        <w:tblInd w:w="0" w:type="dxa"/>
        <w:tblCellMar>
          <w:top w:w="28" w:type="dxa"/>
          <w:left w:w="28" w:type="dxa"/>
          <w:bottom w:w="28" w:type="dxa"/>
          <w:right w:w="28" w:type="dxa"/>
        </w:tblCellMar>
      </w:tblPr>
      <w:tblGrid>
        <w:gridCol w:w="9150"/>
      </w:tblGrid>
      <w:tr>
        <w:trPr/>
        <w:tc>
          <w:tcPr>
            <w:tcW w:w="9150" w:type="dxa"/>
            <w:tcBorders>
              <w:top w:val="single" w:sz="8" w:space="0" w:color="000000"/>
              <w:left w:val="single" w:sz="8" w:space="0" w:color="000000"/>
              <w:bottom w:val="single" w:sz="8" w:space="0" w:color="000000"/>
              <w:right w:val="single" w:sz="8" w:space="0" w:color="000000"/>
            </w:tcBorders>
            <w:shd w:fill="auto" w:val="clear"/>
          </w:tcPr>
          <w:p>
            <w:pPr>
              <w:pStyle w:val="TableContents"/>
              <w:spacing w:before="0" w:after="0"/>
              <w:ind w:left="0" w:right="0" w:hanging="0"/>
              <w:rPr>
                <w:b/>
                <w:sz w:val="17"/>
              </w:rPr>
            </w:pPr>
            <w:r>
              <w:rPr>
                <w:b/>
                <w:sz w:val="17"/>
              </w:rPr>
              <w:t>THE EXCHANGE OFFER AND WITHDRAWAL RIGHTS WILL EXPIRE AT 5:00 P.M., NEW YORK CITY TIME, ON                 , 2005 (THE EXPIRATION DATE), UNLESS THE EXCHANGE OFFER IS EXTENDED BY THE ISSUERS.</w:t>
            </w:r>
          </w:p>
        </w:tc>
      </w:tr>
    </w:tbl>
    <w:p>
      <w:pPr>
        <w:pStyle w:val="TextBody"/>
        <w:spacing w:lineRule="atLeast" w:line="141" w:before="0" w:after="220"/>
        <w:ind w:left="0" w:right="0" w:hanging="0"/>
        <w:rPr/>
      </w:pPr>
      <w:r>
        <w:rPr/>
        <w:t> </w:t>
      </w:r>
    </w:p>
    <w:p>
      <w:pPr>
        <w:pStyle w:val="TextBody"/>
        <w:keepNext w:val="true"/>
        <w:spacing w:before="0" w:after="120"/>
        <w:ind w:left="0" w:right="0" w:hanging="0"/>
        <w:jc w:val="center"/>
        <w:rPr>
          <w:rFonts w:ascii="Times New Roman" w:hAnsi="Times New Roman"/>
          <w:sz w:val="17"/>
        </w:rPr>
      </w:pPr>
      <w:r>
        <w:rPr>
          <w:rFonts w:ascii="Times New Roman" w:hAnsi="Times New Roman"/>
          <w:sz w:val="17"/>
        </w:rPr>
        <w:t>The Exchange Agent for the Exchange Offer is:</w:t>
      </w:r>
    </w:p>
    <w:p>
      <w:pPr>
        <w:pStyle w:val="TextBody"/>
        <w:keepNext w:val="true"/>
        <w:spacing w:before="0" w:after="120"/>
        <w:ind w:left="0" w:right="0" w:hanging="0"/>
        <w:jc w:val="center"/>
        <w:rPr>
          <w:rFonts w:ascii="Times New Roman" w:hAnsi="Times New Roman"/>
          <w:sz w:val="17"/>
        </w:rPr>
      </w:pPr>
      <w:r>
        <w:rPr>
          <w:rFonts w:ascii="Times New Roman" w:hAnsi="Times New Roman"/>
          <w:sz w:val="17"/>
        </w:rPr>
        <w:t>Wachovia Bank, National Association</w:t>
        <w:br/>
        <w:t>Corporate ActionsNC1153</w:t>
        <w:br/>
        <w:t>1525 West W. T. Harris Blvd.3C3</w:t>
        <w:br/>
        <w:t>Charlotte, North Carolina 28288</w:t>
        <w:br/>
        <w:t>Attention:  Carrie Garris</w:t>
      </w:r>
    </w:p>
    <w:p>
      <w:pPr>
        <w:pStyle w:val="TextBody"/>
        <w:spacing w:before="0" w:after="120"/>
        <w:ind w:left="0" w:right="0" w:firstLine="403"/>
        <w:rPr>
          <w:rFonts w:ascii="Times New Roman" w:hAnsi="Times New Roman"/>
          <w:b/>
          <w:sz w:val="17"/>
        </w:rPr>
      </w:pPr>
      <w:r>
        <w:rPr>
          <w:rFonts w:ascii="Times New Roman" w:hAnsi="Times New Roman"/>
          <w:b/>
          <w:sz w:val="17"/>
        </w:rPr>
        <w:t>If you wish to exchange currently outstanding 5.25% senior notes due 2015 (the outstanding notes) for an equal aggregate principal amount at maturity of new 5.25% senior notes due 2015 pursuant to the exchange offer, you must validly tender (and not withdraw) outstanding notes to the exchange agent prior to the expiration date.</w:t>
      </w:r>
    </w:p>
    <w:p>
      <w:pPr>
        <w:pStyle w:val="HorizontalLine"/>
        <w:pBdr>
          <w:bottom w:val="single" w:sz="6" w:space="0" w:color="000000"/>
        </w:pBdr>
        <w:spacing w:lineRule="atLeast" w:line="180" w:before="0" w:after="120"/>
        <w:jc w:val="center"/>
        <w:rPr/>
      </w:pPr>
      <w:r>
        <w:rPr/>
      </w:r>
    </w:p>
    <w:p>
      <w:pPr>
        <w:pStyle w:val="TextBody"/>
        <w:spacing w:before="0" w:after="120"/>
        <w:ind w:left="0" w:right="0" w:firstLine="400"/>
        <w:rPr>
          <w:rFonts w:ascii="Times New Roman" w:hAnsi="Times New Roman"/>
          <w:sz w:val="17"/>
        </w:rPr>
      </w:pPr>
      <w:r>
        <w:rPr>
          <w:rFonts w:ascii="Times New Roman" w:hAnsi="Times New Roman"/>
          <w:sz w:val="17"/>
        </w:rPr>
        <w:t>The undersigned hereby acknowledges receipt and review of the Prospectus, dated                        , 2005 (the Prospectus), of Plains All American Pipeline, L.P. and PAA Finance Corp. (the Issuers), and this Letter of Transmittal (the Letter of Transmittal), which together describe the Issuers offer (the Exchange Offer) to exchange their 5.25% Senior Notes due 2015 (the New Notes) that have been registered under the Securities Act of 1933, as amended (the Securities Act), for a like principal amount of their issued and outstanding 5.25% Senior Notes due 2015 (the Outstanding Notes). Capitalized terms used but not defined herein have the respective meaning given to them in the Prospectus.</w:t>
      </w:r>
    </w:p>
    <w:p>
      <w:pPr>
        <w:pStyle w:val="TextBody"/>
        <w:spacing w:before="0" w:after="120"/>
        <w:ind w:left="0" w:right="0" w:firstLine="400"/>
        <w:rPr>
          <w:rFonts w:ascii="Times New Roman" w:hAnsi="Times New Roman"/>
          <w:sz w:val="17"/>
        </w:rPr>
      </w:pPr>
      <w:r>
        <w:rPr>
          <w:rFonts w:ascii="Times New Roman" w:hAnsi="Times New Roman"/>
          <w:sz w:val="17"/>
        </w:rPr>
        <w:t>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w:t>
      </w:r>
    </w:p>
    <w:p>
      <w:pPr>
        <w:pStyle w:val="TextBody"/>
        <w:keepNext w:val="true"/>
        <w:spacing w:before="0" w:after="120"/>
        <w:ind w:left="0" w:right="0" w:firstLine="400"/>
        <w:rPr>
          <w:rFonts w:ascii="Times New Roman" w:hAnsi="Times New Roman"/>
          <w:sz w:val="17"/>
        </w:rPr>
      </w:pPr>
      <w:r>
        <w:rPr>
          <w:rFonts w:ascii="Times New Roman" w:hAnsi="Times New Roman"/>
          <w:sz w:val="17"/>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The Exchange OfferProcedures for Tendering.  DTC participants that are accepting the Exchange Offer must transmit their acceptance to DTC, which will verify the acceptance and execute a book-entry delivery to the Exchange Agents DTC account. DTC will then send a computer generated message known as an </w:t>
      </w:r>
    </w:p>
    <w:p>
      <w:pPr>
        <w:pStyle w:val="TextBody"/>
        <w:spacing w:before="480" w:after="480"/>
        <w:ind w:left="0" w:right="0" w:hanging="0"/>
        <w:rPr>
          <w:rFonts w:ascii="Times New Roman" w:hAnsi="Times New Roman"/>
          <w:sz w:val="17"/>
        </w:rPr>
      </w:pPr>
      <w:r>
        <w:rPr>
          <w:rFonts w:ascii="Times New Roman" w:hAnsi="Times New Roman"/>
          <w:sz w:val="17"/>
        </w:rPr>
        <w:t>A-1</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rPr>
          <w:rFonts w:ascii="Times New Roman" w:hAnsi="Times New Roman"/>
          <w:sz w:val="17"/>
        </w:rPr>
      </w:pPr>
      <w:r>
        <w:rPr>
          <w:rFonts w:ascii="Times New Roman" w:hAnsi="Times New Roman"/>
          <w:sz w:val="17"/>
        </w:rPr>
        <w:t>agents message to the exchange agent for its acceptance. For you to validly tender your Outstanding notes in the Exchange Offer the Exchange Agent must receive prior to the Expiration Date, an agents message under the ATOP procedures that confirms that:</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DTC has received your instructions to tender your Outstanding Notes; and</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You agree to be bound by the terms of this Letter of Transmittal.</w:t>
      </w:r>
    </w:p>
    <w:p>
      <w:pPr>
        <w:pStyle w:val="TextBody"/>
        <w:spacing w:before="0" w:after="240"/>
        <w:ind w:left="0" w:right="0" w:firstLine="400"/>
        <w:rPr>
          <w:rFonts w:ascii="Times New Roman" w:hAnsi="Times New Roman"/>
          <w:sz w:val="17"/>
        </w:rPr>
      </w:pPr>
      <w:r>
        <w:rPr>
          <w:rFonts w:ascii="Times New Roman" w:hAnsi="Times New Roman"/>
          <w:sz w:val="17"/>
        </w:rPr>
        <w:t>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pStyle w:val="TextBody"/>
        <w:spacing w:before="480" w:after="480"/>
        <w:ind w:left="0" w:right="0" w:hanging="0"/>
        <w:rPr>
          <w:rFonts w:ascii="Times New Roman" w:hAnsi="Times New Roman"/>
          <w:sz w:val="17"/>
        </w:rPr>
      </w:pPr>
      <w:r>
        <w:rPr>
          <w:rFonts w:ascii="Times New Roman" w:hAnsi="Times New Roman"/>
          <w:sz w:val="17"/>
        </w:rPr>
        <w:t>A-2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45" w:name="_095855"/>
      <w:bookmarkEnd w:id="45"/>
      <w:r>
        <w:rPr>
          <w:rFonts w:ascii="Times New Roman" w:hAnsi="Times New Roman"/>
          <w:b/>
          <w:sz w:val="17"/>
        </w:rPr>
        <w:t>SIGNATURES MUST BE PROVIDED</w:t>
        <w:br/>
        <w:t>PLEASE READ THE ACCOMPANYING INSTRUCTIONS CAREFULLY.</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Ladies and Gentlemen:</w:t>
      </w:r>
    </w:p>
    <w:p>
      <w:pPr>
        <w:pStyle w:val="TextBody"/>
        <w:spacing w:before="0" w:after="120"/>
        <w:ind w:left="0" w:right="0" w:firstLine="400"/>
        <w:rPr>
          <w:rFonts w:ascii="Times New Roman" w:hAnsi="Times New Roman"/>
          <w:sz w:val="17"/>
        </w:rPr>
      </w:pPr>
      <w:r>
        <w:rPr>
          <w:rFonts w:ascii="Times New Roman" w:hAnsi="Times New Roman"/>
          <w:sz w:val="17"/>
        </w:rPr>
        <w:t>1.     By tendering Outstanding Notes in the Exchange Offer, you acknowledge receipt of the Prospectus and this Letter of Transmittal.</w:t>
      </w:r>
    </w:p>
    <w:p>
      <w:pPr>
        <w:pStyle w:val="TextBody"/>
        <w:spacing w:before="0" w:after="120"/>
        <w:ind w:left="0" w:right="0" w:firstLine="400"/>
        <w:rPr>
          <w:rFonts w:ascii="Times New Roman" w:hAnsi="Times New Roman"/>
          <w:sz w:val="17"/>
        </w:rPr>
      </w:pPr>
      <w:r>
        <w:rPr>
          <w:rFonts w:ascii="Times New Roman" w:hAnsi="Times New Roman"/>
          <w:sz w:val="17"/>
        </w:rPr>
        <w:t>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w:t>
      </w:r>
    </w:p>
    <w:p>
      <w:pPr>
        <w:pStyle w:val="TextBody"/>
        <w:spacing w:before="0" w:after="120"/>
        <w:ind w:left="0" w:right="0" w:firstLine="400"/>
        <w:rPr>
          <w:rFonts w:ascii="Times New Roman" w:hAnsi="Times New Roman"/>
          <w:sz w:val="17"/>
        </w:rPr>
      </w:pPr>
      <w:r>
        <w:rPr>
          <w:rFonts w:ascii="Times New Roman" w:hAnsi="Times New Roman"/>
          <w:sz w:val="17"/>
        </w:rPr>
        <w:t>3.     You understand that the tender of the Outstanding Notes pursuant to all of the procedures set forth in the Prospectus will constitute an agreement between the undersigned and the Issuers as to the terms and conditions set forth in the Prospectus.</w:t>
      </w:r>
    </w:p>
    <w:p>
      <w:pPr>
        <w:pStyle w:val="TextBody"/>
        <w:spacing w:before="0" w:after="120"/>
        <w:ind w:left="0" w:right="0" w:firstLine="400"/>
        <w:rPr>
          <w:rFonts w:ascii="Times New Roman" w:hAnsi="Times New Roman"/>
          <w:sz w:val="17"/>
        </w:rPr>
      </w:pPr>
      <w:r>
        <w:rPr>
          <w:rFonts w:ascii="Times New Roman" w:hAnsi="Times New Roman"/>
          <w:sz w:val="17"/>
        </w:rPr>
        <w:t>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w:t>
      </w:r>
    </w:p>
    <w:p>
      <w:pPr>
        <w:pStyle w:val="TextBody"/>
        <w:keepNext w:val="true"/>
        <w:spacing w:before="0" w:after="120"/>
        <w:ind w:left="0" w:right="0" w:firstLine="400"/>
        <w:rPr>
          <w:rFonts w:ascii="Times New Roman" w:hAnsi="Times New Roman"/>
          <w:sz w:val="17"/>
        </w:rPr>
      </w:pPr>
      <w:r>
        <w:rPr>
          <w:rFonts w:ascii="Times New Roman" w:hAnsi="Times New Roman"/>
          <w:sz w:val="17"/>
        </w:rPr>
        <w:t>5.     By tendering Outstanding Notes in the Exchange Offer, you hereby represent and warrant that:</w:t>
      </w:r>
    </w:p>
    <w:p>
      <w:pPr>
        <w:pStyle w:val="TextBody"/>
        <w:spacing w:before="0" w:after="120"/>
        <w:ind w:left="1200" w:right="0" w:hanging="400"/>
        <w:rPr>
          <w:rFonts w:ascii="Times New Roman" w:hAnsi="Times New Roman"/>
          <w:sz w:val="17"/>
        </w:rPr>
      </w:pPr>
      <w:r>
        <w:rPr>
          <w:rFonts w:ascii="Times New Roman" w:hAnsi="Times New Roman"/>
          <w:sz w:val="17"/>
        </w:rPr>
        <w:t>a.                  the New Notes acquired pursuant to the Exchange Offer are being obtained in the ordinary course of business of the undersigned, whether or not you are the holder;</w:t>
      </w:r>
    </w:p>
    <w:p>
      <w:pPr>
        <w:pStyle w:val="TextBody"/>
        <w:spacing w:before="0" w:after="120"/>
        <w:ind w:left="1200" w:right="0" w:hanging="400"/>
        <w:rPr>
          <w:rFonts w:ascii="Times New Roman" w:hAnsi="Times New Roman"/>
          <w:sz w:val="17"/>
        </w:rPr>
      </w:pPr>
      <w:r>
        <w:rPr>
          <w:rFonts w:ascii="Times New Roman" w:hAnsi="Times New Roman"/>
          <w:sz w:val="17"/>
        </w:rPr>
        <w:t>b.                 you have no arrangement or understanding with any person to participate in the distribution of Outstanding Notes or New Notes within the meaning of the Securities Act;</w:t>
      </w:r>
    </w:p>
    <w:p>
      <w:pPr>
        <w:pStyle w:val="TextBody"/>
        <w:spacing w:before="0" w:after="120"/>
        <w:ind w:left="1200" w:right="0" w:hanging="400"/>
        <w:rPr>
          <w:rFonts w:ascii="Times New Roman" w:hAnsi="Times New Roman"/>
          <w:sz w:val="17"/>
        </w:rPr>
      </w:pPr>
      <w:r>
        <w:rPr>
          <w:rFonts w:ascii="Times New Roman" w:hAnsi="Times New Roman"/>
          <w:sz w:val="17"/>
        </w:rPr>
        <w:t>c.                  you are not an affiliate, as such term is defined under Rule 405 promulgated under the Securities Act, of the Company, or if you are an affiliate, you will comply with the registration and prospectus delivery requirements of the Securities Act to the extent applicable;</w:t>
      </w:r>
    </w:p>
    <w:p>
      <w:pPr>
        <w:pStyle w:val="TextBody"/>
        <w:spacing w:before="0" w:after="120"/>
        <w:ind w:left="1200" w:right="0" w:hanging="400"/>
        <w:rPr>
          <w:rFonts w:ascii="Times New Roman" w:hAnsi="Times New Roman"/>
          <w:sz w:val="17"/>
        </w:rPr>
      </w:pPr>
      <w:r>
        <w:rPr>
          <w:rFonts w:ascii="Times New Roman" w:hAnsi="Times New Roman"/>
          <w:sz w:val="17"/>
        </w:rPr>
        <w:t>d.                 if you are not a broker-dealer, that you are not engaged in, and do not intend to engage in, the distribution of the New Notes; and</w:t>
      </w:r>
    </w:p>
    <w:p>
      <w:pPr>
        <w:pStyle w:val="TextBody"/>
        <w:spacing w:before="0" w:after="120"/>
        <w:ind w:left="1200" w:right="0" w:hanging="400"/>
        <w:rPr>
          <w:rFonts w:ascii="Times New Roman" w:hAnsi="Times New Roman"/>
          <w:sz w:val="17"/>
        </w:rPr>
      </w:pPr>
      <w:r>
        <w:rPr>
          <w:rFonts w:ascii="Times New Roman" w:hAnsi="Times New Roman"/>
          <w:sz w:val="17"/>
        </w:rPr>
        <w:t>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w:t>
      </w:r>
    </w:p>
    <w:p>
      <w:pPr>
        <w:pStyle w:val="TextBody"/>
        <w:spacing w:before="0" w:after="120"/>
        <w:ind w:left="0" w:right="0" w:firstLine="400"/>
        <w:rPr>
          <w:rFonts w:ascii="Times New Roman" w:hAnsi="Times New Roman"/>
          <w:sz w:val="17"/>
        </w:rPr>
      </w:pPr>
      <w:r>
        <w:rPr>
          <w:rFonts w:ascii="Times New Roman" w:hAnsi="Times New Roman"/>
          <w:sz w:val="17"/>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Registration Rights </w:t>
      </w:r>
    </w:p>
    <w:p>
      <w:pPr>
        <w:pStyle w:val="TextBody"/>
        <w:spacing w:before="480" w:after="480"/>
        <w:ind w:left="0" w:right="0" w:hanging="0"/>
        <w:rPr>
          <w:rFonts w:ascii="Times New Roman" w:hAnsi="Times New Roman"/>
          <w:sz w:val="17"/>
        </w:rPr>
      </w:pPr>
      <w:r>
        <w:rPr>
          <w:rFonts w:ascii="Times New Roman" w:hAnsi="Times New Roman"/>
          <w:sz w:val="17"/>
        </w:rPr>
        <w:t>A-3</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Agreement, dated as of May 27, 2005 (the Registration Rights Agreement), by and among the Issuers, the Guarantors (as defined therein)  and the Initial Purchaser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the undersigned furnished in writing by or on behalf of the undersigned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w:t>
      </w:r>
    </w:p>
    <w:p>
      <w:pPr>
        <w:pStyle w:val="TextBody"/>
        <w:spacing w:before="0" w:after="120"/>
        <w:ind w:left="0" w:right="0" w:firstLine="400"/>
        <w:rPr>
          <w:rFonts w:ascii="Times New Roman" w:hAnsi="Times New Roman"/>
          <w:sz w:val="17"/>
        </w:rPr>
      </w:pPr>
      <w:r>
        <w:rPr>
          <w:rFonts w:ascii="Times New Roman" w:hAnsi="Times New Roman"/>
          <w:sz w:val="17"/>
        </w:rPr>
        <w:t>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w:t>
      </w:r>
    </w:p>
    <w:p>
      <w:pPr>
        <w:pStyle w:val="TextBody"/>
        <w:spacing w:before="0" w:after="240"/>
        <w:ind w:left="0" w:right="0" w:firstLine="400"/>
        <w:rPr>
          <w:rFonts w:ascii="Times New Roman" w:hAnsi="Times New Roman"/>
          <w:sz w:val="17"/>
        </w:rPr>
      </w:pPr>
      <w:r>
        <w:rPr>
          <w:rFonts w:ascii="Times New Roman" w:hAnsi="Times New Roman"/>
          <w:sz w:val="17"/>
        </w:rPr>
        <w:t>8.     Any of your obligations hereunder shall be binding upon your successors, assigns, executors, administrators, trustees in bankruptcy and legal and personal representatives.</w:t>
      </w:r>
    </w:p>
    <w:p>
      <w:pPr>
        <w:pStyle w:val="TextBody"/>
        <w:spacing w:before="480" w:after="480"/>
        <w:ind w:left="0" w:right="0" w:hanging="0"/>
        <w:rPr>
          <w:rFonts w:ascii="Times New Roman" w:hAnsi="Times New Roman"/>
          <w:sz w:val="17"/>
        </w:rPr>
      </w:pPr>
      <w:r>
        <w:rPr>
          <w:rFonts w:ascii="Times New Roman" w:hAnsi="Times New Roman"/>
          <w:sz w:val="17"/>
        </w:rPr>
        <w:t>A-4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INSTRUCTIONS</w:t>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FORMING PART OF THE TERMS AND CONDITIONS OF THE EXCHANGE OFFER</w:t>
      </w:r>
    </w:p>
    <w:p>
      <w:pPr>
        <w:pStyle w:val="TextBody"/>
        <w:keepNext w:val="true"/>
        <w:spacing w:before="0" w:after="120"/>
        <w:ind w:left="0" w:right="0" w:firstLine="400"/>
        <w:rPr>
          <w:rFonts w:ascii="Times New Roman" w:hAnsi="Times New Roman"/>
          <w:sz w:val="17"/>
        </w:rPr>
      </w:pPr>
      <w:r>
        <w:rPr>
          <w:rFonts w:ascii="Times New Roman" w:hAnsi="Times New Roman"/>
          <w:sz w:val="17"/>
        </w:rPr>
        <w:t>1.     Book-Entry Confirmations.</w:t>
      </w:r>
    </w:p>
    <w:p>
      <w:pPr>
        <w:pStyle w:val="TextBody"/>
        <w:keepNext w:val="true"/>
        <w:spacing w:before="0" w:after="240"/>
        <w:ind w:left="0" w:right="0" w:firstLine="400"/>
        <w:rPr>
          <w:rFonts w:ascii="Times New Roman" w:hAnsi="Times New Roman"/>
          <w:sz w:val="17"/>
        </w:rPr>
      </w:pPr>
      <w:r>
        <w:rPr>
          <w:rFonts w:ascii="Times New Roman" w:hAnsi="Times New Roman"/>
          <w:sz w:val="17"/>
        </w:rPr>
        <w:t>Any confirmation of a book-entry transfer to the Exchange Agents account at DTC of Outstanding Notes tendered by book-entry transfer (a Book-Entry Confirmation), as well as Agents Message and any other documents required by this Letter of Transmittal, must be received by the Exchange Agent at its address set forth herein prior to 5:00 P.M., New York City time, on the Expiration Date.</w:t>
      </w:r>
    </w:p>
    <w:p>
      <w:pPr>
        <w:pStyle w:val="TextBody"/>
        <w:spacing w:before="0" w:after="120"/>
        <w:ind w:left="0" w:right="0" w:firstLine="400"/>
        <w:rPr>
          <w:rFonts w:ascii="Times New Roman" w:hAnsi="Times New Roman"/>
          <w:sz w:val="17"/>
        </w:rPr>
      </w:pPr>
      <w:r>
        <w:rPr>
          <w:rFonts w:ascii="Times New Roman" w:hAnsi="Times New Roman"/>
          <w:sz w:val="17"/>
        </w:rPr>
        <w:t>2.     Partial Tenders.</w:t>
      </w:r>
    </w:p>
    <w:p>
      <w:pPr>
        <w:pStyle w:val="TextBody"/>
        <w:keepNext w:val="true"/>
        <w:spacing w:before="0" w:after="240"/>
        <w:ind w:left="0" w:right="0" w:firstLine="400"/>
        <w:rPr>
          <w:rFonts w:ascii="Times New Roman" w:hAnsi="Times New Roman"/>
          <w:sz w:val="17"/>
        </w:rPr>
      </w:pPr>
      <w:r>
        <w:rPr>
          <w:rFonts w:ascii="Times New Roman" w:hAnsi="Times New Roman"/>
          <w:sz w:val="17"/>
        </w:rPr>
        <w:t>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w:t>
      </w:r>
    </w:p>
    <w:p>
      <w:pPr>
        <w:pStyle w:val="TextBody"/>
        <w:spacing w:before="0" w:after="120"/>
        <w:ind w:left="0" w:right="0" w:firstLine="400"/>
        <w:rPr>
          <w:rFonts w:ascii="Times New Roman" w:hAnsi="Times New Roman"/>
          <w:sz w:val="17"/>
        </w:rPr>
      </w:pPr>
      <w:r>
        <w:rPr>
          <w:rFonts w:ascii="Times New Roman" w:hAnsi="Times New Roman"/>
          <w:sz w:val="17"/>
        </w:rPr>
        <w:t>3.     Validity of Tenders.</w:t>
      </w:r>
    </w:p>
    <w:p>
      <w:pPr>
        <w:pStyle w:val="TextBody"/>
        <w:keepNext w:val="true"/>
        <w:spacing w:before="0" w:after="240"/>
        <w:ind w:left="0" w:right="0" w:firstLine="400"/>
        <w:rPr>
          <w:rFonts w:ascii="Times New Roman" w:hAnsi="Times New Roman"/>
          <w:sz w:val="17"/>
        </w:rPr>
      </w:pPr>
      <w:r>
        <w:rPr>
          <w:rFonts w:ascii="Times New Roman" w:hAnsi="Times New Roman"/>
          <w:sz w:val="17"/>
        </w:rPr>
        <w:t>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w:t>
      </w:r>
    </w:p>
    <w:p>
      <w:pPr>
        <w:pStyle w:val="TextBody"/>
        <w:spacing w:before="0" w:after="120"/>
        <w:ind w:left="0" w:right="0" w:firstLine="400"/>
        <w:rPr>
          <w:rFonts w:ascii="Times New Roman" w:hAnsi="Times New Roman"/>
          <w:sz w:val="17"/>
        </w:rPr>
      </w:pPr>
      <w:r>
        <w:rPr>
          <w:rFonts w:ascii="Times New Roman" w:hAnsi="Times New Roman"/>
          <w:sz w:val="17"/>
        </w:rPr>
        <w:t>4.     Waiver of Conditions.</w:t>
      </w:r>
    </w:p>
    <w:p>
      <w:pPr>
        <w:pStyle w:val="TextBody"/>
        <w:keepNext w:val="true"/>
        <w:spacing w:before="0" w:after="240"/>
        <w:ind w:left="0" w:right="0" w:firstLine="400"/>
        <w:rPr>
          <w:rFonts w:ascii="Times New Roman" w:hAnsi="Times New Roman"/>
          <w:sz w:val="17"/>
        </w:rPr>
      </w:pPr>
      <w:r>
        <w:rPr>
          <w:rFonts w:ascii="Times New Roman" w:hAnsi="Times New Roman"/>
          <w:sz w:val="17"/>
        </w:rPr>
        <w:t>The Issuers reserve the absolute right to waive, in whole or part, up to the expiration of the Exchange Offer, any of the conditions to the Exchange Offer set forth in the Prospectus or in this Letter of Transmittal.</w:t>
      </w:r>
    </w:p>
    <w:p>
      <w:pPr>
        <w:pStyle w:val="TextBody"/>
        <w:spacing w:before="0" w:after="120"/>
        <w:ind w:left="0" w:right="0" w:firstLine="400"/>
        <w:rPr>
          <w:rFonts w:ascii="Times New Roman" w:hAnsi="Times New Roman"/>
          <w:sz w:val="17"/>
        </w:rPr>
      </w:pPr>
      <w:r>
        <w:rPr>
          <w:rFonts w:ascii="Times New Roman" w:hAnsi="Times New Roman"/>
          <w:sz w:val="17"/>
        </w:rPr>
        <w:t>5.     No Conditional Tender.</w:t>
      </w:r>
    </w:p>
    <w:p>
      <w:pPr>
        <w:pStyle w:val="TextBody"/>
        <w:spacing w:before="0" w:after="240"/>
        <w:ind w:left="0" w:right="0" w:firstLine="400"/>
        <w:rPr>
          <w:rFonts w:ascii="Times New Roman" w:hAnsi="Times New Roman"/>
          <w:sz w:val="17"/>
        </w:rPr>
      </w:pPr>
      <w:r>
        <w:rPr>
          <w:rFonts w:ascii="Times New Roman" w:hAnsi="Times New Roman"/>
          <w:sz w:val="17"/>
        </w:rPr>
        <w:t>No alternative, conditional, irregular or contingent tender of Outstanding Notes will be accepted.</w:t>
      </w:r>
    </w:p>
    <w:p>
      <w:pPr>
        <w:pStyle w:val="TextBody"/>
        <w:spacing w:before="0" w:after="120"/>
        <w:ind w:left="0" w:right="0" w:firstLine="400"/>
        <w:rPr>
          <w:rFonts w:ascii="Times New Roman" w:hAnsi="Times New Roman"/>
          <w:sz w:val="17"/>
        </w:rPr>
      </w:pPr>
      <w:r>
        <w:rPr>
          <w:rFonts w:ascii="Times New Roman" w:hAnsi="Times New Roman"/>
          <w:sz w:val="17"/>
        </w:rPr>
        <w:t>6.     Request for Assistance or Additional Copies.</w:t>
      </w:r>
    </w:p>
    <w:p>
      <w:pPr>
        <w:pStyle w:val="TextBody"/>
        <w:keepNext w:val="true"/>
        <w:spacing w:before="0" w:after="240"/>
        <w:ind w:left="0" w:right="0" w:firstLine="400"/>
        <w:rPr>
          <w:rFonts w:ascii="Times New Roman" w:hAnsi="Times New Roman"/>
          <w:sz w:val="17"/>
        </w:rPr>
      </w:pPr>
      <w:r>
        <w:rPr>
          <w:rFonts w:ascii="Times New Roman" w:hAnsi="Times New Roman"/>
          <w:sz w:val="17"/>
        </w:rPr>
        <w:t xml:space="preserve">Requests for assistance or for additional copies of the Prospectus or this Letter of Transmittal may be directed to the Exchange Agent at the address or telephone number set forth on the cover page of this </w:t>
      </w:r>
    </w:p>
    <w:p>
      <w:pPr>
        <w:pStyle w:val="TextBody"/>
        <w:spacing w:before="480" w:after="480"/>
        <w:ind w:left="0" w:right="0" w:hanging="0"/>
        <w:rPr>
          <w:rFonts w:ascii="Times New Roman" w:hAnsi="Times New Roman"/>
          <w:sz w:val="17"/>
        </w:rPr>
      </w:pPr>
      <w:r>
        <w:rPr>
          <w:rFonts w:ascii="Times New Roman" w:hAnsi="Times New Roman"/>
          <w:sz w:val="17"/>
        </w:rPr>
        <w:t>A-5</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rPr>
          <w:rFonts w:ascii="Times New Roman" w:hAnsi="Times New Roman"/>
          <w:sz w:val="17"/>
        </w:rPr>
      </w:pPr>
      <w:r>
        <w:rPr>
          <w:rFonts w:ascii="Times New Roman" w:hAnsi="Times New Roman"/>
          <w:sz w:val="17"/>
        </w:rPr>
        <w:t>Letter of Transmittal. Holders may also contact their broker, dealer, commercial bank, trust company or other nominee for assistance concerning the Exchange Offer.</w:t>
      </w:r>
    </w:p>
    <w:p>
      <w:pPr>
        <w:pStyle w:val="TextBody"/>
        <w:spacing w:before="0" w:after="120"/>
        <w:ind w:left="0" w:right="0" w:firstLine="400"/>
        <w:rPr>
          <w:rFonts w:ascii="Times New Roman" w:hAnsi="Times New Roman"/>
          <w:sz w:val="17"/>
        </w:rPr>
      </w:pPr>
      <w:r>
        <w:rPr>
          <w:rFonts w:ascii="Times New Roman" w:hAnsi="Times New Roman"/>
          <w:sz w:val="17"/>
        </w:rPr>
        <w:t>7.     Withdrawal.</w:t>
      </w:r>
    </w:p>
    <w:p>
      <w:pPr>
        <w:pStyle w:val="TextBody"/>
        <w:keepNext w:val="true"/>
        <w:spacing w:before="0" w:after="240"/>
        <w:ind w:left="0" w:right="0" w:firstLine="400"/>
        <w:rPr>
          <w:rFonts w:ascii="Times New Roman" w:hAnsi="Times New Roman"/>
          <w:sz w:val="17"/>
        </w:rPr>
      </w:pPr>
      <w:r>
        <w:rPr>
          <w:rFonts w:ascii="Times New Roman" w:hAnsi="Times New Roman"/>
          <w:sz w:val="17"/>
        </w:rPr>
        <w:t>Tenders may be withdrawn only pursuant to the limited withdrawal rights set forth in the Prospectus under the caption Exchange OfferWithdrawal of Tenders.</w:t>
      </w:r>
    </w:p>
    <w:p>
      <w:pPr>
        <w:pStyle w:val="TextBody"/>
        <w:spacing w:before="0" w:after="120"/>
        <w:ind w:left="0" w:right="0" w:firstLine="400"/>
        <w:rPr>
          <w:rFonts w:ascii="Times New Roman" w:hAnsi="Times New Roman"/>
          <w:sz w:val="17"/>
        </w:rPr>
      </w:pPr>
      <w:r>
        <w:rPr>
          <w:rFonts w:ascii="Times New Roman" w:hAnsi="Times New Roman"/>
          <w:sz w:val="17"/>
        </w:rPr>
        <w:t>8.     No Guarantee of Late Delivery.</w:t>
      </w:r>
    </w:p>
    <w:p>
      <w:pPr>
        <w:pStyle w:val="TextBody"/>
        <w:spacing w:before="0" w:after="120"/>
        <w:ind w:left="0" w:right="0" w:firstLine="400"/>
        <w:rPr>
          <w:rFonts w:ascii="Times New Roman" w:hAnsi="Times New Roman"/>
          <w:sz w:val="17"/>
        </w:rPr>
      </w:pPr>
      <w:r>
        <w:rPr>
          <w:rFonts w:ascii="Times New Roman" w:hAnsi="Times New Roman"/>
          <w:sz w:val="17"/>
        </w:rPr>
        <w:t>There is no procedure for guarantee of late delivery in the Exchange Offer.</w:t>
      </w:r>
    </w:p>
    <w:p>
      <w:pPr>
        <w:pStyle w:val="TextBody"/>
        <w:spacing w:before="0" w:after="120"/>
        <w:ind w:left="0" w:right="0" w:firstLine="400"/>
        <w:rPr>
          <w:rFonts w:ascii="Times New Roman" w:hAnsi="Times New Roman"/>
          <w:sz w:val="17"/>
        </w:rPr>
      </w:pPr>
      <w:r>
        <w:rPr>
          <w:rFonts w:ascii="Times New Roman" w:hAnsi="Times New Roman"/>
          <w:sz w:val="17"/>
        </w:rPr>
        <w:t>IMPORTANT:  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pStyle w:val="TextBody"/>
        <w:spacing w:before="480" w:after="480"/>
        <w:ind w:left="0" w:right="0" w:hanging="0"/>
        <w:rPr>
          <w:rFonts w:ascii="Times New Roman" w:hAnsi="Times New Roman"/>
          <w:sz w:val="17"/>
        </w:rPr>
      </w:pPr>
      <w:r>
        <w:rPr>
          <w:rFonts w:ascii="Times New Roman" w:hAnsi="Times New Roman"/>
          <w:sz w:val="17"/>
        </w:rPr>
        <w:t>A-6</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240"/>
        <w:ind w:left="0" w:right="0" w:hanging="0"/>
        <w:jc w:val="center"/>
        <w:rPr>
          <w:rFonts w:ascii="Times New Roman" w:hAnsi="Times New Roman"/>
          <w:b/>
          <w:sz w:val="17"/>
        </w:rPr>
      </w:pPr>
      <w:bookmarkStart w:id="46" w:name="PartiiInformationNotRequiredInPro_090456"/>
      <w:bookmarkEnd w:id="46"/>
      <w:r>
        <w:rPr>
          <w:rFonts w:ascii="Times New Roman" w:hAnsi="Times New Roman"/>
          <w:b/>
          <w:sz w:val="17"/>
        </w:rPr>
        <w:t>PART II</w:t>
        <w:br/>
        <w:t>INFORMATION NOT REQUIRED IN PROSPECTUS</w:t>
      </w:r>
    </w:p>
    <w:p>
      <w:pPr>
        <w:pStyle w:val="TextBody"/>
        <w:keepNext w:val="true"/>
        <w:spacing w:before="0" w:after="120"/>
        <w:ind w:left="940" w:right="0" w:hanging="940"/>
        <w:rPr>
          <w:rFonts w:ascii="Times New Roman" w:hAnsi="Times New Roman"/>
          <w:b/>
          <w:sz w:val="17"/>
        </w:rPr>
      </w:pPr>
      <w:bookmarkStart w:id="47" w:name="Item20_IndemnificationOfOfficersA_090528"/>
      <w:bookmarkEnd w:id="47"/>
      <w:r>
        <w:rPr>
          <w:rFonts w:ascii="Times New Roman" w:hAnsi="Times New Roman"/>
          <w:b/>
          <w:sz w:val="17"/>
        </w:rPr>
        <w:t>Item 20.                 Indemnification of Officers and Directors</w:t>
      </w:r>
    </w:p>
    <w:p>
      <w:pPr>
        <w:pStyle w:val="TextBody"/>
        <w:spacing w:before="0" w:after="120"/>
        <w:ind w:left="0" w:right="0" w:firstLine="400"/>
        <w:rPr>
          <w:rFonts w:ascii="Times New Roman" w:hAnsi="Times New Roman"/>
          <w:sz w:val="17"/>
        </w:rPr>
      </w:pPr>
      <w:r>
        <w:rPr>
          <w:rFonts w:ascii="Times New Roman" w:hAnsi="Times New Roman"/>
          <w:sz w:val="17"/>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pStyle w:val="TextBody"/>
        <w:spacing w:before="0" w:after="240"/>
        <w:ind w:left="0" w:right="0" w:firstLine="400"/>
        <w:rPr>
          <w:rFonts w:ascii="Times New Roman" w:hAnsi="Times New Roman"/>
          <w:sz w:val="17"/>
        </w:rPr>
      </w:pPr>
      <w:r>
        <w:rPr>
          <w:rFonts w:ascii="Times New Roman" w:hAnsi="Times New Roman"/>
          <w:sz w:val="17"/>
        </w:rPr>
        <w:t>The underwriting agreements that the partnership may enter into with respect to the offer and sale of securities covered by this registration statement will contain certain provisions for the indemnification of directors and officers of the partnership and the underwriters or sales agent, as applicable, against civil liabilities under the Securities Act.</w:t>
      </w:r>
    </w:p>
    <w:p>
      <w:pPr>
        <w:pStyle w:val="TextBody"/>
        <w:keepNext w:val="true"/>
        <w:spacing w:before="0" w:after="240"/>
        <w:ind w:left="940" w:right="0" w:hanging="940"/>
        <w:rPr>
          <w:rFonts w:ascii="Times New Roman" w:hAnsi="Times New Roman"/>
          <w:b/>
          <w:sz w:val="17"/>
        </w:rPr>
      </w:pPr>
      <w:bookmarkStart w:id="48" w:name="Item21_ExhibitsAndFinancialStatem_090724"/>
      <w:bookmarkEnd w:id="48"/>
      <w:r>
        <w:rPr>
          <w:rFonts w:ascii="Times New Roman" w:hAnsi="Times New Roman"/>
          <w:b/>
          <w:sz w:val="17"/>
        </w:rPr>
        <w:t>Item 21.                 Exhibits and Financial Statement Schedules</w:t>
      </w:r>
    </w:p>
    <w:tbl>
      <w:tblPr>
        <w:tblW w:w="9150" w:type="dxa"/>
        <w:jc w:val="center"/>
        <w:tblInd w:w="0" w:type="dxa"/>
        <w:tblCellMar>
          <w:top w:w="0" w:type="dxa"/>
          <w:left w:w="0" w:type="dxa"/>
          <w:bottom w:w="0" w:type="dxa"/>
          <w:right w:w="0" w:type="dxa"/>
        </w:tblCellMar>
      </w:tblPr>
      <w:tblGrid>
        <w:gridCol w:w="615"/>
        <w:gridCol w:w="315"/>
        <w:gridCol w:w="210"/>
        <w:gridCol w:w="300"/>
        <w:gridCol w:w="7710"/>
      </w:tblGrid>
      <w:tr>
        <w:trPr/>
        <w:tc>
          <w:tcPr>
            <w:tcW w:w="615" w:type="dxa"/>
            <w:tcBorders/>
            <w:shd w:fill="auto" w:val="clear"/>
          </w:tcPr>
          <w:p>
            <w:pPr>
              <w:pStyle w:val="TableContents"/>
              <w:spacing w:before="0" w:after="0"/>
              <w:ind w:left="0" w:right="0" w:hanging="0"/>
              <w:rPr>
                <w:sz w:val="17"/>
              </w:rPr>
            </w:pPr>
            <w:r>
              <w:rPr>
                <w:sz w:val="17"/>
              </w:rPr>
              <w:t>4.1</w:t>
            </w:r>
          </w:p>
        </w:tc>
        <w:tc>
          <w:tcPr>
            <w:tcW w:w="315" w:type="dxa"/>
            <w:tcBorders/>
            <w:shd w:fill="auto" w:val="clear"/>
            <w:vAlign w:val="bottom"/>
          </w:tcPr>
          <w:p>
            <w:pPr>
              <w:pStyle w:val="TableContents"/>
              <w:spacing w:before="0" w:after="0"/>
              <w:ind w:left="0" w:right="0" w:hanging="0"/>
              <w:rPr/>
            </w:pPr>
            <w:r>
              <w:rPr/>
              <w:t> </w:t>
            </w:r>
          </w:p>
        </w:tc>
        <w:tc>
          <w:tcPr>
            <w:tcW w:w="21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0" w:after="0"/>
              <w:ind w:left="0" w:right="0" w:hanging="0"/>
              <w:rPr/>
            </w:pPr>
            <w:r>
              <w:rPr/>
              <w:t> </w:t>
            </w:r>
          </w:p>
        </w:tc>
        <w:tc>
          <w:tcPr>
            <w:tcW w:w="77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(incorporated by reference to Exhibit 4.1 to Quarterly Report on Form 10-Q for the Quarter ended September 30, 2002)</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4.2</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First Supplemental Indenture dated as of September 25, 2002 (incorporated by reference to Exhibit 4.2 to Quarterly Report on Form 10-Q for the Quarter ended September 30, 2002)</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4.3</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Second Supplemental Indenture dated as of December 10, 2003 (incorporated by reference to Exhibit 4.4 to Annual Report on Form 10-K for the Year ended December 31, 2003)</w:t>
            </w:r>
          </w:p>
        </w:tc>
      </w:tr>
    </w:tbl>
    <w:p>
      <w:pPr>
        <w:pStyle w:val="TextBody"/>
        <w:spacing w:before="480" w:after="480"/>
        <w:ind w:left="0" w:right="0" w:hanging="0"/>
        <w:rPr>
          <w:rFonts w:ascii="Times New Roman" w:hAnsi="Times New Roman"/>
          <w:sz w:val="17"/>
        </w:rPr>
      </w:pPr>
      <w:r>
        <w:rPr>
          <w:rFonts w:ascii="Times New Roman" w:hAnsi="Times New Roman"/>
          <w:sz w:val="17"/>
        </w:rPr>
        <w:t>II-1</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9150" w:type="dxa"/>
        <w:jc w:val="center"/>
        <w:tblInd w:w="0" w:type="dxa"/>
        <w:tblCellMar>
          <w:top w:w="0" w:type="dxa"/>
          <w:left w:w="0" w:type="dxa"/>
          <w:bottom w:w="0" w:type="dxa"/>
          <w:right w:w="0" w:type="dxa"/>
        </w:tblCellMar>
      </w:tblPr>
      <w:tblGrid>
        <w:gridCol w:w="615"/>
        <w:gridCol w:w="315"/>
        <w:gridCol w:w="210"/>
        <w:gridCol w:w="300"/>
        <w:gridCol w:w="7710"/>
      </w:tblGrid>
      <w:tr>
        <w:trPr/>
        <w:tc>
          <w:tcPr>
            <w:tcW w:w="615" w:type="dxa"/>
            <w:tcBorders/>
            <w:shd w:fill="auto" w:val="clear"/>
          </w:tcPr>
          <w:p>
            <w:pPr>
              <w:pStyle w:val="TableContents"/>
              <w:spacing w:before="0" w:after="0"/>
              <w:ind w:left="0" w:right="0" w:hanging="0"/>
              <w:rPr>
                <w:sz w:val="17"/>
              </w:rPr>
            </w:pPr>
            <w:r>
              <w:rPr>
                <w:sz w:val="17"/>
              </w:rPr>
              <w:t>4.4</w:t>
            </w:r>
          </w:p>
        </w:tc>
        <w:tc>
          <w:tcPr>
            <w:tcW w:w="315" w:type="dxa"/>
            <w:tcBorders/>
            <w:shd w:fill="auto" w:val="clear"/>
            <w:vAlign w:val="bottom"/>
          </w:tcPr>
          <w:p>
            <w:pPr>
              <w:pStyle w:val="TableContents"/>
              <w:spacing w:before="0" w:after="0"/>
              <w:ind w:left="0" w:right="0" w:hanging="0"/>
              <w:rPr/>
            </w:pPr>
            <w:r>
              <w:rPr/>
              <w:t> </w:t>
            </w:r>
          </w:p>
        </w:tc>
        <w:tc>
          <w:tcPr>
            <w:tcW w:w="21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0" w:after="0"/>
              <w:ind w:left="0" w:right="0" w:hanging="0"/>
              <w:rPr/>
            </w:pPr>
            <w:r>
              <w:rPr/>
              <w:t> </w:t>
            </w:r>
          </w:p>
        </w:tc>
        <w:tc>
          <w:tcPr>
            <w:tcW w:w="77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4.5</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Fourth Supplemental Indenture (Series A and Series B 5.875% Senior Notes due 2009) dated August 12, 2004 among Plains All American Pipeline, L.P., PAA Finance Corp., the Subsidiary Guarantors named therein and Wachovia, National Association (incorporated by reference to Exhibit 4.5 to the Registration Statement on Form S-4, File No. 333-121168)</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4.6</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Exchange and Registration Rights Agreement (4.750% Senior Notes due 2009) dated August 12, 2004 among Plains All American Pipeline, L.P., PAA Finance Corp., the Guarantors named therein and the Initial Purchasers named therein (incorporated by reference to Exhibit 4.6 to the Registration Statement on Form S-4, File No. 333-121168)</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4.7</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Exchange and Registration Rights Agreement (5.875% Senior Notes due 2016) dated August 12, 2004 among Plains All American Pipeline, L.P., PAA Finance Corp., the Guarantors named therein and the Initial Purchasers named therein (incorporated by reference to Exhibit 4.7 to the Registration Statement on Form S-4, File No. 333-121168)</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4.8</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Class C Common Units Purchase Agreement by and among Plains All American Pipeline, L.P., Kayne Anderson Energy Fund II, L.P., KAFU Holdings, L.P., Kayne Anderson Capital Income Partners, L.P., Kayne Anderson MLP Fund, L.P., Tortoise Energy Infrastructure Corporation and Vulcan Energy II Inc. dated March 31, 2004 (incorporated by reference to Exhibit 4.2 to the Quarterly Report on Form 10-Q for the period ended March 31, 2004)</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4.9</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Registration Rights Agreement by and among Plains All American Pipeline, L.P., Kayne Anderson Energy Fund II, L.P., KAFU Holdings, L.P., Kayne Anderson Capital Income Partners (QP), L.P., Kayne Anderson MLP Fund, L.P., Tortoise Energy Infrastructure Corporation and Vulcan Energy II Inc. dated April 15, 2004 (incorporated by reference to Exhibit 4.1 to the Quarterly Report on Form 10-Q for the period ended March 31, 2004)</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5.1*</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Opinion of Vinson &amp; Elkins L.L.P. as to the legality of the securities being registered</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12.1*</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Ratio of Earnings to Fixed Charges</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23.1*</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Consent of PricewaterhouseCoopers LLP</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23.2*</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Consent of Vinson &amp; Elkins L.L.P. (contained in Exhibit 5.1)</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24.1*</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Powers of Attorney (included on the signature page)</w:t>
            </w:r>
          </w:p>
        </w:tc>
      </w:tr>
      <w:tr>
        <w:trPr/>
        <w:tc>
          <w:tcPr>
            <w:tcW w:w="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25.1*</w:t>
            </w:r>
          </w:p>
        </w:tc>
        <w:tc>
          <w:tcPr>
            <w:tcW w:w="315" w:type="dxa"/>
            <w:tcBorders/>
            <w:shd w:fill="auto" w:val="clear"/>
            <w:vAlign w:val="bottom"/>
          </w:tcPr>
          <w:p>
            <w:pPr>
              <w:pStyle w:val="TableContents"/>
              <w:spacing w:before="80" w:after="80"/>
              <w:ind w:left="0" w:right="0" w:hanging="0"/>
              <w:rPr/>
            </w:pPr>
            <w:r>
              <w:rPr/>
              <w:t> </w:t>
            </w:r>
          </w:p>
        </w:tc>
        <w:tc>
          <w:tcPr>
            <w:tcW w:w="210" w:type="dxa"/>
            <w:tcBorders/>
            <w:shd w:fill="auto" w:val="clear"/>
          </w:tcPr>
          <w:p>
            <w:pPr>
              <w:pStyle w:val="TableContents"/>
              <w:spacing w:before="80" w:after="80"/>
              <w:ind w:left="0" w:right="0" w:hanging="0"/>
              <w:jc w:val="center"/>
              <w:rPr>
                <w:rFonts w:ascii="Times New Roman" w:hAnsi="Times New Roman"/>
                <w:sz w:val="17"/>
              </w:rPr>
            </w:pPr>
            <w:r>
              <w:rPr>
                <w:rFonts w:ascii="Times New Roman" w:hAnsi="Times New Roman"/>
                <w:sz w:val="17"/>
              </w:rPr>
              <w:t></w:t>
            </w:r>
          </w:p>
        </w:tc>
        <w:tc>
          <w:tcPr>
            <w:tcW w:w="300" w:type="dxa"/>
            <w:tcBorders/>
            <w:shd w:fill="auto" w:val="clear"/>
            <w:vAlign w:val="bottom"/>
          </w:tcPr>
          <w:p>
            <w:pPr>
              <w:pStyle w:val="TableContents"/>
              <w:spacing w:before="80" w:after="80"/>
              <w:ind w:left="0" w:right="0" w:hanging="0"/>
              <w:rPr/>
            </w:pPr>
            <w:r>
              <w:rPr/>
              <w:t> </w:t>
            </w:r>
          </w:p>
        </w:tc>
        <w:tc>
          <w:tcPr>
            <w:tcW w:w="771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Form T-1 Statement of Eligibility and Qualification under the Trust Indenture Act of 1939 of the trustee under the Senior Indenture</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sz w:val="17"/>
        </w:rPr>
        <w:t>*                    Filed herewith.</w:t>
      </w:r>
    </w:p>
    <w:p>
      <w:pPr>
        <w:pStyle w:val="TextBody"/>
        <w:spacing w:before="0" w:after="240"/>
        <w:ind w:left="0" w:right="0" w:firstLine="400"/>
        <w:rPr>
          <w:rFonts w:ascii="Times New Roman" w:hAnsi="Times New Roman"/>
          <w:sz w:val="17"/>
        </w:rPr>
      </w:pPr>
      <w:r>
        <w:rPr>
          <w:rFonts w:ascii="Times New Roman" w:hAnsi="Times New Roman"/>
          <w:sz w:val="17"/>
        </w:rPr>
        <w:t>(b)   Financial Statement Schedules. Incorporated herein by reference to Item 8 of the Partnerships Annual Report on Form 10-K for the year ended December 31, 2004.</w:t>
      </w:r>
    </w:p>
    <w:p>
      <w:pPr>
        <w:pStyle w:val="TextBody"/>
        <w:keepNext w:val="true"/>
        <w:spacing w:before="0" w:after="120"/>
        <w:ind w:left="940" w:right="0" w:hanging="940"/>
        <w:rPr>
          <w:rFonts w:ascii="Times New Roman" w:hAnsi="Times New Roman"/>
          <w:b/>
          <w:sz w:val="17"/>
        </w:rPr>
      </w:pPr>
      <w:bookmarkStart w:id="49" w:name="Item22_Undertakings_091335"/>
      <w:bookmarkEnd w:id="49"/>
      <w:r>
        <w:rPr>
          <w:rFonts w:ascii="Times New Roman" w:hAnsi="Times New Roman"/>
          <w:b/>
          <w:sz w:val="17"/>
        </w:rPr>
        <w:t>Item 22.                 Undertakings</w:t>
      </w:r>
    </w:p>
    <w:p>
      <w:pPr>
        <w:pStyle w:val="TextBody"/>
        <w:spacing w:before="0" w:after="120"/>
        <w:ind w:left="0" w:right="0" w:firstLine="400"/>
        <w:rPr>
          <w:rFonts w:ascii="Times New Roman" w:hAnsi="Times New Roman"/>
          <w:sz w:val="17"/>
        </w:rPr>
      </w:pPr>
      <w:r>
        <w:rPr>
          <w:rFonts w:ascii="Times New Roman" w:hAnsi="Times New Roman"/>
          <w:sz w:val="17"/>
        </w:rPr>
        <w:t xml:space="preserve">Insofar as indemnification for liabilities arising under the Securities Act of 1933 may be permitted to directors, officers and controlling persons of any Registrant, we have been advised that in the opinion of the Securities and Exchange Commission such indemnification is against public policy and is, therefore, </w:t>
      </w:r>
    </w:p>
    <w:p>
      <w:pPr>
        <w:pStyle w:val="TextBody"/>
        <w:spacing w:before="480" w:after="480"/>
        <w:ind w:left="0" w:right="0" w:hanging="0"/>
        <w:rPr>
          <w:rFonts w:ascii="Times New Roman" w:hAnsi="Times New Roman"/>
          <w:sz w:val="17"/>
        </w:rPr>
      </w:pPr>
      <w:r>
        <w:rPr>
          <w:rFonts w:ascii="Times New Roman" w:hAnsi="Times New Roman"/>
          <w:sz w:val="17"/>
        </w:rPr>
        <w:t>II-2</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unenforceable. In the event that a claim for indemnification against such liabilities (other than the payment by any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before="0" w:after="120"/>
        <w:ind w:left="0" w:right="0" w:firstLine="400"/>
        <w:rPr>
          <w:rFonts w:ascii="Times New Roman" w:hAnsi="Times New Roman"/>
          <w:sz w:val="17"/>
        </w:rPr>
      </w:pPr>
      <w:r>
        <w:rPr>
          <w:rFonts w:ascii="Times New Roman" w:hAnsi="Times New Roman"/>
          <w:sz w:val="17"/>
        </w:rPr>
        <w:t>Each registrant hereby undertakes</w:t>
      </w:r>
    </w:p>
    <w:p>
      <w:pPr>
        <w:pStyle w:val="TextBody"/>
        <w:spacing w:before="0" w:after="120"/>
        <w:ind w:left="0" w:right="0" w:firstLine="400"/>
        <w:rPr>
          <w:rFonts w:ascii="Times New Roman" w:hAnsi="Times New Roman"/>
          <w:sz w:val="17"/>
        </w:rPr>
      </w:pPr>
      <w:r>
        <w:rPr>
          <w:rFonts w:ascii="Times New Roman" w:hAnsi="Times New Roman"/>
          <w:sz w:val="17"/>
        </w:rPr>
        <w:t>(1)   To file, during any period in which offers or sales are being made, a post-effective amendment to this registration statement:</w:t>
      </w:r>
    </w:p>
    <w:p>
      <w:pPr>
        <w:pStyle w:val="TextBody"/>
        <w:spacing w:before="0" w:after="120"/>
        <w:ind w:left="400" w:right="0" w:firstLine="400"/>
        <w:rPr>
          <w:rFonts w:ascii="Times New Roman" w:hAnsi="Times New Roman"/>
          <w:sz w:val="17"/>
        </w:rPr>
      </w:pPr>
      <w:r>
        <w:rPr>
          <w:rFonts w:ascii="Times New Roman" w:hAnsi="Times New Roman"/>
          <w:sz w:val="17"/>
        </w:rPr>
        <w:t>(a)    To include any prospectus required by section 10(a)(3) of the Securities Act of 1933;</w:t>
      </w:r>
    </w:p>
    <w:p>
      <w:pPr>
        <w:pStyle w:val="TextBody"/>
        <w:spacing w:before="0" w:after="120"/>
        <w:ind w:left="400" w:right="0" w:firstLine="400"/>
        <w:rPr>
          <w:rFonts w:ascii="Times New Roman" w:hAnsi="Times New Roman"/>
          <w:sz w:val="17"/>
        </w:rPr>
      </w:pPr>
      <w:r>
        <w:rPr>
          <w:rFonts w:ascii="Times New Roman" w:hAnsi="Times New Roman"/>
          <w:sz w:val="17"/>
        </w:rPr>
        <w:t>(b)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spacing w:before="0" w:after="120"/>
        <w:ind w:left="400" w:right="0" w:firstLine="400"/>
        <w:rPr>
          <w:rFonts w:ascii="Times New Roman" w:hAnsi="Times New Roman"/>
          <w:sz w:val="17"/>
        </w:rPr>
      </w:pPr>
      <w:r>
        <w:rPr>
          <w:rFonts w:ascii="Times New Roman" w:hAnsi="Times New Roman"/>
          <w:sz w:val="17"/>
        </w:rPr>
        <w:t>(c)    To include any material information with respect to the plan of distribution not previously disclosed in the registration statement or any material change to such information in the registration statement; and</w:t>
      </w:r>
    </w:p>
    <w:p>
      <w:pPr>
        <w:pStyle w:val="TextBody"/>
        <w:spacing w:before="0" w:after="120"/>
        <w:ind w:left="0" w:right="0" w:firstLine="400"/>
        <w:rPr>
          <w:rFonts w:ascii="Times New Roman" w:hAnsi="Times New Roman"/>
          <w:sz w:val="17"/>
        </w:rPr>
      </w:pPr>
      <w:r>
        <w:rPr>
          <w:rFonts w:ascii="Times New Roman" w:hAnsi="Times New Roman"/>
          <w:sz w:val="17"/>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spacing w:before="0" w:after="120"/>
        <w:ind w:left="0" w:right="0" w:firstLine="400"/>
        <w:rPr>
          <w:rFonts w:ascii="Times New Roman" w:hAnsi="Times New Roman"/>
          <w:sz w:val="17"/>
        </w:rPr>
      </w:pPr>
      <w:r>
        <w:rPr>
          <w:rFonts w:ascii="Times New Roman" w:hAnsi="Times New Roman"/>
          <w:sz w:val="17"/>
        </w:rPr>
        <w:t>(3)   To remove from registration by means of a post-effective amendment any of the securities being registered which remain unsold at the termination of the offering.</w:t>
      </w:r>
    </w:p>
    <w:p>
      <w:pPr>
        <w:pStyle w:val="TextBody"/>
        <w:spacing w:before="0" w:after="120"/>
        <w:ind w:left="0" w:right="0" w:firstLine="400"/>
        <w:rPr>
          <w:rFonts w:ascii="Times New Roman" w:hAnsi="Times New Roman"/>
          <w:sz w:val="17"/>
        </w:rPr>
      </w:pPr>
      <w:r>
        <w:rPr>
          <w:rFonts w:ascii="Times New Roman" w:hAnsi="Times New Roman"/>
          <w:sz w:val="17"/>
        </w:rPr>
        <w:t>(4)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spacing w:before="0" w:after="120"/>
        <w:ind w:left="0" w:right="0" w:firstLine="400"/>
        <w:rPr>
          <w:rFonts w:ascii="Times New Roman" w:hAnsi="Times New Roman"/>
          <w:sz w:val="17"/>
        </w:rPr>
      </w:pPr>
      <w:r>
        <w:rPr>
          <w:rFonts w:ascii="Times New Roman" w:hAnsi="Times New Roman"/>
          <w:sz w:val="17"/>
        </w:rPr>
        <w:t>(5)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spacing w:before="0" w:after="120"/>
        <w:ind w:left="0" w:right="0" w:firstLine="400"/>
        <w:rPr>
          <w:rFonts w:ascii="Times New Roman" w:hAnsi="Times New Roman"/>
          <w:sz w:val="17"/>
        </w:rPr>
      </w:pPr>
      <w:r>
        <w:rPr>
          <w:rFonts w:ascii="Times New Roman" w:hAnsi="Times New Roman"/>
          <w:sz w:val="17"/>
        </w:rPr>
        <w:t>(6)   To supply by means of a post-effective amendment all information concerning a transaction, and the company being acquired involved therein, that was not the subject of and included in this Registration Statement when it became effective.</w:t>
      </w:r>
    </w:p>
    <w:p>
      <w:pPr>
        <w:pStyle w:val="TextBody"/>
        <w:spacing w:before="480" w:after="480"/>
        <w:ind w:left="0" w:right="0" w:hanging="0"/>
        <w:rPr>
          <w:rFonts w:ascii="Times New Roman" w:hAnsi="Times New Roman"/>
          <w:sz w:val="17"/>
        </w:rPr>
      </w:pPr>
      <w:r>
        <w:rPr>
          <w:rFonts w:ascii="Times New Roman" w:hAnsi="Times New Roman"/>
          <w:sz w:val="17"/>
        </w:rPr>
        <w:t>II-3</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50" w:name="Signatures_092059"/>
      <w:bookmarkEnd w:id="50"/>
      <w:r>
        <w:rPr>
          <w:rFonts w:ascii="Times New Roman" w:hAnsi="Times New Roman"/>
          <w:b/>
          <w:sz w:val="17"/>
        </w:rPr>
        <w:t>SIGNATURES</w:t>
      </w:r>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the Securities Act of 1933, the Registrant has duly caused this Registration Statement to be signed on its behalf by the undersigned, thereunto duly authorized, in the City of Houston, State of Texas on September 21, 2005.</w:t>
      </w:r>
    </w:p>
    <w:tbl>
      <w:tblPr>
        <w:tblW w:w="5000" w:type="pct"/>
        <w:jc w:val="center"/>
        <w:tblInd w:w="0" w:type="dxa"/>
        <w:tblCellMar>
          <w:top w:w="0" w:type="dxa"/>
          <w:left w:w="0" w:type="dxa"/>
          <w:bottom w:w="0" w:type="dxa"/>
          <w:right w:w="0" w:type="dxa"/>
        </w:tblCellMar>
      </w:tblPr>
      <w:tblGrid>
        <w:gridCol w:w="5102"/>
        <w:gridCol w:w="833"/>
        <w:gridCol w:w="4270"/>
      </w:tblGrid>
      <w:tr>
        <w:trPr/>
        <w:tc>
          <w:tcPr>
            <w:tcW w:w="5102" w:type="dxa"/>
            <w:tcBorders/>
            <w:shd w:fill="auto" w:val="clear"/>
          </w:tcPr>
          <w:p>
            <w:pPr>
              <w:pStyle w:val="TableContents"/>
              <w:spacing w:before="0" w:after="283"/>
              <w:ind w:left="0" w:right="0" w:hanging="0"/>
              <w:rPr>
                <w:sz w:val="4"/>
                <w:szCs w:val="4"/>
              </w:rPr>
            </w:pPr>
            <w:r>
              <w:rPr>
                <w:sz w:val="4"/>
                <w:szCs w:val="4"/>
              </w:rPr>
            </w:r>
          </w:p>
        </w:tc>
        <w:tc>
          <w:tcPr>
            <w:tcW w:w="5103" w:type="dxa"/>
            <w:gridSpan w:val="2"/>
            <w:tcBorders/>
            <w:shd w:fill="auto" w:val="clear"/>
            <w:vAlign w:val="bottom"/>
          </w:tcPr>
          <w:p>
            <w:pPr>
              <w:pStyle w:val="TableContents"/>
              <w:spacing w:before="0" w:after="0"/>
              <w:ind w:left="0" w:right="0" w:hanging="0"/>
              <w:rPr>
                <w:rFonts w:ascii="Times New Roman" w:hAnsi="Times New Roman"/>
                <w:b/>
                <w:sz w:val="20"/>
              </w:rPr>
            </w:pPr>
            <w:r>
              <w:rPr>
                <w:rFonts w:ascii="Times New Roman" w:hAnsi="Times New Roman"/>
                <w:b/>
                <w:sz w:val="17"/>
              </w:rPr>
              <w:t>PLAINS ALL AMERICAN PIPELINE</w:t>
            </w:r>
            <w:r>
              <w:rPr>
                <w:rFonts w:ascii="Times New Roman" w:hAnsi="Times New Roman"/>
                <w:b/>
                <w:sz w:val="20"/>
              </w:rPr>
              <w:t>, L.P.</w:t>
            </w:r>
          </w:p>
        </w:tc>
      </w:tr>
      <w:tr>
        <w:trPr/>
        <w:tc>
          <w:tcPr>
            <w:tcW w:w="5102" w:type="dxa"/>
            <w:tcBorders/>
            <w:shd w:fill="auto" w:val="clear"/>
          </w:tcPr>
          <w:p>
            <w:pPr>
              <w:pStyle w:val="TableContents"/>
              <w:spacing w:before="240" w:after="240"/>
              <w:ind w:left="0" w:right="0" w:hanging="0"/>
              <w:rPr/>
            </w:pPr>
            <w:r>
              <w:rPr/>
              <w:t> </w:t>
            </w:r>
          </w:p>
        </w:tc>
        <w:tc>
          <w:tcPr>
            <w:tcW w:w="833" w:type="dxa"/>
            <w:tcBorders/>
            <w:shd w:fill="auto" w:val="clear"/>
            <w:vAlign w:val="bottom"/>
          </w:tcPr>
          <w:p>
            <w:pPr>
              <w:pStyle w:val="TableContents"/>
              <w:spacing w:before="240" w:after="24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Plains AAP, L.P.,</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vAlign w:val="bottom"/>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Chairman of the Board and Chief Executive Officer</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vAlign w:val="bottom"/>
          </w:tcPr>
          <w:p>
            <w:pPr>
              <w:pStyle w:val="TableContents"/>
              <w:spacing w:before="240" w:after="240"/>
              <w:ind w:left="0" w:right="0" w:hanging="0"/>
              <w:rPr>
                <w:rFonts w:ascii="Times New Roman" w:hAnsi="Times New Roman"/>
                <w:b/>
                <w:sz w:val="20"/>
              </w:rPr>
            </w:pPr>
            <w:r>
              <w:rPr>
                <w:rFonts w:ascii="Times New Roman" w:hAnsi="Times New Roman"/>
                <w:b/>
                <w:sz w:val="17"/>
              </w:rPr>
              <w:t>PLAINS MARKETING,</w:t>
            </w:r>
            <w:r>
              <w:rPr>
                <w:rFonts w:ascii="Times New Roman" w:hAnsi="Times New Roman"/>
                <w:b/>
                <w:sz w:val="20"/>
              </w:rPr>
              <w:t xml:space="preserve"> L.P.</w:t>
            </w:r>
          </w:p>
        </w:tc>
      </w:tr>
      <w:tr>
        <w:trPr/>
        <w:tc>
          <w:tcPr>
            <w:tcW w:w="5102" w:type="dxa"/>
            <w:tcBorders/>
            <w:shd w:fill="auto" w:val="clear"/>
          </w:tcPr>
          <w:p>
            <w:pPr>
              <w:pStyle w:val="TableContents"/>
              <w:spacing w:before="240" w:after="240"/>
              <w:ind w:left="0" w:right="0" w:hanging="0"/>
              <w:rPr/>
            </w:pPr>
            <w:r>
              <w:rPr/>
              <w:t> </w:t>
            </w:r>
          </w:p>
        </w:tc>
        <w:tc>
          <w:tcPr>
            <w:tcW w:w="833"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Plains Marketing GP Inc.,</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tcPr>
          <w:p>
            <w:pPr>
              <w:pStyle w:val="TableContents"/>
              <w:spacing w:before="240" w:after="240"/>
              <w:ind w:left="0" w:right="0" w:hanging="0"/>
              <w:rPr>
                <w:rFonts w:ascii="Times New Roman" w:hAnsi="Times New Roman"/>
                <w:b/>
                <w:sz w:val="20"/>
              </w:rPr>
            </w:pPr>
            <w:r>
              <w:rPr>
                <w:rFonts w:ascii="Times New Roman" w:hAnsi="Times New Roman"/>
                <w:b/>
                <w:sz w:val="17"/>
              </w:rPr>
              <w:t>PLAINS PIPELINE</w:t>
            </w:r>
            <w:r>
              <w:rPr>
                <w:rFonts w:ascii="Times New Roman" w:hAnsi="Times New Roman"/>
                <w:b/>
                <w:sz w:val="20"/>
              </w:rPr>
              <w:t>, L.P.</w:t>
            </w:r>
          </w:p>
        </w:tc>
      </w:tr>
      <w:tr>
        <w:trPr/>
        <w:tc>
          <w:tcPr>
            <w:tcW w:w="5102" w:type="dxa"/>
            <w:tcBorders/>
            <w:shd w:fill="auto" w:val="clear"/>
          </w:tcPr>
          <w:p>
            <w:pPr>
              <w:pStyle w:val="TableContents"/>
              <w:spacing w:before="240" w:after="240"/>
              <w:ind w:left="0" w:right="0" w:hanging="0"/>
              <w:rPr/>
            </w:pPr>
            <w:r>
              <w:rPr/>
              <w:t> </w:t>
            </w:r>
          </w:p>
        </w:tc>
        <w:tc>
          <w:tcPr>
            <w:tcW w:w="833"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Plains Marketing GP Inc.,</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tcPr>
          <w:p>
            <w:pPr>
              <w:pStyle w:val="TableContents"/>
              <w:spacing w:before="240" w:after="240"/>
              <w:ind w:left="0" w:right="0" w:hanging="0"/>
              <w:rPr>
                <w:rFonts w:ascii="Times New Roman" w:hAnsi="Times New Roman"/>
                <w:b/>
                <w:sz w:val="20"/>
              </w:rPr>
            </w:pPr>
            <w:r>
              <w:rPr>
                <w:rFonts w:ascii="Times New Roman" w:hAnsi="Times New Roman"/>
                <w:b/>
                <w:caps/>
                <w:sz w:val="17"/>
              </w:rPr>
              <w:t>Paa</w:t>
            </w:r>
            <w:r>
              <w:rPr>
                <w:rFonts w:ascii="Times New Roman" w:hAnsi="Times New Roman"/>
                <w:b/>
                <w:sz w:val="20"/>
              </w:rPr>
              <w:t xml:space="preserve"> FINANCE CORP.</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President</w:t>
            </w:r>
          </w:p>
        </w:tc>
      </w:tr>
    </w:tbl>
    <w:p>
      <w:pPr>
        <w:pStyle w:val="TextBody"/>
        <w:spacing w:before="480" w:after="480"/>
        <w:ind w:left="0" w:right="0" w:hanging="0"/>
        <w:rPr>
          <w:rFonts w:ascii="Times New Roman" w:hAnsi="Times New Roman"/>
          <w:sz w:val="17"/>
        </w:rPr>
      </w:pPr>
      <w:r>
        <w:rPr>
          <w:rFonts w:ascii="Times New Roman" w:hAnsi="Times New Roman"/>
          <w:sz w:val="17"/>
        </w:rPr>
        <w:t>II-4</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102"/>
        <w:gridCol w:w="833"/>
        <w:gridCol w:w="4270"/>
      </w:tblGrid>
      <w:tr>
        <w:trPr/>
        <w:tc>
          <w:tcPr>
            <w:tcW w:w="5102" w:type="dxa"/>
            <w:tcBorders/>
            <w:shd w:fill="auto" w:val="clear"/>
          </w:tcPr>
          <w:p>
            <w:pPr>
              <w:pStyle w:val="TableContents"/>
              <w:spacing w:before="0" w:after="283"/>
              <w:ind w:left="0" w:right="0" w:hanging="0"/>
              <w:rPr>
                <w:sz w:val="4"/>
                <w:szCs w:val="4"/>
              </w:rPr>
            </w:pPr>
            <w:r>
              <w:rPr>
                <w:sz w:val="4"/>
                <w:szCs w:val="4"/>
              </w:rPr>
            </w:r>
          </w:p>
        </w:tc>
        <w:tc>
          <w:tcPr>
            <w:tcW w:w="5103" w:type="dxa"/>
            <w:gridSpan w:val="2"/>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17"/>
              </w:rPr>
              <w:t>PLAINS MARKETING GP INC</w:t>
            </w:r>
            <w:r>
              <w:rPr>
                <w:rFonts w:ascii="Times New Roman" w:hAnsi="Times New Roman"/>
                <w:b/>
                <w:sz w:val="20"/>
              </w:rPr>
              <w:t>.</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tcPr>
          <w:p>
            <w:pPr>
              <w:pStyle w:val="TableContents"/>
              <w:spacing w:before="240" w:after="240"/>
              <w:ind w:left="0" w:right="0" w:hanging="0"/>
              <w:rPr>
                <w:rFonts w:ascii="Times New Roman" w:hAnsi="Times New Roman"/>
                <w:b/>
                <w:sz w:val="20"/>
              </w:rPr>
            </w:pPr>
            <w:r>
              <w:rPr>
                <w:rFonts w:ascii="Times New Roman" w:hAnsi="Times New Roman"/>
                <w:b/>
                <w:sz w:val="17"/>
              </w:rPr>
              <w:t>PLAINS MARKETING CANADA</w:t>
            </w:r>
            <w:r>
              <w:rPr>
                <w:rFonts w:ascii="Times New Roman" w:hAnsi="Times New Roman"/>
                <w:b/>
                <w:sz w:val="20"/>
              </w:rPr>
              <w:t xml:space="preserve"> LLC</w:t>
            </w:r>
          </w:p>
        </w:tc>
      </w:tr>
      <w:tr>
        <w:trPr/>
        <w:tc>
          <w:tcPr>
            <w:tcW w:w="5102" w:type="dxa"/>
            <w:tcBorders/>
            <w:shd w:fill="auto" w:val="clear"/>
          </w:tcPr>
          <w:p>
            <w:pPr>
              <w:pStyle w:val="TableContents"/>
              <w:spacing w:before="240" w:after="240"/>
              <w:ind w:left="0" w:right="0" w:hanging="0"/>
              <w:rPr/>
            </w:pPr>
            <w:r>
              <w:rPr/>
              <w:t> </w:t>
            </w:r>
          </w:p>
        </w:tc>
        <w:tc>
          <w:tcPr>
            <w:tcW w:w="833"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Plains Marketing, L.P.,</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 sole member</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Marketing GP Inc.,</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tcPr>
          <w:p>
            <w:pPr>
              <w:pStyle w:val="TableContents"/>
              <w:spacing w:before="240" w:after="240"/>
              <w:ind w:left="0" w:right="0" w:hanging="0"/>
              <w:rPr>
                <w:rFonts w:ascii="Times New Roman" w:hAnsi="Times New Roman"/>
                <w:b/>
                <w:sz w:val="20"/>
              </w:rPr>
            </w:pPr>
            <w:r>
              <w:rPr>
                <w:rFonts w:ascii="Times New Roman" w:hAnsi="Times New Roman"/>
                <w:b/>
                <w:sz w:val="17"/>
              </w:rPr>
              <w:t>PLAINS MARKETING CANADA</w:t>
            </w:r>
            <w:r>
              <w:rPr>
                <w:rFonts w:ascii="Times New Roman" w:hAnsi="Times New Roman"/>
                <w:b/>
                <w:sz w:val="20"/>
              </w:rPr>
              <w:t>, L.P.</w:t>
            </w:r>
          </w:p>
        </w:tc>
      </w:tr>
      <w:tr>
        <w:trPr/>
        <w:tc>
          <w:tcPr>
            <w:tcW w:w="5102" w:type="dxa"/>
            <w:tcBorders/>
            <w:shd w:fill="auto" w:val="clear"/>
          </w:tcPr>
          <w:p>
            <w:pPr>
              <w:pStyle w:val="TableContents"/>
              <w:spacing w:before="240" w:after="240"/>
              <w:ind w:left="0" w:right="0" w:hanging="0"/>
              <w:rPr/>
            </w:pPr>
            <w:r>
              <w:rPr/>
              <w:t> </w:t>
            </w:r>
          </w:p>
        </w:tc>
        <w:tc>
          <w:tcPr>
            <w:tcW w:w="833"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PMC (Nova Scotia) Company,</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PHIL KRAMER</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Phil Kramer</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Executive Vice President</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tcPr>
          <w:p>
            <w:pPr>
              <w:pStyle w:val="TableContents"/>
              <w:spacing w:before="240" w:after="240"/>
              <w:ind w:left="0" w:right="0" w:hanging="0"/>
              <w:rPr>
                <w:rFonts w:ascii="Times New Roman" w:hAnsi="Times New Roman"/>
                <w:b/>
                <w:sz w:val="17"/>
              </w:rPr>
            </w:pPr>
            <w:r>
              <w:rPr>
                <w:rFonts w:ascii="Times New Roman" w:hAnsi="Times New Roman"/>
                <w:b/>
                <w:sz w:val="17"/>
              </w:rPr>
              <w:t>PMC (NOVA SCOTIA) COMPANY</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PHIL KRAMER</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Phil Kramer</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Executive Vice President</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tcPr>
          <w:p>
            <w:pPr>
              <w:pStyle w:val="TableContents"/>
              <w:spacing w:before="240" w:after="240"/>
              <w:ind w:left="0" w:right="0" w:hanging="0"/>
              <w:rPr>
                <w:rFonts w:ascii="Times New Roman" w:hAnsi="Times New Roman"/>
                <w:b/>
                <w:sz w:val="20"/>
              </w:rPr>
            </w:pPr>
            <w:r>
              <w:rPr>
                <w:rFonts w:ascii="Times New Roman" w:hAnsi="Times New Roman"/>
                <w:b/>
                <w:sz w:val="17"/>
              </w:rPr>
              <w:t>BASIN HOLDINGS GP</w:t>
            </w:r>
            <w:r>
              <w:rPr>
                <w:rFonts w:ascii="Times New Roman" w:hAnsi="Times New Roman"/>
                <w:b/>
                <w:sz w:val="20"/>
              </w:rPr>
              <w:t xml:space="preserve"> LLC</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HARRY N. PEFANIS</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President</w:t>
            </w:r>
          </w:p>
        </w:tc>
      </w:tr>
    </w:tbl>
    <w:p>
      <w:pPr>
        <w:pStyle w:val="TextBody"/>
        <w:spacing w:before="480" w:after="480"/>
        <w:ind w:left="0" w:right="0" w:hanging="0"/>
        <w:rPr>
          <w:rFonts w:ascii="Times New Roman" w:hAnsi="Times New Roman"/>
          <w:sz w:val="17"/>
        </w:rPr>
      </w:pPr>
      <w:r>
        <w:rPr>
          <w:rFonts w:ascii="Times New Roman" w:hAnsi="Times New Roman"/>
          <w:sz w:val="17"/>
        </w:rPr>
        <w:t>II-5</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102"/>
        <w:gridCol w:w="833"/>
        <w:gridCol w:w="4270"/>
      </w:tblGrid>
      <w:tr>
        <w:trPr/>
        <w:tc>
          <w:tcPr>
            <w:tcW w:w="5102" w:type="dxa"/>
            <w:tcBorders/>
            <w:shd w:fill="auto" w:val="clear"/>
          </w:tcPr>
          <w:p>
            <w:pPr>
              <w:pStyle w:val="TableContents"/>
              <w:spacing w:before="0" w:after="283"/>
              <w:ind w:left="0" w:right="0" w:hanging="0"/>
              <w:rPr>
                <w:sz w:val="4"/>
                <w:szCs w:val="4"/>
              </w:rPr>
            </w:pPr>
            <w:r>
              <w:rPr>
                <w:sz w:val="4"/>
                <w:szCs w:val="4"/>
              </w:rPr>
            </w:r>
          </w:p>
        </w:tc>
        <w:tc>
          <w:tcPr>
            <w:tcW w:w="5103" w:type="dxa"/>
            <w:gridSpan w:val="2"/>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17"/>
              </w:rPr>
              <w:t>BASIN PIPELINE HOLDINGS, L.P</w:t>
            </w:r>
            <w:r>
              <w:rPr>
                <w:rFonts w:ascii="Times New Roman" w:hAnsi="Times New Roman"/>
                <w:b/>
                <w:sz w:val="20"/>
              </w:rPr>
              <w:t>.</w:t>
            </w:r>
          </w:p>
        </w:tc>
      </w:tr>
      <w:tr>
        <w:trPr/>
        <w:tc>
          <w:tcPr>
            <w:tcW w:w="5102" w:type="dxa"/>
            <w:tcBorders/>
            <w:shd w:fill="auto" w:val="clear"/>
          </w:tcPr>
          <w:p>
            <w:pPr>
              <w:pStyle w:val="TableContents"/>
              <w:spacing w:before="240" w:after="240"/>
              <w:ind w:left="0" w:right="0" w:hanging="0"/>
              <w:rPr/>
            </w:pPr>
            <w:r>
              <w:rPr/>
              <w:t> </w:t>
            </w:r>
          </w:p>
        </w:tc>
        <w:tc>
          <w:tcPr>
            <w:tcW w:w="833"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Basin Holdings GP LLC,</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HARRY N. PEFANIS</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President</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tcPr>
          <w:p>
            <w:pPr>
              <w:pStyle w:val="TableContents"/>
              <w:spacing w:before="240" w:after="240"/>
              <w:ind w:left="0" w:right="0" w:hanging="0"/>
              <w:rPr>
                <w:rFonts w:ascii="Times New Roman" w:hAnsi="Times New Roman"/>
                <w:b/>
                <w:sz w:val="20"/>
              </w:rPr>
            </w:pPr>
            <w:r>
              <w:rPr>
                <w:rFonts w:ascii="Times New Roman" w:hAnsi="Times New Roman"/>
                <w:b/>
                <w:sz w:val="17"/>
              </w:rPr>
              <w:t>RANCHO HOLDINGS GP</w:t>
            </w:r>
            <w:r>
              <w:rPr>
                <w:rFonts w:ascii="Times New Roman" w:hAnsi="Times New Roman"/>
                <w:b/>
                <w:sz w:val="20"/>
              </w:rPr>
              <w:t xml:space="preserve"> LLC</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HARRY N. PEFANIS</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President</w:t>
            </w:r>
          </w:p>
        </w:tc>
      </w:tr>
      <w:tr>
        <w:trPr/>
        <w:tc>
          <w:tcPr>
            <w:tcW w:w="5102" w:type="dxa"/>
            <w:tcBorders/>
            <w:shd w:fill="auto" w:val="clear"/>
          </w:tcPr>
          <w:p>
            <w:pPr>
              <w:pStyle w:val="TableContents"/>
              <w:spacing w:before="240" w:after="240"/>
              <w:ind w:left="0" w:right="0" w:hanging="0"/>
              <w:rPr/>
            </w:pPr>
            <w:r>
              <w:rPr/>
              <w:t> </w:t>
            </w:r>
          </w:p>
        </w:tc>
        <w:tc>
          <w:tcPr>
            <w:tcW w:w="5103" w:type="dxa"/>
            <w:gridSpan w:val="2"/>
            <w:tcBorders/>
            <w:shd w:fill="auto" w:val="clear"/>
          </w:tcPr>
          <w:p>
            <w:pPr>
              <w:pStyle w:val="TableContents"/>
              <w:spacing w:before="240" w:after="240"/>
              <w:ind w:left="0" w:right="0" w:hanging="0"/>
              <w:rPr>
                <w:rFonts w:ascii="Times New Roman" w:hAnsi="Times New Roman"/>
                <w:b/>
                <w:sz w:val="20"/>
              </w:rPr>
            </w:pPr>
            <w:r>
              <w:rPr>
                <w:rFonts w:ascii="Times New Roman" w:hAnsi="Times New Roman"/>
                <w:b/>
                <w:sz w:val="17"/>
              </w:rPr>
              <w:t>RANCHO PIPELINE HOLDINGS</w:t>
            </w:r>
            <w:r>
              <w:rPr>
                <w:rFonts w:ascii="Times New Roman" w:hAnsi="Times New Roman"/>
                <w:b/>
                <w:sz w:val="20"/>
              </w:rPr>
              <w:t>, L.P.</w:t>
            </w:r>
          </w:p>
        </w:tc>
      </w:tr>
      <w:tr>
        <w:trPr/>
        <w:tc>
          <w:tcPr>
            <w:tcW w:w="5102" w:type="dxa"/>
            <w:tcBorders/>
            <w:shd w:fill="auto" w:val="clear"/>
          </w:tcPr>
          <w:p>
            <w:pPr>
              <w:pStyle w:val="TableContents"/>
              <w:spacing w:before="240" w:after="240"/>
              <w:ind w:left="0" w:right="0" w:hanging="0"/>
              <w:rPr/>
            </w:pPr>
            <w:r>
              <w:rPr/>
              <w:t> </w:t>
            </w:r>
          </w:p>
        </w:tc>
        <w:tc>
          <w:tcPr>
            <w:tcW w:w="833"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By:</w:t>
            </w:r>
          </w:p>
        </w:tc>
        <w:tc>
          <w:tcPr>
            <w:tcW w:w="4270"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Rancho Holdings GP LLC,</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pPr>
            <w:r>
              <w:rPr/>
              <w:t> </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480" w:after="480"/>
              <w:ind w:left="0" w:right="0" w:hanging="0"/>
              <w:rPr/>
            </w:pPr>
            <w:r>
              <w:rPr/>
              <w:t> </w:t>
            </w:r>
          </w:p>
        </w:tc>
        <w:tc>
          <w:tcPr>
            <w:tcW w:w="833"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27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HARRY N. PEFANIS</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102" w:type="dxa"/>
            <w:tcBorders/>
            <w:shd w:fill="auto" w:val="clear"/>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7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President</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II-6</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51" w:name="PowerOfAttorney_094953"/>
      <w:bookmarkEnd w:id="51"/>
      <w:r>
        <w:rPr>
          <w:rFonts w:ascii="Times New Roman" w:hAnsi="Times New Roman"/>
          <w:b/>
          <w:sz w:val="17"/>
        </w:rPr>
        <w:t>POWER OF ATTORNEY</w:t>
      </w:r>
    </w:p>
    <w:p>
      <w:pPr>
        <w:pStyle w:val="TextBody"/>
        <w:spacing w:before="0" w:after="120"/>
        <w:ind w:left="0" w:right="0" w:firstLine="400"/>
        <w:rPr>
          <w:rFonts w:ascii="Times New Roman" w:hAnsi="Times New Roman"/>
          <w:sz w:val="17"/>
        </w:rPr>
      </w:pPr>
      <w:r>
        <w:rPr>
          <w:rFonts w:ascii="Times New Roman" w:hAnsi="Times New Roman"/>
          <w:sz w:val="17"/>
        </w:rPr>
        <w:t>Each person whose signature appears below appoints Phil Kramer and Tim Moore,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w:t>
      </w:r>
    </w:p>
    <w:p>
      <w:pPr>
        <w:pStyle w:val="TextBody"/>
        <w:spacing w:before="0" w:after="240"/>
        <w:ind w:left="0" w:right="0" w:firstLine="400"/>
        <w:rPr>
          <w:rFonts w:ascii="Times New Roman" w:hAnsi="Times New Roman"/>
          <w:sz w:val="17"/>
        </w:rPr>
      </w:pPr>
      <w:r>
        <w:rPr>
          <w:rFonts w:ascii="Times New Roman" w:hAnsi="Times New Roman"/>
          <w:sz w:val="17"/>
        </w:rPr>
        <w:t>Pursuant to the requirements of the Securities Act of 1933, as amended, this registration statement has been signed below by the following persons in the capacities and on the dates indicated below.</w:t>
      </w:r>
    </w:p>
    <w:p>
      <w:pPr>
        <w:pStyle w:val="TextBody"/>
        <w:keepNext w:val="true"/>
        <w:spacing w:before="0" w:after="240"/>
        <w:ind w:left="0" w:right="0" w:hanging="0"/>
        <w:rPr>
          <w:rFonts w:ascii="Times New Roman" w:hAnsi="Times New Roman"/>
          <w:b/>
          <w:sz w:val="17"/>
        </w:rPr>
      </w:pPr>
      <w:r>
        <w:rPr>
          <w:rFonts w:ascii="Times New Roman" w:hAnsi="Times New Roman"/>
          <w:b/>
          <w:sz w:val="17"/>
        </w:rPr>
        <w:t>PLAINS ALL AMERICAN GP LLC., for itself and as the general partner of PLAINS AAP, L.P, as the general partner of PLAINS ALL AMERICAN PIPELINE, L.P.</w:t>
      </w:r>
    </w:p>
    <w:tbl>
      <w:tblPr>
        <w:tblW w:w="5000" w:type="pct"/>
        <w:jc w:val="center"/>
        <w:tblInd w:w="0" w:type="dxa"/>
        <w:tblCellMar>
          <w:top w:w="0" w:type="dxa"/>
          <w:left w:w="0" w:type="dxa"/>
          <w:bottom w:w="0" w:type="dxa"/>
          <w:right w:w="0" w:type="dxa"/>
        </w:tblCellMar>
      </w:tblPr>
      <w:tblGrid>
        <w:gridCol w:w="1117"/>
        <w:gridCol w:w="1067"/>
        <w:gridCol w:w="1100"/>
        <w:gridCol w:w="234"/>
        <w:gridCol w:w="1834"/>
        <w:gridCol w:w="567"/>
        <w:gridCol w:w="1834"/>
        <w:gridCol w:w="284"/>
        <w:gridCol w:w="817"/>
        <w:gridCol w:w="517"/>
        <w:gridCol w:w="834"/>
      </w:tblGrid>
      <w:tr>
        <w:trPr/>
        <w:tc>
          <w:tcPr>
            <w:tcW w:w="1117" w:type="dxa"/>
            <w:tcBorders/>
            <w:shd w:fill="auto" w:val="clear"/>
            <w:vAlign w:val="bottom"/>
          </w:tcPr>
          <w:p>
            <w:pPr>
              <w:pStyle w:val="TableContents"/>
              <w:spacing w:before="0" w:after="283"/>
              <w:ind w:left="0" w:right="0" w:hanging="0"/>
              <w:rPr>
                <w:sz w:val="4"/>
                <w:szCs w:val="4"/>
              </w:rPr>
            </w:pPr>
            <w:r>
              <w:rPr>
                <w:sz w:val="4"/>
                <w:szCs w:val="4"/>
              </w:rPr>
            </w:r>
          </w:p>
        </w:tc>
        <w:tc>
          <w:tcPr>
            <w:tcW w:w="1067"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SIGNATURE</w:t>
            </w:r>
          </w:p>
        </w:tc>
        <w:tc>
          <w:tcPr>
            <w:tcW w:w="1100" w:type="dxa"/>
            <w:tcBorders/>
            <w:shd w:fill="auto" w:val="clear"/>
            <w:vAlign w:val="bottom"/>
          </w:tcPr>
          <w:p>
            <w:pPr>
              <w:pStyle w:val="TableContents"/>
              <w:spacing w:lineRule="atLeast" w:line="160" w:before="0" w:after="0"/>
              <w:ind w:left="0" w:right="0" w:hanging="0"/>
              <w:rPr/>
            </w:pPr>
            <w:r>
              <w:rPr/>
              <w:t> </w:t>
            </w:r>
          </w:p>
        </w:tc>
        <w:tc>
          <w:tcPr>
            <w:tcW w:w="234" w:type="dxa"/>
            <w:tcBorders/>
            <w:shd w:fill="auto" w:val="clear"/>
            <w:vAlign w:val="bottom"/>
          </w:tcPr>
          <w:p>
            <w:pPr>
              <w:pStyle w:val="TableContents"/>
              <w:spacing w:lineRule="atLeast" w:line="160" w:before="0" w:after="0"/>
              <w:ind w:left="0" w:right="0" w:hanging="0"/>
              <w:rPr/>
            </w:pPr>
            <w:r>
              <w:rPr/>
              <w:t> </w:t>
            </w:r>
          </w:p>
        </w:tc>
        <w:tc>
          <w:tcPr>
            <w:tcW w:w="1834" w:type="dxa"/>
            <w:tcBorders/>
            <w:shd w:fill="auto" w:val="clear"/>
            <w:vAlign w:val="bottom"/>
          </w:tcPr>
          <w:p>
            <w:pPr>
              <w:pStyle w:val="TableContents"/>
              <w:spacing w:before="0" w:after="283"/>
              <w:ind w:left="0" w:right="0" w:hanging="0"/>
              <w:rPr>
                <w:sz w:val="4"/>
                <w:szCs w:val="4"/>
              </w:rPr>
            </w:pPr>
            <w:r>
              <w:rPr>
                <w:sz w:val="4"/>
                <w:szCs w:val="4"/>
              </w:rPr>
            </w:r>
          </w:p>
        </w:tc>
        <w:tc>
          <w:tcPr>
            <w:tcW w:w="567"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TITLE</w:t>
            </w:r>
          </w:p>
        </w:tc>
        <w:tc>
          <w:tcPr>
            <w:tcW w:w="1834" w:type="dxa"/>
            <w:tcBorders/>
            <w:shd w:fill="auto" w:val="clear"/>
            <w:vAlign w:val="bottom"/>
          </w:tcPr>
          <w:p>
            <w:pPr>
              <w:pStyle w:val="TableContents"/>
              <w:spacing w:lineRule="atLeast" w:line="160" w:before="0" w:after="0"/>
              <w:ind w:left="0" w:right="0" w:hanging="0"/>
              <w:rPr/>
            </w:pPr>
            <w:r>
              <w:rPr/>
              <w:t> </w:t>
            </w:r>
          </w:p>
        </w:tc>
        <w:tc>
          <w:tcPr>
            <w:tcW w:w="284" w:type="dxa"/>
            <w:tcBorders/>
            <w:shd w:fill="auto" w:val="clear"/>
            <w:vAlign w:val="bottom"/>
          </w:tcPr>
          <w:p>
            <w:pPr>
              <w:pStyle w:val="TableContents"/>
              <w:spacing w:lineRule="atLeast" w:line="160" w:before="0" w:after="0"/>
              <w:ind w:left="0" w:right="0" w:hanging="0"/>
              <w:rPr/>
            </w:pPr>
            <w:r>
              <w:rPr/>
              <w:t> </w:t>
            </w:r>
          </w:p>
        </w:tc>
        <w:tc>
          <w:tcPr>
            <w:tcW w:w="817" w:type="dxa"/>
            <w:tcBorders/>
            <w:shd w:fill="auto" w:val="clear"/>
            <w:vAlign w:val="bottom"/>
          </w:tcPr>
          <w:p>
            <w:pPr>
              <w:pStyle w:val="TableContents"/>
              <w:spacing w:before="0" w:after="283"/>
              <w:ind w:left="0" w:right="0" w:hanging="0"/>
              <w:rPr>
                <w:sz w:val="4"/>
                <w:szCs w:val="4"/>
              </w:rPr>
            </w:pPr>
            <w:r>
              <w:rPr>
                <w:sz w:val="4"/>
                <w:szCs w:val="4"/>
              </w:rPr>
            </w:r>
          </w:p>
        </w:tc>
        <w:tc>
          <w:tcPr>
            <w:tcW w:w="517"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jc w:val="left"/>
              <w:rPr>
                <w:rFonts w:ascii="Times New Roman" w:hAnsi="Times New Roman"/>
                <w:b/>
                <w:sz w:val="13"/>
              </w:rPr>
            </w:pPr>
            <w:r>
              <w:rPr>
                <w:rFonts w:ascii="Times New Roman" w:hAnsi="Times New Roman"/>
                <w:b/>
                <w:sz w:val="13"/>
              </w:rPr>
              <w:t>DATE</w:t>
            </w:r>
          </w:p>
        </w:tc>
        <w:tc>
          <w:tcPr>
            <w:tcW w:w="834" w:type="dxa"/>
            <w:tcBorders/>
            <w:shd w:fill="auto" w:val="clear"/>
            <w:vAlign w:val="bottom"/>
          </w:tcPr>
          <w:p>
            <w:pPr>
              <w:pStyle w:val="TableContents"/>
              <w:spacing w:lineRule="atLeast" w:line="160" w:before="0" w:after="0"/>
              <w:ind w:left="0" w:right="0" w:hanging="0"/>
              <w:jc w:val="left"/>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GREG L. ARMSTRONG</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Chairman of the Board, Chief</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Greg L. Armstrong</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Officer and Director</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shd w:fill="auto" w:val="clear"/>
          </w:tcPr>
          <w:p>
            <w:pPr>
              <w:pStyle w:val="TableContents"/>
              <w:spacing w:before="0" w:after="0"/>
              <w:ind w:left="0" w:right="0" w:hanging="0"/>
              <w:jc w:val="center"/>
              <w:rPr/>
            </w:pPr>
            <w:r>
              <w:rPr/>
              <w:t> </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Executive Officer)</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PHIL KRAMER</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Executive Vice President, Chief</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Phil Kramer</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Officer</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shd w:fill="auto" w:val="clear"/>
          </w:tcPr>
          <w:p>
            <w:pPr>
              <w:pStyle w:val="TableContents"/>
              <w:spacing w:before="0" w:after="0"/>
              <w:ind w:left="0" w:right="0" w:hanging="0"/>
              <w:jc w:val="center"/>
              <w:rPr/>
            </w:pPr>
            <w:r>
              <w:rPr/>
              <w:t> </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Financial Officer)</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TINA L. VAL</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Vice PresidentAccounting</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Tina L. Val</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Accounting Officer)</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EVERARDO GOYANES</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Director</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Everardo Goyanes</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pPr>
            <w:r>
              <w:rPr/>
              <w:t> </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ARTHUR L. SMITH</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Director</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Arthur L. Smith</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pPr>
            <w:r>
              <w:rPr/>
              <w:t> </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ROBERT V. SINNOTT</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Director</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Robert V. Sinnott</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pPr>
            <w:r>
              <w:rPr/>
              <w:t> </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GARY R. PETERSEN</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Director</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Gary R. Petersen</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pPr>
            <w:r>
              <w:rPr/>
              <w:t> </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J. TAFT SYMONDS</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Director</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J. Taft Symonds</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pPr>
            <w:r>
              <w:rPr/>
              <w:t> </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r>
        <w:trPr/>
        <w:tc>
          <w:tcPr>
            <w:tcW w:w="3284" w:type="dxa"/>
            <w:gridSpan w:val="3"/>
            <w:tcBorders>
              <w:bottom w:val="single" w:sz="8" w:space="0" w:color="000000"/>
            </w:tcBorders>
            <w:shd w:fill="auto" w:val="clear"/>
            <w:tcMar>
              <w:bottom w:w="28" w:type="dxa"/>
            </w:tcMar>
          </w:tcPr>
          <w:p>
            <w:pPr>
              <w:pStyle w:val="TableContents"/>
              <w:spacing w:before="240" w:after="240"/>
              <w:ind w:left="0" w:right="0" w:hanging="0"/>
              <w:jc w:val="center"/>
              <w:rPr/>
            </w:pPr>
            <w:r>
              <w:rPr/>
              <w:t> </w:t>
            </w:r>
          </w:p>
        </w:tc>
        <w:tc>
          <w:tcPr>
            <w:tcW w:w="234" w:type="dxa"/>
            <w:tcBorders/>
            <w:shd w:fill="auto" w:val="clear"/>
            <w:vAlign w:val="bottom"/>
          </w:tcPr>
          <w:p>
            <w:pPr>
              <w:pStyle w:val="TableContents"/>
              <w:spacing w:before="240" w:after="240"/>
              <w:ind w:left="0" w:right="0" w:hanging="0"/>
              <w:rPr/>
            </w:pPr>
            <w:r>
              <w:rPr/>
              <w:t> </w:t>
            </w:r>
          </w:p>
        </w:tc>
        <w:tc>
          <w:tcPr>
            <w:tcW w:w="4235"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Director</w:t>
            </w:r>
          </w:p>
        </w:tc>
        <w:tc>
          <w:tcPr>
            <w:tcW w:w="284" w:type="dxa"/>
            <w:tcBorders/>
            <w:shd w:fill="auto" w:val="clear"/>
            <w:vAlign w:val="bottom"/>
          </w:tcPr>
          <w:p>
            <w:pPr>
              <w:pStyle w:val="TableContents"/>
              <w:spacing w:before="240" w:after="240"/>
              <w:ind w:left="0" w:right="0" w:hanging="0"/>
              <w:rPr/>
            </w:pPr>
            <w:r>
              <w:rPr/>
              <w:t> </w:t>
            </w:r>
          </w:p>
        </w:tc>
        <w:tc>
          <w:tcPr>
            <w:tcW w:w="2168"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3284"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David N. Capobianco</w:t>
            </w:r>
          </w:p>
        </w:tc>
        <w:tc>
          <w:tcPr>
            <w:tcW w:w="234" w:type="dxa"/>
            <w:tcBorders/>
            <w:shd w:fill="auto" w:val="clear"/>
            <w:vAlign w:val="bottom"/>
          </w:tcPr>
          <w:p>
            <w:pPr>
              <w:pStyle w:val="TableContents"/>
              <w:spacing w:before="0" w:after="0"/>
              <w:ind w:left="0" w:right="0" w:hanging="0"/>
              <w:rPr/>
            </w:pPr>
            <w:r>
              <w:rPr/>
              <w:t> </w:t>
            </w:r>
          </w:p>
        </w:tc>
        <w:tc>
          <w:tcPr>
            <w:tcW w:w="4235" w:type="dxa"/>
            <w:gridSpan w:val="3"/>
            <w:tcBorders/>
            <w:shd w:fill="auto" w:val="clear"/>
          </w:tcPr>
          <w:p>
            <w:pPr>
              <w:pStyle w:val="TableContents"/>
              <w:spacing w:before="0" w:after="0"/>
              <w:ind w:left="0" w:right="0" w:hanging="0"/>
              <w:rPr/>
            </w:pPr>
            <w:r>
              <w:rPr/>
              <w:t> </w:t>
            </w:r>
          </w:p>
        </w:tc>
        <w:tc>
          <w:tcPr>
            <w:tcW w:w="284" w:type="dxa"/>
            <w:tcBorders/>
            <w:shd w:fill="auto" w:val="clear"/>
            <w:vAlign w:val="bottom"/>
          </w:tcPr>
          <w:p>
            <w:pPr>
              <w:pStyle w:val="TableContents"/>
              <w:spacing w:before="0" w:after="0"/>
              <w:ind w:left="0" w:right="0" w:hanging="0"/>
              <w:rPr/>
            </w:pPr>
            <w:r>
              <w:rPr/>
              <w:t> </w:t>
            </w:r>
          </w:p>
        </w:tc>
        <w:tc>
          <w:tcPr>
            <w:tcW w:w="2168" w:type="dxa"/>
            <w:gridSpan w:val="3"/>
            <w:tcBorders/>
            <w:shd w:fill="auto" w:val="clear"/>
          </w:tcPr>
          <w:p>
            <w:pPr>
              <w:pStyle w:val="TableContents"/>
              <w:spacing w:before="0" w:after="0"/>
              <w:ind w:left="0" w:right="0" w:hanging="0"/>
              <w:jc w:val="center"/>
              <w:rPr/>
            </w:pPr>
            <w:r>
              <w:rPr/>
              <w:t> </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II-7</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rPr>
          <w:rFonts w:ascii="Times New Roman" w:hAnsi="Times New Roman"/>
          <w:b/>
          <w:sz w:val="17"/>
        </w:rPr>
      </w:pPr>
      <w:r>
        <w:rPr>
          <w:rFonts w:ascii="Times New Roman" w:hAnsi="Times New Roman"/>
          <w:b/>
          <w:sz w:val="17"/>
        </w:rPr>
        <w:t>PLAINS MARKETING GP INC., for itself and as the general partner of PLAINS MARKETING, L.P. and  PLAINS PIPELINE, L.P., which is the sole member of each of BASIN HOLDINGS GP LLC, the general partner of BASIN PIPELINE HOLDINGS, L.P. and RANCHO HOLDINGS GP LLC, the general partner of RANCHO PIPELINE HOLDINGS, L.P., and as the general partner of PLAINS MARKETING, L.P., the sole member of PLAINS MARKETING CANADA LLC</w:t>
      </w:r>
    </w:p>
    <w:tbl>
      <w:tblPr>
        <w:tblW w:w="9194" w:type="dxa"/>
        <w:jc w:val="center"/>
        <w:tblInd w:w="0" w:type="dxa"/>
        <w:tblCellMar>
          <w:top w:w="0" w:type="dxa"/>
          <w:left w:w="0" w:type="dxa"/>
          <w:bottom w:w="0" w:type="dxa"/>
          <w:right w:w="0" w:type="dxa"/>
        </w:tblCellMar>
      </w:tblPr>
      <w:tblGrid>
        <w:gridCol w:w="1010"/>
        <w:gridCol w:w="964"/>
        <w:gridCol w:w="995"/>
        <w:gridCol w:w="210"/>
        <w:gridCol w:w="1650"/>
        <w:gridCol w:w="510"/>
        <w:gridCol w:w="1650"/>
        <w:gridCol w:w="255"/>
        <w:gridCol w:w="735"/>
        <w:gridCol w:w="465"/>
        <w:gridCol w:w="750"/>
      </w:tblGrid>
      <w:tr>
        <w:trPr/>
        <w:tc>
          <w:tcPr>
            <w:tcW w:w="1010" w:type="dxa"/>
            <w:tcBorders/>
            <w:shd w:fill="auto" w:val="clear"/>
            <w:vAlign w:val="bottom"/>
          </w:tcPr>
          <w:p>
            <w:pPr>
              <w:pStyle w:val="TableContents"/>
              <w:spacing w:before="0" w:after="283"/>
              <w:ind w:left="0" w:right="0" w:hanging="0"/>
              <w:rPr>
                <w:sz w:val="4"/>
                <w:szCs w:val="4"/>
              </w:rPr>
            </w:pPr>
            <w:r>
              <w:rPr>
                <w:sz w:val="4"/>
                <w:szCs w:val="4"/>
              </w:rPr>
            </w:r>
          </w:p>
        </w:tc>
        <w:tc>
          <w:tcPr>
            <w:tcW w:w="964"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SIGNATURE</w:t>
            </w:r>
          </w:p>
        </w:tc>
        <w:tc>
          <w:tcPr>
            <w:tcW w:w="995" w:type="dxa"/>
            <w:tcBorders/>
            <w:shd w:fill="auto" w:val="clear"/>
            <w:vAlign w:val="bottom"/>
          </w:tcPr>
          <w:p>
            <w:pPr>
              <w:pStyle w:val="TableContents"/>
              <w:spacing w:lineRule="atLeast" w:line="160" w:before="0" w:after="0"/>
              <w:ind w:left="0" w:right="0" w:hanging="0"/>
              <w:rPr/>
            </w:pPr>
            <w:r>
              <w:rPr/>
              <w:t> </w:t>
            </w:r>
          </w:p>
        </w:tc>
        <w:tc>
          <w:tcPr>
            <w:tcW w:w="210" w:type="dxa"/>
            <w:tcBorders/>
            <w:shd w:fill="auto" w:val="clear"/>
            <w:vAlign w:val="bottom"/>
          </w:tcPr>
          <w:p>
            <w:pPr>
              <w:pStyle w:val="TableContents"/>
              <w:spacing w:lineRule="atLeast" w:line="160" w:before="0" w:after="0"/>
              <w:ind w:left="0" w:right="0" w:hanging="0"/>
              <w:rPr/>
            </w:pPr>
            <w:r>
              <w:rPr/>
              <w:t> </w:t>
            </w:r>
          </w:p>
        </w:tc>
        <w:tc>
          <w:tcPr>
            <w:tcW w:w="1650" w:type="dxa"/>
            <w:tcBorders/>
            <w:shd w:fill="auto" w:val="clear"/>
            <w:vAlign w:val="bottom"/>
          </w:tcPr>
          <w:p>
            <w:pPr>
              <w:pStyle w:val="TableContents"/>
              <w:spacing w:before="0" w:after="283"/>
              <w:ind w:left="0" w:right="0" w:hanging="0"/>
              <w:rPr>
                <w:sz w:val="4"/>
                <w:szCs w:val="4"/>
              </w:rPr>
            </w:pPr>
            <w:r>
              <w:rPr>
                <w:sz w:val="4"/>
                <w:szCs w:val="4"/>
              </w:rPr>
            </w:r>
          </w:p>
        </w:tc>
        <w:tc>
          <w:tcPr>
            <w:tcW w:w="510"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TITLE</w:t>
            </w:r>
          </w:p>
        </w:tc>
        <w:tc>
          <w:tcPr>
            <w:tcW w:w="1650" w:type="dxa"/>
            <w:tcBorders/>
            <w:shd w:fill="auto" w:val="clear"/>
            <w:vAlign w:val="bottom"/>
          </w:tcPr>
          <w:p>
            <w:pPr>
              <w:pStyle w:val="TableContents"/>
              <w:spacing w:lineRule="atLeast" w:line="160" w:before="0" w:after="0"/>
              <w:ind w:left="0" w:right="0" w:hanging="0"/>
              <w:rPr/>
            </w:pPr>
            <w:r>
              <w:rPr/>
              <w:t> </w:t>
            </w:r>
          </w:p>
        </w:tc>
        <w:tc>
          <w:tcPr>
            <w:tcW w:w="255" w:type="dxa"/>
            <w:tcBorders/>
            <w:shd w:fill="auto" w:val="clear"/>
            <w:vAlign w:val="bottom"/>
          </w:tcPr>
          <w:p>
            <w:pPr>
              <w:pStyle w:val="TableContents"/>
              <w:spacing w:lineRule="atLeast" w:line="160" w:before="0" w:after="0"/>
              <w:ind w:left="0" w:right="0" w:hanging="0"/>
              <w:rPr/>
            </w:pPr>
            <w:r>
              <w:rPr/>
              <w:t> </w:t>
            </w:r>
          </w:p>
        </w:tc>
        <w:tc>
          <w:tcPr>
            <w:tcW w:w="735" w:type="dxa"/>
            <w:tcBorders/>
            <w:shd w:fill="auto" w:val="clear"/>
            <w:vAlign w:val="bottom"/>
          </w:tcPr>
          <w:p>
            <w:pPr>
              <w:pStyle w:val="TableContents"/>
              <w:spacing w:before="0" w:after="283"/>
              <w:ind w:left="0" w:right="0" w:hanging="0"/>
              <w:rPr>
                <w:sz w:val="4"/>
                <w:szCs w:val="4"/>
              </w:rPr>
            </w:pPr>
            <w:r>
              <w:rPr>
                <w:sz w:val="4"/>
                <w:szCs w:val="4"/>
              </w:rPr>
            </w:r>
          </w:p>
        </w:tc>
        <w:tc>
          <w:tcPr>
            <w:tcW w:w="465"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DATE</w:t>
            </w:r>
          </w:p>
        </w:tc>
        <w:tc>
          <w:tcPr>
            <w:tcW w:w="750" w:type="dxa"/>
            <w:tcBorders/>
            <w:shd w:fill="auto" w:val="clear"/>
            <w:vAlign w:val="bottom"/>
          </w:tcPr>
          <w:p>
            <w:pPr>
              <w:pStyle w:val="TableContents"/>
              <w:spacing w:lineRule="atLeast" w:line="160" w:before="0" w:after="0"/>
              <w:ind w:left="0" w:right="0" w:hanging="0"/>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GREG L. ARMSTRONG</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Chief Executive Officer and Director</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Greg L. Armstrong</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Executive Officer)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HARRY N. PEFANIS</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President, Chief Operating Officer</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Harry N. Pefanis</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and Director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PHIL KRAMER</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Executive Vice President and Chief</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Phil Kramer</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Officer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shd w:fill="auto" w:val="clear"/>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Financial Officer)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TINA L. VAL</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Vice PresidentAccounting</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Tina L. Val</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Accounting Officer)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TIM MOORE</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Vice President, General Counsel,</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Tim Moore</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Secretary and Director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shd w:fill="auto" w:val="clear"/>
          </w:tcPr>
          <w:p>
            <w:pPr>
              <w:pStyle w:val="TableContents"/>
              <w:spacing w:before="240" w:after="240"/>
              <w:ind w:left="0" w:right="0" w:hanging="0"/>
              <w:rPr>
                <w:rFonts w:ascii="Times New Roman" w:hAnsi="Times New Roman"/>
                <w:b/>
                <w:sz w:val="17"/>
              </w:rPr>
            </w:pPr>
            <w:r>
              <w:rPr>
                <w:rFonts w:ascii="Times New Roman" w:hAnsi="Times New Roman"/>
                <w:b/>
                <w:sz w:val="17"/>
              </w:rPr>
              <w:t>PAA FINANCE  CORP.</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pPr>
            <w:r>
              <w:rPr/>
              <w:t> </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sz w:val="17"/>
              </w:rPr>
            </w:pPr>
            <w:r>
              <w:rPr>
                <w:rFonts w:ascii="Times New Roman" w:hAnsi="Times New Roman"/>
                <w:b/>
                <w:sz w:val="17"/>
              </w:rPr>
              <w:t xml:space="preserve">/s/ </w:t>
            </w:r>
            <w:r>
              <w:rPr>
                <w:sz w:val="17"/>
              </w:rPr>
              <w:t>GREG L. ARMSTRONG</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President and Director</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Greg L. Armstrong</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Executive Officer)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PHIL KRAMER</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Executive Vice President, Chief</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Phil Kramer</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Officer and Director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shd w:fill="auto" w:val="clear"/>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Financial Officer)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TINA L. VAL</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Vice PresidentAccounting</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Tina L. Val</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Accounting Officer)</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HARRY N. PEFANIS</w:t>
            </w:r>
          </w:p>
        </w:tc>
        <w:tc>
          <w:tcPr>
            <w:tcW w:w="210"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Vice President and Director</w:t>
            </w:r>
          </w:p>
        </w:tc>
        <w:tc>
          <w:tcPr>
            <w:tcW w:w="255"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Harry N. Pefanis</w:t>
            </w:r>
          </w:p>
        </w:tc>
        <w:tc>
          <w:tcPr>
            <w:tcW w:w="210"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II-8</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rPr>
          <w:rFonts w:ascii="Times New Roman" w:hAnsi="Times New Roman"/>
          <w:b/>
          <w:sz w:val="17"/>
        </w:rPr>
      </w:pPr>
      <w:r>
        <w:rPr>
          <w:rFonts w:ascii="Times New Roman" w:hAnsi="Times New Roman"/>
          <w:b/>
          <w:sz w:val="17"/>
        </w:rPr>
        <w:t>PMC (NOVA SCOTIA) COMPANY, for itself and as the general partner of PLAINS MARKETING CANADA, L.P.</w:t>
      </w:r>
    </w:p>
    <w:tbl>
      <w:tblPr>
        <w:tblW w:w="9164" w:type="dxa"/>
        <w:jc w:val="center"/>
        <w:tblInd w:w="0" w:type="dxa"/>
        <w:tblCellMar>
          <w:top w:w="0" w:type="dxa"/>
          <w:left w:w="0" w:type="dxa"/>
          <w:bottom w:w="0" w:type="dxa"/>
          <w:right w:w="0" w:type="dxa"/>
        </w:tblCellMar>
      </w:tblPr>
      <w:tblGrid>
        <w:gridCol w:w="1010"/>
        <w:gridCol w:w="964"/>
        <w:gridCol w:w="995"/>
        <w:gridCol w:w="195"/>
        <w:gridCol w:w="1650"/>
        <w:gridCol w:w="510"/>
        <w:gridCol w:w="1650"/>
        <w:gridCol w:w="240"/>
        <w:gridCol w:w="735"/>
        <w:gridCol w:w="465"/>
        <w:gridCol w:w="750"/>
      </w:tblGrid>
      <w:tr>
        <w:trPr/>
        <w:tc>
          <w:tcPr>
            <w:tcW w:w="1010" w:type="dxa"/>
            <w:tcBorders/>
            <w:shd w:fill="auto" w:val="clear"/>
            <w:vAlign w:val="bottom"/>
          </w:tcPr>
          <w:p>
            <w:pPr>
              <w:pStyle w:val="TableContents"/>
              <w:spacing w:before="0" w:after="283"/>
              <w:ind w:left="0" w:right="0" w:hanging="0"/>
              <w:rPr>
                <w:sz w:val="4"/>
                <w:szCs w:val="4"/>
              </w:rPr>
            </w:pPr>
            <w:r>
              <w:rPr>
                <w:sz w:val="4"/>
                <w:szCs w:val="4"/>
              </w:rPr>
            </w:r>
          </w:p>
        </w:tc>
        <w:tc>
          <w:tcPr>
            <w:tcW w:w="964"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SIGNATURE</w:t>
            </w:r>
          </w:p>
        </w:tc>
        <w:tc>
          <w:tcPr>
            <w:tcW w:w="99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1650" w:type="dxa"/>
            <w:tcBorders/>
            <w:shd w:fill="auto" w:val="clear"/>
            <w:vAlign w:val="bottom"/>
          </w:tcPr>
          <w:p>
            <w:pPr>
              <w:pStyle w:val="TableContents"/>
              <w:spacing w:before="0" w:after="283"/>
              <w:ind w:left="0" w:right="0" w:hanging="0"/>
              <w:rPr>
                <w:sz w:val="4"/>
                <w:szCs w:val="4"/>
              </w:rPr>
            </w:pPr>
            <w:r>
              <w:rPr>
                <w:sz w:val="4"/>
                <w:szCs w:val="4"/>
              </w:rPr>
            </w:r>
          </w:p>
        </w:tc>
        <w:tc>
          <w:tcPr>
            <w:tcW w:w="510"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TITLE</w:t>
            </w:r>
          </w:p>
        </w:tc>
        <w:tc>
          <w:tcPr>
            <w:tcW w:w="16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35" w:type="dxa"/>
            <w:tcBorders/>
            <w:shd w:fill="auto" w:val="clear"/>
            <w:vAlign w:val="bottom"/>
          </w:tcPr>
          <w:p>
            <w:pPr>
              <w:pStyle w:val="TableContents"/>
              <w:spacing w:before="0" w:after="283"/>
              <w:ind w:left="0" w:right="0" w:hanging="0"/>
              <w:rPr>
                <w:sz w:val="4"/>
                <w:szCs w:val="4"/>
              </w:rPr>
            </w:pPr>
            <w:r>
              <w:rPr>
                <w:sz w:val="4"/>
                <w:szCs w:val="4"/>
              </w:rPr>
            </w:r>
          </w:p>
        </w:tc>
        <w:tc>
          <w:tcPr>
            <w:tcW w:w="465"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DATE</w:t>
            </w:r>
          </w:p>
        </w:tc>
        <w:tc>
          <w:tcPr>
            <w:tcW w:w="750" w:type="dxa"/>
            <w:tcBorders/>
            <w:shd w:fill="auto" w:val="clear"/>
            <w:vAlign w:val="bottom"/>
          </w:tcPr>
          <w:p>
            <w:pPr>
              <w:pStyle w:val="TableContents"/>
              <w:spacing w:lineRule="atLeast" w:line="160" w:before="0" w:after="0"/>
              <w:ind w:left="0" w:right="0" w:hanging="0"/>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W. DAVID DUCKETT</w:t>
            </w:r>
          </w:p>
        </w:tc>
        <w:tc>
          <w:tcPr>
            <w:tcW w:w="195"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President</w:t>
            </w:r>
          </w:p>
        </w:tc>
        <w:tc>
          <w:tcPr>
            <w:tcW w:w="240"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 David Duckett</w:t>
            </w:r>
          </w:p>
        </w:tc>
        <w:tc>
          <w:tcPr>
            <w:tcW w:w="195"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Executive Officer)</w:t>
            </w:r>
          </w:p>
        </w:tc>
        <w:tc>
          <w:tcPr>
            <w:tcW w:w="240"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D. MARK ALENIUS</w:t>
            </w:r>
          </w:p>
        </w:tc>
        <w:tc>
          <w:tcPr>
            <w:tcW w:w="195"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Vice President and</w:t>
            </w:r>
          </w:p>
        </w:tc>
        <w:tc>
          <w:tcPr>
            <w:tcW w:w="240"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 Mark Alenius</w:t>
            </w:r>
          </w:p>
        </w:tc>
        <w:tc>
          <w:tcPr>
            <w:tcW w:w="195"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240"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shd w:fill="auto" w:val="clear"/>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Financial and  Accounting Officer)</w:t>
            </w:r>
          </w:p>
        </w:tc>
        <w:tc>
          <w:tcPr>
            <w:tcW w:w="240"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TIM MOORE</w:t>
            </w:r>
          </w:p>
        </w:tc>
        <w:tc>
          <w:tcPr>
            <w:tcW w:w="195"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Vice President and Director</w:t>
            </w:r>
          </w:p>
        </w:tc>
        <w:tc>
          <w:tcPr>
            <w:tcW w:w="240"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Tim Moore</w:t>
            </w:r>
          </w:p>
        </w:tc>
        <w:tc>
          <w:tcPr>
            <w:tcW w:w="195"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GREG L. ARMSTRONG</w:t>
            </w:r>
          </w:p>
        </w:tc>
        <w:tc>
          <w:tcPr>
            <w:tcW w:w="195"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Director</w:t>
            </w:r>
          </w:p>
        </w:tc>
        <w:tc>
          <w:tcPr>
            <w:tcW w:w="240"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Greg L. Armstrong</w:t>
            </w:r>
          </w:p>
        </w:tc>
        <w:tc>
          <w:tcPr>
            <w:tcW w:w="195"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r>
        <w:trPr/>
        <w:tc>
          <w:tcPr>
            <w:tcW w:w="2969" w:type="dxa"/>
            <w:gridSpan w:val="3"/>
            <w:tcBorders>
              <w:bottom w:val="single" w:sz="8" w:space="0" w:color="000000"/>
            </w:tcBorders>
            <w:shd w:fill="auto" w:val="clear"/>
            <w:tcMar>
              <w:bottom w:w="28" w:type="dxa"/>
            </w:tcMar>
          </w:tcPr>
          <w:p>
            <w:pPr>
              <w:pStyle w:val="TableContents"/>
              <w:spacing w:before="240" w:after="240"/>
              <w:ind w:left="0" w:right="0" w:hanging="0"/>
              <w:jc w:val="center"/>
              <w:rPr>
                <w:rFonts w:ascii="Times New Roman" w:hAnsi="Times New Roman"/>
                <w:sz w:val="17"/>
              </w:rPr>
            </w:pPr>
            <w:r>
              <w:rPr>
                <w:rFonts w:ascii="Times New Roman" w:hAnsi="Times New Roman"/>
                <w:sz w:val="17"/>
              </w:rPr>
              <w:t>/s/ HARRY N. PEFANIS</w:t>
            </w:r>
          </w:p>
        </w:tc>
        <w:tc>
          <w:tcPr>
            <w:tcW w:w="195" w:type="dxa"/>
            <w:tcBorders/>
            <w:shd w:fill="auto" w:val="clear"/>
            <w:vAlign w:val="bottom"/>
          </w:tcPr>
          <w:p>
            <w:pPr>
              <w:pStyle w:val="TableContents"/>
              <w:spacing w:before="240" w:after="240"/>
              <w:ind w:left="0" w:right="0" w:hanging="0"/>
              <w:rPr/>
            </w:pPr>
            <w:r>
              <w:rPr/>
              <w:t> </w:t>
            </w:r>
          </w:p>
        </w:tc>
        <w:tc>
          <w:tcPr>
            <w:tcW w:w="3810" w:type="dxa"/>
            <w:gridSpan w:val="3"/>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Director</w:t>
            </w:r>
          </w:p>
        </w:tc>
        <w:tc>
          <w:tcPr>
            <w:tcW w:w="240" w:type="dxa"/>
            <w:tcBorders/>
            <w:shd w:fill="auto" w:val="clear"/>
            <w:vAlign w:val="bottom"/>
          </w:tcPr>
          <w:p>
            <w:pPr>
              <w:pStyle w:val="TableContents"/>
              <w:spacing w:before="240" w:after="240"/>
              <w:ind w:left="0" w:right="0" w:hanging="0"/>
              <w:rPr/>
            </w:pPr>
            <w:r>
              <w:rPr/>
              <w:t> </w:t>
            </w:r>
          </w:p>
        </w:tc>
        <w:tc>
          <w:tcPr>
            <w:tcW w:w="1950" w:type="dxa"/>
            <w:gridSpan w:val="3"/>
            <w:tcBorders/>
            <w:shd w:fill="auto" w:val="clear"/>
          </w:tcPr>
          <w:p>
            <w:pPr>
              <w:pStyle w:val="TableContents"/>
              <w:spacing w:before="240" w:after="240"/>
              <w:ind w:left="0" w:right="0" w:hanging="0"/>
              <w:jc w:val="center"/>
              <w:rPr>
                <w:rFonts w:ascii="Times New Roman" w:hAnsi="Times New Roman"/>
                <w:sz w:val="17"/>
              </w:rPr>
            </w:pPr>
            <w:r>
              <w:rPr>
                <w:rFonts w:ascii="Times New Roman" w:hAnsi="Times New Roman"/>
                <w:sz w:val="17"/>
              </w:rPr>
              <w:t>September 21, 2005</w:t>
            </w:r>
          </w:p>
        </w:tc>
      </w:tr>
      <w:tr>
        <w:trPr/>
        <w:tc>
          <w:tcPr>
            <w:tcW w:w="2969"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Harry N. Pefanis</w:t>
            </w:r>
          </w:p>
        </w:tc>
        <w:tc>
          <w:tcPr>
            <w:tcW w:w="195" w:type="dxa"/>
            <w:tcBorders/>
            <w:shd w:fill="auto" w:val="clear"/>
            <w:vAlign w:val="bottom"/>
          </w:tcPr>
          <w:p>
            <w:pPr>
              <w:pStyle w:val="TableContents"/>
              <w:spacing w:before="0" w:after="0"/>
              <w:ind w:left="0" w:right="0" w:hanging="0"/>
              <w:rPr/>
            </w:pPr>
            <w:r>
              <w:rPr/>
              <w:t> </w:t>
            </w:r>
          </w:p>
        </w:tc>
        <w:tc>
          <w:tcPr>
            <w:tcW w:w="3810" w:type="dxa"/>
            <w:gridSpan w:val="3"/>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950" w:type="dxa"/>
            <w:gridSpan w:val="3"/>
            <w:tcBorders/>
            <w:shd w:fill="auto" w:val="clear"/>
          </w:tcPr>
          <w:p>
            <w:pPr>
              <w:pStyle w:val="TableContents"/>
              <w:spacing w:before="0" w:after="0"/>
              <w:ind w:left="0" w:right="0" w:hanging="0"/>
              <w:jc w:val="center"/>
              <w:rPr/>
            </w:pPr>
            <w:r>
              <w:rPr/>
              <w:t> </w:t>
            </w:r>
          </w:p>
        </w:tc>
      </w:tr>
    </w:tbl>
    <w:p>
      <w:pPr>
        <w:pStyle w:val="TextBody"/>
        <w:keepNext w:val="true"/>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II-9</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bookmarkStart w:id="52" w:name="a05-16282_1ex5d1.htm"/>
      <w:bookmarkStart w:id="53" w:name="ksa0516282_1ex5d1"/>
      <w:bookmarkEnd w:id="52"/>
      <w:bookmarkEnd w:id="53"/>
      <w:r>
        <w:rPr>
          <w:rFonts w:ascii="Times New Roman" w:hAnsi="Times New Roman"/>
          <w:b/>
          <w:sz w:val="17"/>
        </w:rPr>
        <w:t>EXHIBIT 5.1</w:t>
      </w:r>
    </w:p>
    <w:p>
      <w:pPr>
        <w:pStyle w:val="TextBody"/>
        <w:keepNext w:val="true"/>
        <w:spacing w:before="0" w:after="480"/>
        <w:ind w:left="200" w:right="0" w:hanging="200"/>
        <w:rPr>
          <w:rFonts w:ascii="Times New Roman" w:hAnsi="Times New Roman"/>
          <w:b/>
          <w:sz w:val="17"/>
        </w:rPr>
      </w:pPr>
      <w:r>
        <w:rPr>
          <w:rFonts w:ascii="Times New Roman" w:hAnsi="Times New Roman"/>
          <w:b/>
          <w:sz w:val="17"/>
        </w:rPr>
        <w:t>Insert Graphic</w:t>
      </w:r>
    </w:p>
    <w:p>
      <w:pPr>
        <w:pStyle w:val="TextBody"/>
        <w:spacing w:before="0" w:after="0"/>
        <w:ind w:left="0" w:right="0" w:hanging="0"/>
        <w:rPr>
          <w:rFonts w:ascii="Times New Roman" w:hAnsi="Times New Roman"/>
          <w:sz w:val="17"/>
        </w:rPr>
      </w:pPr>
      <w:r>
        <w:rPr>
          <w:rFonts w:ascii="Times New Roman" w:hAnsi="Times New Roman"/>
          <w:b/>
          <w:sz w:val="17"/>
        </w:rPr>
        <w:t xml:space="preserve">Tel </w:t>
      </w:r>
      <w:r>
        <w:rPr>
          <w:rFonts w:ascii="Times New Roman" w:hAnsi="Times New Roman"/>
          <w:sz w:val="17"/>
        </w:rPr>
        <w:t xml:space="preserve">713.758.2222   </w:t>
      </w:r>
      <w:r>
        <w:rPr>
          <w:rFonts w:ascii="Times New Roman" w:hAnsi="Times New Roman"/>
          <w:b/>
          <w:sz w:val="17"/>
        </w:rPr>
        <w:t xml:space="preserve">Fax </w:t>
      </w:r>
      <w:r>
        <w:rPr>
          <w:rFonts w:ascii="Times New Roman" w:hAnsi="Times New Roman"/>
          <w:sz w:val="17"/>
        </w:rPr>
        <w:t>713.758.2346</w:t>
      </w:r>
    </w:p>
    <w:p>
      <w:pPr>
        <w:pStyle w:val="TextBody"/>
        <w:keepNext w:val="true"/>
        <w:spacing w:before="0" w:after="120"/>
        <w:ind w:left="0" w:right="0" w:hanging="0"/>
        <w:jc w:val="center"/>
        <w:rPr>
          <w:rFonts w:ascii="Times New Roman" w:hAnsi="Times New Roman"/>
          <w:sz w:val="17"/>
        </w:rPr>
      </w:pPr>
      <w:r>
        <w:rPr>
          <w:rFonts w:ascii="Times New Roman" w:hAnsi="Times New Roman"/>
          <w:sz w:val="17"/>
        </w:rPr>
        <w:t>September 21, 2005</w:t>
      </w:r>
    </w:p>
    <w:p>
      <w:pPr>
        <w:pStyle w:val="TextBody"/>
        <w:spacing w:before="0" w:after="120"/>
        <w:ind w:left="0" w:right="0" w:hanging="0"/>
        <w:rPr>
          <w:rFonts w:ascii="Times New Roman" w:hAnsi="Times New Roman"/>
          <w:sz w:val="17"/>
        </w:rPr>
      </w:pPr>
      <w:r>
        <w:rPr>
          <w:rFonts w:ascii="Times New Roman" w:hAnsi="Times New Roman"/>
          <w:sz w:val="17"/>
        </w:rPr>
        <w:t>Plains All American Pipeline, L.P.</w:t>
        <w:br/>
        <w:t>333 Clay Street, Suite 1600</w:t>
        <w:br/>
        <w:t>Houston, Texas  77002</w:t>
      </w:r>
    </w:p>
    <w:p>
      <w:pPr>
        <w:pStyle w:val="TextBody"/>
        <w:spacing w:before="0" w:after="120"/>
        <w:ind w:left="0" w:right="0" w:hanging="0"/>
        <w:rPr>
          <w:rFonts w:ascii="Times New Roman" w:hAnsi="Times New Roman"/>
          <w:sz w:val="17"/>
        </w:rPr>
      </w:pPr>
      <w:r>
        <w:rPr>
          <w:rFonts w:ascii="Times New Roman" w:hAnsi="Times New Roman"/>
          <w:sz w:val="17"/>
        </w:rPr>
        <w:t>Ladies and Gentlemen:</w:t>
      </w:r>
    </w:p>
    <w:p>
      <w:pPr>
        <w:pStyle w:val="TextBody"/>
        <w:spacing w:before="0" w:after="120"/>
        <w:ind w:left="0" w:right="0" w:firstLine="400"/>
        <w:rPr>
          <w:rFonts w:ascii="Times New Roman" w:hAnsi="Times New Roman"/>
          <w:sz w:val="17"/>
        </w:rPr>
      </w:pPr>
      <w:r>
        <w:rPr>
          <w:rFonts w:ascii="Times New Roman" w:hAnsi="Times New Roman"/>
          <w:sz w:val="17"/>
        </w:rPr>
        <w:t>We have acted as counsel for Plains All American Pipeline, L.P., a Delaware limited partnership (the Partnership), PAA Finance Corp. (PAA Finance and collectively with the Partnership, the Issuers) and certain of its subsidiaries with respect to with the preparation of the Registration Statement on Form S-4 (the Registration Statement) filed with the Securities and Exchange Commission (the Commission) in connection with the registration by the Issuers under the Securities Act of 1933, as amended (the Securities Act) of (i) the offer and exchange by the Issuers (the Exchange Offer) of $150,000,000 aggregate principal amount of its 5.25% Senior Notes due 2015 (the Initial Notes), for a new series of notes bearing substantially identical terms and in like principal amount (the Exchange Notes) and (ii) the guarantees (the Guarantees) of certain subsidiaries of the Issuers listed in the Registration Statement as guarantors (the Subsidiary Guarantors) of the Initial Notes and the Exchange Notes. The Initial Notes and the Exchange Notes are collectively referred to herein as the Notes.  The Initial Notes were issued, and the Exchange Notes will be issued, under an Indenture dated as of September 25, 2002 and supplemented by the Fifth Supplemental Indenture dated May 27, 2005 among the Issuers, the Subsidiary Guarantors and Wachovia Bank, National Association, as Trustee (collectively, the Indenture). The Exchange Offer will be conducted on such terms and conditions as are set forth in the prospectus contained in the Registration Statement to which this opinion is an exhibit.</w:t>
      </w:r>
    </w:p>
    <w:p>
      <w:pPr>
        <w:pStyle w:val="TextBody"/>
        <w:spacing w:before="0" w:after="120"/>
        <w:ind w:left="0" w:right="0" w:firstLine="400"/>
        <w:rPr>
          <w:rFonts w:ascii="Times New Roman" w:hAnsi="Times New Roman"/>
          <w:sz w:val="17"/>
        </w:rPr>
      </w:pPr>
      <w:r>
        <w:rPr>
          <w:rFonts w:ascii="Times New Roman" w:hAnsi="Times New Roman"/>
          <w:sz w:val="17"/>
        </w:rPr>
        <w:t>We have examined originals or copies, certified or otherwise identified to our satisfaction, of (i) the Registration Statement, (ii) the Indenture and (iii) such other certificates, statutes and other instruments and documents as we considered appropriate for purposes of the opinions hereafter expressed. In connection with this opinion, we have assumed that the Registration Statement, and any amendments thereto (including post-effective amendments), will have become effective and the Exchange Notes will be issued and sold in compliance with applicable federal and state securities laws and in the manner described in the Registration Statement.</w:t>
      </w:r>
    </w:p>
    <w:p>
      <w:pPr>
        <w:pStyle w:val="TextBody"/>
        <w:spacing w:before="0" w:after="120"/>
        <w:ind w:left="0" w:right="0" w:firstLine="400"/>
        <w:rPr>
          <w:rFonts w:ascii="Times New Roman" w:hAnsi="Times New Roman"/>
          <w:sz w:val="17"/>
        </w:rPr>
      </w:pPr>
      <w:r>
        <w:rPr>
          <w:rFonts w:ascii="Times New Roman" w:hAnsi="Times New Roman"/>
          <w:sz w:val="17"/>
        </w:rPr>
        <w:t>Based on the foregoing, we are of the opinion that:</w:t>
      </w:r>
    </w:p>
    <w:p>
      <w:pPr>
        <w:pStyle w:val="TextBody"/>
        <w:spacing w:before="0" w:after="1500"/>
        <w:ind w:left="400" w:right="0" w:firstLine="400"/>
        <w:rPr>
          <w:rFonts w:ascii="Times New Roman" w:hAnsi="Times New Roman"/>
          <w:sz w:val="17"/>
        </w:rPr>
      </w:pPr>
      <w:r>
        <w:rPr>
          <w:rFonts w:ascii="Times New Roman" w:hAnsi="Times New Roman"/>
          <w:sz w:val="17"/>
        </w:rPr>
        <w:t>(a)    When the Exchange Notes have been duly executed, authenticated, issued and delivered in accordance with the provisions of the Indenture, (i) such Exchange Notes will be legally issued and will constitute valid and binding obligations of the Issuers enforceable against the Issuers in accordance with their terms, and (ii) the Guarantees of the Subsidiary Guarantors remain valid and binding obligations of such subsidiaries, enforceable against the Issuers and each such Subsidiary Guarantor in accordance with their terms, except in each case as such enforcement is subject to any applicable bankruptcy, insolvency, reorganization or other law relating to or affecting creditors rights generally and general principles of equity.</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sz w:val="17"/>
              </w:rPr>
            </w:pPr>
            <w:r>
              <w:rPr>
                <w:rFonts w:ascii="Times New Roman" w:hAnsi="Times New Roman"/>
                <w:b/>
                <w:sz w:val="12"/>
              </w:rPr>
              <w:t>Vinson &amp; Elkins LLP</w:t>
            </w:r>
            <w:r>
              <w:rPr>
                <w:sz w:val="17"/>
              </w:rPr>
              <w:t> </w:t>
            </w:r>
            <w:r>
              <w:rPr>
                <w:b/>
                <w:sz w:val="12"/>
              </w:rPr>
              <w:t>Attorneys at Law</w:t>
            </w:r>
            <w:r>
              <w:rPr>
                <w:sz w:val="12"/>
              </w:rPr>
              <w:t> Austin Beijing Dallas Dubai</w:t>
            </w:r>
          </w:p>
        </w:tc>
        <w:tc>
          <w:tcPr>
            <w:tcW w:w="5103"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First City Tower, 1001 Fannin Street, Suite 2300, Houston, TX 77002-6760</w:t>
            </w:r>
          </w:p>
        </w:tc>
      </w:tr>
      <w:tr>
        <w:trPr/>
        <w:tc>
          <w:tcPr>
            <w:tcW w:w="5102"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Houston London Moscow New York Shanghai Tokyo Washington</w:t>
            </w:r>
          </w:p>
        </w:tc>
        <w:tc>
          <w:tcPr>
            <w:tcW w:w="5103" w:type="dxa"/>
            <w:tcBorders/>
            <w:shd w:fill="auto" w:val="clear"/>
          </w:tcPr>
          <w:p>
            <w:pPr>
              <w:pStyle w:val="TableContents"/>
              <w:spacing w:before="0" w:after="0"/>
              <w:ind w:left="0" w:right="0" w:hanging="0"/>
              <w:rPr/>
            </w:pPr>
            <w:r>
              <w:rPr>
                <w:rFonts w:ascii="Times New Roman" w:hAnsi="Times New Roman"/>
                <w:b/>
                <w:sz w:val="12"/>
              </w:rPr>
              <w:t xml:space="preserve">Tel </w:t>
            </w:r>
            <w:r>
              <w:rPr>
                <w:sz w:val="12"/>
              </w:rPr>
              <w:t xml:space="preserve">713.758.2222   </w:t>
            </w:r>
            <w:r>
              <w:rPr>
                <w:b/>
                <w:sz w:val="12"/>
              </w:rPr>
              <w:t xml:space="preserve">Fax </w:t>
            </w:r>
            <w:r>
              <w:rPr>
                <w:sz w:val="12"/>
              </w:rPr>
              <w:t xml:space="preserve">713.758.2346 </w:t>
            </w:r>
            <w:r>
              <w:rPr>
                <w:b/>
                <w:sz w:val="12"/>
              </w:rPr>
              <w:t>www.velaw.com</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400" w:right="0" w:firstLine="400"/>
        <w:rPr>
          <w:rFonts w:ascii="Times New Roman" w:hAnsi="Times New Roman"/>
          <w:sz w:val="17"/>
        </w:rPr>
      </w:pPr>
      <w:r>
        <w:rPr>
          <w:rFonts w:ascii="Times New Roman" w:hAnsi="Times New Roman"/>
          <w:sz w:val="17"/>
        </w:rPr>
        <w:t>(b)   We hereby confirm that the discussion and the legal conclusions set forth in the Registration Statement under the heading Federal Income Tax Considerations are accurate and complete in all material respects and constitute our opinion, which is subject to the assumptions and qualifications set forth therein, as to the material tax consequences of the purchase, ownership and disposition of the disposition of the Initial Notes and Exchange Notes.</w:t>
      </w:r>
    </w:p>
    <w:p>
      <w:pPr>
        <w:pStyle w:val="TextBody"/>
        <w:spacing w:before="0" w:after="120"/>
        <w:ind w:left="0" w:right="0" w:firstLine="400"/>
        <w:rPr>
          <w:rFonts w:ascii="Times New Roman" w:hAnsi="Times New Roman"/>
          <w:sz w:val="17"/>
        </w:rPr>
      </w:pPr>
      <w:r>
        <w:rPr>
          <w:rFonts w:ascii="Times New Roman" w:hAnsi="Times New Roman"/>
          <w:sz w:val="17"/>
        </w:rPr>
        <w:t>We express no opinions concerning (a) the validity or enforceability of any provisions contained in the Indenture that purport to waive or not give effect to rights to notices, defenses, subrogation or other rights or benefits that cannot be effectively waived under applicable law; or (b) the enforceability of indemnification provisions to the extent they purport to relate to liabilities resulting from or based upon negligence or any violation of federal or state securities or blue sky laws.</w:t>
      </w:r>
    </w:p>
    <w:p>
      <w:pPr>
        <w:pStyle w:val="TextBody"/>
        <w:spacing w:before="0" w:after="120"/>
        <w:ind w:left="0" w:right="0" w:firstLine="400"/>
        <w:rPr>
          <w:rFonts w:ascii="Times New Roman" w:hAnsi="Times New Roman"/>
          <w:sz w:val="17"/>
        </w:rPr>
      </w:pPr>
      <w:r>
        <w:rPr>
          <w:rFonts w:ascii="Times New Roman" w:hAnsi="Times New Roman"/>
          <w:sz w:val="17"/>
        </w:rPr>
        <w:t>The opinions expressed herein are limited exclusively to the federal laws of the United States of America, the laws of the State of New York and the laws of the State of Delaware, and we are expressing no opinion as to the effect of the laws of any other jurisdiction, domestic or foreign.</w:t>
      </w:r>
    </w:p>
    <w:p>
      <w:pPr>
        <w:pStyle w:val="TextBody"/>
        <w:keepNext w:val="true"/>
        <w:spacing w:before="0" w:after="240"/>
        <w:ind w:left="0" w:right="0" w:firstLine="400"/>
        <w:rPr>
          <w:rFonts w:ascii="Times New Roman" w:hAnsi="Times New Roman"/>
          <w:sz w:val="17"/>
        </w:rPr>
      </w:pPr>
      <w:r>
        <w:rPr>
          <w:rFonts w:ascii="Times New Roman" w:hAnsi="Times New Roman"/>
          <w:sz w:val="17"/>
        </w:rPr>
        <w:t>We hereby consent to the filing of this opinion as an exhibit to the Registration Statement and to the use of our firm name in the prospectus forming a part of the Registration Statement under the captions Legal Matters and Federal Income Tax Consequences.  By giving such consent, we do not admit that we are within the category of persons whose consent is required under Section 7 of the Securities Act or the rules and regulations of the Commission issued thereunder.</w:t>
      </w:r>
    </w:p>
    <w:tbl>
      <w:tblPr>
        <w:tblW w:w="9120" w:type="dxa"/>
        <w:jc w:val="left"/>
        <w:tblInd w:w="0" w:type="dxa"/>
        <w:tblCellMar>
          <w:top w:w="0" w:type="dxa"/>
          <w:left w:w="0" w:type="dxa"/>
          <w:bottom w:w="0" w:type="dxa"/>
          <w:right w:w="0" w:type="dxa"/>
        </w:tblCellMar>
      </w:tblPr>
      <w:tblGrid>
        <w:gridCol w:w="4560"/>
        <w:gridCol w:w="4560"/>
      </w:tblGrid>
      <w:tr>
        <w:trPr/>
        <w:tc>
          <w:tcPr>
            <w:tcW w:w="4560" w:type="dxa"/>
            <w:tcBorders/>
            <w:shd w:fill="auto" w:val="clear"/>
          </w:tcPr>
          <w:p>
            <w:pPr>
              <w:pStyle w:val="TableContents"/>
              <w:spacing w:before="0" w:after="0"/>
              <w:ind w:left="0" w:right="0" w:hanging="0"/>
              <w:rPr/>
            </w:pPr>
            <w:r>
              <w:rPr/>
              <w:t> </w:t>
            </w:r>
          </w:p>
        </w:tc>
        <w:tc>
          <w:tcPr>
            <w:tcW w:w="4560" w:type="dxa"/>
            <w:tcBorders/>
            <w:shd w:fill="auto" w:val="clear"/>
          </w:tcPr>
          <w:p>
            <w:pPr>
              <w:pStyle w:val="TableContents"/>
              <w:spacing w:before="0" w:after="0"/>
              <w:ind w:left="0" w:right="0" w:hanging="0"/>
              <w:rPr>
                <w:sz w:val="17"/>
              </w:rPr>
            </w:pPr>
            <w:r>
              <w:rPr>
                <w:sz w:val="17"/>
              </w:rPr>
              <w:t>Very truly yours,</w:t>
            </w:r>
          </w:p>
        </w:tc>
      </w:tr>
      <w:tr>
        <w:trPr/>
        <w:tc>
          <w:tcPr>
            <w:tcW w:w="4560" w:type="dxa"/>
            <w:tcBorders/>
            <w:shd w:fill="auto" w:val="clear"/>
          </w:tcPr>
          <w:p>
            <w:pPr>
              <w:pStyle w:val="TableContents"/>
              <w:spacing w:before="240" w:after="240"/>
              <w:ind w:left="0" w:right="0" w:hanging="0"/>
              <w:rPr/>
            </w:pPr>
            <w:r>
              <w:rPr/>
              <w:t> </w:t>
            </w:r>
          </w:p>
        </w:tc>
        <w:tc>
          <w:tcPr>
            <w:tcW w:w="4560"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/s/ VINSON &amp; ELKINS L.L.P.</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bookmarkStart w:id="54" w:name="a05-16282_1ex12d1.htm"/>
      <w:bookmarkStart w:id="55" w:name="ksa0516282_1ex12d1"/>
      <w:bookmarkEnd w:id="54"/>
      <w:bookmarkEnd w:id="55"/>
      <w:r>
        <w:rPr>
          <w:rFonts w:ascii="Times New Roman" w:hAnsi="Times New Roman"/>
          <w:b/>
          <w:sz w:val="17"/>
        </w:rPr>
        <w:t>EXHIBIT 12.1</w:t>
      </w:r>
    </w:p>
    <w:p>
      <w:pPr>
        <w:pStyle w:val="TextBody"/>
        <w:keepNext w:val="true"/>
        <w:spacing w:before="0" w:after="240"/>
        <w:ind w:left="0" w:right="0" w:hanging="0"/>
        <w:jc w:val="center"/>
        <w:rPr>
          <w:rFonts w:ascii="Times New Roman" w:hAnsi="Times New Roman"/>
          <w:b/>
          <w:sz w:val="17"/>
        </w:rPr>
      </w:pPr>
      <w:bookmarkStart w:id="56" w:name="StatementOfComputationOfRatioOfEa_092425"/>
      <w:bookmarkEnd w:id="56"/>
      <w:r>
        <w:rPr>
          <w:rFonts w:ascii="Times New Roman" w:hAnsi="Times New Roman"/>
          <w:b/>
          <w:sz w:val="17"/>
        </w:rPr>
        <w:t>STATEMENT OF COMPUTATION OF RATIO OF EARNINGS TO FIXED CHARGES</w:t>
      </w:r>
    </w:p>
    <w:tbl>
      <w:tblPr>
        <w:tblW w:w="9210" w:type="dxa"/>
        <w:jc w:val="center"/>
        <w:tblInd w:w="0" w:type="dxa"/>
        <w:tblCellMar>
          <w:top w:w="0" w:type="dxa"/>
          <w:left w:w="0" w:type="dxa"/>
          <w:bottom w:w="0" w:type="dxa"/>
          <w:right w:w="0" w:type="dxa"/>
        </w:tblCellMar>
      </w:tblPr>
      <w:tblGrid>
        <w:gridCol w:w="3060"/>
        <w:gridCol w:w="165"/>
        <w:gridCol w:w="90"/>
        <w:gridCol w:w="110"/>
        <w:gridCol w:w="675"/>
        <w:gridCol w:w="90"/>
        <w:gridCol w:w="225"/>
        <w:gridCol w:w="110"/>
        <w:gridCol w:w="675"/>
        <w:gridCol w:w="225"/>
        <w:gridCol w:w="110"/>
        <w:gridCol w:w="675"/>
        <w:gridCol w:w="225"/>
        <w:gridCol w:w="110"/>
        <w:gridCol w:w="675"/>
        <w:gridCol w:w="225"/>
        <w:gridCol w:w="110"/>
        <w:gridCol w:w="585"/>
        <w:gridCol w:w="225"/>
        <w:gridCol w:w="110"/>
        <w:gridCol w:w="675"/>
        <w:gridCol w:w="60"/>
      </w:tblGrid>
      <w:tr>
        <w:trPr/>
        <w:tc>
          <w:tcPr>
            <w:tcW w:w="3060" w:type="dxa"/>
            <w:tcBorders/>
            <w:shd w:fill="auto" w:val="clear"/>
            <w:vAlign w:val="bottom"/>
          </w:tcPr>
          <w:p>
            <w:pPr>
              <w:pStyle w:val="TableContents"/>
              <w:spacing w:lineRule="atLeast" w:line="160" w:before="0" w:after="0"/>
              <w:ind w:left="0" w:right="0" w:hanging="0"/>
              <w:rPr/>
            </w:pPr>
            <w:r>
              <w:rPr/>
              <w:t> </w:t>
            </w:r>
          </w:p>
        </w:tc>
        <w:tc>
          <w:tcPr>
            <w:tcW w:w="165" w:type="dxa"/>
            <w:tcBorders/>
            <w:shd w:fill="auto" w:val="clear"/>
            <w:vAlign w:val="bottom"/>
          </w:tcPr>
          <w:p>
            <w:pPr>
              <w:pStyle w:val="TableContents"/>
              <w:spacing w:lineRule="atLeast" w:line="160" w:before="0" w:after="0"/>
              <w:ind w:left="0" w:right="0" w:hanging="0"/>
              <w:rPr/>
            </w:pPr>
            <w:r>
              <w:rPr/>
              <w:t> </w:t>
            </w:r>
          </w:p>
        </w:tc>
        <w:tc>
          <w:tcPr>
            <w:tcW w:w="96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w:t>
            </w:r>
          </w:p>
        </w:tc>
        <w:tc>
          <w:tcPr>
            <w:tcW w:w="22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695" w:type="dxa"/>
            <w:gridSpan w:val="2"/>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shd w:fill="auto" w:val="clear"/>
            <w:vAlign w:val="bottom"/>
          </w:tcPr>
          <w:p>
            <w:pPr>
              <w:pStyle w:val="TableContents"/>
              <w:spacing w:lineRule="atLeast" w:line="160" w:before="0" w:after="0"/>
              <w:ind w:left="0" w:right="0" w:hanging="0"/>
              <w:rPr/>
            </w:pPr>
            <w:r>
              <w:rPr/>
              <w:t> </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060" w:type="dxa"/>
            <w:tcBorders/>
            <w:shd w:fill="auto" w:val="clear"/>
            <w:vAlign w:val="bottom"/>
          </w:tcPr>
          <w:p>
            <w:pPr>
              <w:pStyle w:val="TableContents"/>
              <w:spacing w:lineRule="atLeast" w:line="160" w:before="0" w:after="0"/>
              <w:ind w:left="0" w:right="0" w:hanging="0"/>
              <w:rPr/>
            </w:pPr>
            <w:r>
              <w:rPr/>
              <w:t> </w:t>
            </w:r>
          </w:p>
        </w:tc>
        <w:tc>
          <w:tcPr>
            <w:tcW w:w="165" w:type="dxa"/>
            <w:tcBorders/>
            <w:shd w:fill="auto" w:val="clear"/>
            <w:vAlign w:val="bottom"/>
          </w:tcPr>
          <w:p>
            <w:pPr>
              <w:pStyle w:val="TableContents"/>
              <w:spacing w:lineRule="atLeast" w:line="160" w:before="0" w:after="0"/>
              <w:ind w:left="0" w:right="0" w:hanging="0"/>
              <w:rPr/>
            </w:pPr>
            <w:r>
              <w:rPr/>
              <w:t> </w:t>
            </w:r>
          </w:p>
        </w:tc>
        <w:tc>
          <w:tcPr>
            <w:tcW w:w="96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Ended</w:t>
            </w:r>
          </w:p>
        </w:tc>
        <w:tc>
          <w:tcPr>
            <w:tcW w:w="225" w:type="dxa"/>
            <w:tcBorders/>
            <w:shd w:fill="auto" w:val="clear"/>
            <w:vAlign w:val="bottom"/>
          </w:tcPr>
          <w:p>
            <w:pPr>
              <w:pStyle w:val="TableContents"/>
              <w:spacing w:lineRule="atLeast" w:line="160" w:before="0" w:after="0"/>
              <w:ind w:left="0" w:right="0" w:hanging="0"/>
              <w:rPr/>
            </w:pPr>
            <w:r>
              <w:rPr/>
              <w:t> </w:t>
            </w:r>
          </w:p>
        </w:tc>
        <w:tc>
          <w:tcPr>
            <w:tcW w:w="4735" w:type="dxa"/>
            <w:gridSpan w:val="1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Year Ended December 31,</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060" w:type="dxa"/>
            <w:tcBorders/>
            <w:shd w:fill="auto" w:val="clear"/>
            <w:vAlign w:val="bottom"/>
          </w:tcPr>
          <w:p>
            <w:pPr>
              <w:pStyle w:val="TableContents"/>
              <w:spacing w:lineRule="atLeast" w:line="160" w:before="0" w:after="0"/>
              <w:ind w:left="0" w:right="0" w:hanging="0"/>
              <w:rPr/>
            </w:pPr>
            <w:r>
              <w:rPr/>
              <w:t> </w:t>
            </w:r>
          </w:p>
        </w:tc>
        <w:tc>
          <w:tcPr>
            <w:tcW w:w="165" w:type="dxa"/>
            <w:tcBorders/>
            <w:shd w:fill="auto" w:val="clear"/>
            <w:vAlign w:val="bottom"/>
          </w:tcPr>
          <w:p>
            <w:pPr>
              <w:pStyle w:val="TableContents"/>
              <w:spacing w:lineRule="atLeast" w:line="160" w:before="0" w:after="0"/>
              <w:ind w:left="0" w:right="0" w:hanging="0"/>
              <w:rPr/>
            </w:pPr>
            <w:r>
              <w:rPr/>
              <w:t> </w:t>
            </w:r>
          </w:p>
        </w:tc>
        <w:tc>
          <w:tcPr>
            <w:tcW w:w="96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 2005</w:t>
            </w:r>
          </w:p>
        </w:tc>
        <w:tc>
          <w:tcPr>
            <w:tcW w:w="22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2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2003</w:t>
            </w:r>
          </w:p>
        </w:tc>
        <w:tc>
          <w:tcPr>
            <w:tcW w:w="22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2002</w:t>
            </w:r>
          </w:p>
        </w:tc>
        <w:tc>
          <w:tcPr>
            <w:tcW w:w="225"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2001</w:t>
            </w:r>
          </w:p>
        </w:tc>
        <w:tc>
          <w:tcPr>
            <w:tcW w:w="22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2000</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0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w:t>
            </w:r>
          </w:p>
        </w:tc>
        <w:tc>
          <w:tcPr>
            <w:tcW w:w="16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30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from continuing operations before income from equity investees</w:t>
            </w:r>
            <w:r>
              <w:rPr>
                <w:rFonts w:ascii="Times New Roman" w:hAnsi="Times New Roman"/>
                <w:position w:val="5"/>
                <w:sz w:val="13"/>
                <w:sz w:val="17"/>
              </w:rPr>
              <w:t>(1)</w:t>
            </w:r>
          </w:p>
        </w:tc>
        <w:tc>
          <w:tcPr>
            <w:tcW w:w="16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94,801</w:t>
            </w:r>
          </w:p>
        </w:tc>
        <w:tc>
          <w:tcPr>
            <w:tcW w:w="9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129,460</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59,295</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64,836</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43,671</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77,502</w:t>
            </w:r>
          </w:p>
        </w:tc>
        <w:tc>
          <w:tcPr>
            <w:tcW w:w="60" w:type="dxa"/>
            <w:tcBorders/>
            <w:shd w:fill="auto" w:val="clear"/>
            <w:vAlign w:val="bottom"/>
          </w:tcPr>
          <w:p>
            <w:pPr>
              <w:pStyle w:val="TableContents"/>
              <w:spacing w:before="0" w:after="0"/>
              <w:ind w:left="0" w:right="0" w:hanging="0"/>
              <w:rPr/>
            </w:pPr>
            <w:r>
              <w:rPr/>
              <w:t> </w:t>
            </w:r>
          </w:p>
        </w:tc>
      </w:tr>
      <w:tr>
        <w:trPr/>
        <w:tc>
          <w:tcPr>
            <w:tcW w:w="3060" w:type="dxa"/>
            <w:tcBorders/>
            <w:shd w:fill="CCEEFF" w:val="clear"/>
          </w:tcPr>
          <w:p>
            <w:pPr>
              <w:pStyle w:val="TableContents"/>
              <w:spacing w:before="80" w:after="80"/>
              <w:ind w:left="0" w:right="0" w:hanging="0"/>
              <w:rPr>
                <w:rFonts w:ascii="Times New Roman" w:hAnsi="Times New Roman"/>
                <w:sz w:val="17"/>
              </w:rPr>
            </w:pPr>
            <w:r>
              <w:rPr>
                <w:rFonts w:ascii="Times New Roman" w:hAnsi="Times New Roman"/>
                <w:sz w:val="17"/>
              </w:rPr>
              <w:t>Add: Fixed Charges</w:t>
            </w:r>
          </w:p>
        </w:tc>
        <w:tc>
          <w:tcPr>
            <w:tcW w:w="165"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42,259</w:t>
            </w:r>
          </w:p>
        </w:tc>
        <w:tc>
          <w:tcPr>
            <w:tcW w:w="90" w:type="dxa"/>
            <w:tcBorders/>
            <w:shd w:fill="CCEEFF" w:val="clear"/>
            <w:vAlign w:val="bottom"/>
          </w:tcPr>
          <w:p>
            <w:pPr>
              <w:pStyle w:val="TableContents"/>
              <w:spacing w:before="80" w:after="8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54,604</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43,662</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38,848</w:t>
            </w:r>
          </w:p>
        </w:tc>
        <w:tc>
          <w:tcPr>
            <w:tcW w:w="225" w:type="dxa"/>
            <w:tcBorders/>
            <w:shd w:fill="CCEEFF" w:val="clear"/>
            <w:vAlign w:val="bottom"/>
          </w:tcPr>
          <w:p>
            <w:pPr>
              <w:pStyle w:val="TableContents"/>
              <w:spacing w:before="80" w:after="80"/>
              <w:ind w:left="0" w:right="0" w:hanging="0"/>
              <w:rPr/>
            </w:pPr>
            <w:r>
              <w:rPr/>
              <w:t> </w:t>
            </w:r>
          </w:p>
        </w:tc>
        <w:tc>
          <w:tcPr>
            <w:tcW w:w="695"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37,574</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33,949</w:t>
            </w:r>
          </w:p>
        </w:tc>
        <w:tc>
          <w:tcPr>
            <w:tcW w:w="60" w:type="dxa"/>
            <w:tcBorders/>
            <w:shd w:fill="CCEEFF" w:val="clear"/>
            <w:vAlign w:val="bottom"/>
          </w:tcPr>
          <w:p>
            <w:pPr>
              <w:pStyle w:val="TableContents"/>
              <w:spacing w:before="80" w:after="80"/>
              <w:ind w:left="0" w:right="0" w:hanging="0"/>
              <w:rPr/>
            </w:pPr>
            <w:r>
              <w:rPr/>
              <w:t> </w:t>
            </w:r>
          </w:p>
        </w:tc>
      </w:tr>
      <w:tr>
        <w:trPr/>
        <w:tc>
          <w:tcPr>
            <w:tcW w:w="30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Distributed income of equity investees</w:t>
            </w:r>
          </w:p>
        </w:tc>
        <w:tc>
          <w:tcPr>
            <w:tcW w:w="16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78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778</w:t>
            </w:r>
          </w:p>
        </w:tc>
        <w:tc>
          <w:tcPr>
            <w:tcW w:w="9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444</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395</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r>
      <w:tr>
        <w:trPr/>
        <w:tc>
          <w:tcPr>
            <w:tcW w:w="3060" w:type="dxa"/>
            <w:tcBorders/>
            <w:shd w:fill="CCEEFF" w:val="clear"/>
          </w:tcPr>
          <w:p>
            <w:pPr>
              <w:pStyle w:val="TableContents"/>
              <w:spacing w:before="80" w:after="80"/>
              <w:ind w:left="0" w:right="0" w:hanging="0"/>
              <w:rPr>
                <w:rFonts w:ascii="Times New Roman" w:hAnsi="Times New Roman"/>
                <w:sz w:val="17"/>
              </w:rPr>
            </w:pPr>
            <w:r>
              <w:rPr>
                <w:rFonts w:ascii="Times New Roman" w:hAnsi="Times New Roman"/>
                <w:sz w:val="17"/>
              </w:rPr>
              <w:t>Subtract: Capitalized Interest</w:t>
            </w:r>
          </w:p>
        </w:tc>
        <w:tc>
          <w:tcPr>
            <w:tcW w:w="165"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(966</w:t>
            </w:r>
          </w:p>
        </w:tc>
        <w:tc>
          <w:tcPr>
            <w:tcW w:w="90" w:type="dxa"/>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(544</w:t>
            </w:r>
          </w:p>
        </w:tc>
        <w:tc>
          <w:tcPr>
            <w:tcW w:w="225" w:type="dxa"/>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(524</w:t>
            </w:r>
          </w:p>
        </w:tc>
        <w:tc>
          <w:tcPr>
            <w:tcW w:w="225" w:type="dxa"/>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(773</w:t>
            </w:r>
          </w:p>
        </w:tc>
        <w:tc>
          <w:tcPr>
            <w:tcW w:w="225" w:type="dxa"/>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695" w:type="dxa"/>
            <w:gridSpan w:val="2"/>
            <w:tcBorders>
              <w:bottom w:val="single" w:sz="8" w:space="0" w:color="000000"/>
            </w:tcBorders>
            <w:shd w:fill="CCEEFF" w:val="clear"/>
            <w:tcMar>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(153</w:t>
            </w:r>
          </w:p>
        </w:tc>
        <w:tc>
          <w:tcPr>
            <w:tcW w:w="225" w:type="dxa"/>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80" w:after="80"/>
              <w:ind w:left="0" w:right="0" w:hanging="0"/>
              <w:rPr/>
            </w:pPr>
            <w:r>
              <w:rPr/>
              <w:t> </w:t>
            </w:r>
          </w:p>
        </w:tc>
      </w:tr>
      <w:tr>
        <w:trPr/>
        <w:tc>
          <w:tcPr>
            <w:tcW w:w="3060"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Total Earnings</w:t>
            </w:r>
            <w:r>
              <w:rPr>
                <w:rFonts w:ascii="Times New Roman" w:hAnsi="Times New Roman"/>
                <w:position w:val="5"/>
                <w:sz w:val="13"/>
                <w:sz w:val="17"/>
              </w:rPr>
              <w:t>(1)</w:t>
            </w:r>
          </w:p>
        </w:tc>
        <w:tc>
          <w:tcPr>
            <w:tcW w:w="165"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136,872</w:t>
            </w:r>
          </w:p>
        </w:tc>
        <w:tc>
          <w:tcPr>
            <w:tcW w:w="9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80" w:after="8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183,964</w:t>
            </w:r>
          </w:p>
        </w:tc>
        <w:tc>
          <w:tcPr>
            <w:tcW w:w="22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102,828</w:t>
            </w:r>
          </w:p>
        </w:tc>
        <w:tc>
          <w:tcPr>
            <w:tcW w:w="22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102,911</w:t>
            </w:r>
          </w:p>
        </w:tc>
        <w:tc>
          <w:tcPr>
            <w:tcW w:w="22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81,092</w:t>
            </w:r>
          </w:p>
        </w:tc>
        <w:tc>
          <w:tcPr>
            <w:tcW w:w="22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111,451</w:t>
            </w:r>
          </w:p>
        </w:tc>
        <w:tc>
          <w:tcPr>
            <w:tcW w:w="60" w:type="dxa"/>
            <w:tcBorders/>
            <w:shd w:fill="auto" w:val="clear"/>
            <w:vAlign w:val="bottom"/>
          </w:tcPr>
          <w:p>
            <w:pPr>
              <w:pStyle w:val="TableContents"/>
              <w:spacing w:before="0" w:after="0"/>
              <w:ind w:left="0" w:right="0" w:hanging="0"/>
              <w:rPr/>
            </w:pPr>
            <w:r>
              <w:rPr/>
              <w:t> </w:t>
            </w:r>
          </w:p>
        </w:tc>
      </w:tr>
      <w:tr>
        <w:trPr/>
        <w:tc>
          <w:tcPr>
            <w:tcW w:w="3060" w:type="dxa"/>
            <w:tcBorders/>
            <w:shd w:fill="CCEEFF" w:val="clear"/>
          </w:tcPr>
          <w:p>
            <w:pPr>
              <w:pStyle w:val="TableContents"/>
              <w:spacing w:before="80" w:after="80"/>
              <w:ind w:left="0" w:right="0" w:hanging="0"/>
              <w:rPr>
                <w:rFonts w:ascii="Times New Roman" w:hAnsi="Times New Roman"/>
                <w:sz w:val="17"/>
              </w:rPr>
            </w:pPr>
            <w:r>
              <w:rPr>
                <w:rFonts w:ascii="Times New Roman" w:hAnsi="Times New Roman"/>
                <w:sz w:val="17"/>
              </w:rPr>
              <w:t>FIXED CHARGES</w:t>
            </w:r>
          </w:p>
        </w:tc>
        <w:tc>
          <w:tcPr>
            <w:tcW w:w="165"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695" w:type="dxa"/>
            <w:gridSpan w:val="2"/>
            <w:tcBorders/>
            <w:shd w:fill="CCEEFF" w:val="clear"/>
            <w:vAlign w:val="bottom"/>
          </w:tcPr>
          <w:p>
            <w:pPr>
              <w:pStyle w:val="TableContents"/>
              <w:spacing w:before="80" w:after="8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785" w:type="dxa"/>
            <w:gridSpan w:val="2"/>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r>
      <w:tr>
        <w:trPr/>
        <w:tc>
          <w:tcPr>
            <w:tcW w:w="30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Expensed and Capitalized</w:t>
            </w:r>
            <w:r>
              <w:rPr>
                <w:rFonts w:ascii="Times New Roman" w:hAnsi="Times New Roman"/>
                <w:position w:val="5"/>
                <w:sz w:val="13"/>
                <w:sz w:val="17"/>
              </w:rPr>
              <w:t>(3)</w:t>
            </w:r>
          </w:p>
        </w:tc>
        <w:tc>
          <w:tcPr>
            <w:tcW w:w="16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38,997</w:t>
            </w:r>
          </w:p>
        </w:tc>
        <w:tc>
          <w:tcPr>
            <w:tcW w:w="9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49,198</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36,790</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32,521</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32,400</w:t>
            </w:r>
          </w:p>
        </w:tc>
        <w:tc>
          <w:tcPr>
            <w:tcW w:w="22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29,356</w:t>
            </w:r>
          </w:p>
        </w:tc>
        <w:tc>
          <w:tcPr>
            <w:tcW w:w="60" w:type="dxa"/>
            <w:tcBorders/>
            <w:shd w:fill="auto" w:val="clear"/>
            <w:vAlign w:val="bottom"/>
          </w:tcPr>
          <w:p>
            <w:pPr>
              <w:pStyle w:val="TableContents"/>
              <w:spacing w:before="0" w:after="0"/>
              <w:ind w:left="0" w:right="0" w:hanging="0"/>
              <w:rPr/>
            </w:pPr>
            <w:r>
              <w:rPr/>
              <w:t> </w:t>
            </w:r>
          </w:p>
        </w:tc>
      </w:tr>
      <w:tr>
        <w:trPr/>
        <w:tc>
          <w:tcPr>
            <w:tcW w:w="30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16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1,293</w:t>
            </w:r>
          </w:p>
        </w:tc>
        <w:tc>
          <w:tcPr>
            <w:tcW w:w="9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2,537</w:t>
            </w:r>
          </w:p>
        </w:tc>
        <w:tc>
          <w:tcPr>
            <w:tcW w:w="225"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3,787</w:t>
            </w:r>
          </w:p>
        </w:tc>
        <w:tc>
          <w:tcPr>
            <w:tcW w:w="225"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3,676</w:t>
            </w:r>
          </w:p>
        </w:tc>
        <w:tc>
          <w:tcPr>
            <w:tcW w:w="225"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2,667</w:t>
            </w:r>
          </w:p>
        </w:tc>
        <w:tc>
          <w:tcPr>
            <w:tcW w:w="225"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2,051</w:t>
            </w:r>
          </w:p>
        </w:tc>
        <w:tc>
          <w:tcPr>
            <w:tcW w:w="60" w:type="dxa"/>
            <w:tcBorders/>
            <w:shd w:fill="CCEEFF" w:val="clear"/>
            <w:vAlign w:val="bottom"/>
          </w:tcPr>
          <w:p>
            <w:pPr>
              <w:pStyle w:val="TableContents"/>
              <w:spacing w:before="0" w:after="0"/>
              <w:ind w:left="0" w:right="0" w:hanging="0"/>
              <w:rPr/>
            </w:pPr>
            <w:r>
              <w:rPr/>
              <w:t> </w:t>
            </w:r>
          </w:p>
        </w:tc>
      </w:tr>
      <w:tr>
        <w:trPr/>
        <w:tc>
          <w:tcPr>
            <w:tcW w:w="30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w:t>
            </w:r>
          </w:p>
        </w:tc>
        <w:tc>
          <w:tcPr>
            <w:tcW w:w="16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1,969</w:t>
            </w:r>
          </w:p>
        </w:tc>
        <w:tc>
          <w:tcPr>
            <w:tcW w:w="9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2,869</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3,085</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2,651</w:t>
            </w:r>
          </w:p>
        </w:tc>
        <w:tc>
          <w:tcPr>
            <w:tcW w:w="225"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2,507</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2,541</w:t>
            </w:r>
          </w:p>
        </w:tc>
        <w:tc>
          <w:tcPr>
            <w:tcW w:w="60" w:type="dxa"/>
            <w:tcBorders/>
            <w:shd w:fill="auto" w:val="clear"/>
            <w:vAlign w:val="bottom"/>
          </w:tcPr>
          <w:p>
            <w:pPr>
              <w:pStyle w:val="TableContents"/>
              <w:spacing w:before="0" w:after="0"/>
              <w:ind w:left="0" w:right="0" w:hanging="0"/>
              <w:rPr/>
            </w:pPr>
            <w:r>
              <w:rPr/>
              <w:t> </w:t>
            </w:r>
          </w:p>
        </w:tc>
      </w:tr>
      <w:tr>
        <w:trPr/>
        <w:tc>
          <w:tcPr>
            <w:tcW w:w="3060" w:type="dxa"/>
            <w:tcBorders/>
            <w:shd w:fill="CCEEFF" w:val="clear"/>
          </w:tcPr>
          <w:p>
            <w:pPr>
              <w:pStyle w:val="TableContents"/>
              <w:spacing w:before="80" w:after="80"/>
              <w:ind w:left="0" w:right="0" w:hanging="0"/>
              <w:rPr>
                <w:rFonts w:ascii="Times New Roman" w:hAnsi="Times New Roman"/>
                <w:sz w:val="17"/>
              </w:rPr>
            </w:pPr>
            <w:r>
              <w:rPr>
                <w:rFonts w:ascii="Times New Roman" w:hAnsi="Times New Roman"/>
                <w:sz w:val="17"/>
              </w:rPr>
              <w:t>Total Fixed Charges</w:t>
            </w:r>
          </w:p>
        </w:tc>
        <w:tc>
          <w:tcPr>
            <w:tcW w:w="165"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42,259</w:t>
            </w:r>
          </w:p>
        </w:tc>
        <w:tc>
          <w:tcPr>
            <w:tcW w:w="9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54,604</w:t>
            </w:r>
          </w:p>
        </w:tc>
        <w:tc>
          <w:tcPr>
            <w:tcW w:w="22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43,662</w:t>
            </w:r>
          </w:p>
        </w:tc>
        <w:tc>
          <w:tcPr>
            <w:tcW w:w="22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38,848</w:t>
            </w:r>
          </w:p>
        </w:tc>
        <w:tc>
          <w:tcPr>
            <w:tcW w:w="22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37,574</w:t>
            </w:r>
          </w:p>
        </w:tc>
        <w:tc>
          <w:tcPr>
            <w:tcW w:w="22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80" w:after="80"/>
              <w:ind w:left="0" w:right="0" w:hanging="0"/>
              <w:rPr>
                <w:rFonts w:ascii="Times New Roman" w:hAnsi="Times New Roman"/>
                <w:sz w:val="17"/>
              </w:rPr>
            </w:pPr>
            <w:r>
              <w:rPr>
                <w:rFonts w:ascii="Times New Roman" w:hAnsi="Times New Roman"/>
                <w:sz w:val="17"/>
              </w:rPr>
              <w:t>33,949</w:t>
            </w:r>
          </w:p>
        </w:tc>
        <w:tc>
          <w:tcPr>
            <w:tcW w:w="60" w:type="dxa"/>
            <w:tcBorders/>
            <w:shd w:fill="CCEEFF" w:val="clear"/>
            <w:vAlign w:val="bottom"/>
          </w:tcPr>
          <w:p>
            <w:pPr>
              <w:pStyle w:val="TableContents"/>
              <w:spacing w:before="0" w:after="0"/>
              <w:ind w:left="0" w:right="0" w:hanging="0"/>
              <w:rPr/>
            </w:pPr>
            <w:r>
              <w:rPr/>
              <w:t> </w:t>
            </w:r>
          </w:p>
        </w:tc>
      </w:tr>
      <w:tr>
        <w:trPr/>
        <w:tc>
          <w:tcPr>
            <w:tcW w:w="30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RATIO OF EARNINGS TO FIXED CHARGES</w:t>
            </w:r>
            <w:r>
              <w:rPr>
                <w:rFonts w:ascii="Times New Roman" w:hAnsi="Times New Roman"/>
                <w:position w:val="5"/>
                <w:sz w:val="13"/>
                <w:sz w:val="17"/>
              </w:rPr>
              <w:t>(2)</w:t>
            </w:r>
          </w:p>
        </w:tc>
        <w:tc>
          <w:tcPr>
            <w:tcW w:w="16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3.24x</w:t>
            </w:r>
          </w:p>
        </w:tc>
        <w:tc>
          <w:tcPr>
            <w:tcW w:w="9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3.37x</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2.36x</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2.65x</w:t>
            </w:r>
          </w:p>
        </w:tc>
        <w:tc>
          <w:tcPr>
            <w:tcW w:w="225" w:type="dxa"/>
            <w:tcBorders/>
            <w:shd w:fill="auto" w:val="clear"/>
            <w:vAlign w:val="bottom"/>
          </w:tcPr>
          <w:p>
            <w:pPr>
              <w:pStyle w:val="TableContents"/>
              <w:spacing w:before="0" w:after="0"/>
              <w:ind w:left="0" w:right="0" w:hanging="0"/>
              <w:rPr/>
            </w:pPr>
            <w:r>
              <w:rPr/>
              <w:t> </w:t>
            </w:r>
          </w:p>
        </w:tc>
        <w:tc>
          <w:tcPr>
            <w:tcW w:w="69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2.16x</w:t>
            </w:r>
          </w:p>
        </w:tc>
        <w:tc>
          <w:tcPr>
            <w:tcW w:w="225" w:type="dxa"/>
            <w:tcBorders/>
            <w:shd w:fill="auto" w:val="clear"/>
            <w:vAlign w:val="bottom"/>
          </w:tcPr>
          <w:p>
            <w:pPr>
              <w:pStyle w:val="TableContents"/>
              <w:spacing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3.28x</w:t>
            </w:r>
          </w:p>
        </w:tc>
        <w:tc>
          <w:tcPr>
            <w:tcW w:w="60" w:type="dxa"/>
            <w:tcBorders/>
            <w:shd w:fill="auto"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For purposes of computing the ratio of earnings to fixed charges, earnings consist of pretax income from continuing operations plus fixed charges (excluding capitalized interest). Fixed charges represent interest incurred (whether expensed or capitalized), amortization of debt expense, and that portion of rental expense on operating leases deemed to be the equivalent of interest.</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(2)</w:t>
      </w:r>
      <w:r>
        <w:rPr>
          <w:rFonts w:ascii="Times New Roman" w:hAnsi="Times New Roman"/>
          <w:sz w:val="17"/>
        </w:rPr>
        <w:t>                 The 2000 period includes a loss of $15.1 million related to early extinguishment of debt previously classified as extraordinary items. Effective with the FASBs issuance of SFAS 145, Rescission of FASB Statements No. 4, 44, and 64, Amendment of FASB Statement No. 13, and Technical Corrections in April 2002, such items are included in income from continuing operations.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(3)</w:t>
      </w:r>
      <w:r>
        <w:rPr>
          <w:rFonts w:ascii="Times New Roman" w:hAnsi="Times New Roman"/>
          <w:sz w:val="17"/>
        </w:rPr>
        <w:t>                 Includes interest costs attributable to borrowings for inventory stored in a contango market of $9.2 million for the six months ended June 30, 2005, and $2.0 million, $1.0 million, $2.7 million, $3.2 million and $0.7 million for each of the years ended December 31, 2004, 2003, 2002, 2001 and 2000, respectively. These interest costs are included in purchases and related costs in our GMT&amp;S segment profit as we consider interest on these borrowings a direct cost to storing the inventory.</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bookmarkStart w:id="57" w:name="a05-16282_1ex23d1.htm"/>
      <w:bookmarkStart w:id="58" w:name="ksa0516282_1ex23d1"/>
      <w:bookmarkEnd w:id="57"/>
      <w:bookmarkEnd w:id="58"/>
      <w:r>
        <w:rPr>
          <w:rFonts w:ascii="Times New Roman" w:hAnsi="Times New Roman"/>
          <w:b/>
          <w:sz w:val="17"/>
        </w:rPr>
        <w:t>EXHIBIT 23.1</w:t>
      </w:r>
    </w:p>
    <w:p>
      <w:pPr>
        <w:pStyle w:val="TextBody"/>
        <w:keepNext w:val="true"/>
        <w:spacing w:before="0" w:after="120"/>
        <w:ind w:left="0" w:right="0" w:hanging="0"/>
        <w:jc w:val="center"/>
        <w:rPr>
          <w:rFonts w:ascii="Times New Roman" w:hAnsi="Times New Roman"/>
          <w:b/>
          <w:sz w:val="17"/>
        </w:rPr>
      </w:pPr>
      <w:bookmarkStart w:id="59" w:name="ConsentOfIndependentRegisteredPub_092353"/>
      <w:bookmarkEnd w:id="59"/>
      <w:r>
        <w:rPr>
          <w:rFonts w:ascii="Times New Roman" w:hAnsi="Times New Roman"/>
          <w:b/>
          <w:sz w:val="17"/>
        </w:rPr>
        <w:t>CONSENT OF INDEPENDENT REGISTERED PUBLIC ACCOUNTING FIRM</w:t>
      </w:r>
    </w:p>
    <w:p>
      <w:pPr>
        <w:pStyle w:val="TextBody"/>
        <w:spacing w:before="0" w:after="120"/>
        <w:ind w:left="0" w:right="0" w:firstLine="400"/>
        <w:rPr>
          <w:rFonts w:ascii="Times New Roman" w:hAnsi="Times New Roman"/>
          <w:sz w:val="17"/>
        </w:rPr>
      </w:pPr>
      <w:r>
        <w:rPr>
          <w:rFonts w:ascii="Times New Roman" w:hAnsi="Times New Roman"/>
          <w:sz w:val="17"/>
        </w:rPr>
        <w:t>We hereby consent to the incorporation by reference in this Registration Statement on Form S-4 of Plains All American Pipeline, L.P. and PAA Finance Corp. of our report dated March 2, 2005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2004, and our report dated April 8, 2005 relating to the balance sheet of Plain AAP, L.P., which appears in Plains All American, L.P.s Current Report on Form 8-K filed April 8, 2005. We also consent to the references to us under the heading Experts in such Registration Statement.</w:t>
      </w:r>
    </w:p>
    <w:p>
      <w:pPr>
        <w:pStyle w:val="TextBody"/>
        <w:spacing w:before="0" w:after="240"/>
        <w:ind w:left="0" w:right="0" w:hanging="0"/>
        <w:rPr>
          <w:rFonts w:ascii="Times New Roman" w:hAnsi="Times New Roman"/>
          <w:sz w:val="17"/>
        </w:rPr>
      </w:pPr>
      <w:r>
        <w:rPr>
          <w:rFonts w:ascii="Times New Roman" w:hAnsi="Times New Roman"/>
          <w:sz w:val="17"/>
        </w:rPr>
        <w:t>PricewaterhouseCoopers LLP</w:t>
      </w:r>
    </w:p>
    <w:p>
      <w:pPr>
        <w:pStyle w:val="TextBody"/>
        <w:spacing w:before="0" w:after="0"/>
        <w:ind w:left="0" w:right="0" w:hanging="0"/>
        <w:rPr>
          <w:rFonts w:ascii="Times New Roman" w:hAnsi="Times New Roman"/>
          <w:sz w:val="17"/>
        </w:rPr>
      </w:pPr>
      <w:r>
        <w:rPr>
          <w:rFonts w:ascii="Times New Roman" w:hAnsi="Times New Roman"/>
          <w:sz w:val="17"/>
        </w:rPr>
        <w:t>Houston, Texas</w:t>
      </w:r>
    </w:p>
    <w:p>
      <w:pPr>
        <w:pStyle w:val="TextBody"/>
        <w:spacing w:before="0" w:after="0"/>
        <w:ind w:left="0" w:right="0" w:hanging="0"/>
        <w:rPr>
          <w:rFonts w:ascii="Times New Roman" w:hAnsi="Times New Roman"/>
          <w:sz w:val="17"/>
        </w:rPr>
      </w:pPr>
      <w:r>
        <w:rPr>
          <w:rFonts w:ascii="Times New Roman" w:hAnsi="Times New Roman"/>
          <w:sz w:val="17"/>
        </w:rPr>
        <w:t>September 21, 2005</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20"/>
        <w:ind w:left="0" w:right="0" w:hanging="0"/>
        <w:jc w:val="right"/>
        <w:rPr>
          <w:rFonts w:ascii="Times New Roman" w:hAnsi="Times New Roman"/>
          <w:b/>
          <w:sz w:val="17"/>
        </w:rPr>
      </w:pPr>
      <w:bookmarkStart w:id="60" w:name="a05-16282_1ex25d1.htm"/>
      <w:bookmarkStart w:id="61" w:name="ksa0516282_1ex25d1"/>
      <w:bookmarkEnd w:id="60"/>
      <w:bookmarkEnd w:id="61"/>
      <w:r>
        <w:rPr>
          <w:rFonts w:ascii="Times New Roman" w:hAnsi="Times New Roman"/>
          <w:b/>
          <w:sz w:val="17"/>
        </w:rPr>
        <w:t>EXHIBIT 25.1</w:t>
      </w:r>
    </w:p>
    <w:p>
      <w:pPr>
        <w:pStyle w:val="TextBody"/>
        <w:spacing w:before="0" w:after="0"/>
        <w:ind w:left="0" w:right="0" w:hanging="0"/>
        <w:rPr>
          <w:rFonts w:ascii="Times New Roman" w:hAnsi="Times New Roman"/>
          <w:b/>
          <w:sz w:val="30"/>
        </w:rPr>
      </w:pPr>
      <w:r>
        <w:rPr>
          <w:rFonts w:ascii="Times New Roman" w:hAnsi="Times New Roman"/>
          <w:b/>
          <w:sz w:val="30"/>
        </w:rPr>
        <w:t>UNITED STATES</w:t>
        <w:br/>
        <w:t>SECURITIES AND EXCHANGE COMMISSION</w:t>
      </w:r>
    </w:p>
    <w:p>
      <w:pPr>
        <w:pStyle w:val="TextBody"/>
        <w:keepNext w:val="true"/>
        <w:spacing w:before="0" w:after="220"/>
        <w:ind w:left="0" w:right="0" w:hanging="0"/>
        <w:jc w:val="center"/>
        <w:rPr>
          <w:rFonts w:ascii="Times New Roman" w:hAnsi="Times New Roman"/>
          <w:b/>
          <w:sz w:val="17"/>
        </w:rPr>
      </w:pPr>
      <w:r>
        <w:rPr>
          <w:rFonts w:ascii="Times New Roman" w:hAnsi="Times New Roman"/>
          <w:b/>
          <w:sz w:val="17"/>
        </w:rPr>
        <w:t>WASHINGTON, D.C. 20549</w:t>
      </w:r>
    </w:p>
    <w:p>
      <w:pPr>
        <w:pStyle w:val="TextBody"/>
        <w:keepNext w:val="true"/>
        <w:spacing w:before="0" w:after="220"/>
        <w:ind w:left="0" w:right="0" w:hanging="0"/>
        <w:jc w:val="center"/>
        <w:rPr>
          <w:rFonts w:ascii="Times New Roman" w:hAnsi="Times New Roman"/>
          <w:b/>
          <w:sz w:val="30"/>
        </w:rPr>
      </w:pPr>
      <w:r>
        <w:rPr>
          <w:rFonts w:ascii="Times New Roman" w:hAnsi="Times New Roman"/>
          <w:b/>
          <w:sz w:val="30"/>
        </w:rPr>
        <w:t>FORM T-1</w:t>
      </w:r>
    </w:p>
    <w:p>
      <w:pPr>
        <w:pStyle w:val="TextBody"/>
        <w:keepNext w:val="true"/>
        <w:spacing w:before="0" w:after="220"/>
        <w:ind w:left="0" w:right="0" w:hanging="0"/>
        <w:jc w:val="center"/>
        <w:rPr>
          <w:rFonts w:ascii="Times New Roman" w:hAnsi="Times New Roman"/>
          <w:b/>
          <w:sz w:val="20"/>
        </w:rPr>
      </w:pPr>
      <w:r>
        <w:rPr>
          <w:rFonts w:ascii="Times New Roman" w:hAnsi="Times New Roman"/>
          <w:b/>
          <w:sz w:val="20"/>
        </w:rPr>
        <w:t>STATEMENT OF ELIGIBILITY UNDER THE TRUST INDENTURE ACT OF 1939 OF A CORPORATION DESIGNATED TO ACT AS TRUSTEE</w:t>
      </w:r>
    </w:p>
    <w:p>
      <w:pPr>
        <w:pStyle w:val="TextBody"/>
        <w:keepNext w:val="true"/>
        <w:spacing w:before="0" w:after="220"/>
        <w:ind w:left="0" w:right="0" w:hanging="0"/>
        <w:jc w:val="center"/>
        <w:rPr>
          <w:rFonts w:ascii="Times New Roman" w:hAnsi="Times New Roman"/>
          <w:b/>
          <w:sz w:val="17"/>
        </w:rPr>
      </w:pPr>
      <w:r>
        <w:rPr>
          <w:rFonts w:ascii="Times New Roman" w:hAnsi="Times New Roman"/>
          <w:b/>
          <w:sz w:val="17"/>
        </w:rPr>
        <w:t>CHECK IF AN APPLICATION TO DETERMINE ELIGIBILITY OF A TRUSTEE PURSUANT TO SECTION 305(b)(2) [    ]</w:t>
      </w:r>
    </w:p>
    <w:p>
      <w:pPr>
        <w:pStyle w:val="TextBody"/>
        <w:spacing w:before="0" w:after="0"/>
        <w:ind w:left="0" w:right="0" w:hanging="0"/>
        <w:rPr>
          <w:rFonts w:ascii="Times New Roman" w:hAnsi="Times New Roman"/>
          <w:b/>
          <w:sz w:val="30"/>
        </w:rPr>
      </w:pPr>
      <w:r>
        <w:rPr>
          <w:rFonts w:ascii="Times New Roman" w:hAnsi="Times New Roman"/>
          <w:b/>
          <w:sz w:val="30"/>
        </w:rPr>
        <w:t>WACHOVIA BANK, NATIONAL ASSOCIATION</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(Exact Name of Trustee as Specified in its Charter)</w:t>
      </w:r>
    </w:p>
    <w:p>
      <w:pPr>
        <w:pStyle w:val="TextBody"/>
        <w:spacing w:before="0" w:after="0"/>
        <w:ind w:left="0" w:right="0" w:hanging="0"/>
        <w:rPr>
          <w:rFonts w:ascii="Times New Roman" w:hAnsi="Times New Roman"/>
          <w:b/>
          <w:sz w:val="17"/>
        </w:rPr>
      </w:pPr>
      <w:r>
        <w:rPr>
          <w:rFonts w:ascii="Times New Roman" w:hAnsi="Times New Roman"/>
          <w:b/>
          <w:sz w:val="17"/>
        </w:rPr>
        <w:t>22-1147033</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(I.R.S. Employer Identification No.)</w:t>
      </w:r>
    </w:p>
    <w:p>
      <w:pPr>
        <w:pStyle w:val="TextBody"/>
        <w:spacing w:before="0" w:after="0"/>
        <w:ind w:left="0" w:right="0" w:hanging="0"/>
        <w:rPr>
          <w:rFonts w:ascii="Times New Roman" w:hAnsi="Times New Roman"/>
          <w:b/>
          <w:sz w:val="17"/>
        </w:rPr>
      </w:pPr>
      <w:r>
        <w:rPr>
          <w:rFonts w:ascii="Times New Roman" w:hAnsi="Times New Roman"/>
          <w:b/>
          <w:sz w:val="17"/>
        </w:rPr>
        <w:t>301 S. COLLEGE STREET, CHARLOTTE, NORTH CAROLINA</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(Address of Principal Executive Offices)</w:t>
      </w:r>
    </w:p>
    <w:p>
      <w:pPr>
        <w:pStyle w:val="TextBody"/>
        <w:spacing w:before="0" w:after="0"/>
        <w:ind w:left="0" w:right="0" w:hanging="0"/>
        <w:rPr>
          <w:rFonts w:ascii="Times New Roman" w:hAnsi="Times New Roman"/>
          <w:b/>
          <w:sz w:val="17"/>
        </w:rPr>
      </w:pPr>
      <w:r>
        <w:rPr>
          <w:rFonts w:ascii="Times New Roman" w:hAnsi="Times New Roman"/>
          <w:b/>
          <w:sz w:val="17"/>
        </w:rPr>
        <w:t>28288-0630</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(Zip Code)</w:t>
      </w:r>
    </w:p>
    <w:p>
      <w:pPr>
        <w:pStyle w:val="TextBody"/>
        <w:spacing w:before="0" w:after="0"/>
        <w:ind w:left="0" w:right="0" w:hanging="0"/>
        <w:rPr>
          <w:rFonts w:ascii="Times New Roman" w:hAnsi="Times New Roman"/>
          <w:b/>
          <w:sz w:val="17"/>
        </w:rPr>
      </w:pPr>
      <w:r>
        <w:rPr>
          <w:rFonts w:ascii="Times New Roman" w:hAnsi="Times New Roman"/>
          <w:b/>
          <w:sz w:val="17"/>
        </w:rPr>
        <w:t>WACHOVIA BANK, NATIONAL ASSOCIATION</w:t>
        <w:br/>
        <w:t>5847 SAN FELIPE, SUITE 1050</w:t>
        <w:br/>
        <w:t>HOUSTON, TEXAS 77057</w:t>
        <w:br/>
        <w:t>(713) 278-4320</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(Name, address and telephone number of Agent for Service)</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w:t>
        <w:br/>
        <w:t>PAA FINANCE CORP.</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(Exact Name of Obligor as Specified in its Charter)</w:t>
      </w:r>
    </w:p>
    <w:p>
      <w:pPr>
        <w:pStyle w:val="TextBody"/>
        <w:spacing w:before="0" w:after="0"/>
        <w:ind w:left="0" w:right="0" w:hanging="0"/>
        <w:rPr>
          <w:rFonts w:ascii="Times New Roman" w:hAnsi="Times New Roman"/>
          <w:b/>
          <w:sz w:val="17"/>
        </w:rPr>
      </w:pPr>
      <w:r>
        <w:rPr>
          <w:rFonts w:ascii="Times New Roman" w:hAnsi="Times New Roman"/>
          <w:b/>
          <w:sz w:val="17"/>
        </w:rPr>
        <w:t>DELAWARE</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(State or other jurisdiction of Incorporation or Organization)</w:t>
      </w:r>
    </w:p>
    <w:p>
      <w:pPr>
        <w:pStyle w:val="TextBody"/>
        <w:spacing w:before="0" w:after="0"/>
        <w:ind w:left="0" w:right="0" w:hanging="0"/>
        <w:rPr>
          <w:rFonts w:ascii="Times New Roman" w:hAnsi="Times New Roman"/>
          <w:b/>
          <w:sz w:val="17"/>
        </w:rPr>
      </w:pPr>
      <w:r>
        <w:rPr>
          <w:rFonts w:ascii="Times New Roman" w:hAnsi="Times New Roman"/>
          <w:b/>
          <w:sz w:val="17"/>
        </w:rPr>
        <w:t>76-0669671</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(I.R.S. Employer Identification No.)</w:t>
      </w:r>
    </w:p>
    <w:p>
      <w:pPr>
        <w:pStyle w:val="TextBody"/>
        <w:spacing w:before="0" w:after="0"/>
        <w:ind w:left="0" w:right="0" w:hanging="0"/>
        <w:rPr>
          <w:rFonts w:ascii="Times New Roman" w:hAnsi="Times New Roman"/>
          <w:b/>
          <w:sz w:val="17"/>
        </w:rPr>
      </w:pPr>
      <w:r>
        <w:rPr>
          <w:rFonts w:ascii="Times New Roman" w:hAnsi="Times New Roman"/>
          <w:b/>
          <w:sz w:val="17"/>
        </w:rPr>
        <w:t>333 CLAY STREET</w:t>
        <w:br/>
        <w:t>HOUSTON, TEXAS</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(Address of Principal Executive Offices)</w:t>
      </w:r>
    </w:p>
    <w:p>
      <w:pPr>
        <w:pStyle w:val="TextBody"/>
        <w:spacing w:before="0" w:after="0"/>
        <w:ind w:left="0" w:right="0" w:hanging="0"/>
        <w:rPr>
          <w:rFonts w:ascii="Times New Roman" w:hAnsi="Times New Roman"/>
          <w:b/>
          <w:sz w:val="17"/>
        </w:rPr>
      </w:pPr>
      <w:r>
        <w:rPr>
          <w:rFonts w:ascii="Times New Roman" w:hAnsi="Times New Roman"/>
          <w:b/>
          <w:sz w:val="17"/>
        </w:rPr>
        <w:t>77002</w:t>
      </w:r>
    </w:p>
    <w:p>
      <w:pPr>
        <w:pStyle w:val="TextBody"/>
        <w:keepNext w:val="true"/>
        <w:spacing w:before="0" w:after="220"/>
        <w:ind w:left="0" w:right="0" w:hanging="0"/>
        <w:jc w:val="center"/>
        <w:rPr>
          <w:rFonts w:ascii="Times New Roman" w:hAnsi="Times New Roman"/>
          <w:sz w:val="17"/>
        </w:rPr>
      </w:pPr>
      <w:r>
        <w:rPr>
          <w:rFonts w:ascii="Times New Roman" w:hAnsi="Times New Roman"/>
          <w:sz w:val="17"/>
        </w:rPr>
        <w:t>(Zip Code)</w:t>
      </w:r>
    </w:p>
    <w:p>
      <w:pPr>
        <w:pStyle w:val="TextBody"/>
        <w:spacing w:before="0" w:after="0"/>
        <w:ind w:left="0" w:right="0" w:hanging="0"/>
        <w:rPr>
          <w:rFonts w:ascii="Times New Roman" w:hAnsi="Times New Roman"/>
          <w:b/>
          <w:sz w:val="17"/>
        </w:rPr>
      </w:pPr>
      <w:r>
        <w:rPr>
          <w:rFonts w:ascii="Times New Roman" w:hAnsi="Times New Roman"/>
          <w:b/>
          <w:sz w:val="17"/>
        </w:rPr>
        <w:t>SENIOR DEBT SECURITIES</w:t>
      </w:r>
    </w:p>
    <w:p>
      <w:pPr>
        <w:pStyle w:val="TextBody"/>
        <w:spacing w:before="0" w:after="0"/>
        <w:ind w:left="0" w:right="0" w:hanging="0"/>
        <w:rPr>
          <w:rFonts w:ascii="Times New Roman" w:hAnsi="Times New Roman"/>
          <w:sz w:val="17"/>
        </w:rPr>
      </w:pPr>
      <w:r>
        <w:rPr>
          <w:rFonts w:ascii="Times New Roman" w:hAnsi="Times New Roman"/>
          <w:sz w:val="17"/>
        </w:rPr>
        <w:t>$150,000,000 Series A and Series B 5.25% Senior Notes Due 2015</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r>
        <w:rPr>
          <w:rFonts w:ascii="Times New Roman" w:hAnsi="Times New Roman"/>
          <w:b/>
          <w:sz w:val="17"/>
        </w:rPr>
        <w:t>1.   General information.</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Furnish the following information as to the trustee:</w:t>
      </w:r>
    </w:p>
    <w:p>
      <w:pPr>
        <w:pStyle w:val="TextBody"/>
        <w:spacing w:before="0" w:after="120"/>
        <w:ind w:left="0" w:right="0" w:firstLine="400"/>
        <w:rPr>
          <w:rFonts w:ascii="Times New Roman" w:hAnsi="Times New Roman"/>
          <w:b/>
          <w:i/>
          <w:sz w:val="17"/>
        </w:rPr>
      </w:pPr>
      <w:r>
        <w:rPr>
          <w:rFonts w:ascii="Times New Roman" w:hAnsi="Times New Roman"/>
          <w:b/>
          <w:i/>
          <w:sz w:val="17"/>
        </w:rPr>
        <w:t>a)     Name and address of each examining or supervisory authority to which it is subject:</w:t>
      </w:r>
    </w:p>
    <w:p>
      <w:pPr>
        <w:pStyle w:val="TextBody"/>
        <w:spacing w:before="0" w:after="120"/>
        <w:ind w:left="800" w:right="0" w:hanging="0"/>
        <w:rPr>
          <w:rFonts w:ascii="Times New Roman" w:hAnsi="Times New Roman"/>
          <w:sz w:val="17"/>
        </w:rPr>
      </w:pPr>
      <w:r>
        <w:rPr>
          <w:rFonts w:ascii="Times New Roman" w:hAnsi="Times New Roman"/>
          <w:sz w:val="17"/>
        </w:rPr>
        <w:t>Comptroller of the Currency</w:t>
        <w:br/>
        <w:t>United States Department of the Treasury</w:t>
        <w:br/>
        <w:t>Washington, D.C. 20219</w:t>
      </w:r>
    </w:p>
    <w:p>
      <w:pPr>
        <w:pStyle w:val="TextBody"/>
        <w:spacing w:before="0" w:after="120"/>
        <w:ind w:left="800" w:right="0" w:hanging="0"/>
        <w:rPr>
          <w:rFonts w:ascii="Times New Roman" w:hAnsi="Times New Roman"/>
          <w:sz w:val="17"/>
        </w:rPr>
      </w:pPr>
      <w:r>
        <w:rPr>
          <w:rFonts w:ascii="Times New Roman" w:hAnsi="Times New Roman"/>
          <w:sz w:val="17"/>
        </w:rPr>
        <w:t xml:space="preserve">Federal Reserve Bank </w:t>
        <w:br/>
        <w:t>Richmond, Virginia 23219</w:t>
      </w:r>
    </w:p>
    <w:p>
      <w:pPr>
        <w:pStyle w:val="TextBody"/>
        <w:spacing w:before="0" w:after="120"/>
        <w:ind w:left="800" w:right="0" w:hanging="0"/>
        <w:rPr>
          <w:rFonts w:ascii="Times New Roman" w:hAnsi="Times New Roman"/>
          <w:sz w:val="17"/>
        </w:rPr>
      </w:pPr>
      <w:r>
        <w:rPr>
          <w:rFonts w:ascii="Times New Roman" w:hAnsi="Times New Roman"/>
          <w:sz w:val="17"/>
        </w:rPr>
        <w:t>Federal Deposit Insurance Corporation</w:t>
        <w:br/>
        <w:t>Washington, D.C. 20429</w:t>
      </w:r>
    </w:p>
    <w:p>
      <w:pPr>
        <w:pStyle w:val="TextBody"/>
        <w:spacing w:before="0" w:after="120"/>
        <w:ind w:left="0" w:right="0" w:firstLine="400"/>
        <w:rPr>
          <w:rFonts w:ascii="Times New Roman" w:hAnsi="Times New Roman"/>
          <w:b/>
          <w:i/>
          <w:sz w:val="17"/>
        </w:rPr>
      </w:pPr>
      <w:r>
        <w:rPr>
          <w:rFonts w:ascii="Times New Roman" w:hAnsi="Times New Roman"/>
          <w:b/>
          <w:i/>
          <w:sz w:val="17"/>
        </w:rPr>
        <w:t>b)     Whether it is authorized to exercise corporate trust powers.</w:t>
      </w:r>
    </w:p>
    <w:p>
      <w:pPr>
        <w:pStyle w:val="TextBody"/>
        <w:spacing w:before="0" w:after="240"/>
        <w:ind w:left="400" w:right="0" w:firstLine="400"/>
        <w:rPr>
          <w:rFonts w:ascii="Times New Roman" w:hAnsi="Times New Roman"/>
          <w:sz w:val="17"/>
        </w:rPr>
      </w:pPr>
      <w:r>
        <w:rPr>
          <w:rFonts w:ascii="Times New Roman" w:hAnsi="Times New Roman"/>
          <w:sz w:val="17"/>
        </w:rPr>
        <w:t>Yes.</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2.   Affiliations with obligor.</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If the obligor is an affiliate of the trustee, describe each such affiliation.</w:t>
      </w:r>
    </w:p>
    <w:p>
      <w:pPr>
        <w:pStyle w:val="TextBody"/>
        <w:spacing w:before="0" w:after="240"/>
        <w:ind w:left="400" w:right="0" w:firstLine="400"/>
        <w:rPr>
          <w:rFonts w:ascii="Times New Roman" w:hAnsi="Times New Roman"/>
          <w:sz w:val="17"/>
        </w:rPr>
      </w:pPr>
      <w:r>
        <w:rPr>
          <w:rFonts w:ascii="Times New Roman" w:hAnsi="Times New Roman"/>
          <w:sz w:val="17"/>
        </w:rPr>
        <w:t>None.</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3.   Voting securities of the trustee.</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Furnish the following information as to each class of voting securities of the trustee:</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4.   Trusteeships under other indentures.</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If the trustee is a trustee under another indenture under which any other securities, or certificates of interest or participation in any other securities, of the obligor are outstanding, furnish the following information:</w:t>
      </w:r>
    </w:p>
    <w:p>
      <w:pPr>
        <w:pStyle w:val="TextBody"/>
        <w:spacing w:before="0" w:after="120"/>
        <w:ind w:left="0" w:right="0" w:firstLine="400"/>
        <w:rPr>
          <w:rFonts w:ascii="Times New Roman" w:hAnsi="Times New Roman"/>
          <w:b/>
          <w:i/>
          <w:sz w:val="17"/>
        </w:rPr>
      </w:pPr>
      <w:r>
        <w:rPr>
          <w:rFonts w:ascii="Times New Roman" w:hAnsi="Times New Roman"/>
          <w:b/>
          <w:i/>
          <w:sz w:val="17"/>
        </w:rPr>
        <w:t>a)     Title of the securities outstanding under each such other indenture</w:t>
      </w:r>
    </w:p>
    <w:p>
      <w:pPr>
        <w:pStyle w:val="TextBody"/>
        <w:spacing w:before="0" w:after="120"/>
        <w:ind w:left="400" w:right="0" w:firstLine="400"/>
        <w:rPr>
          <w:rFonts w:ascii="Times New Roman" w:hAnsi="Times New Roman"/>
          <w:sz w:val="17"/>
        </w:rPr>
      </w:pPr>
      <w:r>
        <w:rPr>
          <w:rFonts w:ascii="Times New Roman" w:hAnsi="Times New Roman"/>
          <w:sz w:val="17"/>
        </w:rPr>
        <w:t>Not applicablesee answer to Item 13.</w:t>
      </w:r>
    </w:p>
    <w:p>
      <w:pPr>
        <w:pStyle w:val="TextBody"/>
        <w:spacing w:before="0" w:after="120"/>
        <w:ind w:left="0" w:right="0" w:firstLine="400"/>
        <w:rPr>
          <w:rFonts w:ascii="Times New Roman" w:hAnsi="Times New Roman"/>
          <w:b/>
          <w:i/>
          <w:sz w:val="17"/>
        </w:rPr>
      </w:pPr>
      <w:r>
        <w:rPr>
          <w:rFonts w:ascii="Times New Roman" w:hAnsi="Times New Roman"/>
          <w:b/>
          <w:i/>
          <w:sz w:val="17"/>
        </w:rPr>
        <w:t>b)     A brief statement of the facts relied upon as a basis for the claim that no conflicting interest within the meaning of Section 310(b)(1) of the Act arises as the result of the trusteeship under any other indenture, including a statement as to how the indenture securities will rank as compared with the securities issued under such other indenture.</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5.   Interlocking directorates and similar relationships with the obligor or underwriters.</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If the trustee or any of the directors or executive officers of the trustee is a director, officer, partner, employee, appointee, or representative of the obligor or of any underwriter for the obligor, identify each such person having any such connection and state the nature of each such connection.</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6.   Voting securities of the trustee owned by the obligor or its officials.</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Furnish the following information as to the voting securities of the trustee owned beneficially by the obligor and each director, partner, and executive officer of the obligor:</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r>
        <w:rPr>
          <w:rFonts w:ascii="Times New Roman" w:hAnsi="Times New Roman"/>
          <w:b/>
          <w:sz w:val="17"/>
        </w:rPr>
        <w:t>7.   Voting securities of the trustee owned by underwriters or their officials.</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Furnish the following information as to the voting securities of the trustee owned beneficially by each underwriter for the obligor and each director, partner, and executive officer of each such underwriter:</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8.   Securities of the obligor owned or held by the trustee.</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Furnish the following information as to securities of the obligor owned beneficially or held as collateral security for obligations in default by the trustee:</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9.   Securities of underwriters owned or held by the trustee.</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If the trustee owns beneficially or holds as collateral security for obligations in default any securities of an underwriter for the obligor, furnish the following information as to each class of securities of such underwriter any of which are so owned or held by the trustee:</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0" w:right="0" w:hanging="0"/>
        <w:rPr>
          <w:rFonts w:ascii="Times New Roman" w:hAnsi="Times New Roman"/>
          <w:b/>
          <w:sz w:val="17"/>
        </w:rPr>
      </w:pPr>
      <w:r>
        <w:rPr>
          <w:rFonts w:ascii="Times New Roman" w:hAnsi="Times New Roman"/>
          <w:b/>
          <w:sz w:val="17"/>
        </w:rPr>
        <w:t>10.   Ownership or holdings by the trustee of voting securities of certain affiliates or security holders of the obligor.</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If the trustee owns beneficially or holds as collateral security for obligations in default voting securities of a person who, to the knowledge of the trustee (1) owns 10 percent or more of the voting stock of the obligor or (2) is an affiliate, other than a subsidiary, of the obligor, furnish the following information as to the voting securities of such person:</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0" w:right="0" w:hanging="0"/>
        <w:rPr>
          <w:rFonts w:ascii="Times New Roman" w:hAnsi="Times New Roman"/>
          <w:b/>
          <w:sz w:val="17"/>
        </w:rPr>
      </w:pPr>
      <w:r>
        <w:rPr>
          <w:rFonts w:ascii="Times New Roman" w:hAnsi="Times New Roman"/>
          <w:b/>
          <w:sz w:val="17"/>
        </w:rPr>
        <w:t>11.   Ownership or holdings by the trustee of any securities of a person owning 50 percent or more of the voting securities of the obligor.</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If the trustee owns beneficially or holds as collateral security for obligations in default any securities of a person who, to the knowledge of the trustee, owns 50 percent or more of the voting securities of the obligor, furnish the following information as to each class of securities of such person any of which are so owned or held by the trustee:</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12.   Indebtedness of the obligor to the trustee.</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Except as noted in the instructions, if the obligor is indebted to the trustee, furnish the following information:</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13.   Defaults by the obligor.</w:t>
      </w:r>
    </w:p>
    <w:p>
      <w:pPr>
        <w:pStyle w:val="TextBody"/>
        <w:spacing w:before="0" w:after="120"/>
        <w:ind w:left="0" w:right="0" w:firstLine="400"/>
        <w:rPr>
          <w:rFonts w:ascii="Times New Roman" w:hAnsi="Times New Roman"/>
          <w:b/>
          <w:i/>
          <w:sz w:val="17"/>
        </w:rPr>
      </w:pPr>
      <w:r>
        <w:rPr>
          <w:rFonts w:ascii="Times New Roman" w:hAnsi="Times New Roman"/>
          <w:b/>
          <w:i/>
          <w:sz w:val="17"/>
        </w:rPr>
        <w:t>a)     State whether there is or has been a default with respect to the securities under this indenture. Explain the nature of any such default.</w:t>
      </w:r>
    </w:p>
    <w:p>
      <w:pPr>
        <w:pStyle w:val="TextBody"/>
        <w:spacing w:before="0" w:after="240"/>
        <w:ind w:left="400" w:right="0" w:firstLine="400"/>
        <w:rPr>
          <w:rFonts w:ascii="Times New Roman" w:hAnsi="Times New Roman"/>
          <w:sz w:val="17"/>
        </w:rPr>
      </w:pPr>
      <w:r>
        <w:rPr>
          <w:rFonts w:ascii="Times New Roman" w:hAnsi="Times New Roman"/>
          <w:sz w:val="17"/>
        </w:rPr>
        <w:t>None.</w:t>
      </w:r>
    </w:p>
    <w:p>
      <w:pPr>
        <w:pStyle w:val="TextBody"/>
        <w:spacing w:before="0" w:after="240"/>
        <w:ind w:left="0" w:right="0" w:firstLine="400"/>
        <w:rPr>
          <w:rFonts w:ascii="Times New Roman" w:hAnsi="Times New Roman"/>
          <w:b/>
          <w:i/>
          <w:sz w:val="17"/>
        </w:rPr>
      </w:pPr>
      <w:r>
        <w:rPr>
          <w:rFonts w:ascii="Times New Roman" w:hAnsi="Times New Roman"/>
          <w:b/>
          <w:i/>
          <w:sz w:val="17"/>
        </w:rPr>
        <w:t>b)     If the trustee is a trustee under another indenture under which any other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pStyle w:val="TextBody"/>
        <w:spacing w:before="0" w:after="240"/>
        <w:ind w:left="400" w:right="0" w:firstLine="400"/>
        <w:rPr>
          <w:rFonts w:ascii="Times New Roman" w:hAnsi="Times New Roman"/>
          <w:sz w:val="17"/>
        </w:rPr>
      </w:pPr>
      <w:r>
        <w:rPr>
          <w:rFonts w:ascii="Times New Roman" w:hAnsi="Times New Roman"/>
          <w:sz w:val="17"/>
        </w:rPr>
        <w:t>None</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14.   Affiliations with the underwriters.</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If any underwriter is an affiliate of the trustee, describe each such affiliation.</w:t>
      </w:r>
    </w:p>
    <w:p>
      <w:pPr>
        <w:pStyle w:val="TextBody"/>
        <w:spacing w:before="0" w:after="240"/>
        <w:ind w:left="400" w:right="0" w:firstLine="400"/>
        <w:rPr>
          <w:rFonts w:ascii="Times New Roman" w:hAnsi="Times New Roman"/>
          <w:sz w:val="17"/>
        </w:rPr>
      </w:pPr>
      <w:r>
        <w:rPr>
          <w:rFonts w:ascii="Times New Roman" w:hAnsi="Times New Roman"/>
          <w:sz w:val="17"/>
        </w:rPr>
        <w:t>Not applicablesee answer to Item 13.</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15.   Foreign trustee.</w:t>
      </w:r>
    </w:p>
    <w:p>
      <w:pPr>
        <w:pStyle w:val="TextBody"/>
        <w:keepNext w:val="true"/>
        <w:spacing w:before="0" w:after="120"/>
        <w:ind w:left="0" w:right="0" w:hanging="0"/>
        <w:rPr>
          <w:rFonts w:ascii="Times New Roman" w:hAnsi="Times New Roman"/>
          <w:b/>
          <w:i/>
          <w:sz w:val="17"/>
        </w:rPr>
      </w:pPr>
      <w:r>
        <w:rPr>
          <w:rFonts w:ascii="Times New Roman" w:hAnsi="Times New Roman"/>
          <w:b/>
          <w:i/>
          <w:sz w:val="17"/>
        </w:rPr>
        <w:t>Identify the order or rule pursuant to which the trustee is authorized to act as sole trustee under indentures qualified or to be qualified under the Act.</w:t>
      </w:r>
    </w:p>
    <w:p>
      <w:pPr>
        <w:pStyle w:val="TextBody"/>
        <w:spacing w:before="0" w:after="240"/>
        <w:ind w:left="800" w:right="0" w:hanging="0"/>
        <w:rPr>
          <w:rFonts w:ascii="Times New Roman" w:hAnsi="Times New Roman"/>
          <w:sz w:val="17"/>
        </w:rPr>
      </w:pPr>
      <w:r>
        <w:rPr>
          <w:rFonts w:ascii="Times New Roman" w:hAnsi="Times New Roman"/>
          <w:sz w:val="17"/>
        </w:rPr>
        <w:t>Not applicabletrustee is a national banking association organized under the laws of the United States.</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16.   List of Exhibits.</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List below all exhibits filed as part of this statement of eligibility.</w:t>
      </w:r>
    </w:p>
    <w:tbl>
      <w:tblPr>
        <w:tblW w:w="8640" w:type="dxa"/>
        <w:jc w:val="left"/>
        <w:tblInd w:w="0" w:type="dxa"/>
        <w:tblCellMar>
          <w:top w:w="0" w:type="dxa"/>
          <w:left w:w="0" w:type="dxa"/>
          <w:bottom w:w="28" w:type="dxa"/>
          <w:right w:w="0" w:type="dxa"/>
        </w:tblCellMar>
      </w:tblPr>
      <w:tblGrid>
        <w:gridCol w:w="270"/>
        <w:gridCol w:w="315"/>
        <w:gridCol w:w="105"/>
        <w:gridCol w:w="7950"/>
      </w:tblGrid>
      <w:tr>
        <w:trPr/>
        <w:tc>
          <w:tcPr>
            <w:tcW w:w="270" w:type="dxa"/>
            <w:tcBorders>
              <w:bottom w:val="single" w:sz="8" w:space="0" w:color="000000"/>
            </w:tcBorders>
            <w:shd w:fill="auto" w:val="clear"/>
            <w:vAlign w:val="center"/>
          </w:tcPr>
          <w:p>
            <w:pPr>
              <w:pStyle w:val="TableContents"/>
              <w:spacing w:before="0" w:after="0"/>
              <w:ind w:left="0" w:right="0" w:hanging="0"/>
              <w:jc w:val="center"/>
              <w:rPr>
                <w:sz w:val="17"/>
              </w:rPr>
            </w:pPr>
            <w:r>
              <w:rPr>
                <w:sz w:val="17"/>
              </w:rPr>
              <w:t>*</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Copy of Articles of Association of the trustee as now in effect.</w:t>
            </w:r>
          </w:p>
        </w:tc>
      </w:tr>
      <w:tr>
        <w:trPr/>
        <w:tc>
          <w:tcPr>
            <w:tcW w:w="270" w:type="dxa"/>
            <w:tcBorders>
              <w:bottom w:val="single" w:sz="8" w:space="0" w:color="000000"/>
            </w:tcBorders>
            <w:shd w:fill="auto" w:val="cle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Copy of the Certificate of the Comptroller of the Currency dated March 27, 2002, evidencing </w:t>
            </w:r>
          </w:p>
        </w:tc>
      </w:tr>
      <w:tr>
        <w:trPr/>
        <w:tc>
          <w:tcPr>
            <w:tcW w:w="270" w:type="dxa"/>
            <w:tcBorders/>
            <w:shd w:fill="auto" w:val="clear"/>
            <w:tcMar>
              <w:bottom w:w="0" w:type="dxa"/>
            </w:tcM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pPr>
            <w:r>
              <w:rPr/>
              <w:t> </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 authority of the trustee to transact business.</w:t>
            </w:r>
          </w:p>
        </w:tc>
      </w:tr>
      <w:tr>
        <w:trPr/>
        <w:tc>
          <w:tcPr>
            <w:tcW w:w="270" w:type="dxa"/>
            <w:tcBorders>
              <w:bottom w:val="single" w:sz="8" w:space="0" w:color="000000"/>
            </w:tcBorders>
            <w:shd w:fill="auto" w:val="cle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Copy of the Certification of Fiduciary Powers of the trustee by the Office of the Comptroller </w:t>
            </w:r>
          </w:p>
        </w:tc>
      </w:tr>
      <w:tr>
        <w:trPr/>
        <w:tc>
          <w:tcPr>
            <w:tcW w:w="270" w:type="dxa"/>
            <w:tcBorders/>
            <w:shd w:fill="auto" w:val="clear"/>
            <w:tcMar>
              <w:bottom w:w="0" w:type="dxa"/>
            </w:tcM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pPr>
            <w:r>
              <w:rPr/>
              <w:t> </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of the Currency dated March 27, 2002.</w:t>
            </w:r>
          </w:p>
        </w:tc>
      </w:tr>
      <w:tr>
        <w:trPr/>
        <w:tc>
          <w:tcPr>
            <w:tcW w:w="270" w:type="dxa"/>
            <w:tcBorders>
              <w:bottom w:val="single" w:sz="8" w:space="0" w:color="000000"/>
            </w:tcBorders>
            <w:shd w:fill="auto" w:val="cle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Copy of existing by-laws of the trustee.</w:t>
            </w:r>
          </w:p>
        </w:tc>
      </w:tr>
      <w:tr>
        <w:trPr/>
        <w:tc>
          <w:tcPr>
            <w:tcW w:w="270" w:type="dxa"/>
            <w:tcBorders>
              <w:bottom w:val="single" w:sz="8" w:space="0" w:color="000000"/>
            </w:tcBorders>
            <w:shd w:fill="auto" w:val="cle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Copy of each indenture referred to in Item 4, if the obligor is in default.</w:t>
            </w:r>
          </w:p>
        </w:tc>
      </w:tr>
      <w:tr>
        <w:trPr/>
        <w:tc>
          <w:tcPr>
            <w:tcW w:w="270" w:type="dxa"/>
            <w:tcBorders/>
            <w:shd w:fill="auto" w:val="clear"/>
            <w:tcMar>
              <w:bottom w:w="0" w:type="dxa"/>
            </w:tcM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pPr>
            <w:r>
              <w:rPr/>
              <w:t> </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Not Applicable.</w:t>
            </w:r>
          </w:p>
        </w:tc>
      </w:tr>
      <w:tr>
        <w:trPr/>
        <w:tc>
          <w:tcPr>
            <w:tcW w:w="270" w:type="dxa"/>
            <w:tcBorders>
              <w:bottom w:val="single" w:sz="8" w:space="0" w:color="000000"/>
            </w:tcBorders>
            <w:shd w:fill="auto" w:val="cle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X</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Consent of the trustee required by Section 321(b) of the Act.</w:t>
            </w:r>
          </w:p>
        </w:tc>
      </w:tr>
      <w:tr>
        <w:trPr/>
        <w:tc>
          <w:tcPr>
            <w:tcW w:w="270" w:type="dxa"/>
            <w:tcBorders>
              <w:bottom w:val="single" w:sz="8" w:space="0" w:color="000000"/>
            </w:tcBorders>
            <w:shd w:fill="auto" w:val="cle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X</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Copy of report of condition of the trustee at the close of business on March 31, 2005, </w:t>
            </w:r>
          </w:p>
        </w:tc>
      </w:tr>
      <w:tr>
        <w:trPr/>
        <w:tc>
          <w:tcPr>
            <w:tcW w:w="270" w:type="dxa"/>
            <w:tcBorders/>
            <w:shd w:fill="auto" w:val="clear"/>
            <w:tcMar>
              <w:bottom w:w="0" w:type="dxa"/>
            </w:tcM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pPr>
            <w:r>
              <w:rPr/>
              <w:t> </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published pursuant to the requirements of its supervising authority.</w:t>
            </w:r>
          </w:p>
        </w:tc>
      </w:tr>
      <w:tr>
        <w:trPr/>
        <w:tc>
          <w:tcPr>
            <w:tcW w:w="270" w:type="dxa"/>
            <w:tcBorders>
              <w:bottom w:val="single" w:sz="8" w:space="0" w:color="000000"/>
            </w:tcBorders>
            <w:shd w:fill="auto" w:val="cle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Copy of any order pursuant to which the foreign trustee is authorized to act as sole trustee </w:t>
            </w:r>
          </w:p>
        </w:tc>
      </w:tr>
      <w:tr>
        <w:trPr/>
        <w:tc>
          <w:tcPr>
            <w:tcW w:w="270" w:type="dxa"/>
            <w:tcBorders/>
            <w:shd w:fill="auto" w:val="clear"/>
            <w:tcMar>
              <w:bottom w:w="0" w:type="dxa"/>
            </w:tcM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pPr>
            <w:r>
              <w:rPr/>
              <w:t> </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under indentures qualified or to be qualified under the Act.</w:t>
            </w:r>
          </w:p>
        </w:tc>
      </w:tr>
      <w:tr>
        <w:trPr/>
        <w:tc>
          <w:tcPr>
            <w:tcW w:w="270" w:type="dxa"/>
            <w:tcBorders/>
            <w:shd w:fill="auto" w:val="clear"/>
            <w:tcMar>
              <w:bottom w:w="0" w:type="dxa"/>
            </w:tcM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pPr>
            <w:r>
              <w:rPr/>
              <w:t> </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Not Applicable.</w:t>
            </w:r>
          </w:p>
        </w:tc>
      </w:tr>
      <w:tr>
        <w:trPr/>
        <w:tc>
          <w:tcPr>
            <w:tcW w:w="270" w:type="dxa"/>
            <w:tcBorders>
              <w:bottom w:val="single" w:sz="8" w:space="0" w:color="000000"/>
            </w:tcBorders>
            <w:shd w:fill="auto" w:val="cle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Consent to service of process required of foreign trustees pursuant to Rule 10a-4 under the </w:t>
            </w:r>
          </w:p>
        </w:tc>
      </w:tr>
      <w:tr>
        <w:trPr/>
        <w:tc>
          <w:tcPr>
            <w:tcW w:w="270" w:type="dxa"/>
            <w:tcBorders/>
            <w:shd w:fill="auto" w:val="clear"/>
            <w:tcMar>
              <w:bottom w:w="0" w:type="dxa"/>
            </w:tcM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pPr>
            <w:r>
              <w:rPr/>
              <w:t> </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Act.</w:t>
            </w:r>
          </w:p>
        </w:tc>
      </w:tr>
      <w:tr>
        <w:trPr/>
        <w:tc>
          <w:tcPr>
            <w:tcW w:w="270" w:type="dxa"/>
            <w:tcBorders/>
            <w:shd w:fill="auto" w:val="clear"/>
            <w:tcMar>
              <w:bottom w:w="0" w:type="dxa"/>
            </w:tcMar>
            <w:vAlign w:val="center"/>
          </w:tcPr>
          <w:p>
            <w:pPr>
              <w:pStyle w:val="TableContents"/>
              <w:spacing w:before="0" w:after="0"/>
              <w:ind w:left="0" w:right="0" w:hanging="0"/>
              <w:jc w:val="center"/>
              <w:rPr/>
            </w:pPr>
            <w:r>
              <w:rPr/>
              <w:t> </w:t>
            </w:r>
          </w:p>
        </w:tc>
        <w:tc>
          <w:tcPr>
            <w:tcW w:w="315" w:type="dxa"/>
            <w:tcBorders/>
            <w:shd w:fill="auto" w:val="clear"/>
            <w:tcMar>
              <w:bottom w:w="0" w:type="dxa"/>
            </w:tcMar>
          </w:tcPr>
          <w:p>
            <w:pPr>
              <w:pStyle w:val="TableContents"/>
              <w:spacing w:before="0" w:after="0"/>
              <w:ind w:left="0" w:right="0" w:hanging="0"/>
              <w:jc w:val="right"/>
              <w:rPr/>
            </w:pPr>
            <w:r>
              <w:rPr/>
              <w:t> </w:t>
            </w:r>
          </w:p>
        </w:tc>
        <w:tc>
          <w:tcPr>
            <w:tcW w:w="105" w:type="dxa"/>
            <w:tcBorders/>
            <w:shd w:fill="auto" w:val="clear"/>
            <w:tcMar>
              <w:bottom w:w="0" w:type="dxa"/>
            </w:tcMar>
          </w:tcPr>
          <w:p>
            <w:pPr>
              <w:pStyle w:val="TableContents"/>
              <w:spacing w:before="0" w:after="0"/>
              <w:ind w:left="0" w:right="0" w:hanging="0"/>
              <w:rPr/>
            </w:pPr>
            <w:r>
              <w:rPr/>
              <w:t> </w:t>
            </w:r>
          </w:p>
        </w:tc>
        <w:tc>
          <w:tcPr>
            <w:tcW w:w="79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Not Applicable</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sz w:val="17"/>
        </w:rPr>
        <w:t>*                    Previously filed with the Securities and Exchange Commission on April 11, 2002 as an Exhibit to Form T-1 in connection with Registration Statement File No. 333-86036 and is incorporated by reference herein.</w:t>
      </w:r>
    </w:p>
    <w:p>
      <w:pPr>
        <w:pStyle w:val="TextBody"/>
        <w:spacing w:before="0" w:after="120"/>
        <w:ind w:left="400" w:right="0" w:hanging="400"/>
        <w:rPr>
          <w:rFonts w:ascii="Times New Roman" w:hAnsi="Times New Roman"/>
          <w:sz w:val="17"/>
        </w:rPr>
      </w:pPr>
      <w:r>
        <w:rPr>
          <w:rFonts w:ascii="Times New Roman" w:hAnsi="Times New Roman"/>
          <w:sz w:val="17"/>
        </w:rPr>
        <w:t>**             Previously filed with the Securities and Exchange Commission on May 13, 2003 as an Exhibit to Form T-1 in connection with Registration Statement File No. 333-105207 and is incorporated by reference herein.</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62" w:name="Signature_094853"/>
      <w:bookmarkEnd w:id="62"/>
      <w:r>
        <w:rPr>
          <w:rFonts w:ascii="Times New Roman" w:hAnsi="Times New Roman"/>
          <w:b/>
          <w:sz w:val="17"/>
        </w:rPr>
        <w:t>SIGNATURE</w:t>
      </w:r>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the Trust Indenture Act of 1939, the trustee, Wachovia Bank, National Association, a national banking association organized and existing under the laws of the United States of America, has duly caused this Statement of Eligibility to be signed on its behalf by the undersigned, thereunto duly authorized, all in the City of Houston and the State of Texas, on the 12th day of September, 2005.</w:t>
      </w:r>
    </w:p>
    <w:tbl>
      <w:tblPr>
        <w:tblW w:w="5000" w:type="pct"/>
        <w:jc w:val="center"/>
        <w:tblInd w:w="0" w:type="dxa"/>
        <w:tblCellMar>
          <w:top w:w="0" w:type="dxa"/>
          <w:left w:w="0" w:type="dxa"/>
          <w:bottom w:w="0" w:type="dxa"/>
          <w:right w:w="0" w:type="dxa"/>
        </w:tblCellMar>
      </w:tblPr>
      <w:tblGrid>
        <w:gridCol w:w="5103"/>
        <w:gridCol w:w="311"/>
        <w:gridCol w:w="4791"/>
      </w:tblGrid>
      <w:tr>
        <w:trPr/>
        <w:tc>
          <w:tcPr>
            <w:tcW w:w="5103" w:type="dxa"/>
            <w:tcBorders/>
            <w:shd w:fill="auto" w:val="clear"/>
          </w:tcPr>
          <w:p>
            <w:pPr>
              <w:pStyle w:val="TableContents"/>
              <w:spacing w:before="0" w:after="0"/>
              <w:ind w:left="0" w:right="0" w:hanging="0"/>
              <w:rPr/>
            </w:pPr>
            <w:r>
              <w:rPr/>
              <w:t> </w:t>
            </w:r>
          </w:p>
        </w:tc>
        <w:tc>
          <w:tcPr>
            <w:tcW w:w="5102" w:type="dxa"/>
            <w:gridSpan w:val="2"/>
            <w:tcBorders/>
            <w:shd w:fill="auto" w:val="clear"/>
          </w:tcPr>
          <w:p>
            <w:pPr>
              <w:pStyle w:val="TableContents"/>
              <w:spacing w:before="0" w:after="0"/>
              <w:ind w:left="0" w:right="0" w:hanging="0"/>
              <w:rPr>
                <w:sz w:val="17"/>
              </w:rPr>
            </w:pPr>
            <w:r>
              <w:rPr>
                <w:sz w:val="17"/>
              </w:rPr>
              <w:t>WACHOVIA BANK, NATIONAL ASSOCIATION</w:t>
            </w:r>
          </w:p>
        </w:tc>
      </w:tr>
      <w:tr>
        <w:trPr/>
        <w:tc>
          <w:tcPr>
            <w:tcW w:w="5103" w:type="dxa"/>
            <w:tcBorders/>
            <w:shd w:fill="auto" w:val="clear"/>
          </w:tcPr>
          <w:p>
            <w:pPr>
              <w:pStyle w:val="TableContents"/>
              <w:spacing w:before="480" w:after="480"/>
              <w:ind w:left="0" w:right="0" w:hanging="0"/>
              <w:rPr/>
            </w:pPr>
            <w:r>
              <w:rPr/>
              <w:t> </w:t>
            </w:r>
          </w:p>
        </w:tc>
        <w:tc>
          <w:tcPr>
            <w:tcW w:w="311"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791"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STEPHANIE MOORE</w:t>
            </w:r>
          </w:p>
        </w:tc>
      </w:tr>
      <w:tr>
        <w:trPr/>
        <w:tc>
          <w:tcPr>
            <w:tcW w:w="5103"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7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Stephanie Moore</w:t>
            </w:r>
          </w:p>
        </w:tc>
      </w:tr>
      <w:tr>
        <w:trPr/>
        <w:tc>
          <w:tcPr>
            <w:tcW w:w="5103"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791"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Assistant Vice President</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r>
        <w:rPr>
          <w:rFonts w:ascii="Times New Roman" w:hAnsi="Times New Roman"/>
          <w:b/>
          <w:sz w:val="17"/>
        </w:rPr>
        <w:t>EXHIBIT T-6</w:t>
      </w:r>
    </w:p>
    <w:p>
      <w:pPr>
        <w:pStyle w:val="TextBody"/>
        <w:keepNext w:val="true"/>
        <w:spacing w:before="0" w:after="120"/>
        <w:ind w:left="0" w:right="0" w:hanging="0"/>
        <w:jc w:val="center"/>
        <w:rPr>
          <w:rFonts w:ascii="Times New Roman" w:hAnsi="Times New Roman"/>
          <w:b/>
          <w:sz w:val="17"/>
        </w:rPr>
      </w:pPr>
      <w:bookmarkStart w:id="63" w:name="ConsentOfTheTrustee_093150"/>
      <w:bookmarkEnd w:id="63"/>
      <w:r>
        <w:rPr>
          <w:rFonts w:ascii="Times New Roman" w:hAnsi="Times New Roman"/>
          <w:b/>
          <w:sz w:val="17"/>
        </w:rPr>
        <w:t>CONSENT OF THE TRUSTEE</w:t>
      </w:r>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Section 321(b) of the Trust Indenture Act of 1939, and in connection with the proposed issue of Plains All American Pipeline, L.P. PAA Finance Corp. Senior Debt Securities, Wachovia Bank, National Association, hereby consents that reports of examinations by Federal, State, Territorial or District authorities may be furnished by such authorities to the Securities and Exchange Commission upon request therefor.</w:t>
      </w:r>
    </w:p>
    <w:tbl>
      <w:tblPr>
        <w:tblW w:w="5000" w:type="pct"/>
        <w:jc w:val="center"/>
        <w:tblInd w:w="0" w:type="dxa"/>
        <w:tblCellMar>
          <w:top w:w="0" w:type="dxa"/>
          <w:left w:w="0" w:type="dxa"/>
          <w:bottom w:w="0" w:type="dxa"/>
          <w:right w:w="0" w:type="dxa"/>
        </w:tblCellMar>
      </w:tblPr>
      <w:tblGrid>
        <w:gridCol w:w="5051"/>
        <w:gridCol w:w="412"/>
        <w:gridCol w:w="4742"/>
      </w:tblGrid>
      <w:tr>
        <w:trPr/>
        <w:tc>
          <w:tcPr>
            <w:tcW w:w="5051" w:type="dxa"/>
            <w:tcBorders/>
            <w:shd w:fill="auto" w:val="clear"/>
          </w:tcPr>
          <w:p>
            <w:pPr>
              <w:pStyle w:val="TableContents"/>
              <w:spacing w:before="0" w:after="283"/>
              <w:ind w:left="0" w:right="0" w:hanging="0"/>
              <w:rPr>
                <w:sz w:val="4"/>
                <w:szCs w:val="4"/>
              </w:rPr>
            </w:pPr>
            <w:r>
              <w:rPr>
                <w:sz w:val="4"/>
                <w:szCs w:val="4"/>
              </w:rPr>
            </w:r>
          </w:p>
        </w:tc>
        <w:tc>
          <w:tcPr>
            <w:tcW w:w="515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WACHOVIA BANK, NATIONAL ASSOCIATION</w:t>
            </w:r>
          </w:p>
        </w:tc>
      </w:tr>
      <w:tr>
        <w:trPr/>
        <w:tc>
          <w:tcPr>
            <w:tcW w:w="5051" w:type="dxa"/>
            <w:tcBorders/>
            <w:shd w:fill="auto" w:val="clear"/>
          </w:tcPr>
          <w:p>
            <w:pPr>
              <w:pStyle w:val="TableContents"/>
              <w:spacing w:before="480" w:after="480"/>
              <w:ind w:left="0" w:right="0" w:hanging="0"/>
              <w:rPr/>
            </w:pPr>
            <w:r>
              <w:rPr/>
              <w:t> </w:t>
            </w:r>
          </w:p>
        </w:tc>
        <w:tc>
          <w:tcPr>
            <w:tcW w:w="412"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742"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STEPHANIE MOORE</w:t>
            </w:r>
          </w:p>
        </w:tc>
      </w:tr>
      <w:tr>
        <w:trPr/>
        <w:tc>
          <w:tcPr>
            <w:tcW w:w="505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Stephanie Moore</w:t>
            </w:r>
          </w:p>
        </w:tc>
      </w:tr>
      <w:tr>
        <w:trPr/>
        <w:tc>
          <w:tcPr>
            <w:tcW w:w="505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74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Assistant Vice President</w:t>
            </w:r>
          </w:p>
        </w:tc>
      </w:tr>
      <w:tr>
        <w:trPr/>
        <w:tc>
          <w:tcPr>
            <w:tcW w:w="5051"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Houston, Texas</w:t>
            </w:r>
          </w:p>
        </w:tc>
        <w:tc>
          <w:tcPr>
            <w:tcW w:w="5154" w:type="dxa"/>
            <w:gridSpan w:val="2"/>
            <w:tcBorders/>
            <w:shd w:fill="auto" w:val="clear"/>
          </w:tcPr>
          <w:p>
            <w:pPr>
              <w:pStyle w:val="TableContents"/>
              <w:spacing w:before="120" w:after="120"/>
              <w:ind w:left="0" w:right="0" w:hanging="0"/>
              <w:rPr/>
            </w:pPr>
            <w:r>
              <w:rPr/>
              <w:t> </w:t>
            </w:r>
          </w:p>
        </w:tc>
      </w:tr>
      <w:tr>
        <w:trPr/>
        <w:tc>
          <w:tcPr>
            <w:tcW w:w="5051"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September 12, 2005</w:t>
            </w:r>
          </w:p>
        </w:tc>
        <w:tc>
          <w:tcPr>
            <w:tcW w:w="5154" w:type="dxa"/>
            <w:gridSpan w:val="2"/>
            <w:tcBorders/>
            <w:shd w:fill="auto" w:val="clear"/>
          </w:tcPr>
          <w:p>
            <w:pPr>
              <w:pStyle w:val="TableContents"/>
              <w:spacing w:before="120" w:after="120"/>
              <w:ind w:left="0" w:right="0" w:hanging="0"/>
              <w:rPr/>
            </w:pPr>
            <w:r>
              <w:rPr/>
              <w:t> </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r>
        <w:rPr>
          <w:rFonts w:ascii="Times New Roman" w:hAnsi="Times New Roman"/>
          <w:b/>
          <w:sz w:val="17"/>
        </w:rPr>
        <w:t>EXHIBIT T-7</w:t>
      </w:r>
    </w:p>
    <w:p>
      <w:pPr>
        <w:pStyle w:val="TextBody"/>
        <w:keepNext w:val="true"/>
        <w:spacing w:before="0" w:after="120"/>
        <w:ind w:left="0" w:right="0" w:hanging="0"/>
        <w:jc w:val="center"/>
        <w:rPr>
          <w:rFonts w:ascii="Times New Roman" w:hAnsi="Times New Roman"/>
          <w:b/>
          <w:sz w:val="17"/>
        </w:rPr>
      </w:pPr>
      <w:bookmarkStart w:id="64" w:name="ReportOfCondition_094533"/>
      <w:bookmarkEnd w:id="64"/>
      <w:r>
        <w:rPr>
          <w:rFonts w:ascii="Times New Roman" w:hAnsi="Times New Roman"/>
          <w:b/>
          <w:sz w:val="17"/>
        </w:rPr>
        <w:t>REPORT OF CONDITION</w:t>
      </w:r>
    </w:p>
    <w:p>
      <w:pPr>
        <w:pStyle w:val="TextBody"/>
        <w:spacing w:before="0" w:after="240"/>
        <w:ind w:left="0" w:right="0" w:firstLine="400"/>
        <w:rPr>
          <w:rFonts w:ascii="Times New Roman" w:hAnsi="Times New Roman"/>
          <w:sz w:val="17"/>
        </w:rPr>
      </w:pPr>
      <w:r>
        <w:rPr>
          <w:rFonts w:ascii="Times New Roman" w:hAnsi="Times New Roman"/>
          <w:sz w:val="17"/>
        </w:rPr>
        <w:t>Consolidating domestic and foreign subsidiaries of Wachovia Bank, N.A., at the close of business on March 31, 2005, published in response to call made by Comptroller of the Currency, under title 12, United States Code, Section 161. Charter Number 1 Comptroller of the Currency.</w:t>
      </w:r>
    </w:p>
    <w:p>
      <w:pPr>
        <w:pStyle w:val="TextBody"/>
        <w:keepNext w:val="false"/>
        <w:pageBreakBefore w:val="false"/>
        <w:spacing w:before="0" w:after="240"/>
        <w:ind w:left="200" w:right="0" w:hanging="200"/>
        <w:rPr>
          <w:rFonts w:ascii="Times New Roman" w:hAnsi="Times New Roman"/>
          <w:b/>
          <w:sz w:val="17"/>
        </w:rPr>
      </w:pPr>
      <w:bookmarkStart w:id="65" w:name="StatementOfResourcesAndLiabilitie_094539"/>
      <w:bookmarkEnd w:id="65"/>
      <w:r>
        <w:rPr>
          <w:rFonts w:ascii="Times New Roman" w:hAnsi="Times New Roman"/>
          <w:b/>
          <w:sz w:val="17"/>
        </w:rPr>
        <w:t>Statement of Resources and Liabilities</w:t>
      </w:r>
    </w:p>
    <w:tbl>
      <w:tblPr>
        <w:tblW w:w="9120" w:type="dxa"/>
        <w:jc w:val="center"/>
        <w:tblInd w:w="0" w:type="dxa"/>
        <w:tblCellMar>
          <w:top w:w="0" w:type="dxa"/>
          <w:left w:w="0" w:type="dxa"/>
          <w:bottom w:w="0" w:type="dxa"/>
          <w:right w:w="0" w:type="dxa"/>
        </w:tblCellMar>
      </w:tblPr>
      <w:tblGrid>
        <w:gridCol w:w="7440"/>
        <w:gridCol w:w="165"/>
        <w:gridCol w:w="255"/>
        <w:gridCol w:w="930"/>
        <w:gridCol w:w="255"/>
        <w:gridCol w:w="75"/>
      </w:tblGrid>
      <w:tr>
        <w:trPr/>
        <w:tc>
          <w:tcPr>
            <w:tcW w:w="7440" w:type="dxa"/>
            <w:tcBorders/>
            <w:shd w:fill="auto" w:val="clear"/>
            <w:vAlign w:val="bottom"/>
          </w:tcPr>
          <w:p>
            <w:pPr>
              <w:pStyle w:val="TableContents"/>
              <w:spacing w:lineRule="atLeast" w:line="160" w:before="0" w:after="0"/>
              <w:ind w:left="0" w:right="0" w:hanging="0"/>
              <w:rPr/>
            </w:pPr>
            <w:r>
              <w:rPr/>
              <w:t> </w:t>
            </w:r>
          </w:p>
        </w:tc>
        <w:tc>
          <w:tcPr>
            <w:tcW w:w="165" w:type="dxa"/>
            <w:tcBorders/>
            <w:shd w:fill="auto" w:val="clear"/>
            <w:vAlign w:val="bottom"/>
          </w:tcPr>
          <w:p>
            <w:pPr>
              <w:pStyle w:val="TableContents"/>
              <w:spacing w:lineRule="atLeast" w:line="160" w:before="0" w:after="0"/>
              <w:ind w:left="0" w:right="0" w:hanging="0"/>
              <w:rPr/>
            </w:pPr>
            <w:r>
              <w:rPr/>
              <w:t> </w:t>
            </w:r>
          </w:p>
        </w:tc>
        <w:tc>
          <w:tcPr>
            <w:tcW w:w="1440" w:type="dxa"/>
            <w:gridSpan w:val="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Thousand of Dollars</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7440" w:type="dxa"/>
            <w:tcBorders/>
            <w:shd w:fill="CCEEFF" w:val="clear"/>
          </w:tcPr>
          <w:p>
            <w:pPr>
              <w:pStyle w:val="TableContents"/>
              <w:spacing w:before="0" w:after="0"/>
              <w:ind w:left="0" w:right="0" w:hanging="0"/>
              <w:jc w:val="center"/>
              <w:rPr>
                <w:rFonts w:ascii="Times New Roman" w:hAnsi="Times New Roman"/>
                <w:b/>
                <w:sz w:val="15"/>
              </w:rPr>
            </w:pPr>
            <w:r>
              <w:rPr>
                <w:rFonts w:ascii="Times New Roman" w:hAnsi="Times New Roman"/>
                <w:b/>
                <w:sz w:val="15"/>
              </w:rPr>
              <w:t>ASSETS</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80" w:after="80"/>
              <w:ind w:left="0" w:right="0" w:hanging="0"/>
              <w:rPr>
                <w:rFonts w:ascii="Times New Roman" w:hAnsi="Times New Roman"/>
                <w:sz w:val="15"/>
              </w:rPr>
            </w:pPr>
            <w:r>
              <w:rPr>
                <w:rFonts w:ascii="Times New Roman" w:hAnsi="Times New Roman"/>
                <w:sz w:val="15"/>
              </w:rPr>
              <w:t>Cash and balance due from depository institutions:</w:t>
            </w:r>
          </w:p>
        </w:tc>
        <w:tc>
          <w:tcPr>
            <w:tcW w:w="165"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30"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r>
      <w:tr>
        <w:trPr/>
        <w:tc>
          <w:tcPr>
            <w:tcW w:w="7440" w:type="dxa"/>
            <w:tcBorders/>
            <w:shd w:fill="CCEEFF" w:val="clear"/>
          </w:tcPr>
          <w:p>
            <w:pPr>
              <w:pStyle w:val="TableContents"/>
              <w:spacing w:before="80" w:after="80"/>
              <w:ind w:left="0" w:right="0" w:hanging="0"/>
              <w:rPr>
                <w:rFonts w:ascii="Times New Roman" w:hAnsi="Times New Roman"/>
                <w:sz w:val="15"/>
              </w:rPr>
            </w:pPr>
            <w:r>
              <w:rPr>
                <w:rFonts w:ascii="Times New Roman" w:hAnsi="Times New Roman"/>
                <w:sz w:val="15"/>
              </w:rPr>
              <w:t>Noninterest-bearing balances and currency and coin</w:t>
            </w:r>
          </w:p>
        </w:tc>
        <w:tc>
          <w:tcPr>
            <w:tcW w:w="165" w:type="dxa"/>
            <w:tcBorders/>
            <w:shd w:fill="CCEEFF" w:val="clear"/>
            <w:vAlign w:val="bottom"/>
          </w:tcPr>
          <w:p>
            <w:pPr>
              <w:pStyle w:val="TableContents"/>
              <w:spacing w:before="80" w:after="8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930" w:type="dxa"/>
            <w:tcBorders/>
            <w:shd w:fill="CCEEFF" w:val="clear"/>
            <w:vAlign w:val="bottom"/>
          </w:tcPr>
          <w:p>
            <w:pPr>
              <w:pStyle w:val="TableContents"/>
              <w:spacing w:before="80" w:after="80"/>
              <w:ind w:left="0" w:right="0" w:hanging="0"/>
              <w:rPr>
                <w:rFonts w:ascii="Times New Roman" w:hAnsi="Times New Roman"/>
                <w:sz w:val="15"/>
              </w:rPr>
            </w:pPr>
            <w:r>
              <w:rPr>
                <w:rFonts w:ascii="Times New Roman" w:hAnsi="Times New Roman"/>
                <w:sz w:val="15"/>
              </w:rPr>
              <w:t>12,680,000</w:t>
            </w:r>
          </w:p>
        </w:tc>
        <w:tc>
          <w:tcPr>
            <w:tcW w:w="255"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Interest-bearing balances</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630,000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Securities</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Held-to-maturity securities (from Schedule RC-B, column A)</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80" w:after="80"/>
              <w:ind w:left="0" w:right="0" w:hanging="0"/>
              <w:rPr>
                <w:rFonts w:ascii="Times New Roman" w:hAnsi="Times New Roman"/>
                <w:sz w:val="15"/>
              </w:rPr>
            </w:pPr>
            <w:r>
              <w:rPr>
                <w:rFonts w:ascii="Times New Roman" w:hAnsi="Times New Roman"/>
                <w:sz w:val="15"/>
              </w:rPr>
              <w:t>Available-for-sale securities (from schedule RC-B, column D)</w:t>
            </w:r>
          </w:p>
        </w:tc>
        <w:tc>
          <w:tcPr>
            <w:tcW w:w="165" w:type="dxa"/>
            <w:tcBorders/>
            <w:shd w:fill="CCEEFF" w:val="clear"/>
            <w:vAlign w:val="bottom"/>
          </w:tcPr>
          <w:p>
            <w:pPr>
              <w:pStyle w:val="TableContents"/>
              <w:spacing w:before="80" w:after="8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930" w:type="dxa"/>
            <w:tcBorders/>
            <w:shd w:fill="CCEEFF" w:val="clear"/>
            <w:vAlign w:val="bottom"/>
          </w:tcPr>
          <w:p>
            <w:pPr>
              <w:pStyle w:val="TableContents"/>
              <w:spacing w:before="80" w:after="80"/>
              <w:ind w:left="0" w:right="0" w:hanging="0"/>
              <w:rPr>
                <w:rFonts w:ascii="Times New Roman" w:hAnsi="Times New Roman"/>
                <w:sz w:val="15"/>
              </w:rPr>
            </w:pPr>
            <w:r>
              <w:rPr>
                <w:rFonts w:ascii="Times New Roman" w:hAnsi="Times New Roman"/>
                <w:sz w:val="15"/>
              </w:rPr>
              <w:t>113,305,000</w:t>
            </w:r>
          </w:p>
        </w:tc>
        <w:tc>
          <w:tcPr>
            <w:tcW w:w="255"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Federal funds sold and securities purchased under agreements to resell</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Federal funds sold in domestic offices</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4,291,000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Securities purchased under agreements to resell</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3,364,000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Loans and lease financing receivables (from Schedule RC-C):</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Loan and leases held for sale</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14,106,000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Loan and leases, net of unearned income</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224,658,000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LESS: Allowance for loan and lease losses</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2,661,000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LESS: Allocated transfer risk reserve</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Loans and leases, net of unearned income and allowance (item.4.b minus 4.c)</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221,997,000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Trading assets (from Schedule RC-D)</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30,211,000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Premises and fixed assets (including capitalized leases)</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4,267,000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Other real estate owned (from Schedule RC-M)</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121,000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Investment in unconsolidated subsidiaries and associated companies (from Schedule RC-M)</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1,145,000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Customers liability to this bank on acceptances outstanding</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826,000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Intangible assets</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Goodwill</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19,644,000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Other intangible assets (from Schedule RC-M)</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2,023,000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Other assets (from Schedule RC-F)</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26,168,000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80" w:after="80"/>
              <w:ind w:left="0" w:right="0" w:hanging="0"/>
              <w:rPr>
                <w:rFonts w:ascii="Times New Roman" w:hAnsi="Times New Roman"/>
                <w:b/>
                <w:sz w:val="15"/>
              </w:rPr>
            </w:pPr>
            <w:r>
              <w:rPr>
                <w:rFonts w:ascii="Times New Roman" w:hAnsi="Times New Roman"/>
                <w:b/>
                <w:sz w:val="15"/>
              </w:rPr>
              <w:t>Total assets</w:t>
            </w:r>
          </w:p>
        </w:tc>
        <w:tc>
          <w:tcPr>
            <w:tcW w:w="165"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30" w:type="dxa"/>
            <w:tcBorders/>
            <w:shd w:fill="auto" w:val="clear"/>
            <w:vAlign w:val="bottom"/>
          </w:tcPr>
          <w:p>
            <w:pPr>
              <w:pStyle w:val="TableContents"/>
              <w:spacing w:before="80" w:after="80"/>
              <w:ind w:left="0" w:right="0" w:hanging="0"/>
              <w:rPr>
                <w:rFonts w:ascii="Times New Roman" w:hAnsi="Times New Roman"/>
                <w:b/>
                <w:sz w:val="15"/>
              </w:rPr>
            </w:pPr>
            <w:r>
              <w:rPr>
                <w:rFonts w:ascii="Times New Roman" w:hAnsi="Times New Roman"/>
                <w:b/>
                <w:sz w:val="15"/>
              </w:rPr>
              <w:t>454,751,000</w:t>
            </w:r>
          </w:p>
        </w:tc>
        <w:tc>
          <w:tcPr>
            <w:tcW w:w="255"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r>
    </w:tbl>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9120" w:type="dxa"/>
        <w:jc w:val="center"/>
        <w:tblInd w:w="0" w:type="dxa"/>
        <w:tblCellMar>
          <w:top w:w="0" w:type="dxa"/>
          <w:left w:w="0" w:type="dxa"/>
          <w:bottom w:w="0" w:type="dxa"/>
          <w:right w:w="0" w:type="dxa"/>
        </w:tblCellMar>
      </w:tblPr>
      <w:tblGrid>
        <w:gridCol w:w="7440"/>
        <w:gridCol w:w="165"/>
        <w:gridCol w:w="255"/>
        <w:gridCol w:w="930"/>
        <w:gridCol w:w="255"/>
        <w:gridCol w:w="75"/>
      </w:tblGrid>
      <w:tr>
        <w:trPr/>
        <w:tc>
          <w:tcPr>
            <w:tcW w:w="7440" w:type="dxa"/>
            <w:tcBorders/>
            <w:shd w:fill="CCEEFF" w:val="clear"/>
          </w:tcPr>
          <w:p>
            <w:pPr>
              <w:pStyle w:val="TableContents"/>
              <w:spacing w:before="80" w:after="80"/>
              <w:ind w:left="0" w:right="0" w:hanging="0"/>
              <w:jc w:val="center"/>
              <w:rPr>
                <w:rFonts w:ascii="Times New Roman" w:hAnsi="Times New Roman"/>
                <w:b/>
                <w:sz w:val="15"/>
              </w:rPr>
            </w:pPr>
            <w:r>
              <w:rPr>
                <w:rFonts w:ascii="Times New Roman" w:hAnsi="Times New Roman"/>
                <w:b/>
                <w:sz w:val="15"/>
              </w:rPr>
              <w:t>LIABILITIES</w:t>
            </w:r>
          </w:p>
        </w:tc>
        <w:tc>
          <w:tcPr>
            <w:tcW w:w="165" w:type="dxa"/>
            <w:tcBorders/>
            <w:shd w:fill="CCEEFF" w:val="clear"/>
            <w:vAlign w:val="bottom"/>
          </w:tcPr>
          <w:p>
            <w:pPr>
              <w:pStyle w:val="TableContents"/>
              <w:spacing w:before="80" w:after="8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930" w:type="dxa"/>
            <w:tcBorders/>
            <w:shd w:fill="CCEEFF" w:val="clear"/>
            <w:vAlign w:val="bottom"/>
          </w:tcPr>
          <w:p>
            <w:pPr>
              <w:pStyle w:val="TableContents"/>
              <w:spacing w:before="80" w:after="8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r>
      <w:tr>
        <w:trPr/>
        <w:tc>
          <w:tcPr>
            <w:tcW w:w="7440" w:type="dxa"/>
            <w:tcBorders/>
            <w:shd w:fill="auto" w:val="clear"/>
          </w:tcPr>
          <w:p>
            <w:pPr>
              <w:pStyle w:val="TableContents"/>
              <w:spacing w:before="80" w:after="80"/>
              <w:ind w:left="0" w:right="0" w:hanging="0"/>
              <w:rPr>
                <w:rFonts w:ascii="Times New Roman" w:hAnsi="Times New Roman"/>
                <w:sz w:val="15"/>
              </w:rPr>
            </w:pPr>
            <w:r>
              <w:rPr>
                <w:rFonts w:ascii="Times New Roman" w:hAnsi="Times New Roman"/>
                <w:sz w:val="15"/>
              </w:rPr>
              <w:t>Deposits:</w:t>
            </w:r>
          </w:p>
        </w:tc>
        <w:tc>
          <w:tcPr>
            <w:tcW w:w="165"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30"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In domestic offices</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284,382,000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Noninterest-bearing</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13,547,000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Interest-bearing</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270,835,000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In foreign offices, Edge and Agreement subsidiaries, and IBFs</w:t>
              <w:br/>
              <w:t>(from Schedule RC-E, partII)</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22,396,000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Noninterest-bearing</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0,000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Interest-bearing</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22,396,000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Federal funds purchased in domestic offices(2)</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1,771,000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Securities sold under agreements to repurchase(3)</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27,881,000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Trading liabilities(from Schedule RC-D)</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13,346,000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80" w:after="80"/>
              <w:ind w:left="0" w:right="0" w:hanging="0"/>
              <w:rPr>
                <w:rFonts w:ascii="Times New Roman" w:hAnsi="Times New Roman"/>
                <w:sz w:val="15"/>
              </w:rPr>
            </w:pPr>
            <w:r>
              <w:rPr>
                <w:rFonts w:ascii="Times New Roman" w:hAnsi="Times New Roman"/>
                <w:sz w:val="15"/>
              </w:rPr>
              <w:t>Other borrowed money (includes mortgage indebtedness and obligations under Capitalized leases)(from Schedule RC-M)</w:t>
            </w:r>
          </w:p>
        </w:tc>
        <w:tc>
          <w:tcPr>
            <w:tcW w:w="165"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30" w:type="dxa"/>
            <w:tcBorders/>
            <w:shd w:fill="auto" w:val="clear"/>
            <w:vAlign w:val="bottom"/>
          </w:tcPr>
          <w:p>
            <w:pPr>
              <w:pStyle w:val="TableContents"/>
              <w:spacing w:before="80" w:after="80"/>
              <w:ind w:left="0" w:right="0" w:hanging="0"/>
              <w:rPr>
                <w:rFonts w:ascii="Times New Roman" w:hAnsi="Times New Roman"/>
                <w:sz w:val="15"/>
              </w:rPr>
            </w:pPr>
            <w:r>
              <w:rPr>
                <w:rFonts w:ascii="Times New Roman" w:hAnsi="Times New Roman"/>
                <w:sz w:val="15"/>
              </w:rPr>
              <w:t>30,575,000</w:t>
            </w:r>
          </w:p>
        </w:tc>
        <w:tc>
          <w:tcPr>
            <w:tcW w:w="255"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Banks liability on acceptances executed and outstanding</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866,000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Subordinated notes and debentures.</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13,103,000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Other liabilities</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11,884,000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b/>
                <w:sz w:val="15"/>
              </w:rPr>
            </w:pPr>
            <w:r>
              <w:rPr>
                <w:rFonts w:ascii="Times New Roman" w:hAnsi="Times New Roman"/>
                <w:b/>
                <w:sz w:val="15"/>
              </w:rPr>
              <w:t>Total liabilities</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406,249,000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Minority Interest in consolidated subsidiaries</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1,719,000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80" w:after="80"/>
              <w:ind w:left="0" w:right="0" w:hanging="0"/>
              <w:jc w:val="center"/>
              <w:rPr>
                <w:rFonts w:ascii="Times New Roman" w:hAnsi="Times New Roman"/>
                <w:b/>
                <w:sz w:val="15"/>
              </w:rPr>
            </w:pPr>
            <w:r>
              <w:rPr>
                <w:rFonts w:ascii="Times New Roman" w:hAnsi="Times New Roman"/>
                <w:b/>
                <w:sz w:val="15"/>
              </w:rPr>
              <w:t>EQUITY CAPITAL</w:t>
            </w:r>
          </w:p>
        </w:tc>
        <w:tc>
          <w:tcPr>
            <w:tcW w:w="165"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30"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r>
      <w:tr>
        <w:trPr/>
        <w:tc>
          <w:tcPr>
            <w:tcW w:w="7440" w:type="dxa"/>
            <w:tcBorders/>
            <w:shd w:fill="CCEEFF" w:val="clear"/>
          </w:tcPr>
          <w:p>
            <w:pPr>
              <w:pStyle w:val="TableContents"/>
              <w:spacing w:before="80" w:after="80"/>
              <w:ind w:left="0" w:right="0" w:hanging="0"/>
              <w:rPr>
                <w:rFonts w:ascii="Times New Roman" w:hAnsi="Times New Roman"/>
                <w:sz w:val="15"/>
              </w:rPr>
            </w:pPr>
            <w:r>
              <w:rPr>
                <w:rFonts w:ascii="Times New Roman" w:hAnsi="Times New Roman"/>
                <w:sz w:val="15"/>
              </w:rPr>
              <w:t>Perpetual preferred stock and related surplus</w:t>
            </w:r>
          </w:p>
        </w:tc>
        <w:tc>
          <w:tcPr>
            <w:tcW w:w="165" w:type="dxa"/>
            <w:tcBorders/>
            <w:shd w:fill="CCEEFF" w:val="clear"/>
            <w:vAlign w:val="bottom"/>
          </w:tcPr>
          <w:p>
            <w:pPr>
              <w:pStyle w:val="TableContents"/>
              <w:spacing w:before="80" w:after="8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930" w:type="dxa"/>
            <w:tcBorders/>
            <w:shd w:fill="CCEEFF" w:val="clear"/>
            <w:vAlign w:val="bottom"/>
          </w:tcPr>
          <w:p>
            <w:pPr>
              <w:pStyle w:val="TableContents"/>
              <w:spacing w:before="80" w:after="80"/>
              <w:ind w:left="0" w:right="0" w:hanging="0"/>
              <w:rPr>
                <w:rFonts w:ascii="Times New Roman" w:hAnsi="Times New Roman"/>
                <w:sz w:val="15"/>
              </w:rPr>
            </w:pPr>
            <w:r>
              <w:rPr>
                <w:rFonts w:ascii="Times New Roman" w:hAnsi="Times New Roman"/>
                <w:sz w:val="15"/>
              </w:rPr>
              <w:t>0</w:t>
            </w:r>
          </w:p>
        </w:tc>
        <w:tc>
          <w:tcPr>
            <w:tcW w:w="255"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Common Stock</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455,000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Surplus</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36,364,000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Retained Earnings</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9,965,000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Accumulated other comprehensive income</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(1,000</w:t>
            </w:r>
          </w:p>
        </w:tc>
        <w:tc>
          <w:tcPr>
            <w:tcW w:w="25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Other Equity Capital components</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r>
        <w:trPr/>
        <w:tc>
          <w:tcPr>
            <w:tcW w:w="7440" w:type="dxa"/>
            <w:tcBorders/>
            <w:shd w:fill="CCEEFF" w:val="clear"/>
          </w:tcPr>
          <w:p>
            <w:pPr>
              <w:pStyle w:val="TableContents"/>
              <w:spacing w:before="0" w:after="0"/>
              <w:ind w:left="0" w:right="0" w:hanging="0"/>
              <w:rPr>
                <w:rFonts w:ascii="Times New Roman" w:hAnsi="Times New Roman"/>
                <w:sz w:val="15"/>
              </w:rPr>
            </w:pPr>
            <w:r>
              <w:rPr>
                <w:rFonts w:ascii="Times New Roman" w:hAnsi="Times New Roman"/>
                <w:sz w:val="15"/>
              </w:rPr>
              <w:t>Total equity capital (sum of item 23 through 27)</w:t>
            </w:r>
          </w:p>
        </w:tc>
        <w:tc>
          <w:tcPr>
            <w:tcW w:w="165"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3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46,783,000</w:t>
            </w:r>
          </w:p>
        </w:tc>
        <w:tc>
          <w:tcPr>
            <w:tcW w:w="25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440"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Total liabilities and equity capital (sum of items 21,22, and 28</w:t>
            </w:r>
          </w:p>
        </w:tc>
        <w:tc>
          <w:tcPr>
            <w:tcW w:w="16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3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454,751,000</w:t>
            </w:r>
          </w:p>
        </w:tc>
        <w:tc>
          <w:tcPr>
            <w:tcW w:w="25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70</Pages>
  <Words>33344</Words>
  <CharactersWithSpaces>207876</CharactersWithSpaces>
  <Paragraphs>2360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