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5301615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4022725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-1596390</wp:posOffset>
            </wp:positionH>
            <wp:positionV relativeFrom="paragraph">
              <wp:posOffset>23495</wp:posOffset>
            </wp:positionV>
            <wp:extent cx="7045325" cy="5034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5034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320"/>
            <w:col w:w="8580"/>
          </w:cols>
          <w:pgMar w:left="460" w:top="223" w:right="35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Temple Chris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PLAINS GP HOLDINGS LP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08/17/2023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52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8,050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Grant of Phantom Class A shares under Long-Term Incentive Plan (includes associated dividend equivalent rights payable in cash).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2. One Class A share is deliverable for each Phantom Class A share that vests.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3. Upon termination of service as director, other than because of death disability or retirement.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Chris Temple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08/17/2023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4683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2023-08-17T18:03:19Z</dcterms:created>
  <dcterms:modified xsi:type="dcterms:W3CDTF">2023-08-17T18:03:19Z</dcterms:modified>
</cp:coreProperties>
</file>