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-606425</wp:posOffset>
            </wp:positionV>
            <wp:extent cx="8255" cy="60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-614680</wp:posOffset>
            </wp:positionV>
            <wp:extent cx="8255" cy="6153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5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4023360</wp:posOffset>
            </wp:positionH>
            <wp:positionV relativeFrom="paragraph">
              <wp:posOffset>-590550</wp:posOffset>
            </wp:positionV>
            <wp:extent cx="1263650" cy="56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8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8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RAYMOND JOHN T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PLAINS GP HOLDINGS LP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2229 SAN FELIPE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08/14/2020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250,531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Class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Class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15,290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15,290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08/14/2024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right="18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One Class A share is deliverable for each Phantom Class A share that vests.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3. Phantom Class A Shares vests annually on August distribution date.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4. Upon termination of service as director, other than because of death, disability or retirement.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John T. Raymond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08/17/2020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-4676775</wp:posOffset>
            </wp:positionV>
            <wp:extent cx="7033895" cy="3324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32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173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2020-08-17T17:41:23Z</dcterms:created>
  <dcterms:modified xsi:type="dcterms:W3CDTF">2020-08-17T17:41:23Z</dcterms:modified>
</cp:coreProperties>
</file>