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8, 2026</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59690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May 8, 2026, the Registrant issued a press release reporting its first-quarter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42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FF"/>
              </w:rPr>
              <w:t>Press Release dated May 8, 2026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87" w:right="6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500"/>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2940" w:type="dxa"/>
            <w:vAlign w:val="bottom"/>
          </w:tcPr>
          <w:p>
            <w:pPr>
              <w:spacing w:after="0"/>
              <w:rPr>
                <w:sz w:val="24"/>
                <w:szCs w:val="24"/>
                <w:color w:val="auto"/>
              </w:rPr>
            </w:pP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8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448310</wp:posOffset>
            </wp:positionV>
            <wp:extent cx="246888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First-Quarter 2026 Results &amp; Raises 2026 Guidance</w:t>
      </w:r>
    </w:p>
    <w:p>
      <w:pPr>
        <w:spacing w:after="0" w:line="2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Houston, TX – May 8, 2026 – Plains All American Pipeline, L.P. (Nasdaq: PAA) and Plains GP Holdings (Nasdaq: PAGP) today reported first-quarter 2026 results and raised full-year 2026 Adjusted EBITDA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2026 Results</w:t>
      </w:r>
    </w:p>
    <w:p>
      <w:pPr>
        <w:spacing w:after="0" w:line="1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First-quarter Net income attributable to PAA of $152 million and Net cash provided by operating activities of $418 million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first-quarter Adjusted EBITDA attributable to PAA of $730 million</w:t>
      </w:r>
    </w:p>
    <w:p>
      <w:pPr>
        <w:spacing w:after="0" w:line="13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leverage ratio of 4.1x at quarter-end; expect to return toward the midpoint of the target range of 3.25 to 3.75x following closing of the NGL divestiture and migrating toward lower-end of the range by year-end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 quarterly cash distribution of $0.4175 per unit ($1.67 per unit annualized), representing a current distribution yield of ~7.5%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Updated Outlook</w:t>
      </w:r>
    </w:p>
    <w:p>
      <w:pPr>
        <w:spacing w:after="0" w:line="135" w:lineRule="exact"/>
        <w:rPr>
          <w:sz w:val="20"/>
          <w:szCs w:val="20"/>
          <w:color w:val="auto"/>
        </w:rPr>
      </w:pPr>
    </w:p>
    <w:p>
      <w:pPr>
        <w:ind w:left="660" w:right="7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midpoint of full-year 2026 Adjusted EBITDA guidance attributable to PAA by $130 million to $2.880 billion +/- $75 million (reflecting a strong oil macro environment and NGL contribution into May 2026)</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capital remains $350 million with maintenance capital increasing to $185 million, reflecting ownership of NGL assets into May 2026</w:t>
      </w:r>
    </w:p>
    <w:p>
      <w:pPr>
        <w:spacing w:after="0" w:line="13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2026 Adjusted Free Cash Flow guidance increased to approximately $1.850 billion (excluding changes in Assets &amp; Liabilities and anticipated cash proceeds from the NGL divestiture)</w:t>
      </w:r>
    </w:p>
    <w:p>
      <w:pPr>
        <w:spacing w:after="0" w:line="18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“Global events this year illustrate the importance of reliable, secure and responsibly produced energy and have accelerated the timing of our view for a more constructive crude oil market. Our integrated business model and asset base connecting U.S. crude production to the global markets are critical to meeting global energy demand. As a result, we are increasing the midpoint of our 2026 Adjusted EBITDA guidance by $130 million to reflect a constructive oil macro environment and extended ownership of our Canadian NGL business into May. The closing of the NGL divestiture will mark a transition to a premier pure play crude oil midstream provider. We remain focused on executing key initiatives in 2026, including closing the pending NGL sale and realizing $100 million of contribution between Cactus III synergies and capturing efficiencies across our system. The combination of these internal initiatives coupled with a healthy oil macro backdrop positions Plains with momentum into 2027 and beyond. Finally, we remain committed to financial discipline and maintaining a strong balance sheet, while continuing to return capital to unit holders,” said Willie Chiang, Chairman, CEO and President.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Considerations for Pending Sale of Canadian NGL Business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June 17, 2025, we entered into a definitive agreement to sell substantially all of our NGL business in Canada (the “Canadian NGL Business”) to Keyera Corp. This transaction is expected to close in May 2026. As part of the sale, we will divest the Canadian NGL Business, which includes substantially all of our NGL assets; the NGL assets that we will retain are located in the United States.</w:t>
      </w:r>
    </w:p>
    <w:p>
      <w:pPr>
        <w:spacing w:after="0" w:line="20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8"/>
                <w:szCs w:val="18"/>
                <w:b w:val="1"/>
                <w:bCs w:val="1"/>
                <w:i w:val="1"/>
                <w:iCs w:val="1"/>
                <w:color w:val="auto"/>
                <w:vertAlign w:val="superscript"/>
              </w:rPr>
              <w:t>(1)</w:t>
            </w:r>
          </w:p>
        </w:tc>
        <w:tc>
          <w:tcPr>
            <w:tcW w:w="280" w:type="dxa"/>
            <w:vAlign w:val="bottom"/>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499"/>
        </w:trPr>
        <w:tc>
          <w:tcPr>
            <w:tcW w:w="3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 (3)</w:t>
            </w:r>
          </w:p>
        </w:tc>
        <w:tc>
          <w:tcPr>
            <w:tcW w:w="280" w:type="dxa"/>
            <w:vAlign w:val="bottom"/>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3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3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(4) (5)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(Excluding Changes in Assets &amp; Liabilities) </w:t>
            </w:r>
            <w:r>
              <w:rPr>
                <w:rFonts w:ascii="Times New Roman" w:cs="Times New Roman" w:eastAsia="Times New Roman" w:hAnsi="Times New Roman"/>
                <w:sz w:val="23"/>
                <w:szCs w:val="23"/>
                <w:color w:val="auto"/>
                <w:vertAlign w:val="superscript"/>
              </w:rPr>
              <w:t>(4) (5)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3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 See the tables attached hereto for additional information.</w:t>
      </w:r>
    </w:p>
    <w:p>
      <w:pPr>
        <w:spacing w:after="0" w:line="86" w:lineRule="exact"/>
        <w:rPr>
          <w:rFonts w:ascii="Times New Roman" w:cs="Times New Roman" w:eastAsia="Times New Roman" w:hAnsi="Times New Roman"/>
          <w:sz w:val="21"/>
          <w:szCs w:val="21"/>
          <w:color w:val="auto"/>
          <w:vertAlign w:val="superscript"/>
        </w:rPr>
      </w:pPr>
    </w:p>
    <w:p>
      <w:pPr>
        <w:ind w:left="340" w:right="240" w:hanging="332"/>
        <w:spacing w:after="0" w:line="232" w:lineRule="auto"/>
        <w:tabs>
          <w:tab w:leader="none" w:pos="32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amounts attributable to noncontrolling interests in the Plains Oryx Permian Basin LLC (the “Permian JV”), Cactus II Pipeline LLC and Red River Pipeline LLC joint ventures.</w:t>
      </w:r>
    </w:p>
    <w:p>
      <w:pPr>
        <w:spacing w:after="0" w:line="88" w:lineRule="exact"/>
        <w:rPr>
          <w:rFonts w:ascii="Times New Roman" w:cs="Times New Roman" w:eastAsia="Times New Roman" w:hAnsi="Times New Roman"/>
          <w:sz w:val="21"/>
          <w:szCs w:val="21"/>
          <w:color w:val="auto"/>
          <w:vertAlign w:val="superscript"/>
        </w:rPr>
      </w:pPr>
    </w:p>
    <w:p>
      <w:pPr>
        <w:ind w:left="340" w:right="280" w:hanging="332"/>
        <w:spacing w:after="0" w:line="237" w:lineRule="auto"/>
        <w:tabs>
          <w:tab w:leader="none" w:pos="32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2025, includes the impact of a net cash outflow of $624 million for bolt-on acquisitions.</w:t>
      </w:r>
    </w:p>
    <w:p>
      <w:pPr>
        <w:spacing w:after="0" w:line="100" w:lineRule="exact"/>
        <w:rPr>
          <w:rFonts w:ascii="Times New Roman" w:cs="Times New Roman" w:eastAsia="Times New Roman" w:hAnsi="Times New Roman"/>
          <w:sz w:val="21"/>
          <w:szCs w:val="21"/>
          <w:color w:val="auto"/>
          <w:vertAlign w:val="superscript"/>
        </w:rPr>
      </w:pPr>
    </w:p>
    <w:p>
      <w:pPr>
        <w:ind w:left="340" w:right="220" w:hanging="332"/>
        <w:spacing w:after="0" w:line="231" w:lineRule="auto"/>
        <w:tabs>
          <w:tab w:leader="none" w:pos="32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2026, amount excludes approximately $216 million of current income tax expense associated with certain planning and restructuring activities within our organizational structure in connection with the pending Canadian NGL Business divestiture that had income tax consequences that required recognition during the first quarter of 2026.</w:t>
      </w:r>
    </w:p>
    <w:p>
      <w:pPr>
        <w:spacing w:after="0" w:line="56"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Disaggregation of Adjusted EBITDA by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60" w:type="dxa"/>
            <w:vAlign w:val="bottom"/>
          </w:tcPr>
          <w:p>
            <w:pPr>
              <w:spacing w:after="0"/>
              <w:rPr>
                <w:sz w:val="16"/>
                <w:szCs w:val="16"/>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3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160" w:type="dxa"/>
            <w:vAlign w:val="bottom"/>
          </w:tcPr>
          <w:p>
            <w:pPr>
              <w:spacing w:after="0"/>
              <w:rPr>
                <w:sz w:val="18"/>
                <w:szCs w:val="18"/>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March 31, 2025</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ind w:left="1420"/>
              <w:spacing w:after="0" w:line="203" w:lineRule="exact"/>
              <w:rPr>
                <w:sz w:val="20"/>
                <w:szCs w:val="20"/>
                <w:color w:val="auto"/>
              </w:rPr>
            </w:pPr>
            <w:r>
              <w:rPr>
                <w:rFonts w:ascii="Times New Roman" w:cs="Times New Roman" w:eastAsia="Times New Roman" w:hAnsi="Times New Roman"/>
                <w:sz w:val="18"/>
                <w:szCs w:val="18"/>
                <w:color w:val="auto"/>
              </w:rPr>
              <w:t>189</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2025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i w:val="1"/>
                <w:iCs w:val="1"/>
                <w:color w:val="auto"/>
              </w:rPr>
              <w:t>(23)%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68"/>
        </w:trPr>
        <w:tc>
          <w:tcPr>
            <w:tcW w:w="39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Pr>
          <w:p>
            <w:pPr>
              <w:spacing w:after="0"/>
              <w:rPr>
                <w:sz w:val="5"/>
                <w:szCs w:val="5"/>
                <w:color w:val="auto"/>
              </w:rPr>
            </w:pPr>
          </w:p>
        </w:tc>
      </w:tr>
    </w:tbl>
    <w:p>
      <w:pPr>
        <w:spacing w:after="0" w:line="18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89" w:lineRule="exact"/>
        <w:rPr>
          <w:rFonts w:ascii="Times New Roman" w:cs="Times New Roman" w:eastAsia="Times New Roman" w:hAnsi="Times New Roman"/>
          <w:sz w:val="23"/>
          <w:szCs w:val="23"/>
          <w:color w:val="auto"/>
          <w:vertAlign w:val="superscript"/>
        </w:rPr>
      </w:pPr>
    </w:p>
    <w:p>
      <w:pPr>
        <w:ind w:left="340" w:right="60" w:hanging="332"/>
        <w:spacing w:after="0" w:line="235" w:lineRule="auto"/>
        <w:tabs>
          <w:tab w:leader="none" w:pos="26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First-quarter 2026 Adjusted EBITDA from Crude Oil increased 4% versus comparable 2025 results. Favorable results in the 2026 period from (i) contributions from recently completed bolt-on acquisitions, including our Cactus III pipeline acquisition, and (ii) higher volumes on our pipelines were partially offset by the impact of (iii) certain Permian long-haul pipeline contract rate resets.</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First-quarter 2026 Adjusted EBITDA from NGL decreased 23% versus comparable 2025 results primarily due to lower weighted average frac spreads and reduced sales volumes from warmer weather.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May 8, 2026 to discuss first-quarter performance and related items.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https://edge.media-server.com/mmc/p/3u4m5omt/lan/en/.</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pending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Measures and Discontinued Operations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May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148"/>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11,121</w:t>
            </w:r>
          </w:p>
        </w:tc>
      </w:tr>
      <w:tr>
        <w:trPr>
          <w:trHeight w:val="149"/>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148"/>
        </w:trPr>
        <w:tc>
          <w:tcPr>
            <w:tcW w:w="3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6"/>
        </w:trPr>
        <w:tc>
          <w:tcPr>
            <w:tcW w:w="87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28"/>
        </w:trPr>
        <w:tc>
          <w:tcPr>
            <w:tcW w:w="38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benefit/(expense) from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151"/>
        </w:trPr>
        <w:tc>
          <w:tcPr>
            <w:tcW w:w="388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FROM DISCONTINUED OPERATIONS, NET OF TAX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50"/>
        </w:trPr>
        <w:tc>
          <w:tcPr>
            <w:tcW w:w="388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8"/>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8"/>
        </w:trPr>
        <w:tc>
          <w:tcPr>
            <w:tcW w:w="3880" w:type="dxa"/>
            <w:vAlign w:val="bottom"/>
            <w:shd w:val="clear" w:color="auto" w:fill="CCEEFF"/>
          </w:tcPr>
          <w:p>
            <w:pPr>
              <w:spacing w:after="0"/>
              <w:rPr>
                <w:sz w:val="10"/>
                <w:szCs w:val="10"/>
                <w:color w:val="auto"/>
              </w:rPr>
            </w:pPr>
          </w:p>
        </w:tc>
        <w:tc>
          <w:tcPr>
            <w:tcW w:w="4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1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8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7"/>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8"/>
        </w:trPr>
        <w:tc>
          <w:tcPr>
            <w:tcW w:w="3880" w:type="dxa"/>
            <w:vAlign w:val="bottom"/>
            <w:shd w:val="clear" w:color="auto" w:fill="CCEEFF"/>
          </w:tcPr>
          <w:p>
            <w:pPr>
              <w:spacing w:after="0"/>
              <w:rPr>
                <w:sz w:val="10"/>
                <w:szCs w:val="10"/>
                <w:color w:val="auto"/>
              </w:rPr>
            </w:pPr>
          </w:p>
        </w:tc>
        <w:tc>
          <w:tcPr>
            <w:tcW w:w="4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51"/>
        </w:trPr>
        <w:tc>
          <w:tcPr>
            <w:tcW w:w="388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3"/>
        </w:trPr>
        <w:tc>
          <w:tcPr>
            <w:tcW w:w="8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34"/>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388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135" w:lineRule="exact"/>
        <w:rPr>
          <w:sz w:val="20"/>
          <w:szCs w:val="20"/>
          <w:color w:val="auto"/>
        </w:rPr>
      </w:pPr>
    </w:p>
    <w:p>
      <w:pPr>
        <w:ind w:left="340" w:right="40" w:hanging="332"/>
        <w:spacing w:after="0" w:line="218"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For the three months ended March 31, 2026 and 2025, “Interest expense, net” and “Other income, net” each include $23 million and $20 million, respectively, related to interest on such related party promissory notes. These amounts offset and do not impact Net Income or Non-GAAP metrics such as Adjusted EBITDA, Implied DCF and Adjusted Free Cash Flow.</w:t>
      </w:r>
    </w:p>
    <w:p>
      <w:pPr>
        <w:spacing w:after="0" w:line="1"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56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$171 and $328, respectively) </w:t>
            </w:r>
            <w:r>
              <w:rPr>
                <w:rFonts w:ascii="Times New Roman" w:cs="Times New Roman" w:eastAsia="Times New Roman" w:hAnsi="Times New Roman"/>
                <w:sz w:val="21"/>
                <w:szCs w:val="21"/>
                <w:color w:val="auto"/>
                <w:vertAlign w:val="superscript"/>
              </w:rPr>
              <w:t>(1)</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4"/>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6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07"/>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17,089</w:t>
            </w:r>
          </w:p>
        </w:tc>
      </w:tr>
      <w:tr>
        <w:trPr>
          <w:trHeight w:val="165"/>
        </w:trPr>
        <w:tc>
          <w:tcPr>
            <w:tcW w:w="6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w:t>
            </w:r>
          </w:p>
        </w:tc>
      </w:tr>
      <w:tr>
        <w:trPr>
          <w:trHeight w:val="235"/>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656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144"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current assets of discontinued operations of $602 million and $479 million as of March 31, 2026 and December 31, 2025, respectively.</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current liabilities of discontinued operations of $561 million and $382 million as of March 31, 2026 and December 31, 2025,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56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564</w:t>
            </w: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10,957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10,698</w:t>
            </w:r>
          </w:p>
        </w:tc>
      </w:tr>
      <w:tr>
        <w:trPr>
          <w:trHeight w:val="237"/>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10,698</w:t>
            </w: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9,601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9,836</w:t>
            </w:r>
          </w:p>
        </w:tc>
      </w:tr>
      <w:tr>
        <w:trPr>
          <w:trHeight w:val="237"/>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book capitalization excluding noncontrolling interests (“Total book capitalization”)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20,534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book capitalization, including short-term debt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20,979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21,098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65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debt-to-total book capitalization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debt-to-total book capitalization, including short-term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162"/>
        </w:trPr>
        <w:tc>
          <w:tcPr>
            <w:tcW w:w="6560" w:type="dxa"/>
            <w:vAlign w:val="bottom"/>
            <w:tcBorders>
              <w:bottom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1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ind w:left="5440" w:hanging="106"/>
        <w:spacing w:after="0"/>
        <w:tabs>
          <w:tab w:leader="none" w:pos="5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COMMON UNIT </w:t>
      </w:r>
      <w:r>
        <w:rPr>
          <w:rFonts w:ascii="Times New Roman" w:cs="Times New Roman" w:eastAsia="Times New Roman" w:hAnsi="Times New Roman"/>
          <w:sz w:val="18"/>
          <w:szCs w:val="18"/>
          <w:color w:val="auto"/>
        </w:rPr>
        <w:t>(in millions, except per unit data)</w:t>
      </w:r>
    </w:p>
    <w:p>
      <w:pPr>
        <w:spacing w:after="0" w:line="21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7"/>
        </w:trPr>
        <w:tc>
          <w:tcPr>
            <w:tcW w:w="38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from repurchase of Series A preferred units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72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Net income from continuing operations allocated to common unitholders - Basic and Diluted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3880" w:type="dxa"/>
            <w:vAlign w:val="bottom"/>
            <w:shd w:val="clear" w:color="auto" w:fill="CCEEFF"/>
          </w:tcPr>
          <w:p>
            <w:pPr>
              <w:spacing w:after="0"/>
              <w:rPr>
                <w:sz w:val="22"/>
                <w:szCs w:val="22"/>
                <w:color w:val="auto"/>
              </w:rPr>
            </w:pPr>
          </w:p>
        </w:tc>
        <w:tc>
          <w:tcPr>
            <w:tcW w:w="4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income/(loss) from discontinued operations allocated to common unitholders - Basic and Diluted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3880" w:type="dxa"/>
            <w:vAlign w:val="bottom"/>
            <w:tcBorders>
              <w:bottom w:val="single" w:sz="8" w:color="CCEEFF"/>
            </w:tcBorders>
          </w:tcPr>
          <w:p>
            <w:pPr>
              <w:spacing w:after="0"/>
              <w:rPr>
                <w:sz w:val="22"/>
                <w:szCs w:val="22"/>
                <w:color w:val="auto"/>
              </w:rPr>
            </w:pPr>
          </w:p>
        </w:tc>
        <w:tc>
          <w:tcPr>
            <w:tcW w:w="48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48"/>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7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(3) (4)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6"/>
        </w:trPr>
        <w:tc>
          <w:tcPr>
            <w:tcW w:w="38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3"/>
        </w:trPr>
        <w:tc>
          <w:tcPr>
            <w:tcW w:w="8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4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35" w:lineRule="exact"/>
        <w:rPr>
          <w:sz w:val="20"/>
          <w:szCs w:val="20"/>
          <w:color w:val="auto"/>
        </w:rPr>
      </w:pPr>
    </w:p>
    <w:p>
      <w:pPr>
        <w:ind w:left="340" w:right="20" w:hanging="332"/>
        <w:spacing w:after="0" w:line="239"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46" w:lineRule="exact"/>
        <w:rPr>
          <w:rFonts w:ascii="Times New Roman" w:cs="Times New Roman" w:eastAsia="Times New Roman" w:hAnsi="Times New Roman"/>
          <w:sz w:val="21"/>
          <w:szCs w:val="21"/>
          <w:color w:val="auto"/>
          <w:vertAlign w:val="superscript"/>
        </w:rPr>
      </w:pPr>
    </w:p>
    <w:p>
      <w:pPr>
        <w:ind w:left="340" w:right="50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income/(loss) from discontinued operations allocated to common unitholders is “Income/(loss) from discontinued operations, net of tax” as presented on our Condensed Consolidated Statements of Operations.</w:t>
      </w:r>
    </w:p>
    <w:p>
      <w:pPr>
        <w:spacing w:after="0" w:line="33" w:lineRule="exact"/>
        <w:rPr>
          <w:rFonts w:ascii="Times New Roman" w:cs="Times New Roman" w:eastAsia="Times New Roman" w:hAnsi="Times New Roman"/>
          <w:sz w:val="21"/>
          <w:szCs w:val="21"/>
          <w:color w:val="auto"/>
          <w:vertAlign w:val="superscript"/>
        </w:rPr>
      </w:pPr>
    </w:p>
    <w:p>
      <w:pPr>
        <w:ind w:left="340" w:right="120" w:hanging="332"/>
        <w:spacing w:after="0" w:line="232"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 per common unit from continuing operations for each of the three months ended March 31, 2026 and 2025 as the effect was antidilutive.</w:t>
      </w:r>
    </w:p>
    <w:p>
      <w:pPr>
        <w:spacing w:after="0" w:line="34" w:lineRule="exact"/>
        <w:rPr>
          <w:rFonts w:ascii="Times New Roman" w:cs="Times New Roman" w:eastAsia="Times New Roman" w:hAnsi="Times New Roman"/>
          <w:sz w:val="21"/>
          <w:szCs w:val="21"/>
          <w:color w:val="auto"/>
          <w:vertAlign w:val="superscript"/>
        </w:rPr>
      </w:pPr>
    </w:p>
    <w:p>
      <w:pPr>
        <w:ind w:left="340" w:right="120" w:hanging="332"/>
        <w:spacing w:after="0" w:line="229"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 on asset sales and other, net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7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8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70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6"/>
        </w:trPr>
        <w:tc>
          <w:tcPr>
            <w:tcW w:w="38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 - continuing operations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Plains entities have issued promissory notes by and among such entities to facilitate financing. For the three months ended March 31, 2025, “Net cash used in investing activities” includes a cash outflow of approximately $330 million associated with our investment in related party notes. An equal and offsetting cash inflow associated with our issuance of related party notes is included in “Net cash used in financing activities.”</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2025, includes a net cash outflow of $624 million for bolt-on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3"/>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w w:val="97"/>
              </w:rPr>
              <w:t xml:space="preserve">Net to PAA </w:t>
            </w:r>
            <w:r>
              <w:rPr>
                <w:rFonts w:ascii="Times New Roman" w:cs="Times New Roman" w:eastAsia="Times New Roman" w:hAnsi="Times New Roman"/>
                <w:sz w:val="18"/>
                <w:szCs w:val="18"/>
                <w:b w:val="1"/>
                <w:bCs w:val="1"/>
                <w:color w:val="auto"/>
                <w:w w:val="97"/>
                <w:vertAlign w:val="superscript"/>
              </w:rPr>
              <w:t>(2)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17"/>
                <w:szCs w:val="17"/>
                <w:color w:val="auto"/>
              </w:rPr>
            </w:pPr>
          </w:p>
        </w:tc>
      </w:tr>
      <w:tr>
        <w:trPr>
          <w:trHeight w:val="146"/>
        </w:trPr>
        <w:tc>
          <w:tcPr>
            <w:tcW w:w="3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20" w:type="dxa"/>
            <w:vAlign w:val="bottom"/>
            <w:gridSpan w:val="4"/>
          </w:tcPr>
          <w:p>
            <w:pPr>
              <w:jc w:val="center"/>
              <w:ind w:left="319"/>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4"/>
          </w:tcPr>
          <w:p>
            <w:pPr>
              <w:jc w:val="center"/>
              <w:ind w:right="173"/>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NGL </w:t>
            </w:r>
            <w:r>
              <w:rPr>
                <w:rFonts w:ascii="Times New Roman" w:cs="Times New Roman" w:eastAsia="Times New Roman" w:hAnsi="Times New Roman"/>
                <w:sz w:val="23"/>
                <w:szCs w:val="23"/>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6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Maintenance capital expenditures </w:t>
            </w:r>
            <w:r>
              <w:rPr>
                <w:rFonts w:ascii="Times New Roman" w:cs="Times New Roman" w:eastAsia="Times New Roman" w:hAnsi="Times New Roman"/>
                <w:sz w:val="23"/>
                <w:szCs w:val="23"/>
                <w:color w:val="auto"/>
                <w:vertAlign w:val="superscript"/>
              </w:rPr>
              <w:t>(4)</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and Maintenance capital expenditures</w:t>
            </w: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
        </w:trPr>
        <w:tc>
          <w:tcPr>
            <w:tcW w:w="3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“Discontinued Operations Detail” section for amounts attributable to discontinued operations.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Financial Data by NGL” section for amounts attributable to discontinued operations.</w:t>
      </w: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6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 (2)</w:t>
      </w:r>
      <w:r>
        <w:rPr>
          <w:rFonts w:ascii="Times New Roman" w:cs="Times New Roman" w:eastAsia="Times New Roman" w:hAnsi="Times New Roman"/>
          <w:sz w:val="18"/>
          <w:szCs w:val="18"/>
          <w:b w:val="1"/>
          <w:bCs w:val="1"/>
          <w:color w:val="auto"/>
        </w:rPr>
        <w:t>:</w:t>
      </w:r>
    </w:p>
    <w:p>
      <w:pPr>
        <w:spacing w:after="0" w:line="28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9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net income attributable to PAA </w:t>
            </w:r>
            <w:r>
              <w:rPr>
                <w:rFonts w:ascii="Times New Roman" w:cs="Times New Roman" w:eastAsia="Times New Roman" w:hAnsi="Times New Roman"/>
                <w:sz w:val="23"/>
                <w:szCs w:val="23"/>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Impact from repurchase of Series A preferred units</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3880" w:type="dxa"/>
            <w:vAlign w:val="bottom"/>
            <w:shd w:val="clear" w:color="auto" w:fill="CCEEFF"/>
          </w:tcPr>
          <w:p>
            <w:pPr>
              <w:spacing w:after="0"/>
              <w:rPr>
                <w:sz w:val="22"/>
                <w:szCs w:val="22"/>
                <w:color w:val="auto"/>
              </w:rPr>
            </w:pPr>
          </w:p>
        </w:tc>
        <w:tc>
          <w:tcPr>
            <w:tcW w:w="49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3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6" w:lineRule="exact"/>
        <w:rPr>
          <w:sz w:val="20"/>
          <w:szCs w:val="20"/>
          <w:color w:val="auto"/>
        </w:rPr>
      </w:pPr>
    </w:p>
    <w:p>
      <w:pPr>
        <w:ind w:left="340" w:right="160" w:hanging="332"/>
        <w:spacing w:after="0" w:line="233"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2"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ind w:left="340" w:right="260" w:hanging="332"/>
        <w:spacing w:after="0" w:line="212"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months ended March 31, 2026 and 2025 as the effect was antidilutive.</w:t>
      </w:r>
    </w:p>
    <w:p>
      <w:pPr>
        <w:spacing w:after="0" w:line="42" w:lineRule="exact"/>
        <w:rPr>
          <w:rFonts w:ascii="Times New Roman" w:cs="Times New Roman" w:eastAsia="Times New Roman" w:hAnsi="Times New Roman"/>
          <w:sz w:val="19"/>
          <w:szCs w:val="19"/>
          <w:color w:val="auto"/>
          <w:vertAlign w:val="superscript"/>
        </w:rPr>
      </w:pPr>
    </w:p>
    <w:p>
      <w:pPr>
        <w:ind w:left="340" w:right="100" w:hanging="332"/>
        <w:spacing w:after="0" w:line="239"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Adjusted Net Income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32"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0.49</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(0.10)</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5"/>
              </w:rPr>
              <w:t>0.39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9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89" w:lineRule="auto"/>
        <w:tabs>
          <w:tab w:leader="none" w:pos="32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and the “Computation of Basic and Diluted Net Income Per Common Unit” tables for additional information.</w:t>
      </w: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39"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8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Net Income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0" w:type="dxa"/>
            <w:vAlign w:val="bottom"/>
          </w:tcPr>
          <w:p>
            <w:pPr>
              <w:spacing w:after="0"/>
              <w:rPr>
                <w:sz w:val="1"/>
                <w:szCs w:val="1"/>
                <w:color w:val="auto"/>
              </w:rPr>
            </w:pPr>
          </w:p>
        </w:tc>
      </w:tr>
      <w:tr>
        <w:trPr>
          <w:trHeight w:val="203"/>
        </w:trPr>
        <w:tc>
          <w:tcPr>
            <w:tcW w:w="88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Interest expense, net of certain items </w:t>
            </w:r>
            <w:r>
              <w:rPr>
                <w:rFonts w:ascii="Times New Roman" w:cs="Times New Roman" w:eastAsia="Times New Roman" w:hAnsi="Times New Roman"/>
                <w:sz w:val="19"/>
                <w:szCs w:val="19"/>
                <w:color w:val="auto"/>
                <w:vertAlign w:val="superscript"/>
              </w:rPr>
              <w:t>(2)</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 expense from continuing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0"/>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Income tax expense from discontinued operations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continuing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200"/>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discontinued operations</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Gains on asset sales and other, net from continuing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0"/>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Losses on asset sales and other, net from discontinued operations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on investments in unconsolidated entities, net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2"/>
        </w:trPr>
        <w:tc>
          <w:tcPr>
            <w:tcW w:w="88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Depreciation and amortization of unconsolidated entities </w:t>
            </w:r>
            <w:r>
              <w:rPr>
                <w:rFonts w:ascii="Times New Roman" w:cs="Times New Roman" w:eastAsia="Times New Roman" w:hAnsi="Times New Roman"/>
                <w:sz w:val="19"/>
                <w:szCs w:val="19"/>
                <w:color w:val="auto"/>
                <w:vertAlign w:val="superscript"/>
              </w:rPr>
              <w:t>(3)</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EBITDA </w:t>
            </w:r>
            <w:r>
              <w:rPr>
                <w:rFonts w:ascii="Times New Roman" w:cs="Times New Roman" w:eastAsia="Times New Roman" w:hAnsi="Times New Roman"/>
                <w:sz w:val="19"/>
                <w:szCs w:val="19"/>
                <w:color w:val="auto"/>
                <w:vertAlign w:val="superscript"/>
              </w:rPr>
              <w:t>(1) (4)</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6"/>
        </w:trPr>
        <w:tc>
          <w:tcPr>
            <w:tcW w:w="88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96"/>
        </w:trPr>
        <w:tc>
          <w:tcPr>
            <w:tcW w:w="880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5"/>
                <w:szCs w:val="15"/>
                <w:color w:val="auto"/>
              </w:rPr>
              <w:t xml:space="preserve">Adjusted EBITDA attributable to PAA </w:t>
            </w:r>
            <w:r>
              <w:rPr>
                <w:rFonts w:ascii="Times New Roman" w:cs="Times New Roman" w:eastAsia="Times New Roman" w:hAnsi="Times New Roman"/>
                <w:sz w:val="19"/>
                <w:szCs w:val="19"/>
                <w:color w:val="auto"/>
                <w:vertAlign w:val="superscript"/>
              </w:rPr>
              <w:t>(1)</w:t>
            </w: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8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Interest expense, net of certain non-cash and other items </w:t>
            </w:r>
            <w:r>
              <w:rPr>
                <w:rFonts w:ascii="Times New Roman" w:cs="Times New Roman" w:eastAsia="Times New Roman" w:hAnsi="Times New Roman"/>
                <w:sz w:val="19"/>
                <w:szCs w:val="19"/>
                <w:color w:val="auto"/>
                <w:vertAlign w:val="superscript"/>
              </w:rPr>
              <w:t>(5)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0"/>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Maintenance capital from continuing operations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Maintenance capital from discontinued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3"/>
        </w:trPr>
        <w:tc>
          <w:tcPr>
            <w:tcW w:w="880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Investment capital of noncontrolling interests </w:t>
            </w:r>
            <w:r>
              <w:rPr>
                <w:rFonts w:ascii="Times New Roman" w:cs="Times New Roman" w:eastAsia="Times New Roman" w:hAnsi="Times New Roman"/>
                <w:sz w:val="19"/>
                <w:szCs w:val="19"/>
                <w:color w:val="auto"/>
                <w:vertAlign w:val="superscript"/>
              </w:rPr>
              <w:t>(6)</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49"/>
        </w:trPr>
        <w:tc>
          <w:tcPr>
            <w:tcW w:w="88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Current income tax expense from continuing operations, net of certain tax effects related to the pending Canadian NGL Business divestiture</w:t>
            </w:r>
          </w:p>
        </w:tc>
        <w:tc>
          <w:tcPr>
            <w:tcW w:w="2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(7)</w:t>
            </w:r>
          </w:p>
        </w:tc>
        <w:tc>
          <w:tcPr>
            <w:tcW w:w="49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Current income tax expense from discontinued operations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100"/>
              <w:spacing w:after="0" w:line="204" w:lineRule="exact"/>
              <w:rPr>
                <w:sz w:val="20"/>
                <w:szCs w:val="20"/>
                <w:color w:val="auto"/>
              </w:rPr>
            </w:pPr>
            <w:r>
              <w:rPr>
                <w:rFonts w:ascii="Times New Roman" w:cs="Times New Roman" w:eastAsia="Times New Roman" w:hAnsi="Times New Roman"/>
                <w:sz w:val="15"/>
                <w:szCs w:val="15"/>
                <w:color w:val="auto"/>
              </w:rPr>
              <w:t xml:space="preserve">Distributions from unconsolidated entities in excess of/(less than) adjusted equity earnings </w:t>
            </w:r>
            <w:r>
              <w:rPr>
                <w:rFonts w:ascii="Times New Roman" w:cs="Times New Roman" w:eastAsia="Times New Roman" w:hAnsi="Times New Roman"/>
                <w:sz w:val="19"/>
                <w:szCs w:val="19"/>
                <w:color w:val="auto"/>
                <w:vertAlign w:val="superscript"/>
              </w:rPr>
              <w:t>(8)</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3"/>
        </w:trPr>
        <w:tc>
          <w:tcPr>
            <w:tcW w:w="880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Distributions to noncontrolling interests </w:t>
            </w:r>
            <w:r>
              <w:rPr>
                <w:rFonts w:ascii="Times New Roman" w:cs="Times New Roman" w:eastAsia="Times New Roman" w:hAnsi="Times New Roman"/>
                <w:sz w:val="19"/>
                <w:szCs w:val="19"/>
                <w:color w:val="auto"/>
                <w:vertAlign w:val="superscript"/>
              </w:rPr>
              <w:t>(9)</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96"/>
        </w:trPr>
        <w:tc>
          <w:tcPr>
            <w:tcW w:w="88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Implied DCF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203"/>
        </w:trPr>
        <w:tc>
          <w:tcPr>
            <w:tcW w:w="880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5"/>
                <w:szCs w:val="15"/>
                <w:color w:val="auto"/>
              </w:rPr>
              <w:t xml:space="preserve">Preferred unit cash distributions paid </w:t>
            </w:r>
            <w:r>
              <w:rPr>
                <w:rFonts w:ascii="Times New Roman" w:cs="Times New Roman" w:eastAsia="Times New Roman" w:hAnsi="Times New Roman"/>
                <w:sz w:val="19"/>
                <w:szCs w:val="19"/>
                <w:color w:val="auto"/>
                <w:vertAlign w:val="superscript"/>
              </w:rPr>
              <w:t>(9)</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21"/>
        </w:trPr>
        <w:tc>
          <w:tcPr>
            <w:tcW w:w="8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Implied DCF Available to Common Unitholders </w:t>
            </w:r>
            <w:r>
              <w:rPr>
                <w:rFonts w:ascii="Times New Roman" w:cs="Times New Roman" w:eastAsia="Times New Roman" w:hAnsi="Times New Roman"/>
                <w:sz w:val="19"/>
                <w:szCs w:val="19"/>
                <w:color w:val="auto"/>
                <w:vertAlign w:val="superscript"/>
              </w:rPr>
              <w:t>(1)</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Weighted Average Common Units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Units and Common Unit Equivalents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203"/>
        </w:trPr>
        <w:tc>
          <w:tcPr>
            <w:tcW w:w="88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Implied DCF per Common Unit </w:t>
            </w:r>
            <w:r>
              <w:rPr>
                <w:rFonts w:ascii="Times New Roman" w:cs="Times New Roman" w:eastAsia="Times New Roman" w:hAnsi="Times New Roman"/>
                <w:sz w:val="19"/>
                <w:szCs w:val="19"/>
                <w:color w:val="auto"/>
                <w:vertAlign w:val="superscript"/>
              </w:rPr>
              <w:t>(1) (10)</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Implied DCF per Common Unit and Common Unit Equivalent </w:t>
            </w:r>
            <w:r>
              <w:rPr>
                <w:rFonts w:ascii="Times New Roman" w:cs="Times New Roman" w:eastAsia="Times New Roman" w:hAnsi="Times New Roman"/>
                <w:sz w:val="19"/>
                <w:szCs w:val="19"/>
                <w:color w:val="auto"/>
                <w:vertAlign w:val="superscript"/>
              </w:rPr>
              <w:t>(1) (11)</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0" w:type="dxa"/>
            <w:vAlign w:val="bottom"/>
          </w:tcPr>
          <w:p>
            <w:pPr>
              <w:spacing w:after="0"/>
              <w:rPr>
                <w:sz w:val="1"/>
                <w:szCs w:val="1"/>
                <w:color w:val="auto"/>
              </w:rPr>
            </w:pPr>
          </w:p>
        </w:tc>
      </w:tr>
      <w:tr>
        <w:trPr>
          <w:trHeight w:val="20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Distribution Paid per Common Unit</w:t>
            </w: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0.4175</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0.3800</w:t>
            </w:r>
          </w:p>
        </w:tc>
        <w:tc>
          <w:tcPr>
            <w:tcW w:w="0" w:type="dxa"/>
            <w:vAlign w:val="bottom"/>
          </w:tcPr>
          <w:p>
            <w:pPr>
              <w:spacing w:after="0"/>
              <w:rPr>
                <w:sz w:val="1"/>
                <w:szCs w:val="1"/>
                <w:color w:val="auto"/>
              </w:rPr>
            </w:pPr>
          </w:p>
        </w:tc>
      </w:tr>
      <w:tr>
        <w:trPr>
          <w:trHeight w:val="205"/>
        </w:trPr>
        <w:tc>
          <w:tcPr>
            <w:tcW w:w="880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 xml:space="preserve">Common Unit Cash Distributions </w:t>
            </w:r>
            <w:r>
              <w:rPr>
                <w:rFonts w:ascii="Times New Roman" w:cs="Times New Roman" w:eastAsia="Times New Roman" w:hAnsi="Times New Roman"/>
                <w:sz w:val="19"/>
                <w:szCs w:val="19"/>
                <w:color w:val="auto"/>
                <w:vertAlign w:val="superscript"/>
              </w:rPr>
              <w:t>(9)</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203"/>
        </w:trPr>
        <w:tc>
          <w:tcPr>
            <w:tcW w:w="88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Common Unit Distribution Coverage Ratio </w:t>
            </w:r>
            <w:r>
              <w:rPr>
                <w:rFonts w:ascii="Times New Roman" w:cs="Times New Roman" w:eastAsia="Times New Roman" w:hAnsi="Times New Roman"/>
                <w:sz w:val="19"/>
                <w:szCs w:val="19"/>
                <w:color w:val="auto"/>
                <w:vertAlign w:val="superscript"/>
              </w:rPr>
              <w:t>(1)</w:t>
            </w:r>
          </w:p>
        </w:tc>
        <w:tc>
          <w:tcPr>
            <w:tcW w:w="280" w:type="dxa"/>
            <w:vAlign w:val="bottom"/>
          </w:tcPr>
          <w:p>
            <w:pPr>
              <w:spacing w:after="0"/>
              <w:rPr>
                <w:sz w:val="17"/>
                <w:szCs w:val="17"/>
                <w:color w:val="auto"/>
              </w:rPr>
            </w:pPr>
          </w:p>
        </w:tc>
        <w:tc>
          <w:tcPr>
            <w:tcW w:w="98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1.46x</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1.73x</w:t>
            </w: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Implied DCF Excess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49" w:lineRule="exact"/>
        <w:rPr>
          <w:rFonts w:ascii="Times New Roman" w:cs="Times New Roman" w:eastAsia="Times New Roman" w:hAnsi="Times New Roman"/>
          <w:sz w:val="17"/>
          <w:szCs w:val="17"/>
          <w:color w:val="auto"/>
          <w:vertAlign w:val="superscript"/>
        </w:rPr>
      </w:pPr>
    </w:p>
    <w:p>
      <w:pPr>
        <w:ind w:left="320" w:hanging="312"/>
        <w:spacing w:after="0" w:line="188" w:lineRule="auto"/>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certain Plains entities.</w:t>
      </w:r>
    </w:p>
    <w:p>
      <w:pPr>
        <w:spacing w:after="0" w:line="58" w:lineRule="exact"/>
        <w:rPr>
          <w:rFonts w:ascii="Times New Roman" w:cs="Times New Roman" w:eastAsia="Times New Roman" w:hAnsi="Times New Roman"/>
          <w:sz w:val="17"/>
          <w:szCs w:val="17"/>
          <w:color w:val="auto"/>
          <w:vertAlign w:val="superscript"/>
        </w:rPr>
      </w:pPr>
    </w:p>
    <w:p>
      <w:pPr>
        <w:ind w:left="320" w:hanging="312"/>
        <w:spacing w:after="0" w:line="193" w:lineRule="auto"/>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58" w:lineRule="exact"/>
        <w:rPr>
          <w:rFonts w:ascii="Times New Roman" w:cs="Times New Roman" w:eastAsia="Times New Roman" w:hAnsi="Times New Roman"/>
          <w:sz w:val="17"/>
          <w:szCs w:val="17"/>
          <w:color w:val="auto"/>
          <w:vertAlign w:val="superscript"/>
        </w:rPr>
      </w:pPr>
    </w:p>
    <w:p>
      <w:pPr>
        <w:ind w:left="320" w:hanging="312"/>
        <w:spacing w:after="0" w:line="193" w:lineRule="auto"/>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45" w:lineRule="exact"/>
        <w:rPr>
          <w:rFonts w:ascii="Times New Roman" w:cs="Times New Roman" w:eastAsia="Times New Roman" w:hAnsi="Times New Roman"/>
          <w:sz w:val="17"/>
          <w:szCs w:val="17"/>
          <w:color w:val="auto"/>
          <w:vertAlign w:val="superscript"/>
        </w:rPr>
      </w:pPr>
    </w:p>
    <w:p>
      <w:pPr>
        <w:ind w:left="340" w:right="100" w:hanging="332"/>
        <w:spacing w:after="0" w:line="222"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7"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58" w:lineRule="exact"/>
        <w:rPr>
          <w:rFonts w:ascii="Times New Roman" w:cs="Times New Roman" w:eastAsia="Times New Roman" w:hAnsi="Times New Roman"/>
          <w:sz w:val="17"/>
          <w:szCs w:val="17"/>
          <w:color w:val="auto"/>
          <w:vertAlign w:val="superscript"/>
        </w:rPr>
      </w:pPr>
    </w:p>
    <w:p>
      <w:pPr>
        <w:ind w:left="340" w:right="460" w:hanging="332"/>
        <w:spacing w:after="0" w:line="213"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March 31, 2026, excludes approximately $216 million of current income tax expense associated with the tax impact of certain planning and restructuring activities within our organizational structure in connection with the pending Canadian NGL Business divestiture that had income tax consequences that were recorded during the first quarter of 2026.</w:t>
      </w:r>
    </w:p>
    <w:p>
      <w:pPr>
        <w:spacing w:after="0" w:line="48" w:lineRule="exact"/>
        <w:rPr>
          <w:rFonts w:ascii="Times New Roman" w:cs="Times New Roman" w:eastAsia="Times New Roman" w:hAnsi="Times New Roman"/>
          <w:sz w:val="17"/>
          <w:szCs w:val="17"/>
          <w:color w:val="auto"/>
          <w:vertAlign w:val="superscript"/>
        </w:rPr>
      </w:pPr>
    </w:p>
    <w:p>
      <w:pPr>
        <w:ind w:left="340" w:right="340" w:hanging="332"/>
        <w:spacing w:after="0" w:line="219" w:lineRule="auto"/>
        <w:tabs>
          <w:tab w:leader="none" w:pos="33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21"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4" w:lineRule="exact"/>
        <w:rPr>
          <w:rFonts w:ascii="Times New Roman" w:cs="Times New Roman" w:eastAsia="Times New Roman" w:hAnsi="Times New Roman"/>
          <w:sz w:val="17"/>
          <w:szCs w:val="17"/>
          <w:color w:val="auto"/>
          <w:vertAlign w:val="superscript"/>
        </w:rPr>
      </w:pPr>
    </w:p>
    <w:p>
      <w:pPr>
        <w:ind w:left="320" w:hanging="312"/>
        <w:spacing w:after="0" w:line="193" w:lineRule="auto"/>
        <w:tabs>
          <w:tab w:leader="none" w:pos="3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58" w:lineRule="exact"/>
        <w:rPr>
          <w:rFonts w:ascii="Times New Roman" w:cs="Times New Roman" w:eastAsia="Times New Roman" w:hAnsi="Times New Roman"/>
          <w:sz w:val="17"/>
          <w:szCs w:val="17"/>
          <w:color w:val="auto"/>
          <w:vertAlign w:val="superscript"/>
        </w:rPr>
      </w:pPr>
    </w:p>
    <w:p>
      <w:pPr>
        <w:ind w:left="340" w:right="260" w:hanging="332"/>
        <w:spacing w:after="0" w:line="209" w:lineRule="auto"/>
        <w:tabs>
          <w:tab w:leader="none" w:pos="328"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Times New Roman" w:cs="Times New Roman" w:eastAsia="Times New Roman" w:hAnsi="Times New Roman"/>
          <w:sz w:val="17"/>
          <w:szCs w:val="17"/>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9"/>
        </w:trPr>
        <w:tc>
          <w:tcPr>
            <w:tcW w:w="86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(2)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9"/>
        </w:trPr>
        <w:tc>
          <w:tcPr>
            <w:tcW w:w="86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(2) (4)</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00"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440" w:hanging="332"/>
        <w:spacing w:after="0" w:line="21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35" w:lineRule="exact"/>
        <w:rPr>
          <w:rFonts w:ascii="Times New Roman" w:cs="Times New Roman" w:eastAsia="Times New Roman" w:hAnsi="Times New Roman"/>
          <w:sz w:val="23"/>
          <w:szCs w:val="23"/>
          <w:color w:val="auto"/>
          <w:vertAlign w:val="superscript"/>
        </w:rPr>
      </w:pPr>
    </w:p>
    <w:p>
      <w:pPr>
        <w:ind w:left="340" w:right="66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three months ended March 31, 2026 and 2025 of 706 million and 704 million, respectively.</w:t>
      </w:r>
    </w:p>
    <w:p>
      <w:pPr>
        <w:spacing w:after="0" w:line="36" w:lineRule="exact"/>
        <w:rPr>
          <w:rFonts w:ascii="Times New Roman" w:cs="Times New Roman" w:eastAsia="Times New Roman" w:hAnsi="Times New Roman"/>
          <w:sz w:val="23"/>
          <w:szCs w:val="23"/>
          <w:color w:val="auto"/>
          <w:vertAlign w:val="superscript"/>
        </w:rPr>
      </w:pPr>
    </w:p>
    <w:p>
      <w:pPr>
        <w:ind w:left="340" w:right="340" w:hanging="332"/>
        <w:spacing w:after="0" w:line="20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as well as weighted average Series A preferred units outstanding for three months ended March 31, 2026 and 2025 of 58 million and 63 million, respectively.</w:t>
      </w:r>
    </w:p>
    <w:p>
      <w:pPr>
        <w:ind w:left="5440" w:hanging="106"/>
        <w:spacing w:after="0"/>
        <w:tabs>
          <w:tab w:leader="none" w:pos="5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64"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to Non-GAAP Financial Liquidity Measures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2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(2) (3)</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(4)</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87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8"/>
        </w:trPr>
        <w:tc>
          <w:tcPr>
            <w:tcW w:w="878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(5)</w:t>
            </w:r>
          </w:p>
        </w:tc>
        <w:tc>
          <w:tcPr>
            <w:tcW w:w="740" w:type="dxa"/>
            <w:vAlign w:val="bottom"/>
            <w:tcBorders>
              <w:top w:val="single" w:sz="8" w:color="auto"/>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8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(5) (7)</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6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49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(5)</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(8)</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(9)</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8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(Excluding Changes in Assets &amp; Liabilities) </w:t>
            </w:r>
            <w:r>
              <w:rPr>
                <w:rFonts w:ascii="Times New Roman" w:cs="Times New Roman" w:eastAsia="Times New Roman" w:hAnsi="Times New Roman"/>
                <w:sz w:val="23"/>
                <w:szCs w:val="23"/>
                <w:color w:val="auto"/>
                <w:vertAlign w:val="superscript"/>
              </w:rPr>
              <w:t>(9)</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50" w:lineRule="exact"/>
        <w:rPr>
          <w:rFonts w:ascii="Times New Roman" w:cs="Times New Roman" w:eastAsia="Times New Roman" w:hAnsi="Times New Roman"/>
          <w:sz w:val="21"/>
          <w:szCs w:val="21"/>
          <w:color w:val="auto"/>
          <w:vertAlign w:val="superscript"/>
        </w:rPr>
      </w:pPr>
    </w:p>
    <w:p>
      <w:pPr>
        <w:ind w:left="340" w:right="80" w:hanging="332"/>
        <w:spacing w:after="0" w:line="222"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2025, includes a net cash outflow of $624 million for bolt-on acquisitions.</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9"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50" w:lineRule="exact"/>
        <w:rPr>
          <w:rFonts w:ascii="Times New Roman" w:cs="Times New Roman" w:eastAsia="Times New Roman" w:hAnsi="Times New Roman"/>
          <w:sz w:val="21"/>
          <w:szCs w:val="21"/>
          <w:color w:val="auto"/>
          <w:vertAlign w:val="superscript"/>
        </w:rPr>
      </w:pPr>
    </w:p>
    <w:p>
      <w:pPr>
        <w:ind w:left="340" w:right="180" w:hanging="332"/>
        <w:spacing w:after="0" w:line="229"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48" w:lineRule="exact"/>
        <w:rPr>
          <w:rFonts w:ascii="Times New Roman" w:cs="Times New Roman" w:eastAsia="Times New Roman" w:hAnsi="Times New Roman"/>
          <w:sz w:val="21"/>
          <w:szCs w:val="21"/>
          <w:color w:val="auto"/>
          <w:vertAlign w:val="superscript"/>
        </w:rPr>
      </w:pPr>
    </w:p>
    <w:p>
      <w:pPr>
        <w:ind w:left="340" w:right="140" w:hanging="332"/>
        <w:spacing w:after="0" w:line="225"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income tax impacts related to the pending Canadian NGL Business divestiture. See the “Condensed Consolidated Cash Flow Data” table for information regarding changes in assets and liabilities.</w:t>
      </w:r>
    </w:p>
    <w:p>
      <w:pPr>
        <w:spacing w:after="0" w:line="33" w:lineRule="exact"/>
        <w:rPr>
          <w:rFonts w:ascii="Times New Roman" w:cs="Times New Roman" w:eastAsia="Times New Roman" w:hAnsi="Times New Roman"/>
          <w:sz w:val="21"/>
          <w:szCs w:val="21"/>
          <w:color w:val="auto"/>
          <w:vertAlign w:val="superscript"/>
        </w:rPr>
      </w:pPr>
    </w:p>
    <w:p>
      <w:pPr>
        <w:jc w:val="both"/>
        <w:ind w:left="340" w:right="320" w:hanging="332"/>
        <w:spacing w:after="0" w:line="224" w:lineRule="auto"/>
        <w:tabs>
          <w:tab w:leader="none" w:pos="3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7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5"/>
                <w:szCs w:val="15"/>
                <w:b w:val="1"/>
                <w:bCs w:val="1"/>
                <w:color w:val="auto"/>
              </w:rPr>
              <w:t xml:space="preserve">Selected Items Impacting Comparability: </w:t>
            </w:r>
            <w:r>
              <w:rPr>
                <w:rFonts w:ascii="Times New Roman" w:cs="Times New Roman" w:eastAsia="Times New Roman" w:hAnsi="Times New Roman"/>
                <w:sz w:val="19"/>
                <w:szCs w:val="19"/>
                <w:b w:val="1"/>
                <w:bCs w:val="1"/>
                <w:color w:val="auto"/>
                <w:vertAlign w:val="superscript"/>
              </w:rPr>
              <w:t>(1) (2)</w:t>
            </w: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3"/>
        </w:trPr>
        <w:tc>
          <w:tcPr>
            <w:tcW w:w="8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Derivative activities and inventory valuation adjustments </w:t>
            </w:r>
            <w:r>
              <w:rPr>
                <w:rFonts w:ascii="Times New Roman" w:cs="Times New Roman" w:eastAsia="Times New Roman" w:hAnsi="Times New Roman"/>
                <w:sz w:val="19"/>
                <w:szCs w:val="19"/>
                <w:color w:val="auto"/>
                <w:vertAlign w:val="superscript"/>
              </w:rPr>
              <w:t>(3)</w:t>
            </w:r>
          </w:p>
        </w:tc>
        <w:tc>
          <w:tcPr>
            <w:tcW w:w="780" w:type="dxa"/>
            <w:vAlign w:val="bottom"/>
          </w:tcPr>
          <w:p>
            <w:pPr>
              <w:jc w:val="right"/>
              <w:ind w:right="60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3"/>
        </w:trPr>
        <w:tc>
          <w:tcPr>
            <w:tcW w:w="878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Long-term inventory costing adjustments </w:t>
            </w:r>
            <w:r>
              <w:rPr>
                <w:rFonts w:ascii="Times New Roman" w:cs="Times New Roman" w:eastAsia="Times New Roman" w:hAnsi="Times New Roman"/>
                <w:sz w:val="19"/>
                <w:szCs w:val="19"/>
                <w:color w:val="auto"/>
                <w:vertAlign w:val="superscript"/>
              </w:rPr>
              <w:t>(4)</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3"/>
        </w:trPr>
        <w:tc>
          <w:tcPr>
            <w:tcW w:w="8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Deficiencies under minimum volume commitments, net </w:t>
            </w:r>
            <w:r>
              <w:rPr>
                <w:rFonts w:ascii="Times New Roman" w:cs="Times New Roman" w:eastAsia="Times New Roman" w:hAnsi="Times New Roman"/>
                <w:sz w:val="19"/>
                <w:szCs w:val="19"/>
                <w:color w:val="auto"/>
                <w:vertAlign w:val="superscript"/>
              </w:rPr>
              <w:t>(5)</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3"/>
        </w:trPr>
        <w:tc>
          <w:tcPr>
            <w:tcW w:w="878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Rail fleet amortization expense related to discontinued operations </w:t>
            </w:r>
            <w:r>
              <w:rPr>
                <w:rFonts w:ascii="Times New Roman" w:cs="Times New Roman" w:eastAsia="Times New Roman" w:hAnsi="Times New Roman"/>
                <w:sz w:val="19"/>
                <w:szCs w:val="19"/>
                <w:color w:val="auto"/>
                <w:vertAlign w:val="superscript"/>
              </w:rPr>
              <w:t>(6)</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Equity-indexed compensation expense </w:t>
            </w:r>
            <w:r>
              <w:rPr>
                <w:rFonts w:ascii="Times New Roman" w:cs="Times New Roman" w:eastAsia="Times New Roman" w:hAnsi="Times New Roman"/>
                <w:sz w:val="19"/>
                <w:szCs w:val="19"/>
                <w:color w:val="auto"/>
                <w:vertAlign w:val="superscript"/>
              </w:rPr>
              <w:t>(7)</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3"/>
        </w:trPr>
        <w:tc>
          <w:tcPr>
            <w:tcW w:w="878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Foreign currency revaluation </w:t>
            </w:r>
            <w:r>
              <w:rPr>
                <w:rFonts w:ascii="Times New Roman" w:cs="Times New Roman" w:eastAsia="Times New Roman" w:hAnsi="Times New Roman"/>
                <w:sz w:val="19"/>
                <w:szCs w:val="19"/>
                <w:color w:val="auto"/>
                <w:vertAlign w:val="superscript"/>
              </w:rPr>
              <w:t>(8)</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Contingent consideration fair value adjustment </w:t>
            </w:r>
            <w:r>
              <w:rPr>
                <w:rFonts w:ascii="Times New Roman" w:cs="Times New Roman" w:eastAsia="Times New Roman" w:hAnsi="Times New Roman"/>
                <w:sz w:val="19"/>
                <w:szCs w:val="19"/>
                <w:color w:val="auto"/>
                <w:vertAlign w:val="superscript"/>
              </w:rPr>
              <w:t>(9)</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78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Transaction-related expenses </w:t>
            </w:r>
            <w:r>
              <w:rPr>
                <w:rFonts w:ascii="Times New Roman" w:cs="Times New Roman" w:eastAsia="Times New Roman" w:hAnsi="Times New Roman"/>
                <w:sz w:val="19"/>
                <w:szCs w:val="19"/>
                <w:color w:val="auto"/>
                <w:vertAlign w:val="superscript"/>
              </w:rPr>
              <w:t>(10)</w:t>
            </w: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94"/>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Selected items impacting comparability - Adjusted EBITDA</w:t>
            </w:r>
          </w:p>
        </w:tc>
        <w:tc>
          <w:tcPr>
            <w:tcW w:w="780" w:type="dxa"/>
            <w:vAlign w:val="bottom"/>
            <w:tcBorders>
              <w:top w:val="single" w:sz="8" w:color="auto"/>
            </w:tcBorders>
          </w:tcPr>
          <w:p>
            <w:pPr>
              <w:jc w:val="right"/>
              <w:ind w:right="60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5"/>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investments in unconsolidated entities, net</w:t>
            </w: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Gains on asset sales and other, net</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5"/>
        </w:trPr>
        <w:tc>
          <w:tcPr>
            <w:tcW w:w="878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 xml:space="preserve">Current income tax expense related to pending Canadian NGL Business divestiture </w:t>
            </w:r>
            <w:r>
              <w:rPr>
                <w:rFonts w:ascii="Times New Roman" w:cs="Times New Roman" w:eastAsia="Times New Roman" w:hAnsi="Times New Roman"/>
                <w:sz w:val="19"/>
                <w:szCs w:val="19"/>
                <w:color w:val="auto"/>
                <w:vertAlign w:val="superscript"/>
              </w:rPr>
              <w:t>(11)</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Deferred income tax benefit related to pending Canadian NGL Business divestiture </w:t>
            </w:r>
            <w:r>
              <w:rPr>
                <w:rFonts w:ascii="Times New Roman" w:cs="Times New Roman" w:eastAsia="Times New Roman" w:hAnsi="Times New Roman"/>
                <w:sz w:val="19"/>
                <w:szCs w:val="19"/>
                <w:color w:val="auto"/>
                <w:vertAlign w:val="superscript"/>
              </w:rPr>
              <w:t>(11)</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on selected items impacting comparability</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0"/>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Aggregate selected items impacting noncontrolling interests</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23"/>
        </w:trPr>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Selected items impacting comparability - Adjusted net income attributable to PAA</w:t>
            </w:r>
          </w:p>
        </w:tc>
        <w:tc>
          <w:tcPr>
            <w:tcW w:w="78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0" w:lineRule="exact"/>
        <w:rPr>
          <w:sz w:val="20"/>
          <w:szCs w:val="20"/>
          <w:color w:val="auto"/>
        </w:rPr>
      </w:pPr>
    </w:p>
    <w:p>
      <w:pPr>
        <w:ind w:left="340" w:right="680" w:hanging="332"/>
        <w:spacing w:after="0" w:line="243" w:lineRule="auto"/>
        <w:tabs>
          <w:tab w:leader="none" w:pos="327"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6" w:lineRule="exact"/>
        <w:rPr>
          <w:rFonts w:ascii="Times New Roman" w:cs="Times New Roman" w:eastAsia="Times New Roman" w:hAnsi="Times New Roman"/>
          <w:sz w:val="15"/>
          <w:szCs w:val="15"/>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54" w:lineRule="exact"/>
        <w:rPr>
          <w:rFonts w:ascii="Times New Roman" w:cs="Times New Roman" w:eastAsia="Times New Roman" w:hAnsi="Times New Roman"/>
          <w:sz w:val="16"/>
          <w:szCs w:val="16"/>
          <w:color w:val="auto"/>
          <w:vertAlign w:val="superscript"/>
        </w:rPr>
      </w:pPr>
    </w:p>
    <w:p>
      <w:pPr>
        <w:ind w:left="340" w:right="80" w:hanging="332"/>
        <w:spacing w:after="0" w:line="231"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40" w:lineRule="exact"/>
        <w:rPr>
          <w:rFonts w:ascii="Times New Roman" w:cs="Times New Roman" w:eastAsia="Times New Roman" w:hAnsi="Times New Roman"/>
          <w:sz w:val="16"/>
          <w:szCs w:val="16"/>
          <w:color w:val="auto"/>
          <w:vertAlign w:val="superscript"/>
        </w:rPr>
      </w:pPr>
    </w:p>
    <w:p>
      <w:pPr>
        <w:ind w:left="340" w:right="80" w:hanging="332"/>
        <w:spacing w:after="0" w:line="236"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9" w:lineRule="exact"/>
        <w:rPr>
          <w:rFonts w:ascii="Times New Roman" w:cs="Times New Roman" w:eastAsia="Times New Roman" w:hAnsi="Times New Roman"/>
          <w:sz w:val="16"/>
          <w:szCs w:val="16"/>
          <w:color w:val="auto"/>
          <w:vertAlign w:val="superscript"/>
        </w:rPr>
      </w:pPr>
    </w:p>
    <w:p>
      <w:pPr>
        <w:ind w:left="340" w:hanging="332"/>
        <w:spacing w:after="0"/>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8" w:lineRule="exact"/>
        <w:rPr>
          <w:rFonts w:ascii="Times New Roman" w:cs="Times New Roman" w:eastAsia="Times New Roman" w:hAnsi="Times New Roman"/>
          <w:sz w:val="16"/>
          <w:szCs w:val="16"/>
          <w:color w:val="auto"/>
          <w:vertAlign w:val="superscript"/>
        </w:rPr>
      </w:pPr>
    </w:p>
    <w:p>
      <w:pPr>
        <w:ind w:left="340" w:hanging="332"/>
        <w:spacing w:after="0" w:line="231"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39" w:lineRule="exact"/>
        <w:rPr>
          <w:rFonts w:ascii="Times New Roman" w:cs="Times New Roman" w:eastAsia="Times New Roman" w:hAnsi="Times New Roman"/>
          <w:sz w:val="16"/>
          <w:szCs w:val="16"/>
          <w:color w:val="auto"/>
          <w:vertAlign w:val="superscript"/>
        </w:rPr>
      </w:pPr>
    </w:p>
    <w:p>
      <w:pPr>
        <w:ind w:left="340" w:right="80" w:hanging="332"/>
        <w:spacing w:after="0" w:line="236"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9" w:lineRule="exact"/>
        <w:rPr>
          <w:rFonts w:ascii="Times New Roman" w:cs="Times New Roman" w:eastAsia="Times New Roman" w:hAnsi="Times New Roman"/>
          <w:sz w:val="16"/>
          <w:szCs w:val="16"/>
          <w:color w:val="auto"/>
          <w:vertAlign w:val="superscript"/>
        </w:rPr>
      </w:pPr>
    </w:p>
    <w:p>
      <w:pPr>
        <w:ind w:left="340" w:right="280" w:hanging="332"/>
        <w:spacing w:after="0" w:line="235"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0" w:lineRule="exact"/>
        <w:rPr>
          <w:rFonts w:ascii="Times New Roman" w:cs="Times New Roman" w:eastAsia="Times New Roman" w:hAnsi="Times New Roman"/>
          <w:sz w:val="16"/>
          <w:szCs w:val="16"/>
          <w:color w:val="auto"/>
          <w:vertAlign w:val="superscript"/>
        </w:rPr>
      </w:pPr>
    </w:p>
    <w:p>
      <w:pPr>
        <w:ind w:left="340" w:right="40" w:hanging="332"/>
        <w:spacing w:after="0" w:line="225" w:lineRule="auto"/>
        <w:tabs>
          <w:tab w:leader="none" w:pos="327"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agreed to potential earnout payments associated with recently completed acquisitions, primarily our Cactus III acquisition. We consider the non-cash change in the estimated fair value of such earnout payments as a selected item impacting comparability.</w:t>
      </w:r>
    </w:p>
    <w:p>
      <w:pPr>
        <w:spacing w:after="0" w:line="18"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Primarily related to deal-specific costs incurred during the period.</w:t>
      </w:r>
    </w:p>
    <w:p>
      <w:pPr>
        <w:spacing w:after="0" w:line="52" w:lineRule="exact"/>
        <w:rPr>
          <w:rFonts w:ascii="Times New Roman" w:cs="Times New Roman" w:eastAsia="Times New Roman" w:hAnsi="Times New Roman"/>
          <w:sz w:val="16"/>
          <w:szCs w:val="16"/>
          <w:color w:val="auto"/>
          <w:vertAlign w:val="superscript"/>
        </w:rPr>
      </w:pPr>
    </w:p>
    <w:p>
      <w:pPr>
        <w:ind w:left="340" w:right="300" w:hanging="332"/>
        <w:spacing w:after="0" w:line="213" w:lineRule="auto"/>
        <w:tabs>
          <w:tab w:leader="none" w:pos="324"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 connection with the pending Canadian NGL Business divestiture, we have continued to progress certain planning and restructuring activities within our organizational structure. Certain of these activities had income tax consequences that required recognition during the first quarter of 2026. We consider the impacts related to the pending Canadian NGL Business divestiture as a selected item impacting comparability.</w:t>
      </w:r>
    </w:p>
    <w:p>
      <w:pPr>
        <w:ind w:left="5440" w:hanging="106"/>
        <w:spacing w:after="0"/>
        <w:tabs>
          <w:tab w:leader="none" w:pos="5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CRUDE OIL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Crude Oil Segment Adjusted EBITDA / Adjusted EBITDA from Crude Oil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 maintenance capital expenditures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ind w:left="340" w:right="100" w:hanging="332"/>
        <w:spacing w:after="0" w:line="229"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209"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NGL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7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NGL Segment Adjusted EBITDA </w:t>
            </w:r>
            <w:r>
              <w:rPr>
                <w:rFonts w:ascii="Times New Roman" w:cs="Times New Roman" w:eastAsia="Times New Roman" w:hAnsi="Times New Roman"/>
                <w:sz w:val="23"/>
                <w:szCs w:val="23"/>
                <w:color w:val="auto"/>
                <w:vertAlign w:val="superscript"/>
              </w:rPr>
              <w:t>(4)</w:t>
            </w:r>
          </w:p>
        </w:tc>
        <w:tc>
          <w:tcPr>
            <w:tcW w:w="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8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(5)</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NGL</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continuing operations</w:t>
            </w:r>
          </w:p>
        </w:tc>
        <w:tc>
          <w:tcPr>
            <w:tcW w:w="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discontinued operations</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maintenance capital expenditures</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55" w:lineRule="exact"/>
        <w:rPr>
          <w:rFonts w:ascii="Times New Roman" w:cs="Times New Roman" w:eastAsia="Times New Roman" w:hAnsi="Times New Roman"/>
          <w:sz w:val="23"/>
          <w:szCs w:val="23"/>
          <w:color w:val="auto"/>
          <w:vertAlign w:val="superscript"/>
        </w:rPr>
      </w:pPr>
    </w:p>
    <w:p>
      <w:pPr>
        <w:ind w:left="340" w:right="360" w:hanging="332"/>
        <w:spacing w:after="0" w:line="21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5"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excludes amounts related to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120" w:hanging="332"/>
        <w:spacing w:after="0" w:line="21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184"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 DETAIL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Income/(Loss) from Discontinued Operations, Net of Tax:</w:t>
      </w:r>
    </w:p>
    <w:p>
      <w:pPr>
        <w:spacing w:after="0" w:line="14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asset sales and other, net</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from discontinued operations before tax</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from NGL Discontinued Operations:</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8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from discontinued operations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on asset sales and other, net from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attributable to discontinued operations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Rail fleet amortization expense related to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 EBITDA from NGL Discontinued Operations</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from NGL Discontinued Operations:</w:t>
      </w:r>
    </w:p>
    <w:p>
      <w:pPr>
        <w:spacing w:after="0" w:line="14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investment capital expenditures from discontinued operations</w:t>
            </w: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more -</w:t>
            </w:r>
          </w:p>
        </w:tc>
        <w:tc>
          <w:tcPr>
            <w:tcW w:w="1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35"/>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2"/>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2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26"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bottom w:val="single" w:sz="8" w:color="CCEEFF"/>
            </w:tcBorders>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pipeline tariff (by region)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29"/>
        </w:trPr>
        <w:tc>
          <w:tcPr>
            <w:tcW w:w="878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878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878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878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8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3"/>
        </w:trPr>
        <w:tc>
          <w:tcPr>
            <w:tcW w:w="878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r>
      <w:tr>
        <w:trPr>
          <w:trHeight w:val="216"/>
        </w:trPr>
        <w:tc>
          <w:tcPr>
            <w:tcW w:w="388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Volumes </w:t>
            </w:r>
            <w:r>
              <w:rPr>
                <w:rFonts w:ascii="Times New Roman" w:cs="Times New Roman" w:eastAsia="Times New Roman" w:hAnsi="Times New Roman"/>
                <w:sz w:val="23"/>
                <w:szCs w:val="23"/>
                <w:b w:val="1"/>
                <w:bCs w:val="1"/>
                <w:color w:val="auto"/>
                <w:vertAlign w:val="superscript"/>
              </w:rPr>
              <w:t>(3)</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NGL pipeline tariff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8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volumes from assets associated with continuing operations and discontinued operations.</w:t>
      </w:r>
    </w:p>
    <w:p>
      <w:pPr>
        <w:ind w:left="5440" w:hanging="106"/>
        <w:spacing w:after="0"/>
        <w:tabs>
          <w:tab w:leader="none" w:pos="5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9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6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(2)</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8640" w:type="dxa"/>
            <w:vAlign w:val="bottom"/>
            <w:tcBorders>
              <w:bottom w:val="single" w:sz="8" w:color="CCEEFF"/>
            </w:tcBorders>
            <w:gridSpan w:val="2"/>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(3)</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4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82"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w:t>
            </w:r>
          </w:p>
        </w:tc>
        <w:tc>
          <w:tcPr>
            <w:tcW w:w="0" w:type="dxa"/>
            <w:vAlign w:val="bottom"/>
          </w:tcPr>
          <w:p>
            <w:pPr>
              <w:spacing w:after="0"/>
              <w:rPr>
                <w:sz w:val="1"/>
                <w:szCs w:val="1"/>
                <w:color w:val="auto"/>
              </w:rPr>
            </w:pPr>
          </w:p>
        </w:tc>
      </w:tr>
      <w:tr>
        <w:trPr>
          <w:trHeight w:val="111"/>
        </w:trPr>
        <w:tc>
          <w:tcPr>
            <w:tcW w:w="3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10"/>
        </w:trPr>
        <w:tc>
          <w:tcPr>
            <w:tcW w:w="3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income/(expense), net</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45"/>
        </w:trPr>
        <w:tc>
          <w:tcPr>
            <w:tcW w:w="3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Deferred income tax benefit/(expense) from continuing</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4"/>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INCOME/(LOSS) FROM DISCONTINUED</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OPERATIONS, NET OF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and diluted net income/(loss)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84" w:lineRule="auto"/>
        <w:tabs>
          <w:tab w:leader="none" w:pos="32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“Computation of Basic and Diluted Net Income Per Class A Share” table for additional information.</w:t>
      </w: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liabilities of discontinued</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12,871</w:t>
            </w:r>
          </w:p>
        </w:tc>
      </w:tr>
      <w:tr>
        <w:trPr>
          <w:trHeight w:val="223"/>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r>
      <w:tr>
        <w:trPr>
          <w:trHeight w:val="26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$602 million and $479 million as of March 31, 2026 and December 31, 2025, respectively.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liabilities of discontinued operations of $561 million and $382 million as of March 31, 2026 and December 31, 2025,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212"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Class A Share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8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income/(loss) attributable to PAGP from discontinued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8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7"/>
        </w:trPr>
        <w:tc>
          <w:tcPr>
            <w:tcW w:w="8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8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Net Income/(Loss) per Class A Share: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9"/>
        </w:trPr>
        <w:tc>
          <w:tcPr>
            <w:tcW w:w="8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48"/>
        </w:trPr>
        <w:tc>
          <w:tcPr>
            <w:tcW w:w="8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2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7"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2" w:lineRule="exact"/>
        <w:rPr>
          <w:rFonts w:ascii="Times New Roman" w:cs="Times New Roman" w:eastAsia="Times New Roman" w:hAnsi="Times New Roman"/>
          <w:sz w:val="17"/>
          <w:szCs w:val="17"/>
          <w:i w:val="1"/>
          <w:iCs w:val="1"/>
          <w:color w:val="auto"/>
        </w:rPr>
      </w:pPr>
    </w:p>
    <w:p>
      <w:pPr>
        <w:ind w:left="660" w:right="60" w:hanging="328"/>
        <w:spacing w:after="0" w:line="25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global geopolitical events, including conflicts in the Middle East and elsewhere, on commodity price volatility and crude oil supply and demand, as well as broader impacts on financial markets and the global macroeconomic environment;</w:t>
      </w:r>
    </w:p>
    <w:p>
      <w:pPr>
        <w:spacing w:after="0" w:line="26"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41" w:lineRule="exact"/>
        <w:rPr>
          <w:sz w:val="20"/>
          <w:szCs w:val="20"/>
          <w:color w:val="auto"/>
        </w:rPr>
      </w:pPr>
    </w:p>
    <w:p>
      <w:pPr>
        <w:ind w:left="660" w:right="3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26"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58"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9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90"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realize anticipated benefits from operational and organizational streamlining and efficiency efforts and initiatives;</w:t>
      </w:r>
    </w:p>
    <w:p>
      <w:pPr>
        <w:spacing w:after="0" w:line="103"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6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03"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1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40"/>
          </w:cols>
          <w:pgMar w:left="320" w:top="364"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Page 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Ross Hovde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1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5"/>
    </w:lvl>
  </w:abstractNum>
  <w:abstractNum w:abstractNumId="7">
    <w:nsid w:val="3F2DBA31"/>
    <w:multiLevelType w:val="hybridMultilevel"/>
    <w:lvl w:ilvl="0">
      <w:lvlJc w:val="left"/>
      <w:lvlText w:val="(%1)"/>
      <w:numFmt w:val="decimal"/>
      <w:start w:val="1"/>
    </w:lvl>
    <w:lvl w:ilvl="1">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lvl w:ilvl="1">
      <w:lvlJc w:val="left"/>
      <w:lvlText w:val="-"/>
      <w:numFmt w:val="bullet"/>
      <w:start w:val="1"/>
    </w:lvl>
  </w:abstractNum>
  <w:abstractNum w:abstractNumId="10">
    <w:nsid w:val="62BBD95A"/>
    <w:multiLevelType w:val="hybridMultilevel"/>
    <w:lvl w:ilvl="0">
      <w:lvlJc w:val="left"/>
      <w:lvlText w:val="(%1)"/>
      <w:numFmt w:val="decimal"/>
      <w:start w:val="1"/>
    </w:lvl>
    <w:lvl w:ilvl="1">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lvl w:ilvl="1">
      <w:lvlJc w:val="left"/>
      <w:lvlText w:val="-"/>
      <w:numFmt w:val="bullet"/>
      <w:start w:val="1"/>
    </w:lvl>
  </w:abstractNum>
  <w:abstractNum w:abstractNumId="16">
    <w:nsid w:val="2D1D5AE9"/>
    <w:multiLevelType w:val="hybridMultilevel"/>
    <w:lvl w:ilvl="0">
      <w:lvlJc w:val="left"/>
      <w:lvlText w:val="(%1)"/>
      <w:numFmt w:val="decimal"/>
      <w:start w:val="1"/>
    </w:lvl>
    <w:lvl w:ilvl="1">
      <w:lvlJc w:val="left"/>
      <w:lvlText w:val="-"/>
      <w:numFmt w:val="bullet"/>
      <w:start w:val="1"/>
    </w:lvl>
  </w:abstractNum>
  <w:abstractNum w:abstractNumId="17">
    <w:nsid w:val="6763845E"/>
    <w:multiLevelType w:val="hybridMultilevel"/>
    <w:lvl w:ilvl="0">
      <w:lvlJc w:val="left"/>
      <w:lvlText w:val="(%1)"/>
      <w:numFmt w:val="decimal"/>
      <w:start w:val="1"/>
    </w:lvl>
    <w:lvl w:ilvl="1">
      <w:lvlJc w:val="left"/>
      <w:lvlText w:val="-"/>
      <w:numFmt w:val="bullet"/>
      <w:start w:val="1"/>
    </w:lvl>
  </w:abstractNum>
  <w:abstractNum w:abstractNumId="18">
    <w:nsid w:val="75A2A8D4"/>
    <w:multiLevelType w:val="hybridMultilevel"/>
    <w:lvl w:ilvl="0">
      <w:lvlJc w:val="left"/>
      <w:lvlText w:val="(%1)"/>
      <w:numFmt w:val="decimal"/>
      <w:start w:val="1"/>
    </w:lvl>
    <w:lvl w:ilvl="1">
      <w:lvlJc w:val="left"/>
      <w:lvlText w:val="-"/>
      <w:numFmt w:val="bullet"/>
      <w:start w:val="1"/>
    </w:lvl>
  </w:abstractNum>
  <w:abstractNum w:abstractNumId="19">
    <w:nsid w:val="8EDBDAB"/>
    <w:multiLevelType w:val="hybridMultilevel"/>
    <w:lvl w:ilvl="0">
      <w:lvlJc w:val="left"/>
      <w:lvlText w:val="(%1)"/>
      <w:numFmt w:val="decimal"/>
      <w:start w:val="3"/>
    </w:lvl>
    <w:lvl w:ilvl="1">
      <w:lvlJc w:val="left"/>
      <w:lvlText w:val="-"/>
      <w:numFmt w:val="bullet"/>
      <w:start w:val="1"/>
    </w:lvl>
  </w:abstractNum>
  <w:abstractNum w:abstractNumId="20">
    <w:nsid w:val="79838CB2"/>
    <w:multiLevelType w:val="hybridMultilevel"/>
    <w:lvl w:ilvl="0">
      <w:lvlJc w:val="left"/>
      <w:lvlText w:val="(%1)"/>
      <w:numFmt w:val="decimal"/>
      <w:start w:val="1"/>
    </w:lvl>
    <w:lvl w:ilvl="1">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lvl w:ilvl="1">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
      <w:numFmt w:val="bullet"/>
      <w:start w:val="1"/>
    </w:lvl>
  </w:abstractNum>
  <w:abstractNum w:abstractNumId="24">
    <w:nsid w:val="54E49EB4"/>
    <w:multiLevelType w:val="hybridMultilevel"/>
    <w:lvl w:ilvl="0">
      <w:lvlJc w:val="left"/>
      <w:lvlText w:val="(%1)"/>
      <w:numFmt w:val="decimal"/>
      <w:start w:val="1"/>
    </w:lvl>
    <w:lvl w:ilvl="1">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lvl w:ilvl="1">
      <w:lvlJc w:val="left"/>
      <w:lvlText w:val="-"/>
      <w:numFmt w:val="bullet"/>
      <w:start w:val="1"/>
    </w:lvl>
  </w:abstractNum>
  <w:abstractNum w:abstractNumId="27">
    <w:nsid w:val="836C40E"/>
    <w:multiLevelType w:val="hybridMultilevel"/>
    <w:lvl w:ilvl="0">
      <w:lvlJc w:val="left"/>
      <w:lvlText w:val="•"/>
      <w:numFmt w:val="bullet"/>
      <w:start w:val="1"/>
    </w:lvl>
    <w:lvl w:ilvl="1">
      <w:lvlJc w:val="left"/>
      <w:lvlText w:val="-"/>
      <w:numFmt w:val="bullet"/>
      <w:start w:val="1"/>
    </w:lvl>
  </w:abstractNum>
  <w:abstractNum w:abstractNumId="28">
    <w:nsid w:val="2901D8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2026-05-08T07:49:40Z</dcterms:created>
  <dcterms:modified xsi:type="dcterms:W3CDTF">2026-05-08T07:49:40Z</dcterms:modified>
</cp:coreProperties>
</file>