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-10795</wp:posOffset>
            </wp:positionV>
            <wp:extent cx="137795" cy="186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795" cy="186055"/>
                    </a:xfrm>
                    <a:prstGeom prst="rect">
                      <a:avLst/>
                    </a:prstGeom>
                    <a:noFill/>
                  </pic:spPr>
                </pic:pic>
              </a:graphicData>
            </a:graphic>
          </wp:anchor>
        </w:drawing>
      </w:r>
    </w:p>
    <w:p>
      <w:pPr>
        <w:jc w:val="both"/>
        <w:ind w:left="340" w:right="360" w:hanging="263"/>
        <w:spacing w:after="0" w:line="180"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40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2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7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37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00" w:type="dxa"/>
            <w:vAlign w:val="bottom"/>
            <w:vMerge w:val="restart"/>
          </w:tcPr>
          <w:p>
            <w:pPr>
              <w:jc w:val="center"/>
              <w:ind w:right="37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5388610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13335</wp:posOffset>
            </wp:positionV>
            <wp:extent cx="7280910" cy="941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910" cy="9411335"/>
                    </a:xfrm>
                    <a:prstGeom prst="rect">
                      <a:avLst/>
                    </a:prstGeom>
                    <a:noFill/>
                  </pic:spPr>
                </pic:pic>
              </a:graphicData>
            </a:graphic>
          </wp:anchor>
        </w:drawing>
      </w:r>
    </w:p>
    <w:p>
      <w:pPr>
        <w:spacing w:after="0" w:line="85" w:lineRule="exact"/>
        <w:rPr>
          <w:sz w:val="24"/>
          <w:szCs w:val="24"/>
          <w:color w:val="auto"/>
        </w:rPr>
      </w:pPr>
    </w:p>
    <w:p>
      <w:pPr>
        <w:sectPr>
          <w:pgSz w:w="11900" w:h="16887" w:orient="portrait"/>
          <w:cols w:equalWidth="0" w:num="2">
            <w:col w:w="2200" w:space="620"/>
            <w:col w:w="8700"/>
          </w:cols>
          <w:pgMar w:left="240" w:top="219" w:right="13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Oxy Holding Co (Pipeline), Inc.</w:t>
        </w:r>
      </w:hyperlink>
    </w:p>
    <w:p>
      <w:pPr>
        <w:spacing w:after="0" w:line="30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 GREENWAY PLAZA</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110</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0"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6"/>
          <w:szCs w:val="16"/>
          <w:color w:val="0000FF"/>
        </w:rPr>
        <w:t>HOUSTON</w:t>
      </w:r>
      <w:r>
        <w:rPr>
          <w:sz w:val="20"/>
          <w:szCs w:val="20"/>
          <w:color w:val="auto"/>
        </w:rPr>
        <w:tab/>
      </w:r>
      <w:r>
        <w:rPr>
          <w:rFonts w:ascii="Arial" w:cs="Arial" w:eastAsia="Arial" w:hAnsi="Arial"/>
          <w:sz w:val="16"/>
          <w:szCs w:val="16"/>
          <w:color w:val="0000FF"/>
        </w:rPr>
        <w:t>TX</w:t>
      </w:r>
      <w:r>
        <w:rPr>
          <w:sz w:val="20"/>
          <w:szCs w:val="20"/>
          <w:color w:val="auto"/>
        </w:rPr>
        <w:tab/>
      </w:r>
      <w:r>
        <w:rPr>
          <w:rFonts w:ascii="Arial" w:cs="Arial" w:eastAsia="Arial" w:hAnsi="Arial"/>
          <w:sz w:val="14"/>
          <w:szCs w:val="14"/>
          <w:color w:val="0000FF"/>
        </w:rPr>
        <w:t>77046</w:t>
      </w:r>
    </w:p>
    <w:p>
      <w:pPr>
        <w:spacing w:after="0" w:line="330"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92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PLAINS ALL AMERICAN PIPELINE LP </w:t>
              </w:r>
            </w:hyperlink>
            <w:r>
              <w:rPr>
                <w:rFonts w:ascii="Arial" w:cs="Arial" w:eastAsia="Arial" w:hAnsi="Arial"/>
                <w:sz w:val="15"/>
                <w:szCs w:val="15"/>
                <w:color w:val="000000"/>
              </w:rPr>
              <w:t>[</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w w:val="98"/>
              </w:rPr>
              <w:t>(Check all applicable)</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8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vMerge w:val="restart"/>
          </w:tcPr>
          <w:p>
            <w:pPr>
              <w:ind w:left="62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920" w:type="dxa"/>
            <w:vAlign w:val="bottom"/>
            <w:gridSpan w:val="3"/>
            <w:vMerge w:val="restart"/>
          </w:tcPr>
          <w:p>
            <w:pPr>
              <w:spacing w:after="0"/>
              <w:rPr>
                <w:sz w:val="20"/>
                <w:szCs w:val="20"/>
                <w:color w:val="auto"/>
              </w:rPr>
            </w:pPr>
            <w:r>
              <w:rPr>
                <w:rFonts w:ascii="Arial" w:cs="Arial" w:eastAsia="Arial" w:hAnsi="Arial"/>
                <w:sz w:val="16"/>
                <w:szCs w:val="16"/>
                <w:color w:val="0000FF"/>
              </w:rPr>
              <w:t xml:space="preserve">PAA </w:t>
            </w:r>
            <w:r>
              <w:rPr>
                <w:rFonts w:ascii="Arial" w:cs="Arial" w:eastAsia="Arial" w:hAnsi="Arial"/>
                <w:sz w:val="20"/>
                <w:szCs w:val="20"/>
                <w:color w:val="000000"/>
              </w:rPr>
              <w:t>]</w:t>
            </w:r>
          </w:p>
        </w:tc>
        <w:tc>
          <w:tcPr>
            <w:tcW w:w="13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920" w:type="dxa"/>
            <w:vAlign w:val="bottom"/>
            <w:gridSpan w:val="3"/>
            <w:vMerge w:val="continue"/>
          </w:tcPr>
          <w:p>
            <w:pPr>
              <w:spacing w:after="0"/>
              <w:rPr>
                <w:sz w:val="11"/>
                <w:szCs w:val="11"/>
                <w:color w:val="auto"/>
              </w:rPr>
            </w:pPr>
          </w:p>
        </w:tc>
        <w:tc>
          <w:tcPr>
            <w:tcW w:w="1720" w:type="dxa"/>
            <w:vAlign w:val="bottom"/>
            <w:gridSpan w:val="2"/>
            <w:vMerge w:val="restart"/>
          </w:tcPr>
          <w:p>
            <w:pPr>
              <w:ind w:left="620"/>
              <w:spacing w:after="0"/>
              <w:rPr>
                <w:sz w:val="20"/>
                <w:szCs w:val="20"/>
                <w:color w:val="auto"/>
              </w:rPr>
            </w:pPr>
            <w:r>
              <w:rPr>
                <w:rFonts w:ascii="Arial" w:cs="Arial" w:eastAsia="Arial" w:hAnsi="Arial"/>
                <w:sz w:val="13"/>
                <w:szCs w:val="13"/>
                <w:color w:val="auto"/>
              </w:rPr>
              <w:t>Officer (give title</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0" w:type="dxa"/>
            <w:vAlign w:val="bottom"/>
            <w:vMerge w:val="restart"/>
          </w:tcPr>
          <w:p>
            <w:pPr>
              <w:ind w:left="62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3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See remarks</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3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80" w:type="dxa"/>
            <w:vAlign w:val="bottom"/>
            <w:gridSpan w:val="2"/>
            <w:vMerge w:val="continue"/>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560" w:type="dxa"/>
            <w:vAlign w:val="bottom"/>
            <w:gridSpan w:val="3"/>
          </w:tcPr>
          <w:p>
            <w:pPr>
              <w:ind w:left="60"/>
              <w:spacing w:after="0"/>
              <w:rPr>
                <w:sz w:val="20"/>
                <w:szCs w:val="20"/>
                <w:color w:val="auto"/>
              </w:rPr>
            </w:pPr>
            <w:r>
              <w:rPr>
                <w:rFonts w:ascii="Arial" w:cs="Arial" w:eastAsia="Arial" w:hAnsi="Arial"/>
                <w:sz w:val="16"/>
                <w:szCs w:val="16"/>
                <w:color w:val="0000FF"/>
              </w:rPr>
              <w:t>09/23/2019</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3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3440" w:type="dxa"/>
            <w:vAlign w:val="bottom"/>
            <w:tcBorders>
              <w:bottom w:val="single" w:sz="8" w:color="2C2C2C"/>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40" w:type="dxa"/>
            <w:vAlign w:val="bottom"/>
            <w:gridSpan w:val="4"/>
          </w:tcPr>
          <w:p>
            <w:pPr>
              <w:ind w:left="6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4"/>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53" w:lineRule="exact"/>
        <w:rPr>
          <w:sz w:val="24"/>
          <w:szCs w:val="24"/>
          <w:color w:val="auto"/>
        </w:rPr>
      </w:pPr>
    </w:p>
    <w:p>
      <w:pPr>
        <w:sectPr>
          <w:pgSz w:w="11900" w:h="16887" w:orient="portrait"/>
          <w:cols w:equalWidth="0" w:num="2">
            <w:col w:w="3280" w:space="720"/>
            <w:col w:w="752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3"/>
                <w:szCs w:val="13"/>
                <w:color w:val="auto"/>
              </w:rPr>
            </w:pPr>
          </w:p>
        </w:tc>
        <w:tc>
          <w:tcPr>
            <w:tcW w:w="1160" w:type="dxa"/>
            <w:vAlign w:val="bottom"/>
            <w:gridSpan w:val="4"/>
          </w:tcPr>
          <w:p>
            <w:pPr>
              <w:ind w:left="1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10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Common Units</w:t>
            </w:r>
            <w:r>
              <w:rPr>
                <w:rFonts w:ascii="Arial" w:cs="Arial" w:eastAsia="Arial" w:hAnsi="Arial"/>
                <w:sz w:val="21"/>
                <w:szCs w:val="21"/>
                <w:color w:val="008000"/>
                <w:vertAlign w:val="superscript"/>
              </w:rPr>
              <w:t>(1)(2)</w:t>
            </w:r>
          </w:p>
        </w:tc>
        <w:tc>
          <w:tcPr>
            <w:tcW w:w="1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860"/>
              <w:spacing w:after="0"/>
              <w:rPr>
                <w:sz w:val="20"/>
                <w:szCs w:val="20"/>
                <w:color w:val="auto"/>
              </w:rPr>
            </w:pPr>
            <w:r>
              <w:rPr>
                <w:rFonts w:ascii="Arial" w:cs="Arial" w:eastAsia="Arial" w:hAnsi="Arial"/>
                <w:sz w:val="16"/>
                <w:szCs w:val="16"/>
                <w:color w:val="0000FF"/>
              </w:rPr>
              <w:t>09/23/2019</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0000FF"/>
              </w:rPr>
              <w:t>14,977,890</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0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21.25</w:t>
            </w:r>
          </w:p>
        </w:tc>
        <w:tc>
          <w:tcPr>
            <w:tcW w:w="760" w:type="dxa"/>
            <w:vAlign w:val="bottom"/>
            <w:tcBorders>
              <w:bottom w:val="single" w:sz="8" w:color="2C2C2C"/>
            </w:tcBorders>
            <w:gridSpan w:val="2"/>
          </w:tcPr>
          <w:p>
            <w:pPr>
              <w:jc w:val="right"/>
              <w:ind w:right="63"/>
              <w:spacing w:after="0"/>
              <w:rPr>
                <w:sz w:val="20"/>
                <w:szCs w:val="20"/>
                <w:color w:val="auto"/>
              </w:rPr>
            </w:pPr>
            <w:r>
              <w:rPr>
                <w:rFonts w:ascii="Arial" w:cs="Arial" w:eastAsia="Arial" w:hAnsi="Arial"/>
                <w:sz w:val="16"/>
                <w:szCs w:val="16"/>
                <w:color w:val="0000FF"/>
              </w:rPr>
              <w:t>0</w:t>
            </w: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1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60" w:type="dxa"/>
            <w:vAlign w:val="bottom"/>
            <w:gridSpan w:val="10"/>
          </w:tcPr>
          <w:p>
            <w:pPr>
              <w:ind w:left="1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Conversion</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 Exercise</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Price of</w:t>
            </w: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0000FF"/>
              </w:rPr>
              <w:t>See</w:t>
            </w:r>
          </w:p>
        </w:tc>
        <w:tc>
          <w:tcPr>
            <w:tcW w:w="4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5"/>
                <w:szCs w:val="15"/>
                <w:color w:val="auto"/>
              </w:rPr>
            </w:pPr>
          </w:p>
        </w:tc>
        <w:tc>
          <w:tcPr>
            <w:tcW w:w="1160" w:type="dxa"/>
            <w:vAlign w:val="bottom"/>
            <w:vMerge w:val="restart"/>
          </w:tcPr>
          <w:p>
            <w:pPr>
              <w:ind w:left="300"/>
              <w:spacing w:after="0"/>
              <w:rPr>
                <w:sz w:val="20"/>
                <w:szCs w:val="20"/>
                <w:color w:val="auto"/>
              </w:rPr>
            </w:pPr>
            <w:r>
              <w:rPr>
                <w:rFonts w:ascii="Arial" w:cs="Arial" w:eastAsia="Arial" w:hAnsi="Arial"/>
                <w:sz w:val="13"/>
                <w:szCs w:val="13"/>
                <w:color w:val="0000FF"/>
              </w:rPr>
              <w:t>09/23/2019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w:t>
            </w:r>
          </w:p>
        </w:tc>
        <w:tc>
          <w:tcPr>
            <w:tcW w:w="1000" w:type="dxa"/>
            <w:vAlign w:val="bottom"/>
            <w:vMerge w:val="restart"/>
          </w:tcPr>
          <w:p>
            <w:pPr>
              <w:ind w:left="340"/>
              <w:spacing w:after="0"/>
              <w:rPr>
                <w:sz w:val="20"/>
                <w:szCs w:val="20"/>
                <w:color w:val="auto"/>
              </w:rPr>
            </w:pPr>
            <w:r>
              <w:rPr>
                <w:rFonts w:ascii="Arial" w:cs="Arial" w:eastAsia="Arial" w:hAnsi="Arial"/>
                <w:sz w:val="13"/>
                <w:szCs w:val="13"/>
                <w:color w:val="0000FF"/>
                <w:w w:val="98"/>
              </w:rPr>
              <w:t>29,977,890</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
              <w:spacing w:after="0"/>
              <w:rPr>
                <w:sz w:val="20"/>
                <w:szCs w:val="20"/>
                <w:color w:val="auto"/>
              </w:rPr>
            </w:pPr>
            <w:r>
              <w:rPr>
                <w:rFonts w:ascii="Arial" w:cs="Arial" w:eastAsia="Arial" w:hAnsi="Arial"/>
                <w:sz w:val="16"/>
                <w:szCs w:val="16"/>
                <w:color w:val="0000FF"/>
                <w:w w:val="94"/>
              </w:rPr>
              <w:t>29,977,890</w:t>
            </w:r>
          </w:p>
        </w:tc>
        <w:tc>
          <w:tcPr>
            <w:tcW w:w="760" w:type="dxa"/>
            <w:vAlign w:val="bottom"/>
            <w:gridSpan w:val="2"/>
            <w:vMerge w:val="restart"/>
          </w:tcPr>
          <w:p>
            <w:pPr>
              <w:jc w:val="right"/>
              <w:ind w:right="283"/>
              <w:spacing w:after="0"/>
              <w:rPr>
                <w:sz w:val="20"/>
                <w:szCs w:val="20"/>
                <w:color w:val="auto"/>
              </w:rPr>
            </w:pPr>
            <w:r>
              <w:rPr>
                <w:rFonts w:ascii="Arial" w:cs="Arial" w:eastAsia="Arial" w:hAnsi="Arial"/>
                <w:sz w:val="11"/>
                <w:szCs w:val="11"/>
                <w:color w:val="008000"/>
              </w:rPr>
              <w:t>(2)</w:t>
            </w:r>
          </w:p>
        </w:tc>
        <w:tc>
          <w:tcPr>
            <w:tcW w:w="48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00" w:type="dxa"/>
            <w:vAlign w:val="bottom"/>
            <w:gridSpan w:val="3"/>
          </w:tcPr>
          <w:p>
            <w:pPr>
              <w:ind w:left="60"/>
              <w:spacing w:after="0" w:line="32" w:lineRule="exact"/>
              <w:rPr>
                <w:sz w:val="20"/>
                <w:szCs w:val="20"/>
                <w:color w:val="auto"/>
              </w:rPr>
            </w:pPr>
            <w:r>
              <w:rPr>
                <w:rFonts w:ascii="Arial" w:cs="Arial" w:eastAsia="Arial" w:hAnsi="Arial"/>
                <w:sz w:val="2"/>
                <w:szCs w:val="2"/>
                <w:color w:val="0000FF"/>
              </w:rPr>
              <w:t>footnotes</w:t>
            </w:r>
            <w:r>
              <w:rPr>
                <w:rFonts w:ascii="Arial" w:cs="Arial" w:eastAsia="Arial" w:hAnsi="Arial"/>
                <w:sz w:val="3"/>
                <w:szCs w:val="3"/>
                <w:color w:val="008000"/>
                <w:vertAlign w:val="superscript"/>
              </w:rPr>
              <w:t>(1)(2)</w:t>
            </w:r>
          </w:p>
        </w:tc>
        <w:tc>
          <w:tcPr>
            <w:tcW w:w="4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60" w:type="dxa"/>
            <w:vAlign w:val="bottom"/>
            <w:gridSpan w:val="2"/>
          </w:tcPr>
          <w:p>
            <w:pPr>
              <w:ind w:left="160"/>
              <w:spacing w:after="0" w:line="32" w:lineRule="exact"/>
              <w:rPr>
                <w:sz w:val="20"/>
                <w:szCs w:val="20"/>
                <w:color w:val="auto"/>
              </w:rPr>
            </w:pPr>
            <w:r>
              <w:rPr>
                <w:rFonts w:ascii="Arial" w:cs="Arial" w:eastAsia="Arial" w:hAnsi="Arial"/>
                <w:sz w:val="3"/>
                <w:szCs w:val="3"/>
                <w:color w:val="0000FF"/>
              </w:rPr>
              <w:t>Units</w:t>
            </w:r>
          </w:p>
        </w:tc>
        <w:tc>
          <w:tcPr>
            <w:tcW w:w="80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160"/>
              <w:spacing w:after="0"/>
              <w:rPr>
                <w:sz w:val="20"/>
                <w:szCs w:val="20"/>
                <w:color w:val="auto"/>
              </w:rPr>
            </w:pPr>
            <w:r>
              <w:rPr>
                <w:rFonts w:ascii="Arial" w:cs="Arial" w:eastAsia="Arial" w:hAnsi="Arial"/>
                <w:sz w:val="11"/>
                <w:szCs w:val="11"/>
                <w:color w:val="008000"/>
              </w:rPr>
              <w:t>(2)</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gridSpan w:val="2"/>
          </w:tcPr>
          <w:p>
            <w:pPr>
              <w:spacing w:after="0"/>
              <w:rPr>
                <w:sz w:val="9"/>
                <w:szCs w:val="9"/>
                <w:color w:val="auto"/>
              </w:rPr>
            </w:pPr>
          </w:p>
        </w:tc>
        <w:tc>
          <w:tcPr>
            <w:tcW w:w="1320" w:type="dxa"/>
            <w:vAlign w:val="bottom"/>
            <w:tcBorders>
              <w:bottom w:val="single" w:sz="8" w:color="2C2C2C"/>
            </w:tcBorders>
            <w:gridSpan w:val="2"/>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720" w:type="dxa"/>
            <w:vAlign w:val="bottom"/>
            <w:tcBorders>
              <w:top w:val="single" w:sz="8" w:color="2C2C2C"/>
            </w:tcBorders>
            <w:gridSpan w:val="7"/>
          </w:tcPr>
          <w:p>
            <w:pPr>
              <w:ind w:left="60"/>
              <w:spacing w:after="0" w:line="23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6"/>
          </w:tcPr>
          <w:p>
            <w:pPr>
              <w:ind w:left="20"/>
              <w:spacing w:after="0" w:line="211" w:lineRule="exact"/>
              <w:rPr>
                <w:rFonts w:ascii="Arial" w:cs="Arial" w:eastAsia="Arial" w:hAnsi="Arial"/>
                <w:sz w:val="20"/>
                <w:szCs w:val="20"/>
                <w:color w:val="0000EE"/>
                <w:w w:val="95"/>
              </w:rPr>
            </w:pPr>
            <w:hyperlink r:id="rId12">
              <w:r>
                <w:rPr>
                  <w:rFonts w:ascii="Arial" w:cs="Arial" w:eastAsia="Arial" w:hAnsi="Arial"/>
                  <w:sz w:val="20"/>
                  <w:szCs w:val="20"/>
                  <w:color w:val="0000EE"/>
                  <w:w w:val="95"/>
                </w:rPr>
                <w:t>Oxy Holding Co (Pipeline), Inc.</w:t>
              </w:r>
            </w:hyperlink>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3"/>
          </w:tcPr>
          <w:p>
            <w:pPr>
              <w:ind w:left="3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gridSpan w:val="6"/>
          </w:tcPr>
          <w:p>
            <w:pPr>
              <w:ind w:left="20"/>
              <w:spacing w:after="0"/>
              <w:rPr>
                <w:sz w:val="20"/>
                <w:szCs w:val="20"/>
                <w:color w:val="auto"/>
              </w:rPr>
            </w:pPr>
            <w:r>
              <w:rPr>
                <w:rFonts w:ascii="Arial" w:cs="Arial" w:eastAsia="Arial" w:hAnsi="Arial"/>
                <w:sz w:val="16"/>
                <w:szCs w:val="16"/>
                <w:color w:val="0000FF"/>
              </w:rPr>
              <w:t>5 GREENWAY PLAZA</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0000FF"/>
                <w:w w:val="99"/>
              </w:rPr>
              <w:t>SUITE 110</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0000FF"/>
                <w:w w:val="97"/>
              </w:rPr>
              <w:t>HOUSTON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TX</w:t>
            </w:r>
          </w:p>
        </w:tc>
        <w:tc>
          <w:tcPr>
            <w:tcW w:w="1000" w:type="dxa"/>
            <w:vAlign w:val="bottom"/>
            <w:gridSpan w:val="2"/>
          </w:tcPr>
          <w:p>
            <w:pPr>
              <w:ind w:left="300"/>
              <w:spacing w:after="0"/>
              <w:rPr>
                <w:sz w:val="20"/>
                <w:szCs w:val="20"/>
                <w:color w:val="auto"/>
              </w:rPr>
            </w:pPr>
            <w:r>
              <w:rPr>
                <w:rFonts w:ascii="Arial" w:cs="Arial" w:eastAsia="Arial" w:hAnsi="Arial"/>
                <w:sz w:val="16"/>
                <w:szCs w:val="16"/>
                <w:color w:val="0000FF"/>
              </w:rPr>
              <w:t>77046</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gridSpan w:val="3"/>
          </w:tcPr>
          <w:p>
            <w:pPr>
              <w:ind w:left="3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9"/>
          </w:tcPr>
          <w:p>
            <w:pPr>
              <w:ind w:left="20"/>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Occidental Transportation Holding Corp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3"/>
          </w:tcPr>
          <w:p>
            <w:pPr>
              <w:ind w:left="3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gridSpan w:val="6"/>
          </w:tcPr>
          <w:p>
            <w:pPr>
              <w:ind w:left="20"/>
              <w:spacing w:after="0"/>
              <w:rPr>
                <w:sz w:val="20"/>
                <w:szCs w:val="20"/>
                <w:color w:val="auto"/>
              </w:rPr>
            </w:pPr>
            <w:r>
              <w:rPr>
                <w:rFonts w:ascii="Arial" w:cs="Arial" w:eastAsia="Arial" w:hAnsi="Arial"/>
                <w:sz w:val="16"/>
                <w:szCs w:val="16"/>
                <w:color w:val="0000FF"/>
              </w:rPr>
              <w:t>5 GREENWAY PLAZA</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0000FF"/>
                <w:w w:val="99"/>
              </w:rPr>
              <w:t>SUITE 110</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0000FF"/>
                <w:w w:val="97"/>
              </w:rPr>
              <w:t>HOUSTON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TX</w:t>
            </w:r>
          </w:p>
        </w:tc>
        <w:tc>
          <w:tcPr>
            <w:tcW w:w="1000" w:type="dxa"/>
            <w:vAlign w:val="bottom"/>
            <w:gridSpan w:val="2"/>
          </w:tcPr>
          <w:p>
            <w:pPr>
              <w:ind w:left="300"/>
              <w:spacing w:after="0"/>
              <w:rPr>
                <w:sz w:val="20"/>
                <w:szCs w:val="20"/>
                <w:color w:val="auto"/>
              </w:rPr>
            </w:pPr>
            <w:r>
              <w:rPr>
                <w:rFonts w:ascii="Arial" w:cs="Arial" w:eastAsia="Arial" w:hAnsi="Arial"/>
                <w:sz w:val="16"/>
                <w:szCs w:val="16"/>
                <w:color w:val="0000FF"/>
              </w:rPr>
              <w:t>77046</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gridSpan w:val="3"/>
          </w:tcPr>
          <w:p>
            <w:pPr>
              <w:ind w:left="3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4"/>
          </w:tcPr>
          <w:p>
            <w:pPr>
              <w:ind w:left="20"/>
              <w:spacing w:after="0" w:line="211" w:lineRule="exact"/>
              <w:rPr>
                <w:rFonts w:ascii="Arial" w:cs="Arial" w:eastAsia="Arial" w:hAnsi="Arial"/>
                <w:sz w:val="20"/>
                <w:szCs w:val="20"/>
                <w:color w:val="0000EE"/>
              </w:rPr>
            </w:pPr>
            <w:hyperlink r:id="rId15">
              <w:r>
                <w:rPr>
                  <w:rFonts w:ascii="Arial" w:cs="Arial" w:eastAsia="Arial" w:hAnsi="Arial"/>
                  <w:sz w:val="20"/>
                  <w:szCs w:val="20"/>
                  <w:color w:val="0000EE"/>
                </w:rPr>
                <w:t>OXY USA INC</w:t>
              </w:r>
            </w:hyperlink>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3"/>
          </w:tcPr>
          <w:p>
            <w:pPr>
              <w:ind w:left="3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gridSpan w:val="6"/>
          </w:tcPr>
          <w:p>
            <w:pPr>
              <w:ind w:left="20"/>
              <w:spacing w:after="0"/>
              <w:rPr>
                <w:sz w:val="20"/>
                <w:szCs w:val="20"/>
                <w:color w:val="auto"/>
              </w:rPr>
            </w:pPr>
            <w:r>
              <w:rPr>
                <w:rFonts w:ascii="Arial" w:cs="Arial" w:eastAsia="Arial" w:hAnsi="Arial"/>
                <w:sz w:val="16"/>
                <w:szCs w:val="16"/>
                <w:color w:val="0000FF"/>
              </w:rPr>
              <w:t>5 GREENWAY PLAZA</w:t>
            </w: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0000FF"/>
                <w:w w:val="99"/>
              </w:rPr>
              <w:t>SUITE 110</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0000FF"/>
                <w:w w:val="97"/>
              </w:rPr>
              <w:t>HOUSTON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0000FF"/>
              </w:rPr>
              <w:t>TX</w:t>
            </w:r>
          </w:p>
        </w:tc>
        <w:tc>
          <w:tcPr>
            <w:tcW w:w="1000" w:type="dxa"/>
            <w:vAlign w:val="bottom"/>
            <w:gridSpan w:val="2"/>
          </w:tcPr>
          <w:p>
            <w:pPr>
              <w:ind w:left="300"/>
              <w:spacing w:after="0"/>
              <w:rPr>
                <w:sz w:val="20"/>
                <w:szCs w:val="20"/>
                <w:color w:val="auto"/>
              </w:rPr>
            </w:pPr>
            <w:r>
              <w:rPr>
                <w:rFonts w:ascii="Arial" w:cs="Arial" w:eastAsia="Arial" w:hAnsi="Arial"/>
                <w:sz w:val="16"/>
                <w:szCs w:val="16"/>
                <w:color w:val="0000FF"/>
              </w:rPr>
              <w:t>77046</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-6333490</wp:posOffset>
            </wp:positionV>
            <wp:extent cx="23495" cy="1600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3495" cy="1600200"/>
                    </a:xfrm>
                    <a:prstGeom prst="rect">
                      <a:avLst/>
                    </a:prstGeom>
                    <a:noFill/>
                  </pic:spPr>
                </pic:pic>
              </a:graphicData>
            </a:graphic>
          </wp:anchor>
        </w:drawing>
      </w:r>
    </w:p>
    <w:p>
      <w:pPr>
        <w:sectPr>
          <w:pgSz w:w="11900" w:h="16887" w:orient="portrait"/>
          <w:cols w:equalWidth="0" w:num="1">
            <w:col w:w="11520"/>
          </w:cols>
          <w:pgMar w:left="240" w:top="219" w:right="139" w:bottom="0" w:gutter="0" w:footer="0" w:header="0"/>
          <w:type w:val="continuous"/>
        </w:sectPr>
      </w:pPr>
    </w:p>
    <w:p>
      <w:pPr>
        <w:spacing w:after="0" w:line="306"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87" w:orient="portrait"/>
          <w:cols w:equalWidth="0" w:num="1">
            <w:col w:w="11520"/>
          </w:cols>
          <w:pgMar w:left="240" w:top="219" w:right="139" w:bottom="0" w:gutter="0" w:footer="0" w:header="0"/>
          <w:type w:val="continuous"/>
        </w:sectPr>
      </w:pPr>
    </w:p>
    <w:bookmarkStart w:id="1" w:name="page2"/>
    <w:bookmarkEnd w:id="1"/>
    <w:p>
      <w:pPr>
        <w:ind w:left="4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2926080" cy="1756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6080" cy="1756410"/>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81"/>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OCCIDENTAL PETROLEUM CORP /DE/</w:t>
        </w:r>
      </w:hyperlink>
    </w:p>
    <w:p>
      <w:pPr>
        <w:spacing w:after="0" w:line="304" w:lineRule="exact"/>
        <w:rPr>
          <w:sz w:val="20"/>
          <w:szCs w:val="20"/>
          <w:color w:val="auto"/>
        </w:rPr>
      </w:pPr>
    </w:p>
    <w:tbl>
      <w:tblPr>
        <w:tblLayout w:type="fixed"/>
        <w:tblInd w:w="41"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34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63"/>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Arial" w:cs="Arial" w:eastAsia="Arial" w:hAnsi="Arial"/>
                <w:sz w:val="16"/>
                <w:szCs w:val="16"/>
                <w:color w:val="0000FF"/>
              </w:rPr>
              <w:t>5 GREENWAY PLAZA</w:t>
            </w:r>
          </w:p>
        </w:tc>
        <w:tc>
          <w:tcPr>
            <w:tcW w:w="1960" w:type="dxa"/>
            <w:vAlign w:val="bottom"/>
          </w:tcPr>
          <w:p>
            <w:pPr>
              <w:spacing w:after="0"/>
              <w:rPr>
                <w:sz w:val="22"/>
                <w:szCs w:val="22"/>
                <w:color w:val="auto"/>
              </w:rPr>
            </w:pPr>
          </w:p>
        </w:tc>
      </w:tr>
      <w:tr>
        <w:trPr>
          <w:trHeight w:val="253"/>
        </w:trPr>
        <w:tc>
          <w:tcPr>
            <w:tcW w:w="20" w:type="dxa"/>
            <w:vAlign w:val="bottom"/>
          </w:tcPr>
          <w:p>
            <w:pPr>
              <w:spacing w:after="0"/>
              <w:rPr>
                <w:sz w:val="22"/>
                <w:szCs w:val="22"/>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SUITE 110</w:t>
            </w:r>
          </w:p>
        </w:tc>
        <w:tc>
          <w:tcPr>
            <w:tcW w:w="12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260" w:type="dxa"/>
            <w:vAlign w:val="bottom"/>
          </w:tcPr>
          <w:p>
            <w:pPr>
              <w:ind w:left="340"/>
              <w:spacing w:after="0"/>
              <w:rPr>
                <w:sz w:val="20"/>
                <w:szCs w:val="20"/>
                <w:color w:val="auto"/>
              </w:rPr>
            </w:pPr>
            <w:r>
              <w:rPr>
                <w:rFonts w:ascii="Arial" w:cs="Arial" w:eastAsia="Arial" w:hAnsi="Arial"/>
                <w:sz w:val="16"/>
                <w:szCs w:val="16"/>
                <w:color w:val="0000FF"/>
              </w:rPr>
              <w:t>TX</w:t>
            </w:r>
          </w:p>
        </w:tc>
        <w:tc>
          <w:tcPr>
            <w:tcW w:w="1960" w:type="dxa"/>
            <w:vAlign w:val="bottom"/>
          </w:tcPr>
          <w:p>
            <w:pPr>
              <w:ind w:left="540"/>
              <w:spacing w:after="0"/>
              <w:rPr>
                <w:sz w:val="20"/>
                <w:szCs w:val="20"/>
                <w:color w:val="auto"/>
              </w:rPr>
            </w:pPr>
            <w:r>
              <w:rPr>
                <w:rFonts w:ascii="Arial" w:cs="Arial" w:eastAsia="Arial" w:hAnsi="Arial"/>
                <w:sz w:val="16"/>
                <w:szCs w:val="16"/>
                <w:color w:val="0000FF"/>
              </w:rPr>
              <w:t>77046</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 w:hanging="1"/>
        <w:spacing w:after="0" w:line="25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each limited partner of AAP, including Oxy Holding Company (Pipeline), Inc. (OHC), has the right, at any time and from time to time, to (i) cause its Class A units representing limited partner interests of AAP (AAP Class A Units), together with an equal number of Class B shares representing limited partner interests of PAGP (as defined below) (the Class B Shares) and units representing limited liability company interests of PAGP GP (as defined below) (the GP Units and, together with the AAP Class A Units and the Class B Shares, the Redemption Securities) to be redeemed for common units representing limited partner interests of the Issuer (the Common Units) on a one-for-one basis (the Redemption Right), or (ii) immediately exchange its Securities for Class A shares (the PAGP Class A Shares) of Plains GP Holdings, L.P. (PAGP) on a one-for-one basis or, at AAP's election, the cash value thereof (the Exchange Right).</w:t>
      </w:r>
    </w:p>
    <w:p>
      <w:pPr>
        <w:spacing w:after="0" w:line="24" w:lineRule="exact"/>
        <w:rPr>
          <w:rFonts w:ascii="Arial" w:cs="Arial" w:eastAsia="Arial" w:hAnsi="Arial"/>
          <w:sz w:val="12"/>
          <w:szCs w:val="12"/>
          <w:color w:val="008000"/>
        </w:rPr>
      </w:pPr>
    </w:p>
    <w:p>
      <w:pPr>
        <w:ind w:left="1" w:right="200" w:hanging="1"/>
        <w:spacing w:after="0" w:line="290"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23, 2019, (i) immediately prior to the closing of the Issuer's secondary offering pursuant to registration statement No. 333-214778, OHC exercised the Redemption Right with respect to the Redemption Securities in exchange for 14,977,890 Common Units of the Issuer and (ii) immediately prior to the closing of PAGP's secondary offering pursuant to registration statement No. 333-200596, OHC exercised the Exchange Right with respect to the Securities not redeemed pursuant to the Redemption Right in exchange for 15,000,000 PAGP Class A Shares. As a result, the Reporting Persons (as defined below) no longer own any Securities.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1" w:right="20"/>
        <w:spacing w:after="0" w:line="280" w:lineRule="auto"/>
        <w:rPr>
          <w:sz w:val="20"/>
          <w:szCs w:val="20"/>
          <w:color w:val="auto"/>
        </w:rPr>
      </w:pPr>
      <w:r>
        <w:rPr>
          <w:rFonts w:ascii="Arial" w:cs="Arial" w:eastAsia="Arial" w:hAnsi="Arial"/>
          <w:sz w:val="11"/>
          <w:szCs w:val="11"/>
          <w:color w:val="008000"/>
        </w:rPr>
        <w:t>Oscar K. Brown is a director of the general partner (PAGP GP) of PAGP. PAGP GP manages the business and affairs of PAGP, and through its wholly owned subsidiary, Plains All American GP LLC, the business and affairs of AAP and the Issuer. Based on the relationship of Mr. Brown and the Reporting Persons (as defined below), the Reporting Persons may be deemed directors by deputization of the Issuer. OHC, Occidental Transportation Holding Corporation (OTHC) and Oxy USA Inc. (Oxy USA) are wholly owned subsidiaries of Occidental Petroleum Corporation (Occidental and, together with OHC, OTHC and Oxy USA, the Reporting Persons). The filing of this Statement shall not be construed as an admission that any Reporting Person is, for purposes of Section 13(d) of the Exchange Act, as amended, the beneficial owner of any security. As previously disclosed, effective upon the closing of the Issuer's secondary offerings, on September 23, 2019, Mr. Brown automatically ceased to be a member of the board of directors of the Issuer's general partner.</w:t>
      </w:r>
    </w:p>
    <w:p>
      <w:pPr>
        <w:sectPr>
          <w:pgSz w:w="11900" w:h="16838" w:orient="portrait"/>
          <w:cols w:equalWidth="0" w:num="1">
            <w:col w:w="11321"/>
          </w:cols>
          <w:pgMar w:left="279" w:top="236" w:right="299" w:bottom="1440" w:gutter="0" w:footer="0" w:header="0"/>
        </w:sectPr>
      </w:pPr>
    </w:p>
    <w:p>
      <w:pPr>
        <w:spacing w:after="0" w:line="34"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-6350</wp:posOffset>
            </wp:positionV>
            <wp:extent cx="1020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4"/>
          <w:szCs w:val="14"/>
          <w:color w:val="0000FF"/>
        </w:rPr>
        <w:t>President and Secretary of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3810</wp:posOffset>
            </wp:positionV>
            <wp:extent cx="1304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1"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Holding Company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1238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159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59385" cy="8255"/>
                    </a:xfrm>
                    <a:prstGeom prst="rect">
                      <a:avLst/>
                    </a:prstGeom>
                    <a:noFill/>
                  </pic:spPr>
                </pic:pic>
              </a:graphicData>
            </a:graphic>
          </wp:anchor>
        </w:drawing>
      </w:r>
    </w:p>
    <w:p>
      <w:pPr>
        <w:spacing w:after="0" w:line="43"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-6350</wp:posOffset>
            </wp:positionV>
            <wp:extent cx="1020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President and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1099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Occidental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1089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87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43"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-6350</wp:posOffset>
            </wp:positionV>
            <wp:extent cx="1020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4"/>
          <w:szCs w:val="14"/>
          <w:color w:val="0000FF"/>
        </w:rPr>
        <w:t>President and Secretary of 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3810</wp:posOffset>
            </wp:positionV>
            <wp:extent cx="13049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1"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3943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43"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Nicole E. Clark,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-6350</wp:posOffset>
            </wp:positionV>
            <wp:extent cx="1020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5"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President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10096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Secretary of Occidental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986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Petroleum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-10160</wp:posOffset>
            </wp:positionV>
            <wp:extent cx="960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475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475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475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0000FF"/>
        </w:rPr>
        <w:t>09/25/2019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475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881" w:space="220"/>
            <w:col w:w="2220"/>
          </w:cols>
          <w:pgMar w:left="279" w:top="236" w:right="299" w:bottom="1440" w:gutter="0" w:footer="0" w:header="0"/>
          <w:type w:val="continuous"/>
        </w:sectPr>
      </w:pPr>
    </w:p>
    <w:p>
      <w:pPr>
        <w:ind w:left="6821"/>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4020" w:hanging="1"/>
        <w:spacing w:after="0" w:line="326"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1"/>
      </w:cols>
      <w:pgMar w:left="279" w:top="23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2" Type="http://schemas.openxmlformats.org/officeDocument/2006/relationships/hyperlink" Target="http://www.sec.govhttp//www.sec.gov/cgi-bin/browse-edgar?action=getcompany&amp;CIK=0001590092"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590160" TargetMode="External"/><Relationship Id="rId15" Type="http://schemas.openxmlformats.org/officeDocument/2006/relationships/hyperlink" Target="http://www.sec.gov/cgi-bin/browse-edgar?action=getcompany&amp;CIK=0000728399" TargetMode="External"/><Relationship Id="rId18" Type="http://schemas.openxmlformats.org/officeDocument/2006/relationships/hyperlink" Target="http://www.sec.gov/cgi-bin/browse-edgar?action=getcompany&amp;CIK=0000797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2019-12-03T23:04:37Z</dcterms:created>
  <dcterms:modified xsi:type="dcterms:W3CDTF">2019-12-03T23:04:37Z</dcterms:modified>
</cp:coreProperties>
</file>