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7046595" cy="510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0921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McCarthy Kevin S</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 MAIN STREET,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PLAINS GP HOLDINGS LP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PAGP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1"/>
        <w:spacing w:after="0"/>
        <w:tabs>
          <w:tab w:leader="none" w:pos="501" w:val="left"/>
          <w:tab w:leader="none" w:pos="208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4" w:lineRule="exact"/>
        <w:rPr>
          <w:sz w:val="24"/>
          <w:szCs w:val="24"/>
          <w:color w:val="auto"/>
        </w:rPr>
      </w:pPr>
    </w:p>
    <w:p>
      <w:pPr>
        <w:sectPr>
          <w:pgSz w:w="11900" w:h="16838" w:orient="portrait"/>
          <w:cols w:equalWidth="0" w:num="3">
            <w:col w:w="3180" w:space="720"/>
            <w:col w:w="3140" w:space="699"/>
            <w:col w:w="3341"/>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78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40"/>
              <w:spacing w:after="0" w:line="126"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860" w:type="dxa"/>
            <w:vAlign w:val="bottom"/>
            <w:gridSpan w:val="2"/>
            <w:vMerge w:val="restart"/>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2"/>
              </w:rPr>
              <w:t>Amount</w:t>
            </w:r>
          </w:p>
        </w:tc>
        <w:tc>
          <w:tcPr>
            <w:tcW w:w="3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60" w:type="dxa"/>
            <w:vAlign w:val="bottom"/>
            <w:gridSpan w:val="4"/>
          </w:tcPr>
          <w:p>
            <w:pPr>
              <w:ind w:left="60"/>
              <w:spacing w:after="0"/>
              <w:rPr>
                <w:sz w:val="20"/>
                <w:szCs w:val="20"/>
                <w:color w:val="auto"/>
              </w:rPr>
            </w:pPr>
            <w:r>
              <w:rPr>
                <w:rFonts w:ascii="Arial" w:cs="Arial" w:eastAsia="Arial" w:hAnsi="Arial"/>
                <w:sz w:val="17"/>
                <w:szCs w:val="17"/>
                <w:color w:val="0000FF"/>
              </w:rPr>
              <w:t>Class A Shares representing limited partner</w:t>
            </w: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vMerge w:val="restart"/>
          </w:tcPr>
          <w:p>
            <w:pPr>
              <w:ind w:left="60"/>
              <w:spacing w:after="0"/>
              <w:rPr>
                <w:sz w:val="20"/>
                <w:szCs w:val="20"/>
                <w:color w:val="auto"/>
              </w:rPr>
            </w:pPr>
            <w:r>
              <w:rPr>
                <w:rFonts w:ascii="Arial" w:cs="Arial" w:eastAsia="Arial" w:hAnsi="Arial"/>
                <w:sz w:val="17"/>
                <w:szCs w:val="17"/>
                <w:color w:val="0000FF"/>
              </w:rPr>
              <w:t>99,069</w:t>
            </w:r>
          </w:p>
        </w:tc>
        <w:tc>
          <w:tcPr>
            <w:tcW w:w="820" w:type="dxa"/>
            <w:vAlign w:val="bottom"/>
            <w:vMerge w:val="restart"/>
          </w:tcPr>
          <w:p>
            <w:pPr>
              <w:ind w:left="380"/>
              <w:spacing w:after="0"/>
              <w:rPr>
                <w:sz w:val="20"/>
                <w:szCs w:val="20"/>
                <w:color w:val="auto"/>
              </w:rPr>
            </w:pPr>
            <w:r>
              <w:rPr>
                <w:rFonts w:ascii="Arial" w:cs="Arial" w:eastAsia="Arial" w:hAnsi="Arial"/>
                <w:sz w:val="17"/>
                <w:szCs w:val="17"/>
                <w:color w:val="0000FF"/>
              </w:rPr>
              <w:t>D</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w w:val="99"/>
              </w:rPr>
              <w:t>interests</w:t>
            </w: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80" w:type="dxa"/>
            <w:vAlign w:val="bottom"/>
            <w:tcBorders>
              <w:bottom w:val="single" w:sz="8" w:color="2C2C2C"/>
            </w:tcBorders>
            <w:gridSpan w:val="1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76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4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and 4)</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4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7"/>
              </w:rPr>
              <w:t>Units/Class</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20" w:type="dxa"/>
            <w:vAlign w:val="bottom"/>
            <w:vMerge w:val="restart"/>
          </w:tcPr>
          <w:p>
            <w:pPr>
              <w:jc w:val="right"/>
              <w:ind w:right="121"/>
              <w:spacing w:after="0"/>
              <w:rPr>
                <w:sz w:val="20"/>
                <w:szCs w:val="20"/>
                <w:color w:val="auto"/>
              </w:rPr>
            </w:pPr>
            <w:r>
              <w:rPr>
                <w:rFonts w:ascii="Arial" w:cs="Arial" w:eastAsia="Arial" w:hAnsi="Arial"/>
                <w:sz w:val="13"/>
                <w:szCs w:val="13"/>
                <w:color w:val="0000FF"/>
              </w:rPr>
              <w:t>03/31/2021</w:t>
            </w:r>
          </w:p>
        </w:tc>
        <w:tc>
          <w:tcPr>
            <w:tcW w:w="1140" w:type="dxa"/>
            <w:vAlign w:val="bottom"/>
          </w:tcPr>
          <w:p>
            <w:pPr>
              <w:spacing w:after="0"/>
              <w:rPr>
                <w:sz w:val="17"/>
                <w:szCs w:val="17"/>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80" w:type="dxa"/>
            <w:vAlign w:val="bottom"/>
            <w:vMerge w:val="restart"/>
          </w:tcPr>
          <w:p>
            <w:pPr>
              <w:ind w:left="520"/>
              <w:spacing w:after="0"/>
              <w:rPr>
                <w:sz w:val="20"/>
                <w:szCs w:val="20"/>
                <w:color w:val="auto"/>
              </w:rPr>
            </w:pPr>
            <w:r>
              <w:rPr>
                <w:rFonts w:ascii="Arial" w:cs="Arial" w:eastAsia="Arial" w:hAnsi="Arial"/>
                <w:sz w:val="13"/>
                <w:szCs w:val="13"/>
                <w:color w:val="0000FF"/>
              </w:rPr>
              <w:t>811</w:t>
            </w:r>
          </w:p>
        </w:tc>
        <w:tc>
          <w:tcPr>
            <w:tcW w:w="26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Arial" w:cs="Arial" w:eastAsia="Arial" w:hAnsi="Arial"/>
                <w:sz w:val="11"/>
                <w:szCs w:val="11"/>
                <w:color w:val="008000"/>
              </w:rPr>
              <w:t>(1)(2)</w:t>
            </w:r>
          </w:p>
        </w:tc>
        <w:tc>
          <w:tcPr>
            <w:tcW w:w="280" w:type="dxa"/>
            <w:vAlign w:val="bottom"/>
          </w:tcPr>
          <w:p>
            <w:pPr>
              <w:spacing w:after="0"/>
              <w:rPr>
                <w:sz w:val="17"/>
                <w:szCs w:val="17"/>
                <w:color w:val="auto"/>
              </w:rPr>
            </w:pPr>
          </w:p>
        </w:tc>
        <w:tc>
          <w:tcPr>
            <w:tcW w:w="520" w:type="dxa"/>
            <w:vAlign w:val="bottom"/>
            <w:vMerge w:val="restart"/>
          </w:tcPr>
          <w:p>
            <w:pPr>
              <w:spacing w:after="0"/>
              <w:rPr>
                <w:sz w:val="20"/>
                <w:szCs w:val="20"/>
                <w:color w:val="auto"/>
              </w:rPr>
            </w:pPr>
            <w:r>
              <w:rPr>
                <w:rFonts w:ascii="Arial" w:cs="Arial" w:eastAsia="Arial" w:hAnsi="Arial"/>
                <w:sz w:val="11"/>
                <w:szCs w:val="11"/>
                <w:color w:val="008000"/>
              </w:rPr>
              <w:t>(1)(2)</w:t>
            </w:r>
          </w:p>
        </w:tc>
        <w:tc>
          <w:tcPr>
            <w:tcW w:w="360" w:type="dxa"/>
            <w:vAlign w:val="bottom"/>
          </w:tcPr>
          <w:p>
            <w:pPr>
              <w:ind w:left="60"/>
              <w:spacing w:after="0"/>
              <w:rPr>
                <w:sz w:val="20"/>
                <w:szCs w:val="20"/>
                <w:color w:val="auto"/>
              </w:rPr>
            </w:pPr>
            <w:r>
              <w:rPr>
                <w:rFonts w:ascii="Arial" w:cs="Arial" w:eastAsia="Arial" w:hAnsi="Arial"/>
                <w:sz w:val="13"/>
                <w:szCs w:val="13"/>
                <w:color w:val="0000FF"/>
                <w:w w:val="86"/>
              </w:rPr>
              <w:t>Class</w:t>
            </w: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w w:val="77"/>
              </w:rPr>
              <w:t>811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vMerge w:val="restart"/>
          </w:tcPr>
          <w:p>
            <w:pPr>
              <w:jc w:val="right"/>
              <w:ind w:right="2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00" w:type="dxa"/>
            <w:vAlign w:val="bottom"/>
            <w:vMerge w:val="restart"/>
          </w:tcPr>
          <w:p>
            <w:pPr>
              <w:ind w:left="140"/>
              <w:spacing w:after="0"/>
              <w:rPr>
                <w:sz w:val="20"/>
                <w:szCs w:val="20"/>
                <w:color w:val="auto"/>
              </w:rPr>
            </w:pPr>
            <w:r>
              <w:rPr>
                <w:rFonts w:ascii="Arial" w:cs="Arial" w:eastAsia="Arial" w:hAnsi="Arial"/>
                <w:sz w:val="13"/>
                <w:szCs w:val="13"/>
                <w:color w:val="0000FF"/>
                <w:w w:val="90"/>
              </w:rPr>
              <w:t>15,834,024</w:t>
            </w:r>
            <w:r>
              <w:rPr>
                <w:rFonts w:ascii="Arial" w:cs="Arial" w:eastAsia="Arial" w:hAnsi="Arial"/>
                <w:sz w:val="21"/>
                <w:szCs w:val="21"/>
                <w:color w:val="008000"/>
                <w:w w:val="90"/>
                <w:vertAlign w:val="superscript"/>
              </w:rPr>
              <w:t>(4)</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860" w:type="dxa"/>
            <w:vAlign w:val="bottom"/>
            <w:gridSpan w:val="2"/>
          </w:tcPr>
          <w:p>
            <w:pPr>
              <w:ind w:left="20"/>
              <w:spacing w:after="0" w:line="202" w:lineRule="exact"/>
              <w:rPr>
                <w:sz w:val="20"/>
                <w:szCs w:val="20"/>
                <w:color w:val="auto"/>
              </w:rPr>
            </w:pPr>
            <w:r>
              <w:rPr>
                <w:rFonts w:ascii="Arial" w:cs="Arial" w:eastAsia="Arial" w:hAnsi="Arial"/>
                <w:sz w:val="13"/>
                <w:szCs w:val="13"/>
                <w:color w:val="0000FF"/>
                <w:w w:val="84"/>
              </w:rPr>
              <w:t>See footnotes</w:t>
            </w:r>
            <w:r>
              <w:rPr>
                <w:rFonts w:ascii="Arial" w:cs="Arial" w:eastAsia="Arial" w:hAnsi="Arial"/>
                <w:sz w:val="21"/>
                <w:szCs w:val="21"/>
                <w:color w:val="008000"/>
                <w:w w:val="84"/>
                <w:vertAlign w:val="superscript"/>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ind w:left="60"/>
              <w:spacing w:after="0" w:line="116" w:lineRule="exact"/>
              <w:rPr>
                <w:sz w:val="20"/>
                <w:szCs w:val="20"/>
                <w:color w:val="auto"/>
              </w:rPr>
            </w:pPr>
            <w:r>
              <w:rPr>
                <w:rFonts w:ascii="Arial" w:cs="Arial" w:eastAsia="Arial" w:hAnsi="Arial"/>
                <w:sz w:val="13"/>
                <w:szCs w:val="13"/>
                <w:color w:val="0000FF"/>
              </w:rPr>
              <w:t>B</w:t>
            </w:r>
          </w:p>
        </w:tc>
        <w:tc>
          <w:tcPr>
            <w:tcW w:w="7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60" w:type="dxa"/>
            <w:vAlign w:val="bottom"/>
          </w:tcPr>
          <w:p>
            <w:pPr>
              <w:ind w:left="140"/>
              <w:spacing w:after="0" w:line="116" w:lineRule="exact"/>
              <w:rPr>
                <w:sz w:val="20"/>
                <w:szCs w:val="20"/>
                <w:color w:val="auto"/>
              </w:rPr>
            </w:pPr>
            <w:r>
              <w:rPr>
                <w:rFonts w:ascii="Arial" w:cs="Arial" w:eastAsia="Arial" w:hAnsi="Arial"/>
                <w:sz w:val="13"/>
                <w:szCs w:val="13"/>
                <w:color w:val="0000FF"/>
              </w:rPr>
              <w:t>A</w:t>
            </w: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tcPr>
          <w:p>
            <w:pPr>
              <w:ind w:left="20"/>
              <w:spacing w:after="0" w:line="116" w:lineRule="exact"/>
              <w:rPr>
                <w:sz w:val="20"/>
                <w:szCs w:val="20"/>
                <w:color w:val="auto"/>
              </w:rPr>
            </w:pPr>
            <w:r>
              <w:rPr>
                <w:rFonts w:ascii="Arial" w:cs="Arial" w:eastAsia="Arial" w:hAnsi="Arial"/>
                <w:sz w:val="11"/>
                <w:szCs w:val="11"/>
                <w:color w:val="008000"/>
              </w:rPr>
              <w:t>(2)(3)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ind w:left="60"/>
              <w:spacing w:after="0" w:line="117" w:lineRule="exact"/>
              <w:rPr>
                <w:sz w:val="20"/>
                <w:szCs w:val="20"/>
                <w:color w:val="auto"/>
              </w:rPr>
            </w:pPr>
            <w:r>
              <w:rPr>
                <w:rFonts w:ascii="Arial" w:cs="Arial" w:eastAsia="Arial" w:hAnsi="Arial"/>
                <w:sz w:val="13"/>
                <w:szCs w:val="13"/>
                <w:color w:val="0000FF"/>
              </w:rPr>
              <w:t>Shares/GP</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ind w:left="20"/>
              <w:spacing w:after="0" w:line="117" w:lineRule="exact"/>
              <w:rPr>
                <w:sz w:val="20"/>
                <w:szCs w:val="20"/>
                <w:color w:val="auto"/>
              </w:rPr>
            </w:pPr>
            <w:r>
              <w:rPr>
                <w:rFonts w:ascii="Arial" w:cs="Arial" w:eastAsia="Arial" w:hAnsi="Arial"/>
                <w:sz w:val="13"/>
                <w:szCs w:val="13"/>
                <w:color w:val="0000FF"/>
                <w:w w:val="77"/>
              </w:rPr>
              <w:t>Shares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50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the Vice Chairman of Kayne Anderson Capital Advisors, L.P. ("KACALP"), the managing member of the manager of KAFU Holdings (QP), L.P. ("KAFU"), and therefore he may be deemed to be the beneficial owner of all of the interests held by KAFU.</w:t>
      </w:r>
    </w:p>
    <w:p>
      <w:pPr>
        <w:spacing w:after="0" w:line="26" w:lineRule="exact"/>
        <w:rPr>
          <w:rFonts w:ascii="Arial" w:cs="Arial" w:eastAsia="Arial" w:hAnsi="Arial"/>
          <w:sz w:val="13"/>
          <w:szCs w:val="13"/>
          <w:color w:val="008000"/>
        </w:rPr>
      </w:pPr>
    </w:p>
    <w:p>
      <w:pPr>
        <w:ind w:left="40" w:right="16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limited partnership agreement of Plains AAP, L.P. ("AAP") provides that each limited partner of AAP, including KAFU, has the right at any time (without expiration) and from time to time, to exchange (the "Exchange Right") its Class A Units in AAP (the "AAP Units"), along with the associated Class B shares in the Issuer (the "Class B Shares") and GP Units in PAA GP Holdings LLC (the "GP Units") for Class A Shares of the Issuer on a one-for-one basis. The Exchange Right may be settled in cash at the option of the Issuer and, as a result, the Reporting Person may not be deemed to beneficially own any of the securities reported herein as indirectly owned. For reporting purposes, however, the number of securities reported as indirectly owned represents the number of AAP Units, Class B Shares and GP Units owned by KAFU that are potentially exchangeable for an equivalent number of Class A Shares.</w:t>
      </w:r>
    </w:p>
    <w:p>
      <w:pPr>
        <w:spacing w:after="0" w:line="3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the securities held by KAFU, except to the extent of his pecuniary interest therein.</w:t>
      </w:r>
    </w:p>
    <w:p>
      <w:pPr>
        <w:spacing w:after="0" w:line="43" w:lineRule="exact"/>
        <w:rPr>
          <w:rFonts w:ascii="Arial" w:cs="Arial" w:eastAsia="Arial" w:hAnsi="Arial"/>
          <w:sz w:val="13"/>
          <w:szCs w:val="13"/>
          <w:color w:val="008000"/>
        </w:rPr>
      </w:pPr>
    </w:p>
    <w:p>
      <w:pPr>
        <w:ind w:left="40" w:right="1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4,891 Class A units. As a result, such Class A units were cancelled and 4,891 Common Units of Plains All American Pipeline, L.P. were distributed by AAP to KAFU. The number of derivative securities owned reflects both the exchange transaction reported herein and the simultaneous redemption transaction.</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/s/Kevin S. McCarthy</w:t>
            </w:r>
          </w:p>
        </w:tc>
        <w:tc>
          <w:tcPr>
            <w:tcW w:w="7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4183"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2021-04-01T12:05:55Z</dcterms:created>
  <dcterms:modified xsi:type="dcterms:W3CDTF">2021-04-01T12:05:55Z</dcterms:modified>
</cp:coreProperties>
</file>