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ind w:left="720" w:right="300" w:hanging="388"/>
        <w:spacing w:after="0" w:line="256" w:lineRule="auto"/>
        <w:tabs>
          <w:tab w:leader="none" w:pos="588"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20" w:right="240" w:hanging="388"/>
        <w:spacing w:after="0" w:line="256" w:lineRule="auto"/>
        <w:tabs>
          <w:tab w:leader="none" w:pos="628"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tbl>
      <w:tblPr>
        <w:tblLayout w:type="fixed"/>
        <w:tblInd w:w="1140" w:type="dxa"/>
        <w:tblCellMar>
          <w:top w:w="0" w:type="dxa"/>
          <w:left w:w="0" w:type="dxa"/>
          <w:bottom w:w="0" w:type="dxa"/>
          <w:right w:w="0" w:type="dxa"/>
        </w:tblCellMar>
      </w:tblPr>
      <w:tr>
        <w:trPr>
          <w:trHeight w:val="230"/>
        </w:trPr>
        <w:tc>
          <w:tcPr>
            <w:tcW w:w="6660" w:type="dxa"/>
            <w:vAlign w:val="bottom"/>
          </w:tcPr>
          <w:p>
            <w:pPr>
              <w:jc w:val="center"/>
              <w:ind w:left="2410"/>
              <w:spacing w:after="0"/>
              <w:rPr>
                <w:sz w:val="20"/>
                <w:szCs w:val="20"/>
                <w:color w:val="auto"/>
              </w:rPr>
            </w:pPr>
            <w:r>
              <w:rPr>
                <w:rFonts w:ascii="Arial" w:cs="Arial" w:eastAsia="Arial" w:hAnsi="Arial"/>
                <w:sz w:val="18"/>
                <w:szCs w:val="18"/>
                <w:color w:val="auto"/>
                <w:w w:val="90"/>
              </w:rPr>
              <w:t>(Exact name of registrant as specified in its charter)</w:t>
            </w:r>
          </w:p>
        </w:tc>
        <w:tc>
          <w:tcPr>
            <w:tcW w:w="1500" w:type="dxa"/>
            <w:vAlign w:val="bottom"/>
          </w:tcPr>
          <w:p>
            <w:pPr>
              <w:spacing w:after="0"/>
              <w:rPr>
                <w:sz w:val="20"/>
                <w:szCs w:val="20"/>
                <w:color w:val="auto"/>
              </w:rPr>
            </w:pPr>
          </w:p>
        </w:tc>
      </w:tr>
      <w:tr>
        <w:trPr>
          <w:trHeight w:val="402"/>
        </w:trPr>
        <w:tc>
          <w:tcPr>
            <w:tcW w:w="6660" w:type="dxa"/>
            <w:vAlign w:val="bottom"/>
          </w:tcPr>
          <w:p>
            <w:pPr>
              <w:jc w:val="center"/>
              <w:ind w:right="3250"/>
              <w:spacing w:after="0"/>
              <w:rPr>
                <w:sz w:val="20"/>
                <w:szCs w:val="20"/>
                <w:color w:val="auto"/>
              </w:rPr>
            </w:pPr>
            <w:r>
              <w:rPr>
                <w:rFonts w:ascii="Arial" w:cs="Arial" w:eastAsia="Arial" w:hAnsi="Arial"/>
                <w:sz w:val="18"/>
                <w:szCs w:val="18"/>
                <w:b w:val="1"/>
                <w:bCs w:val="1"/>
                <w:color w:val="auto"/>
                <w:w w:val="91"/>
              </w:rPr>
              <w:t>Delaware</w:t>
            </w: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76-0582150</w:t>
            </w:r>
          </w:p>
        </w:tc>
      </w:tr>
      <w:tr>
        <w:trPr>
          <w:trHeight w:val="216"/>
        </w:trPr>
        <w:tc>
          <w:tcPr>
            <w:tcW w:w="6660" w:type="dxa"/>
            <w:vAlign w:val="bottom"/>
          </w:tcPr>
          <w:p>
            <w:pPr>
              <w:jc w:val="center"/>
              <w:ind w:right="3250"/>
              <w:spacing w:after="0"/>
              <w:rPr>
                <w:sz w:val="20"/>
                <w:szCs w:val="20"/>
                <w:color w:val="auto"/>
              </w:rPr>
            </w:pPr>
            <w:r>
              <w:rPr>
                <w:rFonts w:ascii="Arial" w:cs="Arial" w:eastAsia="Arial" w:hAnsi="Arial"/>
                <w:sz w:val="18"/>
                <w:szCs w:val="18"/>
                <w:color w:val="auto"/>
                <w:w w:val="92"/>
              </w:rPr>
              <w:t>(State or other jurisdiction of</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2"/>
              </w:rPr>
              <w:t>(I.R.S. Employer</w:t>
            </w:r>
          </w:p>
        </w:tc>
      </w:tr>
      <w:tr>
        <w:trPr>
          <w:trHeight w:val="230"/>
        </w:trPr>
        <w:tc>
          <w:tcPr>
            <w:tcW w:w="6660" w:type="dxa"/>
            <w:vAlign w:val="bottom"/>
          </w:tcPr>
          <w:p>
            <w:pPr>
              <w:jc w:val="center"/>
              <w:ind w:right="3250"/>
              <w:spacing w:after="0"/>
              <w:rPr>
                <w:sz w:val="20"/>
                <w:szCs w:val="20"/>
                <w:color w:val="auto"/>
              </w:rPr>
            </w:pPr>
            <w:r>
              <w:rPr>
                <w:rFonts w:ascii="Arial" w:cs="Arial" w:eastAsia="Arial" w:hAnsi="Arial"/>
                <w:sz w:val="18"/>
                <w:szCs w:val="18"/>
                <w:color w:val="auto"/>
                <w:w w:val="92"/>
              </w:rPr>
              <w:t>incorporation or organization)</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660" w:type="dxa"/>
            <w:vAlign w:val="bottom"/>
          </w:tcPr>
          <w:p>
            <w:pPr>
              <w:jc w:val="center"/>
              <w:ind w:right="3250"/>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77002</w:t>
            </w:r>
          </w:p>
        </w:tc>
      </w:tr>
      <w:tr>
        <w:trPr>
          <w:trHeight w:val="230"/>
        </w:trPr>
        <w:tc>
          <w:tcPr>
            <w:tcW w:w="6660" w:type="dxa"/>
            <w:vAlign w:val="bottom"/>
          </w:tcPr>
          <w:p>
            <w:pPr>
              <w:jc w:val="center"/>
              <w:ind w:right="3230"/>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1"/>
              </w:rPr>
              <w:t>(Zip Code)</w:t>
            </w:r>
          </w:p>
        </w:tc>
      </w:tr>
      <w:tr>
        <w:trPr>
          <w:trHeight w:val="418"/>
        </w:trPr>
        <w:tc>
          <w:tcPr>
            <w:tcW w:w="6660" w:type="dxa"/>
            <w:vAlign w:val="bottom"/>
          </w:tcPr>
          <w:p>
            <w:pPr>
              <w:jc w:val="center"/>
              <w:ind w:left="2410"/>
              <w:spacing w:after="0"/>
              <w:rPr>
                <w:sz w:val="20"/>
                <w:szCs w:val="20"/>
                <w:color w:val="auto"/>
              </w:rPr>
            </w:pPr>
            <w:r>
              <w:rPr>
                <w:rFonts w:ascii="Arial" w:cs="Arial" w:eastAsia="Arial" w:hAnsi="Arial"/>
                <w:sz w:val="18"/>
                <w:szCs w:val="18"/>
                <w:b w:val="1"/>
                <w:bCs w:val="1"/>
                <w:color w:val="auto"/>
                <w:w w:val="90"/>
              </w:rPr>
              <w:t>(713) 646-4100</w:t>
            </w:r>
          </w:p>
        </w:tc>
        <w:tc>
          <w:tcPr>
            <w:tcW w:w="1500" w:type="dxa"/>
            <w:vAlign w:val="bottom"/>
          </w:tcPr>
          <w:p>
            <w:pPr>
              <w:spacing w:after="0"/>
              <w:rPr>
                <w:sz w:val="24"/>
                <w:szCs w:val="24"/>
                <w:color w:val="auto"/>
              </w:rPr>
            </w:pPr>
          </w:p>
        </w:tc>
      </w:tr>
      <w:tr>
        <w:trPr>
          <w:trHeight w:val="230"/>
        </w:trPr>
        <w:tc>
          <w:tcPr>
            <w:tcW w:w="6660" w:type="dxa"/>
            <w:vAlign w:val="bottom"/>
          </w:tcPr>
          <w:p>
            <w:pPr>
              <w:jc w:val="center"/>
              <w:ind w:left="2390"/>
              <w:spacing w:after="0"/>
              <w:rPr>
                <w:sz w:val="20"/>
                <w:szCs w:val="20"/>
                <w:color w:val="auto"/>
              </w:rPr>
            </w:pPr>
            <w:r>
              <w:rPr>
                <w:rFonts w:ascii="Arial" w:cs="Arial" w:eastAsia="Arial" w:hAnsi="Arial"/>
                <w:sz w:val="18"/>
                <w:szCs w:val="18"/>
                <w:color w:val="auto"/>
                <w:w w:val="90"/>
              </w:rPr>
              <w:t>(Registrant’s telephone number, including area code)</w:t>
            </w:r>
          </w:p>
        </w:tc>
        <w:tc>
          <w:tcPr>
            <w:tcW w:w="15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81"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o No</w:t>
      </w:r>
    </w:p>
    <w:p>
      <w:pPr>
        <w:spacing w:after="0" w:line="181" w:lineRule="exact"/>
        <w:rPr>
          <w:sz w:val="24"/>
          <w:szCs w:val="24"/>
          <w:color w:val="auto"/>
        </w:rPr>
      </w:pPr>
    </w:p>
    <w:p>
      <w:pPr>
        <w:ind w:right="4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7" w:lineRule="exact"/>
        <w:rPr>
          <w:sz w:val="24"/>
          <w:szCs w:val="24"/>
          <w:color w:val="auto"/>
        </w:rPr>
      </w:pPr>
    </w:p>
    <w:p>
      <w:pPr>
        <w:ind w:left="1900"/>
        <w:spacing w:after="0"/>
        <w:tabs>
          <w:tab w:leader="none" w:pos="792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7"/>
          <w:szCs w:val="17"/>
          <w:color w:val="auto"/>
        </w:rPr>
        <w:t>Accelerated filer o</w:t>
      </w:r>
    </w:p>
    <w:p>
      <w:pPr>
        <w:spacing w:after="0" w:line="225" w:lineRule="exact"/>
        <w:rPr>
          <w:sz w:val="24"/>
          <w:szCs w:val="24"/>
          <w:color w:val="auto"/>
        </w:rPr>
      </w:pPr>
    </w:p>
    <w:p>
      <w:pPr>
        <w:ind w:left="1960"/>
        <w:spacing w:after="0"/>
        <w:tabs>
          <w:tab w:leader="none" w:pos="754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(Do not check if a smaller reporting company)</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July 31, 2014, there were 368,940,903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380"/>
          </w:cols>
          <w:pgMar w:left="240" w:top="233" w:right="279" w:bottom="0" w:gutter="0" w:footer="0" w:header="0"/>
        </w:sectPr>
      </w:pPr>
    </w:p>
    <w:p>
      <w:pPr>
        <w:spacing w:after="0" w:line="202" w:lineRule="exact"/>
        <w:rPr>
          <w:sz w:val="24"/>
          <w:szCs w:val="24"/>
          <w:color w:val="auto"/>
        </w:rPr>
      </w:pPr>
    </w:p>
    <w:p>
      <w:pPr>
        <w:ind w:left="1096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6857365</wp:posOffset>
            </wp:positionH>
            <wp:positionV relativeFrom="paragraph">
              <wp:posOffset>20955</wp:posOffset>
            </wp:positionV>
            <wp:extent cx="3943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ectPr>
          <w:pgSz w:w="11900" w:h="16838" w:orient="portrait"/>
          <w:cols w:equalWidth="0" w:num="1">
            <w:col w:w="11380"/>
          </w:cols>
          <w:pgMar w:left="240" w:top="233" w:right="2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3080" w:type="dxa"/>
            <w:vAlign w:val="bottom"/>
            <w:tcBorders>
              <w:bottom w:val="single" w:sz="8" w:color="0000EE"/>
            </w:tcBorders>
            <w:gridSpan w:val="1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7860" w:type="dxa"/>
            <w:vAlign w:val="bottom"/>
            <w:gridSpan w:val="16"/>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642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w:anchor="page2">
              <w:r>
                <w:rPr>
                  <w:rFonts w:ascii="Arial" w:cs="Arial" w:eastAsia="Arial" w:hAnsi="Arial"/>
                  <w:sz w:val="18"/>
                  <w:szCs w:val="18"/>
                  <w:color w:val="0000EE"/>
                  <w:w w:val="96"/>
                </w:rPr>
                <w:t>Item 1. UNAUDITED CONDENSED CONSOLIDATED FINANCIAL STATEMENTS:</w:t>
              </w:r>
            </w:hyperlink>
          </w:p>
        </w:tc>
        <w:tc>
          <w:tcPr>
            <w:tcW w:w="452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10740" w:type="dxa"/>
            <w:vAlign w:val="bottom"/>
            <w:gridSpan w:val="33"/>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As of June 30, 2014 and December 31, 2013</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040" w:type="dxa"/>
            <w:vAlign w:val="bottom"/>
            <w:tcBorders>
              <w:bottom w:val="single" w:sz="8" w:color="0000EE"/>
            </w:tcBorders>
            <w:gridSpan w:val="28"/>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Operations: For the three and six months ended June 30, 2014 and 2013</w:t>
              </w:r>
            </w:hyperlink>
          </w:p>
        </w:tc>
        <w:tc>
          <w:tcPr>
            <w:tcW w:w="2700" w:type="dxa"/>
            <w:vAlign w:val="bottom"/>
            <w:gridSpan w:val="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10740" w:type="dxa"/>
            <w:vAlign w:val="bottom"/>
            <w:gridSpan w:val="3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Income: For the three and six months ended June 30, 2014 and 2013</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740" w:type="dxa"/>
            <w:vAlign w:val="bottom"/>
            <w:gridSpan w:val="33"/>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Changes in Accumulated Other Comprehensive Income / (Loss): For the six months ended June 30, 2014</w:t>
              </w:r>
            </w:hyperlink>
          </w:p>
        </w:tc>
        <w:tc>
          <w:tcPr>
            <w:tcW w:w="52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and 2013</w:t>
              </w:r>
            </w:hyperlink>
          </w:p>
        </w:tc>
        <w:tc>
          <w:tcPr>
            <w:tcW w:w="9600" w:type="dxa"/>
            <w:vAlign w:val="bottom"/>
            <w:tcBorders>
              <w:top w:val="single" w:sz="8" w:color="0000EE"/>
            </w:tcBorders>
            <w:gridSpan w:val="27"/>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738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Cash Flows: For the six months ended June 30, 2014 and 2013</w:t>
              </w:r>
            </w:hyperlink>
          </w:p>
        </w:tc>
        <w:tc>
          <w:tcPr>
            <w:tcW w:w="3360" w:type="dxa"/>
            <w:vAlign w:val="bottom"/>
            <w:gridSpan w:val="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860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Changes in Partners’ Capital: For the six months ended June 30, 2014 and 2013</w:t>
              </w:r>
            </w:hyperlink>
          </w:p>
        </w:tc>
        <w:tc>
          <w:tcPr>
            <w:tcW w:w="214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00" w:type="dxa"/>
            <w:vAlign w:val="bottom"/>
          </w:tcPr>
          <w:p>
            <w:pPr>
              <w:spacing w:after="0"/>
              <w:rPr>
                <w:sz w:val="17"/>
                <w:szCs w:val="17"/>
                <w:color w:val="auto"/>
              </w:rPr>
            </w:pPr>
          </w:p>
        </w:tc>
        <w:tc>
          <w:tcPr>
            <w:tcW w:w="10740" w:type="dxa"/>
            <w:vAlign w:val="bottom"/>
            <w:gridSpan w:val="3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the Condensed Consolidated Financial Statements:</w:t>
              </w:r>
            </w:hyperlink>
          </w:p>
        </w:tc>
        <w:tc>
          <w:tcPr>
            <w:tcW w:w="52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20" w:type="dxa"/>
            <w:vAlign w:val="bottom"/>
            <w:gridSpan w:val="3"/>
          </w:tcPr>
          <w:p>
            <w:pPr>
              <w:ind w:left="160"/>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1.</w:t>
              </w:r>
            </w:hyperlink>
          </w:p>
        </w:tc>
        <w:tc>
          <w:tcPr>
            <w:tcW w:w="10420" w:type="dxa"/>
            <w:vAlign w:val="bottom"/>
            <w:gridSpan w:val="30"/>
          </w:tcPr>
          <w:p>
            <w:pPr>
              <w:ind w:left="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Organization and Basis of Consolidation and Presentation</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2.</w:t>
              </w:r>
            </w:hyperlink>
          </w:p>
        </w:tc>
        <w:tc>
          <w:tcPr>
            <w:tcW w:w="10420" w:type="dxa"/>
            <w:vAlign w:val="bottom"/>
            <w:gridSpan w:val="30"/>
          </w:tcPr>
          <w:p>
            <w:pPr>
              <w:ind w:left="2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Recent Accounting Pronouncements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3.</w:t>
              </w:r>
            </w:hyperlink>
          </w:p>
        </w:tc>
        <w:tc>
          <w:tcPr>
            <w:tcW w:w="10420" w:type="dxa"/>
            <w:vAlign w:val="bottom"/>
            <w:gridSpan w:val="30"/>
          </w:tcPr>
          <w:p>
            <w:pPr>
              <w:ind w:left="2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Accounts Receivable</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4.</w:t>
              </w:r>
            </w:hyperlink>
          </w:p>
        </w:tc>
        <w:tc>
          <w:tcPr>
            <w:tcW w:w="10420" w:type="dxa"/>
            <w:vAlign w:val="bottom"/>
            <w:gridSpan w:val="30"/>
          </w:tcPr>
          <w:p>
            <w:pPr>
              <w:ind w:left="2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Inventory, Linefill and Base Gas and Long-term Inventory</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5.</w:t>
              </w:r>
            </w:hyperlink>
          </w:p>
        </w:tc>
        <w:tc>
          <w:tcPr>
            <w:tcW w:w="10420" w:type="dxa"/>
            <w:vAlign w:val="bottom"/>
            <w:gridSpan w:val="30"/>
          </w:tcPr>
          <w:p>
            <w:pPr>
              <w:ind w:left="2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Goodwill</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6.</w:t>
              </w:r>
            </w:hyperlink>
          </w:p>
        </w:tc>
        <w:tc>
          <w:tcPr>
            <w:tcW w:w="10420" w:type="dxa"/>
            <w:vAlign w:val="bottom"/>
            <w:gridSpan w:val="30"/>
          </w:tcPr>
          <w:p>
            <w:pPr>
              <w:ind w:left="2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Debt</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7.</w:t>
              </w:r>
            </w:hyperlink>
          </w:p>
        </w:tc>
        <w:tc>
          <w:tcPr>
            <w:tcW w:w="10420" w:type="dxa"/>
            <w:vAlign w:val="bottom"/>
            <w:gridSpan w:val="30"/>
          </w:tcPr>
          <w:p>
            <w:pPr>
              <w:ind w:left="2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Net Income Per Limited Partner Unit</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8.</w:t>
              </w:r>
            </w:hyperlink>
          </w:p>
        </w:tc>
        <w:tc>
          <w:tcPr>
            <w:tcW w:w="10420" w:type="dxa"/>
            <w:vAlign w:val="bottom"/>
            <w:gridSpan w:val="30"/>
          </w:tcPr>
          <w:p>
            <w:pPr>
              <w:ind w:left="20"/>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Partners’ Capital and Distributions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9.</w:t>
              </w:r>
            </w:hyperlink>
          </w:p>
        </w:tc>
        <w:tc>
          <w:tcPr>
            <w:tcW w:w="10420" w:type="dxa"/>
            <w:vAlign w:val="bottom"/>
            <w:gridSpan w:val="30"/>
          </w:tcPr>
          <w:p>
            <w:pPr>
              <w:ind w:left="20"/>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Equity-Indexed Compensation Plans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10. Derivatives and Risk Management Activities</w:t>
              </w:r>
            </w:hyperlink>
          </w:p>
        </w:tc>
        <w:tc>
          <w:tcPr>
            <w:tcW w:w="7060" w:type="dxa"/>
            <w:vAlign w:val="bottom"/>
            <w:gridSpan w:val="1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6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11. Commitments and Contingencies</w:t>
              </w:r>
            </w:hyperlink>
          </w:p>
        </w:tc>
        <w:tc>
          <w:tcPr>
            <w:tcW w:w="7880" w:type="dxa"/>
            <w:vAlign w:val="bottom"/>
            <w:gridSpan w:val="1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540" w:type="dxa"/>
            <w:vAlign w:val="bottom"/>
            <w:gridSpan w:val="3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12. Operating Segments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540" w:type="dxa"/>
            <w:vAlign w:val="bottom"/>
            <w:gridSpan w:val="3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13. Related Party Transactions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400" w:type="dxa"/>
            <w:vAlign w:val="bottom"/>
            <w:gridSpan w:val="3"/>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9480" w:type="dxa"/>
            <w:vAlign w:val="bottom"/>
            <w:tcBorders>
              <w:bottom w:val="single" w:sz="8" w:color="0000EE"/>
            </w:tcBorders>
            <w:gridSpan w:val="32"/>
          </w:tcPr>
          <w:p>
            <w:pPr>
              <w:spacing w:after="0"/>
              <w:rPr>
                <w:rFonts w:ascii="Arial" w:cs="Arial" w:eastAsia="Arial" w:hAnsi="Arial"/>
                <w:sz w:val="18"/>
                <w:szCs w:val="18"/>
                <w:color w:val="0000EE"/>
                <w:w w:val="96"/>
              </w:rPr>
            </w:pPr>
            <w:hyperlink w:anchor="page19">
              <w:r>
                <w:rPr>
                  <w:rFonts w:ascii="Arial" w:cs="Arial" w:eastAsia="Arial" w:hAnsi="Arial"/>
                  <w:sz w:val="18"/>
                  <w:szCs w:val="18"/>
                  <w:color w:val="0000EE"/>
                  <w:w w:val="96"/>
                </w:rPr>
                <w:t>Item 2. MANAGEMENT’S DISCUSSION AND ANALYSIS OF FINANCIAL CONDITION AND RESULTS OF OPERATIONS</w:t>
              </w:r>
            </w:hyperlink>
          </w:p>
        </w:tc>
        <w:tc>
          <w:tcPr>
            <w:tcW w:w="146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96"/>
        </w:trPr>
        <w:tc>
          <w:tcPr>
            <w:tcW w:w="10940" w:type="dxa"/>
            <w:vAlign w:val="bottom"/>
            <w:gridSpan w:val="3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3. QUANTITATIVE AND QUALITATIVE DISCLOSURES ABOUT MARKET RISK</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67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4. CONTROLS AND PROCEDURES</w:t>
              </w:r>
            </w:hyperlink>
          </w:p>
        </w:tc>
        <w:tc>
          <w:tcPr>
            <w:tcW w:w="4240" w:type="dxa"/>
            <w:vAlign w:val="bottom"/>
            <w:gridSpan w:val="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412"/>
        </w:trPr>
        <w:tc>
          <w:tcPr>
            <w:tcW w:w="2780" w:type="dxa"/>
            <w:vAlign w:val="bottom"/>
            <w:tcBorders>
              <w:top w:val="single" w:sz="8" w:color="0000EE"/>
              <w:bottom w:val="single" w:sz="8" w:color="0000EE"/>
            </w:tcBorders>
            <w:gridSpan w:val="15"/>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OTHER INFORMATION</w:t>
              </w:r>
            </w:hyperlink>
          </w:p>
        </w:tc>
        <w:tc>
          <w:tcPr>
            <w:tcW w:w="400" w:type="dxa"/>
            <w:vAlign w:val="bottom"/>
            <w:tcBorders>
              <w:top w:val="single" w:sz="8" w:color="0000EE"/>
            </w:tcBorders>
            <w:gridSpan w:val="4"/>
          </w:tcPr>
          <w:p>
            <w:pPr>
              <w:spacing w:after="0"/>
              <w:rPr>
                <w:sz w:val="24"/>
                <w:szCs w:val="24"/>
                <w:color w:val="auto"/>
              </w:rPr>
            </w:pPr>
          </w:p>
        </w:tc>
        <w:tc>
          <w:tcPr>
            <w:tcW w:w="7760" w:type="dxa"/>
            <w:vAlign w:val="bottom"/>
            <w:gridSpan w:val="15"/>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244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Item 1. LEGAL PROCEEDINGS</w:t>
              </w:r>
            </w:hyperlink>
          </w:p>
        </w:tc>
        <w:tc>
          <w:tcPr>
            <w:tcW w:w="8500" w:type="dxa"/>
            <w:vAlign w:val="bottom"/>
            <w:gridSpan w:val="2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0940" w:type="dxa"/>
            <w:vAlign w:val="bottom"/>
            <w:gridSpan w:val="3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1A. RISK FACTORS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1100" w:type="dxa"/>
            <w:vAlign w:val="bottom"/>
            <w:gridSpan w:val="7"/>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430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6640" w:type="dxa"/>
            <w:vAlign w:val="bottom"/>
            <w:tcBorders>
              <w:bottom w:val="single" w:sz="8" w:color="0000EE"/>
            </w:tcBorders>
            <w:gridSpan w:val="26"/>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Item 2. UNREGISTERED SALES OF EQUITY SECURITIES AND USE OF PROCEEDS</w:t>
              </w:r>
            </w:hyperlink>
          </w:p>
        </w:tc>
        <w:tc>
          <w:tcPr>
            <w:tcW w:w="4300" w:type="dxa"/>
            <w:vAlign w:val="bottom"/>
            <w:gridSpan w:val="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0940" w:type="dxa"/>
            <w:vAlign w:val="bottom"/>
            <w:gridSpan w:val="3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3. DEFAULTS UPON SENIOR SECURITIES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37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4. MINE SAFETY DISCLOSURES</w:t>
              </w:r>
            </w:hyperlink>
          </w:p>
        </w:tc>
        <w:tc>
          <w:tcPr>
            <w:tcW w:w="7200" w:type="dxa"/>
            <w:vAlign w:val="bottom"/>
            <w:gridSpan w:val="1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30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5. OTHER INFORMATION</w:t>
              </w:r>
            </w:hyperlink>
          </w:p>
        </w:tc>
        <w:tc>
          <w:tcPr>
            <w:tcW w:w="7940" w:type="dxa"/>
            <w:vAlign w:val="bottom"/>
            <w:gridSpan w:val="1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24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6. EXHIBITS</w:t>
              </w:r>
            </w:hyperlink>
          </w:p>
        </w:tc>
        <w:tc>
          <w:tcPr>
            <w:tcW w:w="8500" w:type="dxa"/>
            <w:vAlign w:val="bottom"/>
            <w:gridSpan w:val="2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3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9560" w:type="dxa"/>
            <w:vAlign w:val="bottom"/>
            <w:gridSpan w:val="2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453"/>
        </w:trPr>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gridSpan w:val="3"/>
          </w:tcPr>
          <w:p>
            <w:pPr>
              <w:spacing w:after="0"/>
              <w:rPr>
                <w:sz w:val="24"/>
                <w:szCs w:val="24"/>
                <w:color w:val="auto"/>
              </w:rPr>
            </w:pPr>
          </w:p>
        </w:tc>
        <w:tc>
          <w:tcPr>
            <w:tcW w:w="5320" w:type="dxa"/>
            <w:vAlign w:val="bottom"/>
            <w:gridSpan w:val="18"/>
          </w:tcPr>
          <w:p>
            <w:pPr>
              <w:jc w:val="right"/>
              <w:ind w:right="6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32"/>
        </w:trPr>
        <w:tc>
          <w:tcPr>
            <w:tcW w:w="2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6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UNAUDITED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 net</w:t>
            </w: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Inventory</w:t>
            </w: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1,096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current assets</w:t>
            </w:r>
          </w:p>
        </w:tc>
        <w:tc>
          <w:tcPr>
            <w:tcW w:w="22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5,168</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13,410</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Property and equipment, net</w:t>
            </w:r>
          </w:p>
        </w:tc>
        <w:tc>
          <w:tcPr>
            <w:tcW w:w="22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11,613</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Linefill and base gas</w:t>
            </w: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895</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545</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22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21,495</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LIABILITIES AND PARTNERS’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95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95885"/>
                    </a:xfrm>
                    <a:prstGeom prst="rect">
                      <a:avLst/>
                    </a:prstGeom>
                    <a:noFill/>
                  </pic:spPr>
                </pic:pic>
              </a:graphicData>
            </a:graphic>
          </wp:anchor>
        </w:drawing>
      </w:r>
    </w:p>
    <w:p>
      <w:pPr>
        <w:sectPr>
          <w:pgSz w:w="11900" w:h="16838" w:orient="portrait"/>
          <w:cols w:equalWidth="0" w:num="1">
            <w:col w:w="11460"/>
          </w:cols>
          <w:pgMar w:left="240" w:top="108"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4,301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Short-term debt</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763</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359</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current liabilities</w:t>
            </w:r>
          </w:p>
        </w:tc>
        <w:tc>
          <w:tcPr>
            <w:tcW w:w="1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5,423</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 of $16 and $15, respectively</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7,409</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Long-term debt under credit facilities and other</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546</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long-term liabilities</w:t>
            </w:r>
          </w:p>
        </w:tc>
        <w:tc>
          <w:tcPr>
            <w:tcW w:w="1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7,960</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PARTNERS’ CAPITAL</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Common unitholders (367,822,748 and 359,133,200 units outstanding, respectively)</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7,731</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General partner</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322</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partners’ capital excluding noncontrolling interests</w:t>
            </w:r>
          </w:p>
        </w:tc>
        <w:tc>
          <w:tcPr>
            <w:tcW w:w="1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8,053</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partners’ capital</w:t>
            </w:r>
          </w:p>
        </w:tc>
        <w:tc>
          <w:tcPr>
            <w:tcW w:w="1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8,112</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110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21,495</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left="493"/>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4"/>
          </w:tcPr>
          <w:p>
            <w:pPr>
              <w:jc w:val="center"/>
              <w:ind w:left="473"/>
              <w:spacing w:after="0" w:line="142" w:lineRule="exact"/>
              <w:rPr>
                <w:sz w:val="20"/>
                <w:szCs w:val="20"/>
                <w:color w:val="auto"/>
              </w:rPr>
            </w:pPr>
            <w:r>
              <w:rPr>
                <w:rFonts w:ascii="Arial" w:cs="Arial" w:eastAsia="Arial" w:hAnsi="Arial"/>
                <w:sz w:val="14"/>
                <w:szCs w:val="14"/>
                <w:b w:val="1"/>
                <w:bCs w:val="1"/>
                <w:color w:val="auto"/>
                <w:w w:val="94"/>
              </w:rPr>
              <w:t>(unaudited)</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3"/>
          </w:tcPr>
          <w:p>
            <w:pPr>
              <w:jc w:val="center"/>
              <w:ind w:left="453"/>
              <w:spacing w:after="0" w:line="142" w:lineRule="exact"/>
              <w:rPr>
                <w:sz w:val="20"/>
                <w:szCs w:val="20"/>
                <w:color w:val="auto"/>
              </w:rPr>
            </w:pPr>
            <w:r>
              <w:rPr>
                <w:rFonts w:ascii="Arial" w:cs="Arial" w:eastAsia="Arial" w:hAnsi="Arial"/>
                <w:sz w:val="14"/>
                <w:szCs w:val="14"/>
                <w:b w:val="1"/>
                <w:bCs w:val="1"/>
                <w:color w:val="auto"/>
                <w:w w:val="94"/>
              </w:rPr>
              <w:t>(unaudited)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Supply and Logistics segment revenues</w:t>
            </w: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10,856</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9,933</w:t>
            </w:r>
          </w:p>
        </w:tc>
        <w:tc>
          <w:tcPr>
            <w:tcW w:w="18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22,201</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revenues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Facilities segment revenues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301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22,878</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10,280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20,950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22,021</w:t>
            </w: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857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tcPr>
          <w:p>
            <w:pPr>
              <w:spacing w:after="0" w:line="201" w:lineRule="exact"/>
              <w:rPr>
                <w:sz w:val="20"/>
                <w:szCs w:val="20"/>
                <w:color w:val="auto"/>
              </w:rPr>
            </w:pPr>
            <w:r>
              <w:rPr>
                <w:rFonts w:ascii="Arial" w:cs="Arial" w:eastAsia="Arial" w:hAnsi="Arial"/>
                <w:sz w:val="18"/>
                <w:szCs w:val="18"/>
                <w:color w:val="auto"/>
                <w:w w:val="97"/>
              </w:rPr>
              <w:t>Interest expense (net of capitalized interest of $10, $10, $22 and $19,</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20" w:type="dxa"/>
            <w:vAlign w:val="bottom"/>
          </w:tcPr>
          <w:p>
            <w:pPr>
              <w:ind w:left="160"/>
              <w:spacing w:after="0"/>
              <w:rPr>
                <w:sz w:val="20"/>
                <w:szCs w:val="20"/>
                <w:color w:val="auto"/>
              </w:rPr>
            </w:pPr>
            <w:r>
              <w:rPr>
                <w:rFonts w:ascii="Arial" w:cs="Arial" w:eastAsia="Arial" w:hAnsi="Arial"/>
                <w:sz w:val="18"/>
                <w:szCs w:val="18"/>
                <w:b w:val="1"/>
                <w:bCs w:val="1"/>
                <w:color w:val="auto"/>
              </w:rPr>
              <w:t>LIMITED PARTNERS</w:t>
            </w: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166</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435</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2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GENERAL PARTNER</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236</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BASIC NET INCOME PER LIMITED PARTNER UNIT</w:t>
            </w: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0.45</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0.58</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DILUTED NET INCOME PER LIMITED PARTNER UNIT</w:t>
            </w: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0.45</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0.57</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4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3" w:name="page4"/>
    <w:bookmarkEnd w:id="3"/>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 WEIGHTED AVERAGE UNITS OUTSTANDING</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DILUTED WEIGHTED AVERAGE UNITS OUTSTANDING</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342</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COMPREHENSIVE INCOME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4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3"/>
          </w:tcPr>
          <w:p>
            <w:pPr>
              <w:jc w:val="center"/>
              <w:ind w:left="458"/>
              <w:spacing w:after="0" w:line="142" w:lineRule="exact"/>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3"/>
          </w:tcPr>
          <w:p>
            <w:pPr>
              <w:jc w:val="center"/>
              <w:ind w:left="478"/>
              <w:spacing w:after="0" w:line="142" w:lineRule="exact"/>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288</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w w:val="94"/>
              </w:rPr>
              <w:t>Comprehensive income attributable to noncontrolling interests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0"/>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PAA</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1" w:lineRule="exact"/>
        <w:rPr>
          <w:sz w:val="20"/>
          <w:szCs w:val="20"/>
          <w:color w:val="auto"/>
        </w:rPr>
      </w:pPr>
    </w:p>
    <w:p>
      <w:pPr>
        <w:jc w:val="center"/>
        <w:ind w:left="260" w:right="2460"/>
        <w:spacing w:after="0" w:line="263"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ACCUMULATED OTHER COMPREHENSIVE INCOME / (LOSS)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Translation</w:t>
            </w:r>
          </w:p>
        </w:tc>
        <w:tc>
          <w:tcPr>
            <w:tcW w:w="300" w:type="dxa"/>
            <w:vAlign w:val="bottom"/>
          </w:tcPr>
          <w:p>
            <w:pPr>
              <w:spacing w:after="0"/>
              <w:rPr>
                <w:sz w:val="14"/>
                <w:szCs w:val="14"/>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4"/>
              </w:rPr>
              <w:t>(unaudited)</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loss on cash flow hedges, net of tax</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160"/>
              <w:spacing w:after="0"/>
              <w:rPr>
                <w:sz w:val="20"/>
                <w:szCs w:val="20"/>
                <w:color w:val="auto"/>
              </w:rPr>
            </w:pPr>
            <w:r>
              <w:rPr>
                <w:rFonts w:ascii="Arial" w:cs="Arial" w:eastAsia="Arial" w:hAnsi="Arial"/>
                <w:sz w:val="18"/>
                <w:szCs w:val="18"/>
                <w:color w:val="auto"/>
              </w:rPr>
              <w:t>Total period activity</w:t>
            </w: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2014</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Translation</w:t>
            </w:r>
          </w:p>
        </w:tc>
        <w:tc>
          <w:tcPr>
            <w:tcW w:w="300" w:type="dxa"/>
            <w:vAlign w:val="bottom"/>
          </w:tcPr>
          <w:p>
            <w:pPr>
              <w:spacing w:after="0"/>
              <w:rPr>
                <w:sz w:val="24"/>
                <w:szCs w:val="24"/>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4"/>
              </w:rPr>
              <w:t>(unaudited)</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gain on cash flow hedges, net of tax</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period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2013</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Six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6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Net income</w:t>
            </w:r>
          </w:p>
        </w:tc>
        <w:tc>
          <w:tcPr>
            <w:tcW w:w="248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672</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837</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196</w:t>
            </w: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Equity-indexed compensation expense</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68</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Inventory valuation adjustments</w:t>
            </w: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37</w:t>
            </w: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expense</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Gain on sales of linefill and base gas</w:t>
            </w: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foreign currency revaluation</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bl>
    <w:p>
      <w:pPr>
        <w:sectPr>
          <w:pgSz w:w="11900" w:h="16857" w:orient="portrait"/>
          <w:cols w:equalWidth="0" w:num="1">
            <w:col w:w="11420"/>
          </w:cols>
          <w:pgMar w:left="240" w:top="140" w:right="239" w:bottom="0" w:gutter="0" w:footer="0" w:header="0"/>
        </w:sectPr>
      </w:pPr>
    </w:p>
    <w:bookmarkStart w:id="4" w:name="page5"/>
    <w:bookmarkEnd w:id="4"/>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Settlement of terminated interest rate hedging instruments</w:t>
            </w:r>
          </w:p>
        </w:tc>
        <w:tc>
          <w:tcPr>
            <w:tcW w:w="1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earnings in unconsolidated entities, net of distributions</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134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paid in connection with acquisitions, net of cash acquired</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Additions to property, equipment and other</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(918)</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sales of linefill and base gas</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Cash paid for purchases of linefill and base gas</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entities</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Proceeds from sales of assets</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34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under PAA senior secured hedged inventory facility (Note 6)</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repayments under PAA senior unsecured revolving credit facility (Note 6)</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under PNG credit agreement</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repayments under PAA commercial paper program (Note 6)</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(344)</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senior notes (Note 6)</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proceeds from the issuance of common units (Note 8)</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453</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the issuance of PNG common units</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Distributions paid to common unitholders (Note 8)</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(450)</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general partner (Note 8)</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Distributions paid to noncontrolling interests</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by/(used in) financing activities</w:t>
            </w:r>
          </w:p>
        </w:tc>
        <w:tc>
          <w:tcPr>
            <w:tcW w:w="134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Effect of translation adjustment on cash</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0"/>
        </w:trPr>
        <w:tc>
          <w:tcPr>
            <w:tcW w:w="69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34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Cash paid for:</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net of amounts capitalized</w:t>
            </w:r>
          </w:p>
        </w:tc>
        <w:tc>
          <w:tcPr>
            <w:tcW w:w="18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Income taxes, net of amounts refunded</w:t>
            </w:r>
          </w:p>
        </w:tc>
        <w:tc>
          <w:tcPr>
            <w:tcW w:w="18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080"/>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PARTNERS’ CAPITAL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Partners’ 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40" w:type="dxa"/>
            <w:vAlign w:val="bottom"/>
            <w:gridSpan w:val="6"/>
            <w:vMerge w:val="restart"/>
          </w:tcPr>
          <w:p>
            <w:pPr>
              <w:jc w:val="right"/>
              <w:ind w:right="960"/>
              <w:spacing w:after="0"/>
              <w:rPr>
                <w:sz w:val="20"/>
                <w:szCs w:val="20"/>
                <w:color w:val="auto"/>
              </w:rPr>
            </w:pPr>
            <w:r>
              <w:rPr>
                <w:rFonts w:ascii="Arial" w:cs="Arial" w:eastAsia="Arial" w:hAnsi="Arial"/>
                <w:sz w:val="14"/>
                <w:szCs w:val="14"/>
                <w:b w:val="1"/>
                <w:bCs w:val="1"/>
                <w:color w:val="auto"/>
                <w:w w:val="96"/>
              </w:rPr>
              <w:t>Common Units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General</w:t>
            </w:r>
          </w:p>
        </w:tc>
        <w:tc>
          <w:tcPr>
            <w:tcW w:w="12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Excluding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Noncontrolling</w:t>
            </w:r>
          </w:p>
        </w:tc>
        <w:tc>
          <w:tcPr>
            <w:tcW w:w="18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740" w:type="dxa"/>
            <w:vAlign w:val="bottom"/>
            <w:tcBorders>
              <w:top w:val="single" w:sz="8" w:color="auto"/>
            </w:tcBorders>
          </w:tcPr>
          <w:p>
            <w:pPr>
              <w:ind w:left="420"/>
              <w:spacing w:after="0" w:line="142" w:lineRule="exact"/>
              <w:rPr>
                <w:sz w:val="20"/>
                <w:szCs w:val="20"/>
                <w:color w:val="auto"/>
              </w:rPr>
            </w:pPr>
            <w:r>
              <w:rPr>
                <w:rFonts w:ascii="Arial" w:cs="Arial" w:eastAsia="Arial" w:hAnsi="Arial"/>
                <w:sz w:val="14"/>
                <w:szCs w:val="14"/>
                <w:b w:val="1"/>
                <w:bCs w:val="1"/>
                <w:color w:val="auto"/>
                <w:w w:val="85"/>
              </w:rPr>
              <w:t>Units</w:t>
            </w: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Partner</w:t>
            </w:r>
          </w:p>
        </w:tc>
        <w:tc>
          <w:tcPr>
            <w:tcW w:w="120" w:type="dxa"/>
            <w:vAlign w:val="bottom"/>
          </w:tcPr>
          <w:p>
            <w:pPr>
              <w:spacing w:after="0"/>
              <w:rPr>
                <w:sz w:val="12"/>
                <w:szCs w:val="12"/>
                <w:color w:val="auto"/>
              </w:rPr>
            </w:pPr>
          </w:p>
        </w:tc>
        <w:tc>
          <w:tcPr>
            <w:tcW w:w="14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9"/>
              </w:rPr>
              <w:t>Interests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2"/>
              </w:rPr>
              <w:t>Interests</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700" w:type="dxa"/>
            <w:vAlign w:val="bottom"/>
            <w:tcBorders>
              <w:top w:val="single" w:sz="8" w:color="auto"/>
            </w:tcBorders>
            <w:gridSpan w:val="5"/>
          </w:tcPr>
          <w:p>
            <w:pPr>
              <w:jc w:val="right"/>
              <w:ind w:right="1200"/>
              <w:spacing w:after="0" w:line="142" w:lineRule="exact"/>
              <w:rPr>
                <w:sz w:val="20"/>
                <w:szCs w:val="20"/>
                <w:color w:val="auto"/>
              </w:rPr>
            </w:pPr>
            <w:r>
              <w:rPr>
                <w:rFonts w:ascii="Arial" w:cs="Arial" w:eastAsia="Arial" w:hAnsi="Arial"/>
                <w:sz w:val="14"/>
                <w:szCs w:val="14"/>
                <w:b w:val="1"/>
                <w:bCs w:val="1"/>
                <w:color w:val="auto"/>
              </w:rPr>
              <w:t>(unaudited)</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359.1</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7,349</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7,703</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435</w:t>
            </w:r>
          </w:p>
        </w:tc>
        <w:tc>
          <w:tcPr>
            <w:tcW w:w="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236</w:t>
            </w:r>
          </w:p>
        </w:tc>
        <w:tc>
          <w:tcPr>
            <w:tcW w:w="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671</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2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672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Issuance of common units</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2"/>
        </w:trPr>
        <w:tc>
          <w:tcPr>
            <w:tcW w:w="38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units under</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LTIP, net of units tendered by</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employees to satisfy tax</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withholding obligations</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38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Equity-indexed compensation</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gridSpan w:val="2"/>
          </w:tcPr>
          <w:p>
            <w:pPr>
              <w:ind w:left="360"/>
              <w:spacing w:after="0"/>
              <w:rPr>
                <w:sz w:val="20"/>
                <w:szCs w:val="20"/>
                <w:color w:val="auto"/>
              </w:rPr>
            </w:pPr>
            <w:r>
              <w:rPr>
                <w:rFonts w:ascii="Arial" w:cs="Arial" w:eastAsia="Arial" w:hAnsi="Arial"/>
                <w:sz w:val="18"/>
                <w:szCs w:val="18"/>
                <w:color w:val="auto"/>
              </w:rPr>
              <w:t>expense</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38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Distribution equivalent right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payments</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Other comprehensive loss</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Arial" w:cs="Arial" w:eastAsia="Arial" w:hAnsi="Arial"/>
                <w:sz w:val="18"/>
                <w:szCs w:val="18"/>
                <w:color w:val="auto"/>
              </w:rPr>
              <w:t>Balance at June 30, 2014</w:t>
            </w:r>
          </w:p>
        </w:tc>
        <w:tc>
          <w:tcPr>
            <w:tcW w:w="7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367.8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Partners’ Capital</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40" w:type="dxa"/>
            <w:vAlign w:val="bottom"/>
            <w:gridSpan w:val="6"/>
            <w:vMerge w:val="restart"/>
          </w:tcPr>
          <w:p>
            <w:pPr>
              <w:jc w:val="right"/>
              <w:ind w:right="960"/>
              <w:spacing w:after="0"/>
              <w:rPr>
                <w:sz w:val="20"/>
                <w:szCs w:val="20"/>
                <w:color w:val="auto"/>
              </w:rPr>
            </w:pPr>
            <w:r>
              <w:rPr>
                <w:rFonts w:ascii="Arial" w:cs="Arial" w:eastAsia="Arial" w:hAnsi="Arial"/>
                <w:sz w:val="14"/>
                <w:szCs w:val="14"/>
                <w:b w:val="1"/>
                <w:bCs w:val="1"/>
                <w:color w:val="auto"/>
                <w:w w:val="96"/>
              </w:rPr>
              <w:t>Common Units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General</w:t>
            </w:r>
          </w:p>
        </w:tc>
        <w:tc>
          <w:tcPr>
            <w:tcW w:w="12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Excluding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Noncontrolling</w:t>
            </w:r>
          </w:p>
        </w:tc>
        <w:tc>
          <w:tcPr>
            <w:tcW w:w="18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740" w:type="dxa"/>
            <w:vAlign w:val="bottom"/>
            <w:tcBorders>
              <w:top w:val="single" w:sz="8" w:color="auto"/>
            </w:tcBorders>
          </w:tcPr>
          <w:p>
            <w:pPr>
              <w:ind w:left="420"/>
              <w:spacing w:after="0" w:line="142" w:lineRule="exact"/>
              <w:rPr>
                <w:sz w:val="20"/>
                <w:szCs w:val="20"/>
                <w:color w:val="auto"/>
              </w:rPr>
            </w:pPr>
            <w:r>
              <w:rPr>
                <w:rFonts w:ascii="Arial" w:cs="Arial" w:eastAsia="Arial" w:hAnsi="Arial"/>
                <w:sz w:val="14"/>
                <w:szCs w:val="14"/>
                <w:b w:val="1"/>
                <w:bCs w:val="1"/>
                <w:color w:val="auto"/>
                <w:w w:val="85"/>
              </w:rPr>
              <w:t>Units</w:t>
            </w: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Partner</w:t>
            </w:r>
          </w:p>
        </w:tc>
        <w:tc>
          <w:tcPr>
            <w:tcW w:w="120" w:type="dxa"/>
            <w:vAlign w:val="bottom"/>
          </w:tcPr>
          <w:p>
            <w:pPr>
              <w:spacing w:after="0"/>
              <w:rPr>
                <w:sz w:val="12"/>
                <w:szCs w:val="12"/>
                <w:color w:val="auto"/>
              </w:rPr>
            </w:pPr>
          </w:p>
        </w:tc>
        <w:tc>
          <w:tcPr>
            <w:tcW w:w="14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9"/>
              </w:rPr>
              <w:t>Interests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2"/>
              </w:rPr>
              <w:t>Interests</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4"/>
        </w:trPr>
        <w:tc>
          <w:tcPr>
            <w:tcW w:w="3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700" w:type="dxa"/>
            <w:vAlign w:val="bottom"/>
            <w:tcBorders>
              <w:top w:val="single" w:sz="8" w:color="auto"/>
            </w:tcBorders>
            <w:gridSpan w:val="5"/>
          </w:tcPr>
          <w:p>
            <w:pPr>
              <w:jc w:val="right"/>
              <w:ind w:right="1200"/>
              <w:spacing w:after="0" w:line="144" w:lineRule="exact"/>
              <w:rPr>
                <w:sz w:val="20"/>
                <w:szCs w:val="20"/>
                <w:color w:val="auto"/>
              </w:rPr>
            </w:pPr>
            <w:r>
              <w:rPr>
                <w:rFonts w:ascii="Arial" w:cs="Arial" w:eastAsia="Arial" w:hAnsi="Arial"/>
                <w:sz w:val="14"/>
                <w:szCs w:val="14"/>
                <w:b w:val="1"/>
                <w:bCs w:val="1"/>
                <w:color w:val="auto"/>
              </w:rPr>
              <w:t>(unaudited)</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63" w:orient="portrait"/>
          <w:cols w:equalWidth="0" w:num="1">
            <w:col w:w="11420"/>
          </w:cols>
          <w:pgMar w:left="240" w:top="125" w:right="239" w:bottom="0" w:gutter="0" w:footer="0" w:header="0"/>
        </w:sectPr>
      </w:pPr>
    </w:p>
    <w:p>
      <w:pPr>
        <w:spacing w:after="0"/>
        <w:tabs>
          <w:tab w:leader="none" w:pos="3820" w:val="left"/>
          <w:tab w:leader="none" w:pos="4460" w:val="left"/>
          <w:tab w:leader="none" w:pos="5200" w:val="left"/>
          <w:tab w:leader="none" w:pos="5840" w:val="left"/>
          <w:tab w:leader="none" w:pos="6720" w:val="left"/>
          <w:tab w:leader="none" w:pos="7220" w:val="left"/>
          <w:tab w:leader="none" w:pos="8180" w:val="left"/>
          <w:tab w:leader="none" w:pos="8820" w:val="left"/>
          <w:tab w:leader="none" w:pos="9680" w:val="left"/>
          <w:tab w:leader="none" w:pos="10180" w:val="left"/>
          <w:tab w:leader="none" w:pos="10880" w:val="left"/>
        </w:tabs>
        <w:rPr>
          <w:sz w:val="20"/>
          <w:szCs w:val="20"/>
          <w:color w:val="auto"/>
        </w:rPr>
      </w:pPr>
      <w:r>
        <w:rPr>
          <w:rFonts w:ascii="Arial" w:cs="Arial" w:eastAsia="Arial" w:hAnsi="Arial"/>
          <w:sz w:val="18"/>
          <w:szCs w:val="18"/>
          <w:color w:val="auto"/>
        </w:rPr>
        <w:t>Balance at December 31, 2012</w:t>
      </w:r>
      <w:r>
        <w:rPr>
          <w:sz w:val="20"/>
          <w:szCs w:val="20"/>
          <w:color w:val="auto"/>
        </w:rPr>
        <w:tab/>
      </w:r>
      <w:r>
        <w:rPr>
          <w:rFonts w:ascii="Arial" w:cs="Arial" w:eastAsia="Arial" w:hAnsi="Arial"/>
          <w:sz w:val="18"/>
          <w:szCs w:val="18"/>
          <w:color w:val="auto"/>
        </w:rPr>
        <w:t>335.3</w:t>
        <w:tab/>
        <w:t>$</w:t>
      </w:r>
      <w:r>
        <w:rPr>
          <w:sz w:val="20"/>
          <w:szCs w:val="20"/>
          <w:color w:val="auto"/>
        </w:rPr>
        <w:tab/>
      </w:r>
      <w:r>
        <w:rPr>
          <w:rFonts w:ascii="Arial" w:cs="Arial" w:eastAsia="Arial" w:hAnsi="Arial"/>
          <w:sz w:val="18"/>
          <w:szCs w:val="18"/>
          <w:color w:val="auto"/>
        </w:rPr>
        <w:t>6,388</w:t>
        <w:tab/>
        <w:t>$</w:t>
      </w:r>
      <w:r>
        <w:rPr>
          <w:sz w:val="20"/>
          <w:szCs w:val="20"/>
          <w:color w:val="auto"/>
        </w:rPr>
        <w:tab/>
      </w:r>
      <w:r>
        <w:rPr>
          <w:rFonts w:ascii="Arial" w:cs="Arial" w:eastAsia="Arial" w:hAnsi="Arial"/>
          <w:sz w:val="18"/>
          <w:szCs w:val="18"/>
          <w:color w:val="auto"/>
        </w:rPr>
        <w:t>249</w:t>
        <w:tab/>
        <w:t>$</w:t>
      </w:r>
      <w:r>
        <w:rPr>
          <w:sz w:val="20"/>
          <w:szCs w:val="20"/>
          <w:color w:val="auto"/>
        </w:rPr>
        <w:tab/>
      </w:r>
      <w:r>
        <w:rPr>
          <w:rFonts w:ascii="Arial" w:cs="Arial" w:eastAsia="Arial" w:hAnsi="Arial"/>
          <w:sz w:val="18"/>
          <w:szCs w:val="18"/>
          <w:color w:val="auto"/>
        </w:rPr>
        <w:t>6,637</w:t>
        <w:tab/>
        <w:t>$</w:t>
      </w:r>
      <w:r>
        <w:rPr>
          <w:sz w:val="20"/>
          <w:szCs w:val="20"/>
          <w:color w:val="auto"/>
        </w:rPr>
        <w:tab/>
      </w:r>
      <w:r>
        <w:rPr>
          <w:rFonts w:ascii="Arial" w:cs="Arial" w:eastAsia="Arial" w:hAnsi="Arial"/>
          <w:sz w:val="18"/>
          <w:szCs w:val="18"/>
          <w:color w:val="auto"/>
        </w:rPr>
        <w:t>509</w:t>
        <w:tab/>
        <w:t>$</w:t>
      </w:r>
      <w:r>
        <w:rPr>
          <w:sz w:val="20"/>
          <w:szCs w:val="20"/>
          <w:color w:val="auto"/>
        </w:rPr>
        <w:tab/>
      </w:r>
      <w:r>
        <w:rPr>
          <w:rFonts w:ascii="Arial" w:cs="Arial" w:eastAsia="Arial" w:hAnsi="Arial"/>
          <w:sz w:val="16"/>
          <w:szCs w:val="16"/>
          <w:color w:val="auto"/>
        </w:rPr>
        <w:t>7,146</w:t>
      </w:r>
    </w:p>
    <w:p>
      <w:pPr>
        <w:spacing w:after="0" w:line="20" w:lineRule="exact"/>
        <w:rPr>
          <w:sz w:val="20"/>
          <w:szCs w:val="20"/>
          <w:color w:val="auto"/>
        </w:rPr>
      </w:pPr>
    </w:p>
    <w:p>
      <w:pPr>
        <w:sectPr>
          <w:pgSz w:w="11900" w:h="16863" w:orient="portrait"/>
          <w:cols w:equalWidth="0" w:num="1">
            <w:col w:w="11420"/>
          </w:cols>
          <w:pgMar w:left="240" w:top="125" w:right="23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
        </w:trPr>
        <w:tc>
          <w:tcPr>
            <w:tcW w:w="3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100" w:type="dxa"/>
            <w:vAlign w:val="bottom"/>
          </w:tcPr>
          <w:p>
            <w:pPr>
              <w:ind w:left="180"/>
              <w:spacing w:after="0" w:line="196" w:lineRule="exact"/>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631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190</w:t>
            </w:r>
          </w:p>
        </w:tc>
        <w:tc>
          <w:tcPr>
            <w:tcW w:w="520" w:type="dxa"/>
            <w:vAlign w:val="bottom"/>
          </w:tcPr>
          <w:p>
            <w:pPr>
              <w:spacing w:after="0"/>
              <w:rPr>
                <w:sz w:val="17"/>
                <w:szCs w:val="17"/>
                <w:color w:val="auto"/>
              </w:rPr>
            </w:pP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821</w:t>
            </w:r>
          </w:p>
        </w:tc>
        <w:tc>
          <w:tcPr>
            <w:tcW w:w="480" w:type="dxa"/>
            <w:vAlign w:val="bottom"/>
          </w:tcPr>
          <w:p>
            <w:pPr>
              <w:spacing w:after="0"/>
              <w:rPr>
                <w:sz w:val="17"/>
                <w:szCs w:val="17"/>
                <w:color w:val="auto"/>
              </w:rPr>
            </w:pPr>
          </w:p>
        </w:tc>
        <w:tc>
          <w:tcPr>
            <w:tcW w:w="8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16</w:t>
            </w:r>
          </w:p>
        </w:tc>
        <w:tc>
          <w:tcPr>
            <w:tcW w:w="4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837</w:t>
            </w:r>
          </w:p>
        </w:tc>
        <w:tc>
          <w:tcPr>
            <w:tcW w:w="80" w:type="dxa"/>
            <w:vAlign w:val="bottom"/>
          </w:tcPr>
          <w:p>
            <w:pPr>
              <w:spacing w:after="0"/>
              <w:rPr>
                <w:sz w:val="17"/>
                <w:szCs w:val="17"/>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w:t>
            </w: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Issuance of common units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4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331</w:t>
            </w:r>
          </w:p>
        </w:tc>
        <w:tc>
          <w:tcPr>
            <w:tcW w:w="4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8"/>
                <w:szCs w:val="18"/>
                <w:color w:val="auto"/>
              </w:rPr>
            </w:pPr>
          </w:p>
        </w:tc>
      </w:tr>
      <w:tr>
        <w:trPr>
          <w:trHeight w:val="202"/>
        </w:trPr>
        <w:tc>
          <w:tcPr>
            <w:tcW w:w="31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units under</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LTIP, net of units tendered by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employees to satisfy tax</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withholding obligations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4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02"/>
        </w:trPr>
        <w:tc>
          <w:tcPr>
            <w:tcW w:w="3100" w:type="dxa"/>
            <w:vAlign w:val="bottom"/>
          </w:tcPr>
          <w:p>
            <w:pPr>
              <w:ind w:left="180"/>
              <w:spacing w:after="0" w:line="201" w:lineRule="exact"/>
              <w:rPr>
                <w:sz w:val="20"/>
                <w:szCs w:val="20"/>
                <w:color w:val="auto"/>
              </w:rPr>
            </w:pPr>
            <w:r>
              <w:rPr>
                <w:rFonts w:ascii="Arial" w:cs="Arial" w:eastAsia="Arial" w:hAnsi="Arial"/>
                <w:sz w:val="18"/>
                <w:szCs w:val="18"/>
                <w:color w:val="auto"/>
              </w:rPr>
              <w:t>Equity-indexed compensation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100" w:type="dxa"/>
            <w:vAlign w:val="bottom"/>
          </w:tcPr>
          <w:p>
            <w:pPr>
              <w:ind w:left="360"/>
              <w:spacing w:after="0"/>
              <w:rPr>
                <w:sz w:val="20"/>
                <w:szCs w:val="20"/>
                <w:color w:val="auto"/>
              </w:rPr>
            </w:pPr>
            <w:r>
              <w:rPr>
                <w:rFonts w:ascii="Arial" w:cs="Arial" w:eastAsia="Arial" w:hAnsi="Arial"/>
                <w:sz w:val="18"/>
                <w:szCs w:val="18"/>
                <w:color w:val="auto"/>
              </w:rPr>
              <w:t>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r>
      <w:tr>
        <w:trPr>
          <w:trHeight w:val="202"/>
        </w:trPr>
        <w:tc>
          <w:tcPr>
            <w:tcW w:w="31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Distribution equivalent right</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Other comprehensive income/(loss)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4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PNG common units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r>
      <w:tr>
        <w:trPr>
          <w:trHeight w:val="210"/>
        </w:trPr>
        <w:tc>
          <w:tcPr>
            <w:tcW w:w="3100" w:type="dxa"/>
            <w:vAlign w:val="bottom"/>
          </w:tcPr>
          <w:p>
            <w:pPr>
              <w:spacing w:after="0"/>
              <w:rPr>
                <w:sz w:val="20"/>
                <w:szCs w:val="20"/>
                <w:color w:val="auto"/>
              </w:rPr>
            </w:pPr>
            <w:r>
              <w:rPr>
                <w:rFonts w:ascii="Arial" w:cs="Arial" w:eastAsia="Arial" w:hAnsi="Arial"/>
                <w:sz w:val="18"/>
                <w:szCs w:val="18"/>
                <w:color w:val="auto"/>
              </w:rPr>
              <w:t>Balance at June 30, 2013</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341.7</w:t>
            </w:r>
          </w:p>
        </w:tc>
        <w:tc>
          <w:tcPr>
            <w:tcW w:w="2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7,098</w:t>
            </w:r>
          </w:p>
        </w:tc>
        <w:tc>
          <w:tcPr>
            <w:tcW w:w="2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2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7,629</w:t>
            </w:r>
          </w:p>
        </w:tc>
        <w:tc>
          <w:tcPr>
            <w:tcW w:w="80" w:type="dxa"/>
            <w:vAlign w:val="bottom"/>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540"/>
        <w:spacing w:after="0" w:line="266" w:lineRule="auto"/>
        <w:rPr>
          <w:sz w:val="20"/>
          <w:szCs w:val="20"/>
          <w:color w:val="auto"/>
        </w:rPr>
      </w:pPr>
      <w:r>
        <w:rPr>
          <w:rFonts w:ascii="Arial" w:cs="Arial" w:eastAsia="Arial" w:hAnsi="Arial"/>
          <w:sz w:val="18"/>
          <w:szCs w:val="18"/>
          <w:b w:val="1"/>
          <w:bCs w:val="1"/>
          <w:color w:val="auto"/>
        </w:rPr>
        <w:t>PLAINS ALL AMERICAN PIPELINE, L.P. AND SUBSIDIARIES NOTES TO THE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Plains All American Pipeline, L.P. is a Delaware limited partnership formed in 1998. Our operations are conducted directly and indirectly through our primary operating subsidiaries. As used in this Form 10-Q and unless the context indicates otherwise, the terms “Partnership,” “Plains,” “PAA,” “we,” “us,” “our,” “ours” and similar terms refer to Plains All American Pipeline, L.P. and its subsidiaries.</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own and operate midstream energy infrastructure and provide logistics services for crude oil, natural gas liquids (“NGL”), natural gas and refined products. The term NGL includes ethane and natural gasoline products as well as products commonly referred to as liquefied petroleum gas (“LPG”), such as propane and butane. When used in this Form 10-Q, NGL refers to all NGL products including LPG.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(i) Transportation, (ii) Facilities and (iii) Supply and Logistics. See Note 12 for further discussion of our operating segments.</w:t>
      </w:r>
    </w:p>
    <w:p>
      <w:pPr>
        <w:spacing w:after="0" w:line="17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Our 2% general partner interest is held by PAA GP LLC, a Delaware limited liability company, whose sole member is Plains AAP, L.P. (“AAP”), a Delaware limited partnership. In addition to its ownership of PAA GP LLC, AAP also owns all of our incentive distribution rights. Plains All American GP LLC (“GP LLC”), a Delaware limited liability company, is AAP’s general partner. GP LLC manages our operations and activities and employs our domestic officers and personnel. Our Canadian officers and personnel are employed by our subsidiary, Plains Midstream Canada ULC (“PMC”). References to our “general partner,” as the context requires, include any or all of PAA GP LLC, AAP and GP LLC.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AOCI</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Bcf</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rPr>
              <w:t>Billion cubic feet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Btu</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rPr>
              <w:t>British thermal unit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CAD</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rPr>
              <w:t>Canadian dollar</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DERs</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rPr>
              <w:t>Distribution equivalent rights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EBITDA</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rPr>
              <w:t>Earnings before interest, taxes, depreciation and amortization</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FASB</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GAAP</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rPr>
              <w:t>Generally accepted accounting principles in the United States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ICE</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rPr>
              <w:t>IntercontinentalExchange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LIBOR</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rPr>
              <w:t>London Interbank Offered Rate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LTIP</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rPr>
              <w:t>Long-term incentive plan</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Mcf</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rPr>
              <w:t>Thousand cubic feet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MLP</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rPr>
              <w:t>Master limited partnership</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NGL</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w w:val="89"/>
              </w:rPr>
              <w:t>Natural gas liquids including ethane, natural gasoline products, propane and butane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NYMEX</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rPr>
              <w:t>New York Mercantile Exchange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PLA</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rPr>
              <w:t>Pipeline loss allowance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PNG</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rPr>
              <w:t>PAA Natural Gas Storage, L.P.</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rPr>
              <w:t>Securities and Exchange Commission</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USD</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rPr>
              <w:t>United States dollar</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White Cliffs</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rPr>
              <w:t>White Cliffs Pipeline, LLC</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WTI</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rPr>
              <w:t>West Texas Intermediate</w:t>
            </w:r>
          </w:p>
        </w:tc>
      </w:tr>
    </w:tbl>
    <w:p>
      <w:pPr>
        <w:spacing w:after="0" w:line="200" w:lineRule="exact"/>
        <w:rPr>
          <w:sz w:val="20"/>
          <w:szCs w:val="20"/>
          <w:color w:val="auto"/>
        </w:rPr>
      </w:pPr>
    </w:p>
    <w:p>
      <w:pPr>
        <w:sectPr>
          <w:pgSz w:w="11900" w:h="16838" w:orient="portrait"/>
          <w:cols w:equalWidth="0" w:num="1">
            <w:col w:w="11420"/>
          </w:cols>
          <w:pgMar w:left="240" w:top="140" w:right="239" w:bottom="57"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57" w:gutter="0" w:footer="0" w:header="0"/>
          <w:type w:val="continuous"/>
        </w:sectPr>
      </w:pPr>
    </w:p>
    <w:bookmarkStart w:id="6" w:name="page7"/>
    <w:bookmarkEnd w:id="6"/>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accompanying unaudited condensed consolidated interim financial statements and notes thereto should be read in conjunction with our 2013 Annual Report on Form 10-K.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Certain reclassifications have been made to information from previous years to conform to the current presentation. The condensed consolidated balance sheet data as of December 31, 2013 was derived from audited financial statements, but does not include all disclosures required by GAAP. The results of operations for the three and six months ended June 30, 2014 should not be taken as indicative of results to be expected for the entire year.</w:t>
      </w:r>
    </w:p>
    <w:p>
      <w:pPr>
        <w:spacing w:after="0" w:line="17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300" w:firstLine="648"/>
        <w:spacing w:after="0" w:line="258" w:lineRule="auto"/>
        <w:rPr>
          <w:sz w:val="20"/>
          <w:szCs w:val="20"/>
          <w:color w:val="auto"/>
        </w:rPr>
      </w:pPr>
      <w:r>
        <w:rPr>
          <w:rFonts w:ascii="Arial" w:cs="Arial" w:eastAsia="Arial" w:hAnsi="Arial"/>
          <w:sz w:val="18"/>
          <w:szCs w:val="18"/>
          <w:color w:val="auto"/>
        </w:rPr>
        <w:t>Other than as discussed below and in our 2013 Annual Report on Form 10-K, no new accounting pronouncements have become effective or have been issued during the six months ended June 30, 2014 that are of significance or potential significance to us.</w:t>
      </w:r>
    </w:p>
    <w:p>
      <w:pPr>
        <w:spacing w:after="0" w:line="1"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May 2014, the FASB issued guidance regarding the recognition of revenue from contracts with customers with the underlying principle that an entity will recognize revenue to reflect amounts expected to be received in exchange for the provision of goods and services to customers upon the transfer of those goods or services. The guidance also requires additional disclosures about the nature, amount, timing and uncertainty of revenue and the related cash flows. This guidance becomes effective for interim and annual periods beginning after December 15, 2016 and can be adopted either with a full retrospective approach or a modified retrospective approach with a cumulative-effect adjustment as of the date of adoption. We are currently evaluating which transition approach to apply and the effect that adopting this guidance will have on our financial position, results of operations and cash flows.</w:t>
      </w:r>
    </w:p>
    <w:p>
      <w:pPr>
        <w:spacing w:after="0" w:line="16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April 2014, the FASB issued guidance that modifies the criteria under which assets to be disposed of are evaluated to determine if such assets qualify as a discontinued operation and requires new disclosures for both discontinued operations and certain other disposals that do not meet the definition of a discontinued operation. This guidance is effective prospectively for annual and interim reporting periods beginning after December 15, 2014. Early adoption is permitted but only for disposals (or classifications as held for sale) that have not been reported in financial statements previously issued or available for issue. We are currently evaluating the provisions of this authoritative guidance and assessing its impact, but do not believe our adoption will have a material impact on our financial position, results of operations or cash flows.</w:t>
      </w:r>
    </w:p>
    <w:p>
      <w:pPr>
        <w:spacing w:after="0" w:line="178" w:lineRule="exact"/>
        <w:rPr>
          <w:sz w:val="20"/>
          <w:szCs w:val="20"/>
          <w:color w:val="auto"/>
        </w:rPr>
      </w:pPr>
    </w:p>
    <w:p>
      <w:pPr>
        <w:jc w:val="both"/>
        <w:ind w:right="260" w:firstLine="648"/>
        <w:spacing w:after="0" w:line="279" w:lineRule="auto"/>
        <w:rPr>
          <w:sz w:val="20"/>
          <w:szCs w:val="20"/>
          <w:color w:val="auto"/>
        </w:rPr>
      </w:pPr>
      <w:r>
        <w:rPr>
          <w:rFonts w:ascii="Arial" w:cs="Arial" w:eastAsia="Arial" w:hAnsi="Arial"/>
          <w:sz w:val="17"/>
          <w:szCs w:val="17"/>
          <w:color w:val="auto"/>
        </w:rPr>
        <w:t>In March 2013, the FASB issued guidance regarding the release of cumulative translation adjustments into net income when a parent either sells a part or all of its investment in a foreign entity or no longer holds a controlling financial interest in a subsidiary or group of assets that is a business within a foreign entity. This guidance became effective for interim and annual periods beginning after December 15, 2013. We adopted this guidance on January 1, 2014. Our adoption did not have a material impact on our financial position, results of operations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3—Accounts Receivable</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and natural gas storage. These purchasers include, but are not limited to, refiners,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spacing w:after="0" w:line="17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To mitigate credit risk related to our accounts receivable, we have in place a rigorous credit review process. We closely monitor market conditions in order to make a determination with respect to the amount, if any, of credit to be extended to any given customer and the form and amount of financial performance assurances we require. Such financial assurances are commonly provided to us in the form of advance cash payments, standby letters of credit or parental guarantees. As of June 30, 2014 and December 31, 2013, we had received approximately $157 million and $117 million, respectively, of advance cash payments from third parties to mitigate credit risk. Furthermore, as of June 30, 2014 and December 31, 2013, we had received approximately $384 million and $426 million, respectively, of standby letters of credit to support obligations due from third parties, a portion of which applies to future business. In addition, in an effort to mitigate credit risk, a significant portion of our transactions with counterparties are settled on a net-cash basis. Further, we enter into netting agreements (contractual agreements that allow us to offset receivables and payables with those counterparties against each other on our balance sheet) for a majority of such arrangements.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June 30, 2014 and December 31, 2013, substantially all of our accounts receivable (net of allowance for doubtful accounts) were less than 30 days past their scheduled invoice date. Our allowance for doubtful accounts receivable totaled approximately $5 million at both June 30, 2014 and December 31, 2013. Although we consider our allowance for doubtful accounts receivable to be adequate, actual amounts could vary significantly from estimated amounts.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4—Inventory, Linefill and Base Gas and Long-term Inventory</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as of the dates indicated (barrels and natural gas volumes in thousands and carrying value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4"/>
                <w:szCs w:val="14"/>
                <w:b w:val="1"/>
                <w:bCs w:val="1"/>
                <w:color w:val="auto"/>
              </w:rPr>
              <w:t>June 30, 2014</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December 31, 2013</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1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Volumes</w:t>
            </w:r>
          </w:p>
        </w:tc>
        <w:tc>
          <w:tcPr>
            <w:tcW w:w="80" w:type="dxa"/>
            <w:vAlign w:val="bottom"/>
          </w:tcPr>
          <w:p>
            <w:pPr>
              <w:spacing w:after="0"/>
              <w:rPr>
                <w:sz w:val="10"/>
                <w:szCs w:val="10"/>
                <w:color w:val="auto"/>
              </w:rPr>
            </w:pPr>
          </w:p>
        </w:tc>
        <w:tc>
          <w:tcPr>
            <w:tcW w:w="11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Unit of</w:t>
            </w:r>
          </w:p>
        </w:tc>
        <w:tc>
          <w:tcPr>
            <w:tcW w:w="160" w:type="dxa"/>
            <w:vAlign w:val="bottom"/>
          </w:tcPr>
          <w:p>
            <w:pPr>
              <w:spacing w:after="0"/>
              <w:rPr>
                <w:sz w:val="10"/>
                <w:szCs w:val="10"/>
                <w:color w:val="auto"/>
              </w:rPr>
            </w:pPr>
          </w:p>
        </w:tc>
        <w:tc>
          <w:tcPr>
            <w:tcW w:w="9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Carrying</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center"/>
              <w:ind w:right="84"/>
              <w:spacing w:after="0" w:line="119" w:lineRule="exact"/>
              <w:rPr>
                <w:sz w:val="20"/>
                <w:szCs w:val="20"/>
                <w:color w:val="auto"/>
              </w:rPr>
            </w:pPr>
            <w:r>
              <w:rPr>
                <w:rFonts w:ascii="Arial" w:cs="Arial" w:eastAsia="Arial" w:hAnsi="Arial"/>
                <w:sz w:val="13"/>
                <w:szCs w:val="13"/>
                <w:b w:val="1"/>
                <w:bCs w:val="1"/>
                <w:color w:val="auto"/>
              </w:rPr>
              <w:t>Price/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Volumes</w:t>
            </w:r>
          </w:p>
        </w:tc>
        <w:tc>
          <w:tcPr>
            <w:tcW w:w="8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Unit of</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Carrying</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center"/>
              <w:ind w:right="104"/>
              <w:spacing w:after="0" w:line="119" w:lineRule="exact"/>
              <w:rPr>
                <w:sz w:val="20"/>
                <w:szCs w:val="20"/>
                <w:color w:val="auto"/>
              </w:rPr>
            </w:pPr>
            <w:r>
              <w:rPr>
                <w:rFonts w:ascii="Arial" w:cs="Arial" w:eastAsia="Arial" w:hAnsi="Arial"/>
                <w:sz w:val="13"/>
                <w:szCs w:val="13"/>
                <w:b w:val="1"/>
                <w:bCs w:val="1"/>
                <w:color w:val="auto"/>
              </w:rPr>
              <w:t>Price/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Measure</w:t>
            </w:r>
          </w:p>
        </w:tc>
        <w:tc>
          <w:tcPr>
            <w:tcW w:w="16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Measure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6"/>
        </w:trPr>
        <w:tc>
          <w:tcPr>
            <w:tcW w:w="2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Inventory</w:t>
            </w: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Crude oil</w:t>
            </w:r>
          </w:p>
        </w:tc>
        <w:tc>
          <w:tcPr>
            <w:tcW w:w="10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6,233</w:t>
            </w:r>
          </w:p>
        </w:tc>
        <w:tc>
          <w:tcPr>
            <w:tcW w:w="1220" w:type="dxa"/>
            <w:vAlign w:val="bottom"/>
            <w:tcBorders>
              <w:bottom w:val="single" w:sz="8" w:color="CCEEFF"/>
            </w:tcBorders>
            <w:gridSpan w:val="3"/>
          </w:tcPr>
          <w:p>
            <w:pPr>
              <w:ind w:left="8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579</w:t>
            </w:r>
          </w:p>
        </w:tc>
        <w:tc>
          <w:tcPr>
            <w:tcW w:w="2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92.89</w:t>
            </w:r>
          </w:p>
        </w:tc>
        <w:tc>
          <w:tcPr>
            <w:tcW w:w="1140" w:type="dxa"/>
            <w:vAlign w:val="bottom"/>
            <w:tcBorders>
              <w:bottom w:val="single" w:sz="8" w:color="CCEEFF"/>
            </w:tcBorders>
            <w:gridSpan w:val="3"/>
          </w:tcPr>
          <w:p>
            <w:pPr>
              <w:jc w:val="right"/>
              <w:ind w:right="80"/>
              <w:spacing w:after="0"/>
              <w:rPr>
                <w:sz w:val="20"/>
                <w:szCs w:val="20"/>
                <w:color w:val="auto"/>
              </w:rPr>
            </w:pPr>
            <w:r>
              <w:rPr>
                <w:rFonts w:ascii="Arial" w:cs="Arial" w:eastAsia="Arial" w:hAnsi="Arial"/>
                <w:sz w:val="18"/>
                <w:szCs w:val="18"/>
                <w:color w:val="auto"/>
              </w:rPr>
              <w:t>6,951</w:t>
            </w:r>
          </w:p>
        </w:tc>
        <w:tc>
          <w:tcPr>
            <w:tcW w:w="108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barrels</w:t>
            </w:r>
          </w:p>
        </w:tc>
        <w:tc>
          <w:tcPr>
            <w:tcW w:w="3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540</w:t>
            </w:r>
          </w:p>
        </w:tc>
        <w:tc>
          <w:tcPr>
            <w:tcW w:w="2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77.69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68"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NGL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10,591</w:t>
            </w:r>
          </w:p>
        </w:tc>
        <w:tc>
          <w:tcPr>
            <w:tcW w:w="1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barrels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41.92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barrels</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Natural gas</w:t>
            </w:r>
          </w:p>
        </w:tc>
        <w:tc>
          <w:tcPr>
            <w:tcW w:w="1100" w:type="dxa"/>
            <w:vAlign w:val="bottom"/>
          </w:tcPr>
          <w:p>
            <w:pPr>
              <w:jc w:val="right"/>
              <w:spacing w:after="0"/>
              <w:rPr>
                <w:sz w:val="20"/>
                <w:szCs w:val="20"/>
                <w:color w:val="auto"/>
              </w:rPr>
            </w:pPr>
            <w:r>
              <w:rPr>
                <w:rFonts w:ascii="Arial" w:cs="Arial" w:eastAsia="Arial" w:hAnsi="Arial"/>
                <w:sz w:val="18"/>
                <w:szCs w:val="18"/>
                <w:color w:val="auto"/>
              </w:rPr>
              <w:t>10,824</w:t>
            </w: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Mcf</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4.62</w:t>
            </w:r>
          </w:p>
        </w:tc>
        <w:tc>
          <w:tcPr>
            <w:tcW w:w="1140" w:type="dxa"/>
            <w:vAlign w:val="bottom"/>
          </w:tcPr>
          <w:p>
            <w:pPr>
              <w:jc w:val="right"/>
              <w:spacing w:after="0"/>
              <w:rPr>
                <w:sz w:val="20"/>
                <w:szCs w:val="20"/>
                <w:color w:val="auto"/>
              </w:rPr>
            </w:pPr>
            <w:r>
              <w:rPr>
                <w:rFonts w:ascii="Arial" w:cs="Arial" w:eastAsia="Arial" w:hAnsi="Arial"/>
                <w:sz w:val="18"/>
                <w:szCs w:val="18"/>
                <w:color w:val="auto"/>
              </w:rPr>
              <w:t>40,505</w:t>
            </w:r>
          </w:p>
        </w:tc>
        <w:tc>
          <w:tcPr>
            <w:tcW w:w="920" w:type="dxa"/>
            <w:vAlign w:val="bottom"/>
          </w:tcPr>
          <w:p>
            <w:pPr>
              <w:ind w:left="80"/>
              <w:spacing w:after="0"/>
              <w:rPr>
                <w:sz w:val="20"/>
                <w:szCs w:val="20"/>
                <w:color w:val="auto"/>
              </w:rPr>
            </w:pPr>
            <w:r>
              <w:rPr>
                <w:rFonts w:ascii="Arial" w:cs="Arial" w:eastAsia="Arial" w:hAnsi="Arial"/>
                <w:sz w:val="18"/>
                <w:szCs w:val="18"/>
                <w:color w:val="auto"/>
              </w:rPr>
              <w:t>Mcf</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Inventory subtotal</w:t>
            </w:r>
          </w:p>
        </w:tc>
        <w:tc>
          <w:tcPr>
            <w:tcW w:w="1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right w:val="single" w:sz="8" w:color="auto"/>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b w:val="1"/>
                <w:bCs w:val="1"/>
                <w:color w:val="auto"/>
              </w:rPr>
              <w:t>Linefill and base gas</w:t>
            </w: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w:t>
            </w:r>
          </w:p>
        </w:tc>
        <w:tc>
          <w:tcPr>
            <w:tcW w:w="1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barrels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63.60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10,966</w:t>
            </w:r>
          </w:p>
        </w:tc>
        <w:tc>
          <w:tcPr>
            <w:tcW w:w="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barrels</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679</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NGL</w:t>
            </w:r>
          </w:p>
        </w:tc>
        <w:tc>
          <w:tcPr>
            <w:tcW w:w="1100" w:type="dxa"/>
            <w:vAlign w:val="bottom"/>
          </w:tcPr>
          <w:p>
            <w:pPr>
              <w:jc w:val="right"/>
              <w:spacing w:after="0"/>
              <w:rPr>
                <w:sz w:val="20"/>
                <w:szCs w:val="20"/>
                <w:color w:val="auto"/>
              </w:rPr>
            </w:pPr>
            <w:r>
              <w:rPr>
                <w:rFonts w:ascii="Arial" w:cs="Arial" w:eastAsia="Arial" w:hAnsi="Arial"/>
                <w:sz w:val="18"/>
                <w:szCs w:val="18"/>
                <w:color w:val="auto"/>
              </w:rPr>
              <w:t>1,214</w:t>
            </w: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barrels</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46.13</w:t>
            </w:r>
          </w:p>
        </w:tc>
        <w:tc>
          <w:tcPr>
            <w:tcW w:w="1140" w:type="dxa"/>
            <w:vAlign w:val="bottom"/>
          </w:tcPr>
          <w:p>
            <w:pPr>
              <w:jc w:val="right"/>
              <w:spacing w:after="0"/>
              <w:rPr>
                <w:sz w:val="20"/>
                <w:szCs w:val="20"/>
                <w:color w:val="auto"/>
              </w:rPr>
            </w:pPr>
            <w:r>
              <w:rPr>
                <w:rFonts w:ascii="Arial" w:cs="Arial" w:eastAsia="Arial" w:hAnsi="Arial"/>
                <w:sz w:val="18"/>
                <w:szCs w:val="18"/>
                <w:color w:val="auto"/>
              </w:rPr>
              <w:t>1,341</w:t>
            </w:r>
          </w:p>
        </w:tc>
        <w:tc>
          <w:tcPr>
            <w:tcW w:w="920" w:type="dxa"/>
            <w:vAlign w:val="bottom"/>
          </w:tcPr>
          <w:p>
            <w:pPr>
              <w:ind w:left="80"/>
              <w:spacing w:after="0"/>
              <w:rPr>
                <w:sz w:val="20"/>
                <w:szCs w:val="20"/>
                <w:color w:val="auto"/>
              </w:rPr>
            </w:pPr>
            <w:r>
              <w:rPr>
                <w:rFonts w:ascii="Arial" w:cs="Arial" w:eastAsia="Arial" w:hAnsi="Arial"/>
                <w:sz w:val="18"/>
                <w:szCs w:val="18"/>
                <w:color w:val="auto"/>
              </w:rPr>
              <w:t>barrels</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26,612</w:t>
            </w:r>
          </w:p>
        </w:tc>
        <w:tc>
          <w:tcPr>
            <w:tcW w:w="1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Mcf</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4.73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16,615</w:t>
            </w:r>
          </w:p>
        </w:tc>
        <w:tc>
          <w:tcPr>
            <w:tcW w:w="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Mcf</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0" w:type="dxa"/>
            <w:vAlign w:val="bottom"/>
          </w:tcPr>
          <w:p>
            <w:pPr>
              <w:ind w:left="160"/>
              <w:spacing w:after="0" w:line="182" w:lineRule="exact"/>
              <w:rPr>
                <w:sz w:val="20"/>
                <w:szCs w:val="20"/>
                <w:color w:val="auto"/>
              </w:rPr>
            </w:pPr>
            <w:r>
              <w:rPr>
                <w:rFonts w:ascii="Arial" w:cs="Arial" w:eastAsia="Arial" w:hAnsi="Arial"/>
                <w:sz w:val="18"/>
                <w:szCs w:val="18"/>
                <w:color w:val="auto"/>
              </w:rPr>
              <w:t>Linefill and base gas</w:t>
            </w: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tcPr>
          <w:p>
            <w:pPr>
              <w:ind w:left="340"/>
              <w:spacing w:after="0"/>
              <w:rPr>
                <w:sz w:val="20"/>
                <w:szCs w:val="20"/>
                <w:color w:val="auto"/>
              </w:rPr>
            </w:pPr>
            <w:r>
              <w:rPr>
                <w:rFonts w:ascii="Arial" w:cs="Arial" w:eastAsia="Arial" w:hAnsi="Arial"/>
                <w:sz w:val="18"/>
                <w:szCs w:val="18"/>
                <w:color w:val="auto"/>
              </w:rPr>
              <w:t>subtotal</w:t>
            </w:r>
          </w:p>
        </w:tc>
        <w:tc>
          <w:tcPr>
            <w:tcW w:w="1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895</w:t>
            </w:r>
          </w:p>
        </w:tc>
        <w:tc>
          <w:tcPr>
            <w:tcW w:w="3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798</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right w:val="single" w:sz="8" w:color="auto"/>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b w:val="1"/>
                <w:bCs w:val="1"/>
                <w:color w:val="auto"/>
              </w:rPr>
              <w:t>Long-term inventory</w:t>
            </w: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barrels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81.12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barrels</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NGL</w:t>
            </w:r>
          </w:p>
        </w:tc>
        <w:tc>
          <w:tcPr>
            <w:tcW w:w="1100" w:type="dxa"/>
            <w:vAlign w:val="bottom"/>
          </w:tcPr>
          <w:p>
            <w:pPr>
              <w:jc w:val="right"/>
              <w:spacing w:after="0"/>
              <w:rPr>
                <w:sz w:val="20"/>
                <w:szCs w:val="20"/>
                <w:color w:val="auto"/>
              </w:rPr>
            </w:pPr>
            <w:r>
              <w:rPr>
                <w:rFonts w:ascii="Arial" w:cs="Arial" w:eastAsia="Arial" w:hAnsi="Arial"/>
                <w:sz w:val="18"/>
                <w:szCs w:val="18"/>
                <w:color w:val="auto"/>
              </w:rPr>
              <w:t>1,681</w:t>
            </w: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barrels</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39.86</w:t>
            </w:r>
          </w:p>
        </w:tc>
        <w:tc>
          <w:tcPr>
            <w:tcW w:w="1140" w:type="dxa"/>
            <w:vAlign w:val="bottom"/>
          </w:tcPr>
          <w:p>
            <w:pPr>
              <w:jc w:val="right"/>
              <w:spacing w:after="0"/>
              <w:rPr>
                <w:sz w:val="20"/>
                <w:szCs w:val="20"/>
                <w:color w:val="auto"/>
              </w:rPr>
            </w:pPr>
            <w:r>
              <w:rPr>
                <w:rFonts w:ascii="Arial" w:cs="Arial" w:eastAsia="Arial" w:hAnsi="Arial"/>
                <w:sz w:val="18"/>
                <w:szCs w:val="18"/>
                <w:color w:val="auto"/>
              </w:rPr>
              <w:t>1,161</w:t>
            </w:r>
          </w:p>
        </w:tc>
        <w:tc>
          <w:tcPr>
            <w:tcW w:w="920" w:type="dxa"/>
            <w:vAlign w:val="bottom"/>
          </w:tcPr>
          <w:p>
            <w:pPr>
              <w:ind w:left="80"/>
              <w:spacing w:after="0"/>
              <w:rPr>
                <w:sz w:val="20"/>
                <w:szCs w:val="20"/>
                <w:color w:val="auto"/>
              </w:rPr>
            </w:pPr>
            <w:r>
              <w:rPr>
                <w:rFonts w:ascii="Arial" w:cs="Arial" w:eastAsia="Arial" w:hAnsi="Arial"/>
                <w:sz w:val="18"/>
                <w:szCs w:val="18"/>
                <w:color w:val="auto"/>
              </w:rPr>
              <w:t>barrels</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0" w:type="dxa"/>
            <w:vAlign w:val="bottom"/>
            <w:tcBorders>
              <w:top w:val="single" w:sz="8" w:color="CCEEFF"/>
            </w:tcBorders>
            <w:shd w:val="clear" w:color="auto" w:fill="CCEEFF"/>
          </w:tcPr>
          <w:p>
            <w:pPr>
              <w:ind w:left="160"/>
              <w:spacing w:after="0" w:line="182" w:lineRule="exact"/>
              <w:rPr>
                <w:sz w:val="20"/>
                <w:szCs w:val="20"/>
                <w:color w:val="auto"/>
              </w:rPr>
            </w:pPr>
            <w:r>
              <w:rPr>
                <w:rFonts w:ascii="Arial" w:cs="Arial" w:eastAsia="Arial" w:hAnsi="Arial"/>
                <w:sz w:val="18"/>
                <w:szCs w:val="18"/>
                <w:color w:val="auto"/>
              </w:rPr>
              <w:t>Long-term inventory</w:t>
            </w:r>
          </w:p>
        </w:tc>
        <w:tc>
          <w:tcPr>
            <w:tcW w:w="11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right w:val="single" w:sz="8" w:color="auto"/>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1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w:t>
            </w:r>
          </w:p>
        </w:tc>
        <w:tc>
          <w:tcPr>
            <w:tcW w:w="380" w:type="dxa"/>
            <w:vAlign w:val="bottom"/>
            <w:shd w:val="clear" w:color="auto" w:fill="CCEEFF"/>
          </w:tcPr>
          <w:p>
            <w:pPr>
              <w:spacing w:after="0"/>
              <w:rPr>
                <w:sz w:val="20"/>
                <w:szCs w:val="20"/>
                <w:color w:val="auto"/>
              </w:rPr>
            </w:pPr>
          </w:p>
        </w:tc>
        <w:tc>
          <w:tcPr>
            <w:tcW w:w="760" w:type="dxa"/>
            <w:vAlign w:val="bottom"/>
            <w:tcBorders>
              <w:right w:val="single" w:sz="8" w:color="auto"/>
            </w:tcBorders>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2,278</w:t>
            </w:r>
          </w:p>
        </w:tc>
        <w:tc>
          <w:tcPr>
            <w:tcW w:w="38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2,114</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40" w:hanging="652"/>
        <w:spacing w:after="0" w:line="227" w:lineRule="auto"/>
        <w:tabs>
          <w:tab w:leader="none" w:pos="64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represents a weighted average associated with various grades, qualities and locations. Accordingly, these prices may not coincide with any published benchmarks for such products.</w:t>
      </w:r>
    </w:p>
    <w:p>
      <w:pPr>
        <w:spacing w:after="0" w:line="20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At the end of each reporting period, we assess the carrying value of our inventory and make any adjustments necessary to reduce the carrying value to the applicable net realizable value. We recorded a charge of approximately $37 million during the six months ended June 30, 2014 related to the writedown of our natural gas inventory that was purchased in conjunction with managing natural gas storage deliverability requirements during the extended period of severe cold weather in the first quarter of 2014. This adjustment is a component of “Purchases and related costs” in our accompanying condensed consolidated statements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reflects our goodwill by segment and changes during the period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Transportation</w:t>
            </w:r>
          </w:p>
        </w:tc>
        <w:tc>
          <w:tcPr>
            <w:tcW w:w="260" w:type="dxa"/>
            <w:vAlign w:val="bottom"/>
          </w:tcPr>
          <w:p>
            <w:pPr>
              <w:spacing w:after="0"/>
              <w:rPr>
                <w:sz w:val="14"/>
                <w:szCs w:val="14"/>
                <w:color w:val="auto"/>
              </w:rPr>
            </w:pPr>
          </w:p>
        </w:tc>
        <w:tc>
          <w:tcPr>
            <w:tcW w:w="1120" w:type="dxa"/>
            <w:vAlign w:val="bottom"/>
          </w:tcPr>
          <w:p>
            <w:pPr>
              <w:jc w:val="right"/>
              <w:ind w:right="314"/>
              <w:spacing w:after="0"/>
              <w:rPr>
                <w:sz w:val="20"/>
                <w:szCs w:val="20"/>
                <w:color w:val="auto"/>
              </w:rPr>
            </w:pPr>
            <w:r>
              <w:rPr>
                <w:rFonts w:ascii="Arial" w:cs="Arial" w:eastAsia="Arial" w:hAnsi="Arial"/>
                <w:sz w:val="14"/>
                <w:szCs w:val="14"/>
                <w:b w:val="1"/>
                <w:bCs w:val="1"/>
                <w:color w:val="auto"/>
              </w:rPr>
              <w:t>Facilities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ind w:left="6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14"/>
                <w:szCs w:val="14"/>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Total</w:t>
            </w:r>
          </w:p>
        </w:tc>
      </w:tr>
      <w:tr>
        <w:trPr>
          <w:trHeight w:val="210"/>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Balance at June 30, 2014</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completed our annual goodwill impairment test as of June 30, 2014 and determined that there was no impairment of goodwill.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as of the dates indicated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SHORT-TERM DEBT</w:t>
            </w: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line="216" w:lineRule="exact"/>
              <w:rPr>
                <w:sz w:val="20"/>
                <w:szCs w:val="20"/>
                <w:color w:val="auto"/>
              </w:rPr>
            </w:pPr>
            <w:r>
              <w:rPr>
                <w:rFonts w:ascii="Arial" w:cs="Arial" w:eastAsia="Arial" w:hAnsi="Arial"/>
                <w:sz w:val="18"/>
                <w:szCs w:val="18"/>
                <w:color w:val="auto"/>
                <w:w w:val="92"/>
              </w:rPr>
              <w:t xml:space="preserve">PAA commercial paper notes, bearing a weighted-average interest rate of 0.29% and 0.33%, respectively </w:t>
            </w:r>
            <w:r>
              <w:rPr>
                <w:rFonts w:ascii="Arial" w:cs="Arial" w:eastAsia="Arial" w:hAnsi="Arial"/>
                <w:sz w:val="23"/>
                <w:szCs w:val="23"/>
                <w:color w:val="auto"/>
                <w:w w:val="92"/>
                <w:vertAlign w:val="superscript"/>
              </w:rPr>
              <w:t>(1)</w:t>
            </w:r>
          </w:p>
        </w:tc>
        <w:tc>
          <w:tcPr>
            <w:tcW w:w="12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760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Total short-term debt</w:t>
            </w:r>
          </w:p>
        </w:tc>
        <w:tc>
          <w:tcPr>
            <w:tcW w:w="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Senior notes, net of unamortized discounts of $16 and $15, respectively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7,409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long-term debt</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7,414</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Pr>
          <w:p>
            <w:pPr>
              <w:ind w:left="520"/>
              <w:spacing w:after="0" w:line="210"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(3)</w:t>
            </w:r>
          </w:p>
        </w:tc>
        <w:tc>
          <w:tcPr>
            <w:tcW w:w="28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8,177</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153"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80" w:hanging="11"/>
        <w:spacing w:after="0" w:line="297" w:lineRule="auto"/>
        <w:rPr>
          <w:sz w:val="20"/>
          <w:szCs w:val="20"/>
          <w:color w:val="auto"/>
        </w:rPr>
      </w:pPr>
      <w:r>
        <w:rPr>
          <w:rFonts w:ascii="Arial" w:cs="Arial" w:eastAsia="Arial" w:hAnsi="Arial"/>
          <w:sz w:val="16"/>
          <w:szCs w:val="16"/>
          <w:color w:val="auto"/>
        </w:rPr>
        <w:t>PAA commercial paper notes are backstopped by the PAA senior unsecured revolving credit facility and the PAA senior secured hedged inventory facility, which mature in August 2018 and August 2016, respectively; as such, any borrowings under the PAA commercial paper program reduce the available capacity under these facilities. At June 30, 2014 and December 31, 2013, we classified $760 million and $1.1 billion, respectively, of borrowings under our commercial paper program as short-term. These borrowings are primarily designated as working capital borrowings, must be repaid within one year and are primarily for hedged NGL and crude oil inventory and NYMEX and ICE margin deposits.</w:t>
      </w:r>
    </w:p>
    <w:p>
      <w:pPr>
        <w:spacing w:after="0" w:line="158" w:lineRule="exact"/>
        <w:rPr>
          <w:sz w:val="20"/>
          <w:szCs w:val="20"/>
          <w:color w:val="auto"/>
        </w:rPr>
      </w:pPr>
    </w:p>
    <w:p>
      <w:pPr>
        <w:ind w:right="40" w:hanging="11"/>
        <w:spacing w:after="0" w:line="277" w:lineRule="auto"/>
        <w:rPr>
          <w:sz w:val="20"/>
          <w:szCs w:val="20"/>
          <w:color w:val="auto"/>
        </w:rPr>
      </w:pPr>
      <w:r>
        <w:rPr>
          <w:rFonts w:ascii="Arial" w:cs="Arial" w:eastAsia="Arial" w:hAnsi="Arial"/>
          <w:sz w:val="18"/>
          <w:szCs w:val="18"/>
          <w:color w:val="auto"/>
        </w:rPr>
        <w:t>As of June 30, 2014, we have classified our $150 million, 5.25% senior notes due June 2015 as long-term based on our ability and intent to refinance them on a long-term basis.</w:t>
      </w:r>
    </w:p>
    <w:p>
      <w:pPr>
        <w:sectPr>
          <w:pgSz w:w="11900" w:h="16838" w:orient="portrait"/>
          <w:cols w:equalWidth="0" w:num="2">
            <w:col w:w="140" w:space="520"/>
            <w:col w:w="10760"/>
          </w:cols>
          <w:pgMar w:left="240" w:top="140" w:right="239" w:bottom="153" w:gutter="0" w:footer="0" w:header="0"/>
          <w:type w:val="continuous"/>
        </w:sectPr>
      </w:pPr>
    </w:p>
    <w:bookmarkStart w:id="8" w:name="page9"/>
    <w:bookmarkEnd w:id="8"/>
    <w:p>
      <w:pPr>
        <w:spacing w:after="0" w:line="62" w:lineRule="exact"/>
        <w:rPr>
          <w:sz w:val="20"/>
          <w:szCs w:val="20"/>
          <w:color w:val="auto"/>
        </w:rPr>
      </w:pPr>
    </w:p>
    <w:p>
      <w:pPr>
        <w:ind w:left="660" w:right="40" w:hanging="652"/>
        <w:spacing w:after="0" w:line="259" w:lineRule="auto"/>
        <w:tabs>
          <w:tab w:leader="none" w:pos="648"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Our fixed-rate senior notes had a face value of approximately $7.4 billion and $6.7 billion at June 30, 2014 and December 31, 2013, respectively. We estimated the aggregate fair value of these notes as of June 30, 2014 and December 31, 2013 to be approximately $8.2 billion and $7.2 billion, respectively. Our fixed-rate senior notes are traded among institutions, and these trades are routinely published by a reporting service. Our determination of fair value is based on reported trading activity near quarter end. We estimate that the carrying value of outstanding borrowings under our credit facilities and agreements and commercial paper program approximates fair value as interest rates reflect current market rates. The fair value estimates for both our senior notes and credit facilities are based upon observable market data and are classified within Level 2 of the fair value hierarchy. See Note 10 for additional discussion of the fair value hierarchy.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Total borrowings under our credit agreements and the commercial paper program for the six months ended June 30, 2014 and 2013 were approximately $34.6 billion and $7.6 billion, respectively. Total repayments under our credit agreements and the commercial paper program for the six months ended June 30, 2014 and 2013 were approximately $34.9 billion and $7.8 billion,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connection with our supply and logistics activities, we provide certain suppliers with irrevocable standby letters of credit to secure our obligation for the purchase of crude oil, NGL and natural gas. Additionally, we issue letters of credit to support insurance programs and construction activities. At June 30, 2014 and December 31, 2013, we had outstanding letters of credit of approximately $38 million and $41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Issuance</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April 23, 2014, we completed the issuance of $700 million, 4.70% senior notes due 2044 at a public offering price of 99.734%. Interest payments are due on June 15 and December 15 of each year, commencing on December 15, 2014. In anticipation of the issuance of these senior notes, we entered into $250 million notional principal amount of U.S. treasury locks in March and April 2014 to hedge the treasury rate portion of the interest rate on a portion of the notes. We terminated these treasury locks in April 2014. See Note 10 for additional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7—Net Income Per Limited Partner Unit</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Basic and diluted net income per limited partner unit is determined pursuant to the two-class method for Master Limited Partnerships as prescribed in the FASB guidance. The two-class method is an earnings allocation formula that is used to determine earnings to our general partner, common unitholders and participating securities according to distributions pertaining to the current period’s net income and participation rights in undistributed earnings. Under this method, all earnings are allocated to our general partner, common unitholders and participating securities based on their respective rights to receive distributions, regardless of whether those earnings would actually be distributed during a particular period from an economic or practical perspective.</w:t>
      </w:r>
    </w:p>
    <w:p>
      <w:pPr>
        <w:spacing w:after="0" w:line="15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Partnership calculates basic and diluted net income per limited partner unit by dividing net income attributable to Plains, after deducting the amount allocated to the general partner’s interest, incentive distribution rights (“IDRs”) and participating securities, by the basic and diluted weighted-average number of limited partner units outstanding during the period. Participating securities include LTIP awards that have vested DERs, which entitle the grantee to a cash payment equal to the cash distribution paid on our outstanding common units.</w:t>
      </w:r>
    </w:p>
    <w:p>
      <w:pPr>
        <w:spacing w:after="0" w:line="187" w:lineRule="exact"/>
        <w:rPr>
          <w:sz w:val="20"/>
          <w:szCs w:val="20"/>
          <w:color w:val="auto"/>
        </w:rPr>
      </w:pPr>
    </w:p>
    <w:p>
      <w:pPr>
        <w:ind w:right="300" w:firstLine="648"/>
        <w:spacing w:after="0" w:line="291" w:lineRule="auto"/>
        <w:rPr>
          <w:sz w:val="20"/>
          <w:szCs w:val="20"/>
          <w:color w:val="auto"/>
        </w:rPr>
      </w:pPr>
      <w:r>
        <w:rPr>
          <w:rFonts w:ascii="Arial" w:cs="Arial" w:eastAsia="Arial" w:hAnsi="Arial"/>
          <w:sz w:val="16"/>
          <w:szCs w:val="16"/>
          <w:color w:val="auto"/>
        </w:rPr>
        <w:t>Diluted net income per limited partner unit is computed based on the weighted average number of units plus the effect of dilutive potential units outstanding during the period using the two-class method. Our LTIP awards that contemplate the issuance of common units are considered dilutive unless</w:t>
      </w:r>
    </w:p>
    <w:p>
      <w:pPr>
        <w:ind w:firstLine="8"/>
        <w:spacing w:after="0" w:line="254"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 See Note 15 to our Consolidated Financial Statements included in Part IV of our 2013 Annual Report on Form 10-K for a complete discussion of our LTIP awards including specific discussion regarding DERs.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limited partner unit for the three and six months ended June 30, 2014 and 2013 (in millions, except per unit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Limited Partner Unit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Net income attributable to PAA</w:t>
            </w:r>
          </w:p>
        </w:tc>
        <w:tc>
          <w:tcPr>
            <w:tcW w:w="106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287</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292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671</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income available to limited partners</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80" w:type="dxa"/>
            <w:vAlign w:val="bottom"/>
          </w:tcPr>
          <w:p>
            <w:pPr>
              <w:ind w:left="360"/>
              <w:spacing w:after="0" w:line="201" w:lineRule="exact"/>
              <w:rPr>
                <w:sz w:val="20"/>
                <w:szCs w:val="20"/>
                <w:color w:val="auto"/>
              </w:rPr>
            </w:pPr>
            <w:r>
              <w:rPr>
                <w:rFonts w:ascii="Arial" w:cs="Arial" w:eastAsia="Arial" w:hAnsi="Arial"/>
                <w:sz w:val="18"/>
                <w:szCs w:val="18"/>
                <w:color w:val="auto"/>
                <w:w w:val="95"/>
              </w:rPr>
              <w:t>Less: Undistributed earnings allocated and distributions to</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540"/>
              <w:spacing w:after="0" w:line="231" w:lineRule="exact"/>
              <w:rPr>
                <w:sz w:val="20"/>
                <w:szCs w:val="20"/>
                <w:color w:val="auto"/>
              </w:rPr>
            </w:pPr>
            <w:r>
              <w:rPr>
                <w:rFonts w:ascii="Arial" w:cs="Arial" w:eastAsia="Arial" w:hAnsi="Arial"/>
                <w:sz w:val="18"/>
                <w:szCs w:val="18"/>
                <w:color w:val="auto"/>
              </w:rPr>
              <w:t xml:space="preserve">participating securities </w:t>
            </w:r>
            <w:r>
              <w:rPr>
                <w:rFonts w:ascii="Arial" w:cs="Arial" w:eastAsia="Arial" w:hAnsi="Arial"/>
                <w:sz w:val="23"/>
                <w:szCs w:val="23"/>
                <w:color w:val="auto"/>
                <w:vertAlign w:val="superscript"/>
              </w:rPr>
              <w:t>(1)</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780" w:type="dxa"/>
            <w:vAlign w:val="bottom"/>
            <w:vMerge w:val="restart"/>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Net income available to limited partners in accordance with</w:t>
            </w: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80" w:type="dxa"/>
            <w:vAlign w:val="bottom"/>
            <w:vMerge w:val="continue"/>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165</w:t>
            </w:r>
          </w:p>
        </w:tc>
        <w:tc>
          <w:tcPr>
            <w:tcW w:w="5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196</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432</w:t>
            </w: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application of the two-class method for MLPs</w:t>
            </w:r>
          </w:p>
        </w:tc>
        <w:tc>
          <w:tcPr>
            <w:tcW w:w="106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number of limited partner units</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365</w:t>
            </w:r>
          </w:p>
        </w:tc>
        <w:tc>
          <w:tcPr>
            <w:tcW w:w="5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w:t>
            </w:r>
          </w:p>
        </w:tc>
        <w:tc>
          <w:tcPr>
            <w:tcW w:w="5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w:t>
            </w: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net income per limited partner unit</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0.45</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0.58</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Net income attributable to PAA</w:t>
            </w: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287</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292</w:t>
            </w:r>
          </w:p>
        </w:tc>
        <w:tc>
          <w:tcPr>
            <w:tcW w:w="6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671</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income available to limited partners</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tcPr>
          <w:p>
            <w:pPr>
              <w:ind w:left="340"/>
              <w:spacing w:after="0" w:line="201" w:lineRule="exact"/>
              <w:rPr>
                <w:sz w:val="20"/>
                <w:szCs w:val="20"/>
                <w:color w:val="auto"/>
              </w:rPr>
            </w:pPr>
            <w:r>
              <w:rPr>
                <w:rFonts w:ascii="Arial" w:cs="Arial" w:eastAsia="Arial" w:hAnsi="Arial"/>
                <w:sz w:val="18"/>
                <w:szCs w:val="18"/>
                <w:color w:val="auto"/>
                <w:w w:val="95"/>
              </w:rPr>
              <w:t>Less: Undistributed earnings allocated and distributions to</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520"/>
              <w:spacing w:after="0" w:line="231" w:lineRule="exact"/>
              <w:rPr>
                <w:sz w:val="20"/>
                <w:szCs w:val="20"/>
                <w:color w:val="auto"/>
              </w:rPr>
            </w:pPr>
            <w:r>
              <w:rPr>
                <w:rFonts w:ascii="Arial" w:cs="Arial" w:eastAsia="Arial" w:hAnsi="Arial"/>
                <w:sz w:val="18"/>
                <w:szCs w:val="18"/>
                <w:color w:val="auto"/>
              </w:rPr>
              <w:t xml:space="preserve">participating securities </w:t>
            </w:r>
            <w:r>
              <w:rPr>
                <w:rFonts w:ascii="Arial" w:cs="Arial" w:eastAsia="Arial" w:hAnsi="Arial"/>
                <w:sz w:val="23"/>
                <w:szCs w:val="23"/>
                <w:color w:val="auto"/>
                <w:vertAlign w:val="superscript"/>
              </w:rPr>
              <w:t>(1)</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Net income available to limited partners in accordance with</w:t>
            </w: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760" w:type="dxa"/>
            <w:vAlign w:val="bottom"/>
            <w:vMerge w:val="continue"/>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165</w:t>
            </w:r>
          </w:p>
        </w:tc>
        <w:tc>
          <w:tcPr>
            <w:tcW w:w="5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196</w:t>
            </w:r>
          </w:p>
        </w:tc>
        <w:tc>
          <w:tcPr>
            <w:tcW w:w="66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432</w:t>
            </w: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application of the two-class method for MLPs</w:t>
            </w:r>
          </w:p>
        </w:tc>
        <w:tc>
          <w:tcPr>
            <w:tcW w:w="78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Basic weighted average number of limited partner units</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w:t>
            </w: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365</w:t>
            </w:r>
          </w:p>
        </w:tc>
        <w:tc>
          <w:tcPr>
            <w:tcW w:w="5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w:t>
            </w:r>
          </w:p>
        </w:tc>
        <w:tc>
          <w:tcPr>
            <w:tcW w:w="5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w w:val="97"/>
              </w:rPr>
              <w:t>Effect of dilutive securities: Weighted average LTIP units</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shd w:val="clear" w:color="auto" w:fill="CCEEFF"/>
          </w:tcPr>
          <w:p>
            <w:pPr>
              <w:ind w:left="160"/>
              <w:spacing w:after="0" w:line="201" w:lineRule="exact"/>
              <w:rPr>
                <w:sz w:val="20"/>
                <w:szCs w:val="20"/>
                <w:color w:val="auto"/>
              </w:rPr>
            </w:pPr>
            <w:r>
              <w:rPr>
                <w:rFonts w:ascii="Arial" w:cs="Arial" w:eastAsia="Arial" w:hAnsi="Arial"/>
                <w:sz w:val="18"/>
                <w:szCs w:val="18"/>
                <w:color w:val="auto"/>
              </w:rPr>
              <w:t>Diluted weighted average number of limited partner units</w:t>
            </w: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76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367</w:t>
            </w:r>
          </w:p>
        </w:tc>
        <w:tc>
          <w:tcPr>
            <w:tcW w:w="5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365</w:t>
            </w:r>
          </w:p>
        </w:tc>
        <w:tc>
          <w:tcPr>
            <w:tcW w:w="5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net income per limited partner unit</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0.45</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0.57</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20" w:hanging="652"/>
        <w:spacing w:after="0" w:line="238" w:lineRule="auto"/>
        <w:tabs>
          <w:tab w:leader="none" w:pos="64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20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Pursuant to the terms of our partnership agreement, the general partner’s incentive distribution is limited to a percentage of available cash, which, as defined in the partnership agreement, is net of reserves deemed appropriate. As such, IDRs are not allocated undistributed earnings or distributions in excess of earnings in the calculation of net income per limited partner unit. If, however, undistributed earnings were allocated to our IDRs beyond amounts distributed to them under the terms of the partnership agreement, basic and diluted earnings per limited partner unit as reflected in the table above would be impacted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4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June 30 ,</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income per limited partner unit impact</w:t>
            </w:r>
          </w:p>
        </w:tc>
        <w:tc>
          <w:tcPr>
            <w:tcW w:w="6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76"/>
              </w:rPr>
              <w:t>(0.33)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4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limited partner unit impact</w:t>
            </w:r>
          </w:p>
        </w:tc>
        <w:tc>
          <w:tcPr>
            <w:tcW w:w="152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(0.33)</w:t>
            </w:r>
          </w:p>
        </w:tc>
        <w:tc>
          <w:tcPr>
            <w:tcW w:w="40" w:type="dxa"/>
            <w:vAlign w:val="bottom"/>
          </w:tcPr>
          <w:p>
            <w:pPr>
              <w:spacing w:after="0"/>
              <w:rPr>
                <w:sz w:val="21"/>
                <w:szCs w:val="2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32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32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details the distributions paid during or pertaining to the first six months of 2014, net of reductions to the general partner’s incentive distributions (in millions, except per unit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Distributions Paid</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Distributions</w:t>
            </w:r>
          </w:p>
        </w:tc>
      </w:tr>
      <w:tr>
        <w:trPr>
          <w:trHeight w:val="142"/>
        </w:trPr>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2"/>
              </w:rPr>
              <w:t>Common</w:t>
            </w:r>
          </w:p>
        </w:tc>
        <w:tc>
          <w:tcPr>
            <w:tcW w:w="20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3"/>
          </w:tcPr>
          <w:p>
            <w:pPr>
              <w:jc w:val="right"/>
              <w:ind w:right="394"/>
              <w:spacing w:after="0" w:line="142" w:lineRule="exact"/>
              <w:rPr>
                <w:sz w:val="20"/>
                <w:szCs w:val="20"/>
                <w:color w:val="auto"/>
              </w:rPr>
            </w:pPr>
            <w:r>
              <w:rPr>
                <w:rFonts w:ascii="Arial" w:cs="Arial" w:eastAsia="Arial" w:hAnsi="Arial"/>
                <w:sz w:val="14"/>
                <w:szCs w:val="14"/>
                <w:b w:val="1"/>
                <w:bCs w:val="1"/>
                <w:color w:val="auto"/>
              </w:rPr>
              <w:t>General Partner</w:t>
            </w: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per limited</w:t>
            </w:r>
          </w:p>
        </w:tc>
      </w:tr>
      <w:tr>
        <w:trPr>
          <w:trHeight w:val="142"/>
        </w:trPr>
        <w:tc>
          <w:tcPr>
            <w:tcW w:w="21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Date Declared</w:t>
            </w:r>
          </w:p>
        </w:tc>
        <w:tc>
          <w:tcPr>
            <w:tcW w:w="2300" w:type="dxa"/>
            <w:vAlign w:val="bottom"/>
          </w:tcPr>
          <w:p>
            <w:pPr>
              <w:spacing w:after="0" w:line="142" w:lineRule="exact"/>
              <w:rPr>
                <w:sz w:val="20"/>
                <w:szCs w:val="20"/>
                <w:color w:val="auto"/>
              </w:rPr>
            </w:pPr>
            <w:r>
              <w:rPr>
                <w:rFonts w:ascii="Arial" w:cs="Arial" w:eastAsia="Arial" w:hAnsi="Arial"/>
                <w:sz w:val="14"/>
                <w:szCs w:val="14"/>
                <w:b w:val="1"/>
                <w:bCs w:val="1"/>
                <w:color w:val="auto"/>
              </w:rPr>
              <w:t>Distribution Date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1"/>
              </w:rPr>
              <w:t>Units</w:t>
            </w:r>
          </w:p>
        </w:tc>
        <w:tc>
          <w:tcPr>
            <w:tcW w:w="200" w:type="dxa"/>
            <w:vAlign w:val="bottom"/>
          </w:tcPr>
          <w:p>
            <w:pPr>
              <w:spacing w:after="0"/>
              <w:rPr>
                <w:sz w:val="12"/>
                <w:szCs w:val="12"/>
                <w:color w:val="auto"/>
              </w:rPr>
            </w:pPr>
          </w:p>
        </w:tc>
        <w:tc>
          <w:tcPr>
            <w:tcW w:w="11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Incentive</w:t>
            </w:r>
          </w:p>
        </w:tc>
        <w:tc>
          <w:tcPr>
            <w:tcW w:w="8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5"/>
              </w:rPr>
              <w:t>partner unit</w:t>
            </w:r>
          </w:p>
        </w:tc>
      </w:tr>
      <w:tr>
        <w:trPr>
          <w:trHeight w:val="210"/>
        </w:trPr>
        <w:tc>
          <w:tcPr>
            <w:tcW w:w="1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8, 2014</w:t>
            </w:r>
          </w:p>
        </w:tc>
        <w:tc>
          <w:tcPr>
            <w:tcW w:w="2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August 14, 2014 </w:t>
            </w:r>
            <w:r>
              <w:rPr>
                <w:rFonts w:ascii="Arial" w:cs="Arial" w:eastAsia="Arial" w:hAnsi="Arial"/>
                <w:sz w:val="23"/>
                <w:szCs w:val="23"/>
                <w:color w:val="auto"/>
                <w:vertAlign w:val="superscript"/>
              </w:rPr>
              <w:t>(1)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April 7, 2014</w:t>
            </w:r>
          </w:p>
        </w:tc>
        <w:tc>
          <w:tcPr>
            <w:tcW w:w="2300" w:type="dxa"/>
            <w:vAlign w:val="bottom"/>
          </w:tcPr>
          <w:p>
            <w:pPr>
              <w:spacing w:after="0"/>
              <w:rPr>
                <w:sz w:val="20"/>
                <w:szCs w:val="20"/>
                <w:color w:val="auto"/>
              </w:rPr>
            </w:pPr>
            <w:r>
              <w:rPr>
                <w:rFonts w:ascii="Arial" w:cs="Arial" w:eastAsia="Arial" w:hAnsi="Arial"/>
                <w:sz w:val="18"/>
                <w:szCs w:val="18"/>
                <w:color w:val="auto"/>
              </w:rPr>
              <w:t>May 15, 2014</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880" w:type="dxa"/>
            <w:vAlign w:val="bottom"/>
          </w:tcPr>
          <w:p>
            <w:pPr>
              <w:jc w:val="right"/>
              <w:ind w:right="694"/>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920" w:type="dxa"/>
            <w:vAlign w:val="bottom"/>
            <w:gridSpan w:val="2"/>
          </w:tcPr>
          <w:p>
            <w:pPr>
              <w:jc w:val="right"/>
              <w:ind w:right="619"/>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344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0.6300</w:t>
            </w:r>
          </w:p>
        </w:tc>
      </w:tr>
      <w:tr>
        <w:trPr>
          <w:trHeight w:val="216"/>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9, 2014</w:t>
            </w: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February 14, 2014</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88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920" w:type="dxa"/>
            <w:vAlign w:val="bottom"/>
            <w:gridSpan w:val="2"/>
            <w:shd w:val="clear" w:color="auto" w:fill="CCEEFF"/>
          </w:tcPr>
          <w:p>
            <w:pPr>
              <w:jc w:val="right"/>
              <w:ind w:right="619"/>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596"/>
        <w:spacing w:after="0"/>
        <w:tabs>
          <w:tab w:leader="none" w:pos="64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August 1, 2014 for the period April 1, 2014 through June 30, 2014.</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Continuous Offering Program</w:t>
      </w:r>
    </w:p>
    <w:p>
      <w:pPr>
        <w:spacing w:after="0" w:line="225"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During the six months ended June 30, 2014, we issued an aggregate of approximately 8.1 million common units under our continuous offering program, generating proceeds of approximately $453 million, including our general partner’s proportionate capital contribution, net of approximately $4 million of commissions to our sales agents.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June 30, 2014, noncontrolling interests in subsidiaries consisted of a 25% interest in SLC Pipeline LLC. On December 31, 2013, we purchased the noncontrolling interests in PNG, and PNG became our wholly-owned subsidiary.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9—Equity-Indexed Compensation Plans</w:t>
      </w:r>
    </w:p>
    <w:p>
      <w:pPr>
        <w:sectPr>
          <w:pgSz w:w="11900" w:h="16838" w:orient="portrait"/>
          <w:cols w:equalWidth="0" w:num="1">
            <w:col w:w="11460"/>
          </w:cols>
          <w:pgMar w:left="240" w:top="134" w:right="199" w:bottom="0" w:gutter="0" w:footer="0" w:header="0"/>
        </w:sectPr>
      </w:pPr>
    </w:p>
    <w:bookmarkStart w:id="10" w:name="page11"/>
    <w:bookmarkEnd w:id="10"/>
    <w:p>
      <w:pPr>
        <w:ind w:right="160" w:firstLine="648"/>
        <w:spacing w:after="0" w:line="264" w:lineRule="auto"/>
        <w:rPr>
          <w:sz w:val="20"/>
          <w:szCs w:val="20"/>
          <w:color w:val="auto"/>
        </w:rPr>
      </w:pPr>
      <w:r>
        <w:rPr>
          <w:rFonts w:ascii="Arial" w:cs="Arial" w:eastAsia="Arial" w:hAnsi="Arial"/>
          <w:sz w:val="18"/>
          <w:szCs w:val="18"/>
          <w:color w:val="auto"/>
        </w:rPr>
        <w:t>We refer to the PAA LTIPs and AAP Management Units collectively as our “Equity-indexed compensation plans.” For additional discussion of our equity-indexed compensation plans and awards, see Note 15 to our Consolidated Financial Statements included in Part IV of our 2013 Annual Report on Form 10-K.</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PAA LTIP Awards. </w:t>
      </w:r>
      <w:r>
        <w:rPr>
          <w:rFonts w:ascii="Arial" w:cs="Arial" w:eastAsia="Arial" w:hAnsi="Arial"/>
          <w:sz w:val="18"/>
          <w:szCs w:val="18"/>
          <w:color w:val="auto"/>
        </w:rPr>
        <w:t>Our equity-indexed compensation activity for LTIP awards denominated in PAA units is summarized in the following table (units</w:t>
      </w:r>
      <w:r>
        <w:rPr>
          <w:rFonts w:ascii="Arial" w:cs="Arial" w:eastAsia="Arial" w:hAnsi="Arial"/>
          <w:sz w:val="18"/>
          <w:szCs w:val="18"/>
          <w:i w:val="1"/>
          <w:iCs w:val="1"/>
          <w:color w:val="auto"/>
        </w:rPr>
        <w:t xml:space="preserve"> </w:t>
      </w:r>
      <w:r>
        <w:rPr>
          <w:rFonts w:ascii="Arial" w:cs="Arial" w:eastAsia="Arial" w:hAnsi="Arial"/>
          <w:sz w:val="18"/>
          <w:szCs w:val="18"/>
          <w:color w:val="auto"/>
        </w:rPr>
        <w:t>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Weighted Average Grant</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52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 xml:space="preserve">Units </w:t>
            </w:r>
            <w:r>
              <w:rPr>
                <w:rFonts w:ascii="Arial" w:cs="Arial" w:eastAsia="Arial" w:hAnsi="Arial"/>
                <w:sz w:val="8"/>
                <w:szCs w:val="8"/>
                <w:b w:val="1"/>
                <w:bCs w:val="1"/>
                <w:color w:val="auto"/>
              </w:rPr>
              <w:t>(1)</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 per Unit</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5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87"/>
              </w:rPr>
              <w:t>8.4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ind w:left="180"/>
              <w:spacing w:after="0"/>
              <w:rPr>
                <w:sz w:val="20"/>
                <w:szCs w:val="20"/>
                <w:color w:val="auto"/>
              </w:rPr>
            </w:pPr>
            <w:r>
              <w:rPr>
                <w:rFonts w:ascii="Arial" w:cs="Arial" w:eastAsia="Arial" w:hAnsi="Arial"/>
                <w:sz w:val="18"/>
                <w:szCs w:val="18"/>
                <w:color w:val="auto"/>
              </w:rPr>
              <w:t>Granted</w:t>
            </w:r>
          </w:p>
        </w:tc>
        <w:tc>
          <w:tcPr>
            <w:tcW w:w="1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vMerge w:val="restart"/>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line="20" w:lineRule="exact"/>
              <w:rPr>
                <w:sz w:val="1"/>
                <w:szCs w:val="1"/>
                <w:color w:val="auto"/>
              </w:rPr>
            </w:pPr>
          </w:p>
        </w:tc>
      </w:tr>
      <w:tr>
        <w:trPr>
          <w:trHeight w:val="197"/>
        </w:trPr>
        <w:tc>
          <w:tcPr>
            <w:tcW w:w="694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520" w:type="dxa"/>
            <w:vAlign w:val="bottom"/>
          </w:tcPr>
          <w:p>
            <w:pPr>
              <w:jc w:val="center"/>
              <w:ind w:left="210"/>
              <w:spacing w:after="0" w:line="196" w:lineRule="exact"/>
              <w:rPr>
                <w:sz w:val="20"/>
                <w:szCs w:val="20"/>
                <w:color w:val="auto"/>
              </w:rPr>
            </w:pPr>
            <w:r>
              <w:rPr>
                <w:rFonts w:ascii="Arial" w:cs="Arial" w:eastAsia="Arial" w:hAnsi="Arial"/>
                <w:sz w:val="18"/>
                <w:szCs w:val="18"/>
                <w:color w:val="auto"/>
                <w:w w:val="87"/>
              </w:rPr>
              <w:t>0.9</w:t>
            </w:r>
          </w:p>
        </w:tc>
        <w:tc>
          <w:tcPr>
            <w:tcW w:w="180" w:type="dxa"/>
            <w:vAlign w:val="bottom"/>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w:t>
            </w:r>
          </w:p>
        </w:tc>
        <w:tc>
          <w:tcPr>
            <w:tcW w:w="7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(1.8)</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16"/>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Cancelled or forfeited</w:t>
            </w:r>
          </w:p>
        </w:tc>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(0.3)</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38.88</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2014</w:t>
            </w:r>
          </w:p>
        </w:tc>
        <w:tc>
          <w:tcPr>
            <w:tcW w:w="15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87"/>
              </w:rPr>
              <w:t>7.2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341" w:right="239" w:bottom="15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do not include AAP Management Units.</w:t>
      </w:r>
    </w:p>
    <w:p>
      <w:pPr>
        <w:spacing w:after="0" w:line="225" w:lineRule="exact"/>
        <w:rPr>
          <w:sz w:val="20"/>
          <w:szCs w:val="20"/>
          <w:color w:val="auto"/>
        </w:rPr>
      </w:pPr>
    </w:p>
    <w:p>
      <w:pPr>
        <w:ind w:left="20" w:right="20" w:hanging="11"/>
        <w:spacing w:after="0" w:line="264" w:lineRule="auto"/>
        <w:rPr>
          <w:sz w:val="20"/>
          <w:szCs w:val="20"/>
          <w:color w:val="auto"/>
        </w:rPr>
      </w:pPr>
      <w:r>
        <w:rPr>
          <w:rFonts w:ascii="Arial" w:cs="Arial" w:eastAsia="Arial" w:hAnsi="Arial"/>
          <w:sz w:val="18"/>
          <w:szCs w:val="18"/>
          <w:color w:val="auto"/>
        </w:rPr>
        <w:t>Approximately 0.6 million PAA common units were issued, net of tax withholding of 0.3 million units, during the six months ended June 30, 2014 in connection with the settlement of vested awards. The remaining PAA awards that vested during the six months ended June 30, 2014 of approximately 0.9 million units were settled in cash.</w:t>
      </w:r>
    </w:p>
    <w:p>
      <w:pPr>
        <w:spacing w:after="0" w:line="181"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341" w:right="239" w:bottom="15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AAP Management Units. </w:t>
      </w:r>
      <w:r>
        <w:rPr>
          <w:rFonts w:ascii="Arial" w:cs="Arial" w:eastAsia="Arial" w:hAnsi="Arial"/>
          <w:sz w:val="18"/>
          <w:szCs w:val="18"/>
          <w:color w:val="auto"/>
        </w:rPr>
        <w:t>The following table contains a summary of AAP Management Units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Reserved for Future</w:t>
            </w: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Outstanding Units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7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Outstanding</w:t>
            </w:r>
          </w:p>
        </w:tc>
        <w:tc>
          <w:tcPr>
            <w:tcW w:w="20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Fair Value Of Outstanding AAP</w:t>
            </w: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Grants</w:t>
            </w:r>
          </w:p>
        </w:tc>
        <w:tc>
          <w:tcPr>
            <w:tcW w:w="1700" w:type="dxa"/>
            <w:vAlign w:val="bottom"/>
            <w:gridSpan w:val="2"/>
            <w:vMerge w:val="continue"/>
          </w:tcPr>
          <w:p>
            <w:pPr>
              <w:spacing w:after="0"/>
              <w:rPr>
                <w:sz w:val="14"/>
                <w:szCs w:val="14"/>
                <w:color w:val="auto"/>
              </w:rPr>
            </w:pPr>
          </w:p>
        </w:tc>
        <w:tc>
          <w:tcPr>
            <w:tcW w:w="2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Earned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 xml:space="preserve">Management Units </w:t>
            </w:r>
            <w:r>
              <w:rPr>
                <w:rFonts w:ascii="Arial" w:cs="Arial" w:eastAsia="Arial" w:hAnsi="Arial"/>
                <w:sz w:val="8"/>
                <w:szCs w:val="8"/>
                <w:b w:val="1"/>
                <w:bCs w:val="1"/>
                <w:color w:val="auto"/>
                <w:w w:val="95"/>
              </w:rPr>
              <w:t>(1)</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2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tcPr>
          <w:p>
            <w:pPr>
              <w:ind w:left="180"/>
              <w:spacing w:after="0"/>
              <w:rPr>
                <w:sz w:val="20"/>
                <w:szCs w:val="20"/>
                <w:color w:val="auto"/>
              </w:rPr>
            </w:pPr>
            <w:r>
              <w:rPr>
                <w:rFonts w:ascii="Arial" w:cs="Arial" w:eastAsia="Arial" w:hAnsi="Arial"/>
                <w:sz w:val="18"/>
                <w:szCs w:val="18"/>
                <w:color w:val="auto"/>
              </w:rPr>
              <w:t>Granted</w:t>
            </w: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vMerge w:val="continue"/>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(0.4)</w:t>
            </w:r>
          </w:p>
        </w:tc>
        <w:tc>
          <w:tcPr>
            <w:tcW w:w="240" w:type="dxa"/>
            <w:vAlign w:val="bottom"/>
            <w:vMerge w:val="continue"/>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0.4</w:t>
            </w:r>
          </w:p>
        </w:tc>
        <w:tc>
          <w:tcPr>
            <w:tcW w:w="220" w:type="dxa"/>
            <w:vAlign w:val="bottom"/>
            <w:vMerge w:val="continue"/>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w:t>
            </w:r>
          </w:p>
        </w:tc>
        <w:tc>
          <w:tcPr>
            <w:tcW w:w="19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N/A</w:t>
            </w:r>
          </w:p>
        </w:tc>
        <w:tc>
          <w:tcPr>
            <w:tcW w:w="17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N/A</w:t>
            </w:r>
          </w:p>
        </w:tc>
        <w:tc>
          <w:tcPr>
            <w:tcW w:w="1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20"/>
                <w:szCs w:val="20"/>
                <w:color w:val="auto"/>
              </w:rPr>
            </w:pPr>
            <w:r>
              <w:rPr>
                <w:rFonts w:ascii="Arial" w:cs="Arial" w:eastAsia="Arial" w:hAnsi="Arial"/>
                <w:sz w:val="18"/>
                <w:szCs w:val="18"/>
                <w:color w:val="auto"/>
              </w:rPr>
              <w:t>Balance at June 30, 2014</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220" w:type="dxa"/>
            <w:vAlign w:val="bottom"/>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2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380" w:hanging="652"/>
        <w:spacing w:after="0" w:line="227" w:lineRule="auto"/>
        <w:tabs>
          <w:tab w:leader="none" w:pos="64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Of the grant date fair value, approximately $4 million was recognized as expense during the six months ended June 30, 2014. Of the $62 million grant date fair value, approximately $52 million had been recognized through June 30, 2014.</w:t>
      </w:r>
    </w:p>
    <w:p>
      <w:pPr>
        <w:spacing w:after="0" w:line="202" w:lineRule="exact"/>
        <w:rPr>
          <w:sz w:val="20"/>
          <w:szCs w:val="20"/>
          <w:color w:val="auto"/>
        </w:rPr>
      </w:pPr>
    </w:p>
    <w:p>
      <w:pPr>
        <w:jc w:val="both"/>
        <w:ind w:right="520" w:firstLine="648"/>
        <w:spacing w:after="0" w:line="264" w:lineRule="auto"/>
        <w:rPr>
          <w:sz w:val="20"/>
          <w:szCs w:val="20"/>
          <w:color w:val="auto"/>
        </w:rPr>
      </w:pPr>
      <w:r>
        <w:rPr>
          <w:rFonts w:ascii="Arial" w:cs="Arial" w:eastAsia="Arial" w:hAnsi="Arial"/>
          <w:sz w:val="18"/>
          <w:szCs w:val="18"/>
          <w:i w:val="1"/>
          <w:iCs w:val="1"/>
          <w:color w:val="auto"/>
        </w:rPr>
        <w:t xml:space="preserve">Other Consolidated Equity-Indexed Compensation Information. </w:t>
      </w:r>
      <w:r>
        <w:rPr>
          <w:rFonts w:ascii="Arial" w:cs="Arial" w:eastAsia="Arial" w:hAnsi="Arial"/>
          <w:sz w:val="18"/>
          <w:szCs w:val="18"/>
          <w:color w:val="auto"/>
        </w:rPr>
        <w:t>The table below summarizes the expense recognized and the value of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both in units and cash) related to our equity-indexed compensation plans and includes both liability-classified and equity-classified awards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8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Equity-indexed compensation expense</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LTIP unit-settled vestings</w:t>
            </w:r>
          </w:p>
        </w:tc>
        <w:tc>
          <w:tcPr>
            <w:tcW w:w="1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LTIP cash-settled vestings</w:t>
            </w:r>
          </w:p>
        </w:tc>
        <w:tc>
          <w:tcPr>
            <w:tcW w:w="1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DER cash payments</w:t>
            </w:r>
          </w:p>
        </w:tc>
        <w:tc>
          <w:tcPr>
            <w:tcW w:w="1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10—Derivatives and Risk Management Activities</w:t>
      </w:r>
    </w:p>
    <w:p>
      <w:pPr>
        <w:spacing w:after="0" w:line="229"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ectPr>
          <w:pgSz w:w="11900" w:h="16838" w:orient="portrait"/>
          <w:cols w:equalWidth="0" w:num="1">
            <w:col w:w="11420"/>
          </w:cols>
          <w:pgMar w:left="240" w:top="341" w:right="239" w:bottom="150" w:gutter="0" w:footer="0" w:header="0"/>
          <w:type w:val="continuous"/>
        </w:sectPr>
      </w:pPr>
    </w:p>
    <w:bookmarkStart w:id="11" w:name="page12"/>
    <w:bookmarkEnd w:id="11"/>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Commodity Purchases and Sales </w:t>
      </w:r>
      <w:r>
        <w:rPr>
          <w:rFonts w:ascii="Arial" w:cs="Arial" w:eastAsia="Arial" w:hAnsi="Arial"/>
          <w:sz w:val="18"/>
          <w:szCs w:val="18"/>
          <w:color w:val="auto"/>
        </w:rPr>
        <w:t>— In the normal course of our operations, we purchase and sell commodities. We use derivatives to manage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risks and to optimize profits. As of June 30, 2014, net derivative positions related to these activities included:</w:t>
      </w:r>
    </w:p>
    <w:p>
      <w:pPr>
        <w:spacing w:after="0" w:line="170" w:lineRule="exact"/>
        <w:rPr>
          <w:sz w:val="20"/>
          <w:szCs w:val="20"/>
          <w:color w:val="auto"/>
        </w:rPr>
      </w:pPr>
    </w:p>
    <w:p>
      <w:pPr>
        <w:ind w:left="980" w:right="720" w:hanging="324"/>
        <w:spacing w:after="0" w:line="277"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average of 210,100 barrels per day net long position (total of 6.5 million barrels) associated with our crude oil purchases, which was unwound ratably during July 2014 to match monthly average pricing.</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360" w:hanging="324"/>
        <w:spacing w:after="0" w:line="286" w:lineRule="auto"/>
        <w:tabs>
          <w:tab w:leader="none" w:pos="944"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net short spread position averaging approximately 21,300 barrels per day (total of 14.3 million barrels), which hedges a portion of our anticipated crude oil lease gathering purchases through June 2016. These derivatives are time spreads consisting of offsetting purchases and sales between two different months. Our use of these derivatives does not expose us to outright price risk.</w:t>
      </w:r>
    </w:p>
    <w:p>
      <w:pPr>
        <w:spacing w:after="0" w:line="165" w:lineRule="exact"/>
        <w:rPr>
          <w:rFonts w:ascii="Arial" w:cs="Arial" w:eastAsia="Arial" w:hAnsi="Arial"/>
          <w:sz w:val="17"/>
          <w:szCs w:val="17"/>
          <w:color w:val="auto"/>
        </w:rPr>
      </w:pPr>
    </w:p>
    <w:p>
      <w:pPr>
        <w:ind w:left="980" w:right="340" w:hanging="324"/>
        <w:spacing w:after="0" w:line="277"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average of 2,800 barrels per day (total of 0.8 million barrels) of butane/WTI spread positions, which hedge specific butane sales contracts that are priced as a percentage of WTI through March 2015.</w:t>
      </w:r>
    </w:p>
    <w:p>
      <w:pPr>
        <w:spacing w:after="0" w:line="170" w:lineRule="exact"/>
        <w:rPr>
          <w:rFonts w:ascii="Arial" w:cs="Arial" w:eastAsia="Arial" w:hAnsi="Arial"/>
          <w:sz w:val="18"/>
          <w:szCs w:val="18"/>
          <w:color w:val="auto"/>
        </w:rPr>
      </w:pPr>
    </w:p>
    <w:p>
      <w:pPr>
        <w:ind w:left="980" w:right="80" w:hanging="324"/>
        <w:spacing w:after="0" w:line="312" w:lineRule="auto"/>
        <w:tabs>
          <w:tab w:leader="none" w:pos="944"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average of 19,300 barrels per day (total of 1.8 million barrels) of WTI/Brent crude oil grade spread positions through September 2014. These derivatives allow us to lock in grade basis differentials where we are hedging anticipated purchases of crude oil based on a WTI index and hedging anticipated sales of crude oil based on a Brent index. Our use of these derivatives does not expose us to outright price risk.</w:t>
      </w:r>
    </w:p>
    <w:p>
      <w:pPr>
        <w:spacing w:after="0" w:line="146" w:lineRule="exact"/>
        <w:rPr>
          <w:rFonts w:ascii="Arial" w:cs="Arial" w:eastAsia="Arial" w:hAnsi="Arial"/>
          <w:sz w:val="16"/>
          <w:szCs w:val="16"/>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long position of approximately 4.1 Bcf through April 2016 related to anticipated base gas requirements.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short position of approximately 10.7 Bcf through February 2015 related to anticipated sales of natural gas inventory.</w:t>
      </w:r>
    </w:p>
    <w:p>
      <w:pPr>
        <w:spacing w:after="0" w:line="225" w:lineRule="exact"/>
        <w:rPr>
          <w:rFonts w:ascii="Arial" w:cs="Arial" w:eastAsia="Arial" w:hAnsi="Arial"/>
          <w:sz w:val="18"/>
          <w:szCs w:val="18"/>
          <w:color w:val="auto"/>
        </w:rPr>
      </w:pPr>
    </w:p>
    <w:p>
      <w:pPr>
        <w:ind w:left="980" w:right="500" w:hanging="324"/>
        <w:spacing w:after="0" w:line="277"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net short position of approximately 7.6 million barrels through December 2015 related to the anticipated sales of our crude oil, NGL and refined products inventory.</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that is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offset losses due to evaporation, measurement and other losses in transit. We utilize derivative instruments to hedge a portion of the anticipated sales of the allowance oil that is to be collected under our tariffs. As of June 30, 2014, our PLA hedges included a net short position for an average of approximately 1,600 barrels per day (total of 1.5 million barrels) through December 2016 and a long call option position of approximately 0.7 million barrels through December 2016.</w:t>
      </w:r>
    </w:p>
    <w:p>
      <w:pPr>
        <w:spacing w:after="0" w:line="188"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As part of our supply and logistics activities, we purchase natural gas for processing and NGL mix</w:t>
      </w:r>
      <w:r>
        <w:rPr>
          <w:rFonts w:ascii="Arial" w:cs="Arial" w:eastAsia="Arial" w:hAnsi="Arial"/>
          <w:sz w:val="17"/>
          <w:szCs w:val="17"/>
          <w:i w:val="1"/>
          <w:iCs w:val="1"/>
          <w:color w:val="auto"/>
        </w:rPr>
        <w:t xml:space="preserve"> </w:t>
      </w:r>
      <w:r>
        <w:rPr>
          <w:rFonts w:ascii="Arial" w:cs="Arial" w:eastAsia="Arial" w:hAnsi="Arial"/>
          <w:sz w:val="17"/>
          <w:szCs w:val="17"/>
          <w:color w:val="auto"/>
        </w:rPr>
        <w:t>for fractionation, and we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June 30, 2014, we had a long natural gas position of approximately 31.3 Bcf through December 2016, a short propane position of approximately 5.2 million barrels through December 2016, a short butane position of approximately 1.5 million barrels through December 2016 and a short WTI position of approximately 0.6 million barrels through December 2016. In addition, we had a long power position of 0.6 million megawatt hours which hedges a portion of our power supply requirements at our natural gas processing and fractionation plants through December 2016.</w:t>
      </w:r>
    </w:p>
    <w:p>
      <w:pPr>
        <w:spacing w:after="0" w:line="178"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To the extent they qualify and we decide to make the election, all of our commodity derivatives where we elect hedge accounting are designated as cash flow hedges. We have determined that substantially all of our physical purchase and sale agreements qualify for the normal purchase normal sale scope exception. Physical commodity contracts that meet the definition of a derivative but are ineligible, or not designated, for the normal purchase normal sale scope exception are recorded on the balance sheet at fair value, with changes in fair value recognized in earnings.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We use interest rate derivatives to hedge interest rate risk associated with anticipated debt issuances and outstanding debt instruments. The derivative instruments we use to manage this risk consist primarily of interest rate swaps and treasury locks. As of June 30, 2014, AOCI includes deferred losses of approximately $101 million that relate to open and terminated interest rate derivatives that were designated for hedge accounting. The terminated interest rate derivatives were cash-settled in connection with the issuance or refinancing of debt agreements. The deferred loss related to these instruments is being amortized to interest expense over the terms of the hedged debt instruments.</w:t>
      </w:r>
    </w:p>
    <w:p>
      <w:pPr>
        <w:spacing w:after="0" w:line="173"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We have entered into forward starting interest rate swaps to hedge the underlying benchmark interest rate related to forecasted debt issuances through 2015. The following table summarizes the terms of our forward starting interest rate swaps as of June 30, 2014 (notional amounts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Hedged Transaction</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and Types of</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w:t>
            </w: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Expected</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Average Rate</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Accounting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Termination Date</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Locked</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Treatment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Anticipated debt offering</w:t>
            </w:r>
          </w:p>
        </w:tc>
        <w:tc>
          <w:tcPr>
            <w:tcW w:w="22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10 forward starting swaps (30-</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250</w:t>
            </w:r>
          </w:p>
        </w:tc>
        <w:tc>
          <w:tcPr>
            <w:tcW w:w="22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6/15/2015</w:t>
            </w: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3.60%</w:t>
            </w:r>
          </w:p>
        </w:tc>
        <w:tc>
          <w:tcPr>
            <w:tcW w:w="22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Cash flow hedge</w:t>
            </w: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year)</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79"/>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2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7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anticipation of our April 2014 issuance of senior notes, we entered into an aggregate of five treasury lock agreements in March and April 2014 for a combined notional amount of $250 million at a locked in rate of 3.64%. The treasury locks were designated as cash flow hedges, thus, changes in fair value are deferred in AOCI. In connection with our April 2014 senior notes issuance, these treasury locks were terminated prior to maturity for an aggregate cash payment of approximately $7 million. The effective portion of the treasury locks was deferred in AOCI and amortized to interest expense over the life of the senior notes.</w:t>
      </w:r>
    </w:p>
    <w:p>
      <w:pPr>
        <w:sectPr>
          <w:pgSz w:w="11900" w:h="16838" w:orient="portrait"/>
          <w:cols w:equalWidth="0" w:num="1">
            <w:col w:w="11460"/>
          </w:cols>
          <w:pgMar w:left="240" w:top="125" w:right="199" w:bottom="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Currency Exchange Rate Risk Hedging</w:t>
      </w:r>
    </w:p>
    <w:p>
      <w:pPr>
        <w:sectPr>
          <w:pgSz w:w="11900" w:h="16838" w:orient="portrait"/>
          <w:cols w:equalWidth="0" w:num="1">
            <w:col w:w="11460"/>
          </w:cols>
          <w:pgMar w:left="240" w:top="125" w:right="199" w:bottom="0" w:gutter="0" w:footer="0" w:header="0"/>
          <w:type w:val="continuous"/>
        </w:sectPr>
      </w:pPr>
    </w:p>
    <w:bookmarkStart w:id="12" w:name="page13"/>
    <w:bookmarkEnd w:id="12"/>
    <w:p>
      <w:pPr>
        <w:spacing w:after="0" w:line="6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risks of unfavorable changes in exchange rates. These instruments include foreign currency exchange contracts and forwards.</w:t>
      </w:r>
    </w:p>
    <w:p>
      <w:pPr>
        <w:spacing w:after="0" w:line="181"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As of June 30, 2014, our outstanding foreign currency derivatives include derivatives we use to (i) hedge currency exchange risk associated with USD-denominated commodity purchases and sales in Canada and (ii) hedge currency exchange risk created by the use of USD-denominated commodity derivatives to hedge commodity price risk associated with CAD-denominated commodity purchases and sales.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June 30, 2014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USD</w:t>
            </w:r>
          </w:p>
        </w:tc>
        <w:tc>
          <w:tcPr>
            <w:tcW w:w="260" w:type="dxa"/>
            <w:vAlign w:val="bottom"/>
          </w:tcPr>
          <w:p>
            <w:pPr>
              <w:spacing w:after="0"/>
              <w:rPr>
                <w:sz w:val="14"/>
                <w:szCs w:val="14"/>
                <w:color w:val="auto"/>
              </w:rPr>
            </w:pP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CAD</w:t>
            </w:r>
          </w:p>
        </w:tc>
        <w:tc>
          <w:tcPr>
            <w:tcW w:w="2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Average Exchange Rate USD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to CAD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8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Forward exchange contracts that exchange CAD for</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USD:</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jc w:val="right"/>
              <w:ind w:right="110"/>
              <w:spacing w:after="0"/>
              <w:rPr>
                <w:sz w:val="20"/>
                <w:szCs w:val="20"/>
                <w:color w:val="auto"/>
              </w:rPr>
            </w:pPr>
            <w:r>
              <w:rPr>
                <w:rFonts w:ascii="Arial" w:cs="Arial" w:eastAsia="Arial" w:hAnsi="Arial"/>
                <w:sz w:val="18"/>
                <w:szCs w:val="18"/>
                <w:color w:val="auto"/>
              </w:rPr>
              <w:t>2014</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273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292</w:t>
            </w: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$1.00 - $1.07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$1.07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300" w:type="dxa"/>
            <w:vAlign w:val="bottom"/>
            <w:tcBorders>
              <w:bottom w:val="single" w:sz="8" w:color="CCEEFF"/>
            </w:tcBorders>
          </w:tcPr>
          <w:p>
            <w:pPr>
              <w:spacing w:after="0"/>
              <w:rPr>
                <w:sz w:val="21"/>
                <w:szCs w:val="21"/>
                <w:color w:val="auto"/>
              </w:rPr>
            </w:pPr>
          </w:p>
        </w:tc>
        <w:tc>
          <w:tcPr>
            <w:tcW w:w="25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$1.00 - $1.07</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880" w:type="dxa"/>
            <w:vAlign w:val="bottom"/>
          </w:tcPr>
          <w:p>
            <w:pPr>
              <w:spacing w:after="0" w:line="198" w:lineRule="exact"/>
              <w:rPr>
                <w:sz w:val="20"/>
                <w:szCs w:val="20"/>
                <w:color w:val="auto"/>
              </w:rPr>
            </w:pPr>
            <w:r>
              <w:rPr>
                <w:rFonts w:ascii="Arial" w:cs="Arial" w:eastAsia="Arial" w:hAnsi="Arial"/>
                <w:sz w:val="18"/>
                <w:szCs w:val="18"/>
                <w:b w:val="1"/>
                <w:bCs w:val="1"/>
                <w:color w:val="auto"/>
              </w:rPr>
              <w:t>Forward exchange contracts that exchange USD for</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tcPr>
          <w:p>
            <w:pPr>
              <w:ind w:left="160"/>
              <w:spacing w:after="0"/>
              <w:rPr>
                <w:sz w:val="20"/>
                <w:szCs w:val="20"/>
                <w:color w:val="auto"/>
              </w:rPr>
            </w:pPr>
            <w:r>
              <w:rPr>
                <w:rFonts w:ascii="Arial" w:cs="Arial" w:eastAsia="Arial" w:hAnsi="Arial"/>
                <w:sz w:val="18"/>
                <w:szCs w:val="18"/>
                <w:b w:val="1"/>
                <w:bCs w:val="1"/>
                <w:color w:val="auto"/>
              </w:rPr>
              <w:t>CAD: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2014</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$1.09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jc w:val="right"/>
              <w:ind w:right="1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$1.00 - $1.09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5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$1.00 - $1.09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position by currency:</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jc w:val="right"/>
              <w:ind w:right="110"/>
              <w:spacing w:after="0"/>
              <w:rPr>
                <w:sz w:val="20"/>
                <w:szCs w:val="20"/>
                <w:color w:val="auto"/>
              </w:rPr>
            </w:pPr>
            <w:r>
              <w:rPr>
                <w:rFonts w:ascii="Arial" w:cs="Arial" w:eastAsia="Arial" w:hAnsi="Arial"/>
                <w:sz w:val="18"/>
                <w:szCs w:val="18"/>
                <w:color w:val="auto"/>
              </w:rPr>
              <w:t>2014</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5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reflected as cash flows from operating activities in our condensed consolidated statements of cash flows.</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 summary of the impact of our derivative activities recognized in earnings for the three and six months ended June 30, 2014 and 2013 is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7"/>
              </w:rPr>
              <w:t>Three Months Ended June 30, 2014</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w w:val="95"/>
              </w:rPr>
              <w:t>Three Months Ended June 30, 2013</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gridSpan w:val="6"/>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Derivatives in Hedging</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gridSpan w:val="5"/>
          </w:tcPr>
          <w:p>
            <w:pPr>
              <w:jc w:val="center"/>
              <w:ind w:right="17"/>
              <w:spacing w:after="0" w:line="119" w:lineRule="exact"/>
              <w:rPr>
                <w:sz w:val="20"/>
                <w:szCs w:val="20"/>
                <w:color w:val="auto"/>
              </w:rPr>
            </w:pPr>
            <w:r>
              <w:rPr>
                <w:rFonts w:ascii="Arial" w:cs="Arial" w:eastAsia="Arial" w:hAnsi="Arial"/>
                <w:sz w:val="13"/>
                <w:szCs w:val="13"/>
                <w:b w:val="1"/>
                <w:bCs w:val="1"/>
                <w:color w:val="auto"/>
                <w:w w:val="99"/>
              </w:rPr>
              <w:t>Derivatives in Hedging</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right="17"/>
              <w:spacing w:after="0"/>
              <w:rPr>
                <w:sz w:val="20"/>
                <w:szCs w:val="20"/>
                <w:color w:val="auto"/>
              </w:rPr>
            </w:pPr>
            <w:r>
              <w:rPr>
                <w:rFonts w:ascii="Arial" w:cs="Arial" w:eastAsia="Arial" w:hAnsi="Arial"/>
                <w:sz w:val="14"/>
                <w:szCs w:val="14"/>
                <w:b w:val="1"/>
                <w:bCs w:val="1"/>
                <w:color w:val="auto"/>
                <w:w w:val="91"/>
              </w:rPr>
              <w:t>Relationships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Derivatives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right="17"/>
              <w:spacing w:after="0"/>
              <w:rPr>
                <w:sz w:val="20"/>
                <w:szCs w:val="20"/>
                <w:color w:val="auto"/>
              </w:rPr>
            </w:pPr>
            <w:r>
              <w:rPr>
                <w:rFonts w:ascii="Arial" w:cs="Arial" w:eastAsia="Arial" w:hAnsi="Arial"/>
                <w:sz w:val="14"/>
                <w:szCs w:val="14"/>
                <w:b w:val="1"/>
                <w:bCs w:val="1"/>
                <w:color w:val="auto"/>
                <w:w w:val="91"/>
              </w:rPr>
              <w:t>Relationships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Derivatives</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68"/>
              <w:spacing w:after="0" w:line="119" w:lineRule="exact"/>
              <w:rPr>
                <w:sz w:val="20"/>
                <w:szCs w:val="20"/>
                <w:color w:val="auto"/>
              </w:rPr>
            </w:pPr>
            <w:r>
              <w:rPr>
                <w:rFonts w:ascii="Arial" w:cs="Arial" w:eastAsia="Arial" w:hAnsi="Arial"/>
                <w:sz w:val="13"/>
                <w:szCs w:val="13"/>
                <w:b w:val="1"/>
                <w:bCs w:val="1"/>
                <w:color w:val="auto"/>
                <w:w w:val="98"/>
              </w:rPr>
              <w:t>Gain/(loss)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Gain/(loss)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Not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reclassified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Not</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8"/>
              <w:spacing w:after="0" w:line="149" w:lineRule="exact"/>
              <w:rPr>
                <w:sz w:val="20"/>
                <w:szCs w:val="20"/>
                <w:color w:val="auto"/>
              </w:rPr>
            </w:pPr>
            <w:r>
              <w:rPr>
                <w:rFonts w:ascii="Arial" w:cs="Arial" w:eastAsia="Arial" w:hAnsi="Arial"/>
                <w:sz w:val="14"/>
                <w:szCs w:val="14"/>
                <w:b w:val="1"/>
                <w:bCs w:val="1"/>
                <w:color w:val="auto"/>
                <w:w w:val="96"/>
              </w:rPr>
              <w:t>from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gain/(loss)</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Designated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from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8"/>
              </w:rPr>
              <w:t>gain/(loss)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Designated</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9"/>
              </w:rPr>
              <w:t>AOCI into</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as a</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AOCI into</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recognized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as a</w:t>
            </w:r>
          </w:p>
        </w:tc>
        <w:tc>
          <w:tcPr>
            <w:tcW w:w="200" w:type="dxa"/>
            <w:vAlign w:val="bottom"/>
          </w:tcPr>
          <w:p>
            <w:pPr>
              <w:spacing w:after="0"/>
              <w:rPr>
                <w:sz w:val="12"/>
                <w:szCs w:val="12"/>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income</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Hedge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xml:space="preserve">income </w:t>
            </w:r>
            <w:r>
              <w:rPr>
                <w:rFonts w:ascii="Arial" w:cs="Arial" w:eastAsia="Arial" w:hAnsi="Arial"/>
                <w:sz w:val="8"/>
                <w:szCs w:val="8"/>
                <w:b w:val="1"/>
                <w:bCs w:val="1"/>
                <w:color w:val="auto"/>
                <w:w w:val="92"/>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in income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Hedge</w:t>
            </w: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Supply and Logistics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segment revenues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Facilities segment revenues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1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Derivatives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Supply and Logistics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segment revenues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Other income/(expense),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Gain/(Loss) on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right w:val="single" w:sz="8" w:color="auto"/>
            </w:tcBorders>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1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60" w:type="dxa"/>
            <w:vAlign w:val="bottom"/>
            <w:tcBorders>
              <w:right w:val="single" w:sz="8" w:color="auto"/>
            </w:tcBorders>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341" w:right="199" w:bottom="0" w:gutter="0" w:footer="0" w:header="0"/>
        </w:sectPr>
      </w:pPr>
    </w:p>
    <w:bookmarkStart w:id="13" w:name="page14"/>
    <w:bookmarkEnd w:id="13"/>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Derivatives Recognized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14605</wp:posOffset>
            </wp:positionV>
            <wp:extent cx="56343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34355"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w w:val="93"/>
              </w:rPr>
              <w:t>Six Months Ended June 30, 2014</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w w:val="94"/>
              </w:rPr>
              <w:t>Six Months Ended June 30, 2013</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gridSpan w:val="6"/>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Derivatives in Hedging</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gridSpan w:val="5"/>
          </w:tcPr>
          <w:p>
            <w:pPr>
              <w:jc w:val="center"/>
              <w:ind w:right="17"/>
              <w:spacing w:after="0" w:line="119" w:lineRule="exact"/>
              <w:rPr>
                <w:sz w:val="20"/>
                <w:szCs w:val="20"/>
                <w:color w:val="auto"/>
              </w:rPr>
            </w:pPr>
            <w:r>
              <w:rPr>
                <w:rFonts w:ascii="Arial" w:cs="Arial" w:eastAsia="Arial" w:hAnsi="Arial"/>
                <w:sz w:val="13"/>
                <w:szCs w:val="13"/>
                <w:b w:val="1"/>
                <w:bCs w:val="1"/>
                <w:color w:val="auto"/>
                <w:w w:val="99"/>
              </w:rPr>
              <w:t>Derivatives in Hedging</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right="17"/>
              <w:spacing w:after="0"/>
              <w:rPr>
                <w:sz w:val="20"/>
                <w:szCs w:val="20"/>
                <w:color w:val="auto"/>
              </w:rPr>
            </w:pPr>
            <w:r>
              <w:rPr>
                <w:rFonts w:ascii="Arial" w:cs="Arial" w:eastAsia="Arial" w:hAnsi="Arial"/>
                <w:sz w:val="14"/>
                <w:szCs w:val="14"/>
                <w:b w:val="1"/>
                <w:bCs w:val="1"/>
                <w:color w:val="auto"/>
                <w:w w:val="91"/>
              </w:rPr>
              <w:t>Relationships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Derivatives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right="17"/>
              <w:spacing w:after="0"/>
              <w:rPr>
                <w:sz w:val="20"/>
                <w:szCs w:val="20"/>
                <w:color w:val="auto"/>
              </w:rPr>
            </w:pPr>
            <w:r>
              <w:rPr>
                <w:rFonts w:ascii="Arial" w:cs="Arial" w:eastAsia="Arial" w:hAnsi="Arial"/>
                <w:sz w:val="14"/>
                <w:szCs w:val="14"/>
                <w:b w:val="1"/>
                <w:bCs w:val="1"/>
                <w:color w:val="auto"/>
                <w:w w:val="91"/>
              </w:rPr>
              <w:t>Relationships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Derivatives</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8"/>
              </w:rPr>
              <w:t>Gain/(loss)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Gain/(loss)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Not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reclassified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Not</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from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gain/(loss)</w:t>
            </w: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Designated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from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8"/>
              </w:rPr>
              <w:t>gain/(loss)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Designated</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AOCI into</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as a</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AOCI into</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recognized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as a</w:t>
            </w:r>
          </w:p>
        </w:tc>
        <w:tc>
          <w:tcPr>
            <w:tcW w:w="200" w:type="dxa"/>
            <w:vAlign w:val="bottom"/>
          </w:tcPr>
          <w:p>
            <w:pPr>
              <w:spacing w:after="0"/>
              <w:rPr>
                <w:sz w:val="12"/>
                <w:szCs w:val="12"/>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income</w:t>
            </w: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Hedge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xml:space="preserve">income </w:t>
            </w:r>
            <w:r>
              <w:rPr>
                <w:rFonts w:ascii="Arial" w:cs="Arial" w:eastAsia="Arial" w:hAnsi="Arial"/>
                <w:sz w:val="8"/>
                <w:szCs w:val="8"/>
                <w:b w:val="1"/>
                <w:bCs w:val="1"/>
                <w:color w:val="auto"/>
                <w:w w:val="92"/>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in income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Hedge</w:t>
            </w: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Supply and Logistics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segment revenues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Facilities segment revenues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1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Derivatives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Other income/(expense),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1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Gain/(Loss) on</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89"/>
              </w:rPr>
              <w:t>Derivatives Recognized in</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2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Income</w:t>
            </w:r>
          </w:p>
        </w:tc>
        <w:tc>
          <w:tcPr>
            <w:tcW w:w="32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820" w:type="dxa"/>
            <w:vAlign w:val="bottom"/>
            <w:tcBorders>
              <w:right w:val="single" w:sz="8" w:color="auto"/>
            </w:tcBorders>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20" w:hanging="652"/>
        <w:spacing w:after="0" w:line="257" w:lineRule="auto"/>
        <w:tabs>
          <w:tab w:leader="none" w:pos="688"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During the three months ended June 30, 2013 we reclassified gains of approximately $1 million and $1 million from AOCI to Supply and Logistics segment revenues and Facilities segment revenues, respectively, as a result of anticipated hedged transactions that are probable of not occurring. During the six months ended June 30, 2013, we reclassified gains of approximately $3 million and $1 million from AOCI to Supply and Logistics segment revenues and Facilities segment revenues, respectively, as a result of anticipated hedged transactions that are probable of not occurring. During the three and six months ended June 30, 2014, all of our hedged transactions were probable of occurring.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 on a gross basis as of June 30, 2014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56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b w:val="1"/>
                <w:bCs w:val="1"/>
                <w:color w:val="auto"/>
              </w:rPr>
              <w:t>Asset Derivatives</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tcBorders>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Liability Derivatives</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560" w:type="dxa"/>
            <w:vAlign w:val="bottom"/>
            <w:gridSpan w:val="2"/>
          </w:tcPr>
          <w:p>
            <w:pPr>
              <w:ind w:left="740"/>
              <w:spacing w:after="0" w:line="119" w:lineRule="exact"/>
              <w:rPr>
                <w:sz w:val="20"/>
                <w:szCs w:val="20"/>
                <w:color w:val="auto"/>
              </w:rPr>
            </w:pPr>
            <w:r>
              <w:rPr>
                <w:rFonts w:ascii="Arial" w:cs="Arial" w:eastAsia="Arial" w:hAnsi="Arial"/>
                <w:sz w:val="13"/>
                <w:szCs w:val="13"/>
                <w:b w:val="1"/>
                <w:bCs w:val="1"/>
                <w:color w:val="auto"/>
              </w:rPr>
              <w:t>Balance Sheet</w:t>
            </w:r>
          </w:p>
        </w:tc>
        <w:tc>
          <w:tcPr>
            <w:tcW w:w="100" w:type="dxa"/>
            <w:vAlign w:val="bottom"/>
          </w:tcPr>
          <w:p>
            <w:pPr>
              <w:spacing w:after="0"/>
              <w:rPr>
                <w:sz w:val="10"/>
                <w:szCs w:val="10"/>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0"/>
                <w:szCs w:val="10"/>
                <w:color w:val="auto"/>
              </w:rPr>
            </w:pPr>
          </w:p>
        </w:tc>
        <w:tc>
          <w:tcPr>
            <w:tcW w:w="25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560" w:type="dxa"/>
            <w:vAlign w:val="bottom"/>
            <w:gridSpan w:val="2"/>
          </w:tcPr>
          <w:p>
            <w:pPr>
              <w:ind w:left="90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7"/>
              </w:rPr>
              <w:t>Derivatives designated as hedging instruments:</w:t>
            </w:r>
          </w:p>
        </w:tc>
        <w:tc>
          <w:tcPr>
            <w:tcW w:w="23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Commodity derivatives</w:t>
            </w:r>
          </w:p>
        </w:tc>
        <w:tc>
          <w:tcPr>
            <w:tcW w:w="25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7</w:t>
            </w:r>
          </w:p>
        </w:tc>
        <w:tc>
          <w:tcPr>
            <w:tcW w:w="2700" w:type="dxa"/>
            <w:vAlign w:val="bottom"/>
            <w:gridSpan w:val="3"/>
          </w:tcPr>
          <w:p>
            <w:pPr>
              <w:ind w:left="18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25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right w:val="single" w:sz="8" w:color="auto"/>
            </w:tcBorders>
          </w:tcPr>
          <w:p>
            <w:pPr>
              <w:spacing w:after="0"/>
              <w:rPr>
                <w:sz w:val="18"/>
                <w:szCs w:val="18"/>
                <w:color w:val="auto"/>
              </w:rPr>
            </w:pPr>
          </w:p>
        </w:tc>
        <w:tc>
          <w:tcPr>
            <w:tcW w:w="2700" w:type="dxa"/>
            <w:vAlign w:val="bottom"/>
            <w:gridSpan w:val="3"/>
          </w:tcPr>
          <w:p>
            <w:pPr>
              <w:ind w:left="18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vMerge w:val="restart"/>
            <w:shd w:val="clear" w:color="auto" w:fill="CCEEFF"/>
          </w:tcPr>
          <w:p>
            <w:pPr>
              <w:ind w:left="160"/>
              <w:spacing w:after="0" w:line="201" w:lineRule="exact"/>
              <w:rPr>
                <w:sz w:val="20"/>
                <w:szCs w:val="20"/>
                <w:color w:val="auto"/>
              </w:rPr>
            </w:pPr>
            <w:r>
              <w:rPr>
                <w:rFonts w:ascii="Arial" w:cs="Arial" w:eastAsia="Arial" w:hAnsi="Arial"/>
                <w:sz w:val="18"/>
                <w:szCs w:val="18"/>
                <w:color w:val="auto"/>
              </w:rPr>
              <w:t>Total derivatives designated as hedging</w:t>
            </w:r>
          </w:p>
        </w:tc>
        <w:tc>
          <w:tcPr>
            <w:tcW w:w="23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020" w:type="dxa"/>
            <w:vAlign w:val="bottom"/>
            <w:vMerge w:val="continue"/>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right w:val="single" w:sz="8" w:color="auto"/>
            </w:tcBorders>
            <w:vMerge w:val="restart"/>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instruments</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40" w:type="dxa"/>
            <w:vAlign w:val="bottom"/>
            <w:tcBorders>
              <w:right w:val="single" w:sz="8" w:color="auto"/>
            </w:tcBorders>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Derivatives not designated as hedging</w:t>
            </w: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2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tcBorders>
              <w:right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Commodity derivatives</w:t>
            </w:r>
          </w:p>
        </w:tc>
        <w:tc>
          <w:tcPr>
            <w:tcW w:w="25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Borders>
              <w:right w:val="single" w:sz="8" w:color="auto"/>
            </w:tcBorders>
          </w:tcPr>
          <w:p>
            <w:pPr>
              <w:spacing w:after="0"/>
              <w:rPr>
                <w:sz w:val="18"/>
                <w:szCs w:val="18"/>
                <w:color w:val="auto"/>
              </w:rPr>
            </w:pPr>
          </w:p>
        </w:tc>
        <w:tc>
          <w:tcPr>
            <w:tcW w:w="2700" w:type="dxa"/>
            <w:vAlign w:val="bottom"/>
            <w:gridSpan w:val="3"/>
          </w:tcPr>
          <w:p>
            <w:pPr>
              <w:ind w:left="18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w:t>
            </w:r>
          </w:p>
        </w:tc>
        <w:tc>
          <w:tcPr>
            <w:tcW w:w="2700" w:type="dxa"/>
            <w:vAlign w:val="bottom"/>
            <w:gridSpan w:val="3"/>
          </w:tcPr>
          <w:p>
            <w:pPr>
              <w:ind w:left="18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derivatives</w:t>
            </w:r>
          </w:p>
        </w:tc>
        <w:tc>
          <w:tcPr>
            <w:tcW w:w="2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CEEFF"/>
              <w:right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20" w:type="dxa"/>
            <w:vAlign w:val="bottom"/>
            <w:shd w:val="clear" w:color="auto" w:fill="CCEEFF"/>
          </w:tcPr>
          <w:p>
            <w:pPr>
              <w:ind w:left="160"/>
              <w:spacing w:after="0" w:line="182" w:lineRule="exact"/>
              <w:rPr>
                <w:sz w:val="20"/>
                <w:szCs w:val="20"/>
                <w:color w:val="auto"/>
              </w:rPr>
            </w:pPr>
            <w:r>
              <w:rPr>
                <w:rFonts w:ascii="Arial" w:cs="Arial" w:eastAsia="Arial" w:hAnsi="Arial"/>
                <w:sz w:val="18"/>
                <w:szCs w:val="18"/>
                <w:color w:val="auto"/>
              </w:rPr>
              <w:t>Total derivatives not designated as hedging</w:t>
            </w:r>
          </w:p>
        </w:tc>
        <w:tc>
          <w:tcPr>
            <w:tcW w:w="2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 w:type="dxa"/>
            <w:vAlign w:val="bottom"/>
            <w:tcBorders>
              <w:right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instruments</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derivatives</w:t>
            </w:r>
          </w:p>
        </w:tc>
        <w:tc>
          <w:tcPr>
            <w:tcW w:w="2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 on a gross basis as of December 31, 2013 (in millions):</w:t>
      </w:r>
    </w:p>
    <w:p>
      <w:pPr>
        <w:sectPr>
          <w:pgSz w:w="11900" w:h="16875" w:orient="portrait"/>
          <w:cols w:equalWidth="0" w:num="1">
            <w:col w:w="11420"/>
          </w:cols>
          <w:pgMar w:left="240" w:top="121" w:right="239" w:bottom="0" w:gutter="0" w:footer="0" w:header="0"/>
        </w:sectPr>
      </w:pPr>
    </w:p>
    <w:bookmarkStart w:id="14" w:name="page15"/>
    <w:bookmarkEnd w:id="14"/>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Asset Derivatives</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b w:val="1"/>
                <w:bCs w:val="1"/>
                <w:color w:val="auto"/>
              </w:rPr>
              <w:t>Liability Derivatives</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00" w:type="dxa"/>
            <w:vAlign w:val="bottom"/>
          </w:tcPr>
          <w:p>
            <w:pPr>
              <w:spacing w:after="0"/>
              <w:rPr>
                <w:sz w:val="10"/>
                <w:szCs w:val="10"/>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2"/>
              </w:rPr>
              <w:t>Fair Value</w:t>
            </w:r>
          </w:p>
        </w:tc>
        <w:tc>
          <w:tcPr>
            <w:tcW w:w="180" w:type="dxa"/>
            <w:vAlign w:val="bottom"/>
          </w:tcPr>
          <w:p>
            <w:pPr>
              <w:spacing w:after="0"/>
              <w:rPr>
                <w:sz w:val="10"/>
                <w:szCs w:val="10"/>
                <w:color w:val="auto"/>
              </w:rPr>
            </w:pPr>
          </w:p>
        </w:tc>
        <w:tc>
          <w:tcPr>
            <w:tcW w:w="24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Derivatives designated as hedging instruments:</w:t>
            </w:r>
          </w:p>
        </w:tc>
        <w:tc>
          <w:tcPr>
            <w:tcW w:w="20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Commodity derivatives</w:t>
            </w:r>
          </w:p>
        </w:tc>
        <w:tc>
          <w:tcPr>
            <w:tcW w:w="2480" w:type="dxa"/>
            <w:vAlign w:val="bottom"/>
            <w:gridSpan w:val="3"/>
          </w:tcPr>
          <w:p>
            <w:pPr>
              <w:ind w:left="20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right w:val="single" w:sz="8" w:color="auto"/>
            </w:tcBorders>
          </w:tcPr>
          <w:p>
            <w:pPr>
              <w:spacing w:after="0"/>
              <w:rPr>
                <w:sz w:val="18"/>
                <w:szCs w:val="18"/>
                <w:color w:val="auto"/>
              </w:rPr>
            </w:pPr>
          </w:p>
        </w:tc>
        <w:tc>
          <w:tcPr>
            <w:tcW w:w="2640" w:type="dxa"/>
            <w:vAlign w:val="bottom"/>
            <w:gridSpan w:val="3"/>
          </w:tcPr>
          <w:p>
            <w:pPr>
              <w:ind w:left="180"/>
              <w:spacing w:after="0"/>
              <w:rPr>
                <w:sz w:val="20"/>
                <w:szCs w:val="20"/>
                <w:color w:val="auto"/>
              </w:rPr>
            </w:pPr>
            <w:r>
              <w:rPr>
                <w:rFonts w:ascii="Arial" w:cs="Arial" w:eastAsia="Arial" w:hAnsi="Arial"/>
                <w:sz w:val="18"/>
                <w:szCs w:val="18"/>
                <w:color w:val="auto"/>
              </w:rPr>
              <w:t>Other current assets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rate derivatives</w:t>
            </w:r>
          </w:p>
        </w:tc>
        <w:tc>
          <w:tcPr>
            <w:tcW w:w="248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Other long-term assets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right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4"/>
              </w:rPr>
              <w:t>Total derivatives designated as hedging instruments</w:t>
            </w:r>
          </w:p>
        </w:tc>
        <w:tc>
          <w:tcPr>
            <w:tcW w:w="20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CCEEFF"/>
              <w:right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Derivatives not designated as hedging instruments:</w:t>
            </w:r>
          </w:p>
        </w:tc>
        <w:tc>
          <w:tcPr>
            <w:tcW w:w="2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Commodity derivatives</w:t>
            </w:r>
          </w:p>
        </w:tc>
        <w:tc>
          <w:tcPr>
            <w:tcW w:w="2480" w:type="dxa"/>
            <w:vAlign w:val="bottom"/>
            <w:gridSpan w:val="3"/>
          </w:tcPr>
          <w:p>
            <w:pPr>
              <w:ind w:left="20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right w:val="single" w:sz="8" w:color="auto"/>
            </w:tcBorders>
          </w:tcPr>
          <w:p>
            <w:pPr>
              <w:spacing w:after="0"/>
              <w:rPr>
                <w:sz w:val="18"/>
                <w:szCs w:val="18"/>
                <w:color w:val="auto"/>
              </w:rPr>
            </w:pPr>
          </w:p>
        </w:tc>
        <w:tc>
          <w:tcPr>
            <w:tcW w:w="2640" w:type="dxa"/>
            <w:vAlign w:val="bottom"/>
            <w:gridSpan w:val="3"/>
          </w:tcPr>
          <w:p>
            <w:pPr>
              <w:ind w:left="180"/>
              <w:spacing w:after="0"/>
              <w:rPr>
                <w:sz w:val="20"/>
                <w:szCs w:val="20"/>
                <w:color w:val="auto"/>
              </w:rPr>
            </w:pPr>
            <w:r>
              <w:rPr>
                <w:rFonts w:ascii="Arial" w:cs="Arial" w:eastAsia="Arial" w:hAnsi="Arial"/>
                <w:sz w:val="18"/>
                <w:szCs w:val="18"/>
                <w:color w:val="auto"/>
              </w:rPr>
              <w:t>Other current assets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80" w:type="dxa"/>
            <w:vAlign w:val="bottom"/>
            <w:gridSpan w:val="3"/>
          </w:tcPr>
          <w:p>
            <w:pPr>
              <w:ind w:left="20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w:t>
            </w:r>
          </w:p>
        </w:tc>
        <w:tc>
          <w:tcPr>
            <w:tcW w:w="2640" w:type="dxa"/>
            <w:vAlign w:val="bottom"/>
            <w:gridSpan w:val="3"/>
          </w:tcPr>
          <w:p>
            <w:pPr>
              <w:ind w:left="18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2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640" w:type="dxa"/>
            <w:vAlign w:val="bottom"/>
            <w:gridSpan w:val="3"/>
          </w:tcPr>
          <w:p>
            <w:pPr>
              <w:ind w:left="18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shd w:val="clear" w:color="auto" w:fill="CCEEFF"/>
          </w:tcPr>
          <w:p>
            <w:pPr>
              <w:ind w:left="160"/>
              <w:spacing w:after="0" w:line="201" w:lineRule="exact"/>
              <w:rPr>
                <w:sz w:val="20"/>
                <w:szCs w:val="20"/>
                <w:color w:val="auto"/>
              </w:rPr>
            </w:pPr>
            <w:r>
              <w:rPr>
                <w:rFonts w:ascii="Arial" w:cs="Arial" w:eastAsia="Arial" w:hAnsi="Arial"/>
                <w:sz w:val="18"/>
                <w:szCs w:val="18"/>
                <w:color w:val="auto"/>
              </w:rPr>
              <w:t>Total derivatives not designated as hedging</w:t>
            </w:r>
          </w:p>
        </w:tc>
        <w:tc>
          <w:tcPr>
            <w:tcW w:w="2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10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right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instruments</w:t>
            </w:r>
          </w:p>
        </w:tc>
        <w:tc>
          <w:tcPr>
            <w:tcW w:w="2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derivatives</w:t>
            </w:r>
          </w:p>
        </w:tc>
        <w:tc>
          <w:tcPr>
            <w:tcW w:w="2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our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June 30, 2014, we had a net broker receivable of approximately $66 million (consisting of initial margin of $54 million increased by $12 million of variation margin that had been posted by us). As of December 31, 2013, we had a net broker receivable of approximately $161 million (consisting of initial margin of $85 million increased by $76 million of variation margin that had been posted by us).</w:t>
      </w:r>
    </w:p>
    <w:p>
      <w:pPr>
        <w:spacing w:after="0" w:line="16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tables present information about derivatives and financial assets and liabilities that are subject to offsetting, including enforceable master netting arrangements at June 30, 2014 and December 31, 2013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20" w:type="dxa"/>
            <w:vAlign w:val="bottom"/>
            <w:gridSpan w:val="5"/>
          </w:tcPr>
          <w:p>
            <w:pPr>
              <w:ind w:left="940"/>
              <w:spacing w:after="0"/>
              <w:rPr>
                <w:sz w:val="20"/>
                <w:szCs w:val="20"/>
                <w:color w:val="auto"/>
              </w:rPr>
            </w:pPr>
            <w:r>
              <w:rPr>
                <w:rFonts w:ascii="Arial" w:cs="Arial" w:eastAsia="Arial" w:hAnsi="Arial"/>
                <w:sz w:val="14"/>
                <w:szCs w:val="14"/>
                <w:b w:val="1"/>
                <w:bCs w:val="1"/>
                <w:color w:val="auto"/>
              </w:rPr>
              <w:t>June 30, 2014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ind w:left="200"/>
              <w:spacing w:after="0" w:line="119" w:lineRule="exact"/>
              <w:rPr>
                <w:sz w:val="20"/>
                <w:szCs w:val="20"/>
                <w:color w:val="auto"/>
              </w:rPr>
            </w:pPr>
            <w:r>
              <w:rPr>
                <w:rFonts w:ascii="Arial" w:cs="Arial" w:eastAsia="Arial" w:hAnsi="Arial"/>
                <w:sz w:val="13"/>
                <w:szCs w:val="13"/>
                <w:b w:val="1"/>
                <w:bCs w:val="1"/>
                <w:color w:val="auto"/>
              </w:rPr>
              <w:t>Derivative</w:t>
            </w: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74"/>
              <w:spacing w:after="0" w:line="119" w:lineRule="exact"/>
              <w:rPr>
                <w:sz w:val="20"/>
                <w:szCs w:val="20"/>
                <w:color w:val="auto"/>
              </w:rPr>
            </w:pPr>
            <w:r>
              <w:rPr>
                <w:rFonts w:ascii="Arial" w:cs="Arial" w:eastAsia="Arial" w:hAnsi="Arial"/>
                <w:sz w:val="13"/>
                <w:szCs w:val="13"/>
                <w:b w:val="1"/>
                <w:bCs w:val="1"/>
                <w:color w:val="auto"/>
              </w:rPr>
              <w:t>Derivative</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74"/>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Asset Positions</w:t>
            </w:r>
          </w:p>
        </w:tc>
        <w:tc>
          <w:tcPr>
            <w:tcW w:w="12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Liability Positions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7"/>
              </w:rPr>
              <w:t>Asset Positions</w:t>
            </w:r>
          </w:p>
        </w:tc>
        <w:tc>
          <w:tcPr>
            <w:tcW w:w="100" w:type="dxa"/>
            <w:vAlign w:val="bottom"/>
          </w:tcPr>
          <w:p>
            <w:pPr>
              <w:spacing w:after="0"/>
              <w:rPr>
                <w:sz w:val="14"/>
                <w:szCs w:val="14"/>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Liability Positions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Netting Adjustments:</w:t>
            </w: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Gross position - asset/(liability)</w:t>
            </w:r>
          </w:p>
        </w:tc>
        <w:tc>
          <w:tcPr>
            <w:tcW w:w="6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ind w:left="1020"/>
              <w:spacing w:after="0"/>
              <w:rPr>
                <w:sz w:val="20"/>
                <w:szCs w:val="20"/>
                <w:color w:val="auto"/>
              </w:rPr>
            </w:pPr>
            <w:r>
              <w:rPr>
                <w:rFonts w:ascii="Arial" w:cs="Arial" w:eastAsia="Arial" w:hAnsi="Arial"/>
                <w:sz w:val="18"/>
                <w:szCs w:val="18"/>
                <w:color w:val="auto"/>
                <w:w w:val="79"/>
              </w:rPr>
              <w:t>94</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Netting adjustment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Cash collateral paid/(received)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ind w:left="1020"/>
              <w:spacing w:after="0"/>
              <w:rPr>
                <w:sz w:val="20"/>
                <w:szCs w:val="20"/>
                <w:color w:val="auto"/>
              </w:rPr>
            </w:pPr>
            <w:r>
              <w:rPr>
                <w:rFonts w:ascii="Arial" w:cs="Arial" w:eastAsia="Arial" w:hAnsi="Arial"/>
                <w:sz w:val="18"/>
                <w:szCs w:val="18"/>
                <w:color w:val="auto"/>
                <w:w w:val="79"/>
              </w:rPr>
              <w:t>66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position - asset/(liability)</w:t>
            </w:r>
          </w:p>
        </w:tc>
        <w:tc>
          <w:tcPr>
            <w:tcW w:w="5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79"/>
              </w:rPr>
              <w:t>98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right w:val="single" w:sz="8" w:color="auto"/>
            </w:tcBorders>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 current assets</w:t>
            </w:r>
          </w:p>
        </w:tc>
        <w:tc>
          <w:tcPr>
            <w:tcW w:w="6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ind w:left="1020"/>
              <w:spacing w:after="0"/>
              <w:rPr>
                <w:sz w:val="20"/>
                <w:szCs w:val="20"/>
                <w:color w:val="auto"/>
              </w:rPr>
            </w:pPr>
            <w:r>
              <w:rPr>
                <w:rFonts w:ascii="Arial" w:cs="Arial" w:eastAsia="Arial" w:hAnsi="Arial"/>
                <w:sz w:val="18"/>
                <w:szCs w:val="18"/>
                <w:color w:val="auto"/>
                <w:w w:val="79"/>
              </w:rPr>
              <w:t>96</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w w:val="79"/>
              </w:rPr>
              <w:t>98</w:t>
            </w:r>
          </w:p>
        </w:tc>
        <w:tc>
          <w:tcPr>
            <w:tcW w:w="3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As of June 30, 2014, there was a net loss of approximately $118 million deferred in AOCI including tax effects.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June 30, 2014, we expect to reclassify a net loss of approximately $4 million to earnings in the next twelve months. The remaining deferred loss of approximately $114 million is expected to be reclassified to earnings through 2045. A portion of these amounts are based on market prices as of June 30, 2014; thus, actual amounts to be reclassified will differ and could vary materially as a result of changes in market conditions.</w:t>
      </w:r>
    </w:p>
    <w:p>
      <w:pPr>
        <w:spacing w:after="0" w:line="17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net deferred gain/(loss), including tax effects, recognized in AOCI for derivatives for the three and six months ended June 30, 2014 and 2013 are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center"/>
              <w:ind w:left="480"/>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5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0"/>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 net</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7"/>
                <w:szCs w:val="17"/>
                <w:color w:val="auto"/>
                <w:w w:val="72"/>
              </w:rPr>
              <w:t>(12)</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Interest rate derivatives, net</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(39)</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23"/>
        </w:trPr>
        <w:tc>
          <w:tcPr>
            <w:tcW w:w="3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4"/>
              </w:rPr>
              <w:t>(51</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At June 30, 2014 and December 31, 2013,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ectPr>
          <w:pgSz w:w="11900" w:h="16850" w:orient="portrait"/>
          <w:cols w:equalWidth="0" w:num="1">
            <w:col w:w="11420"/>
          </w:cols>
          <w:pgMar w:left="240" w:top="333" w:right="239" w:bottom="0" w:gutter="0" w:footer="0" w:header="0"/>
        </w:sectPr>
      </w:pPr>
    </w:p>
    <w:bookmarkStart w:id="15" w:name="page16"/>
    <w:bookmarkEnd w:id="15"/>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as of June 30, 2014 and December 31, 2013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8"/>
                <w:szCs w:val="8"/>
                <w:b w:val="1"/>
                <w:bCs w:val="1"/>
                <w:color w:val="auto"/>
              </w:rPr>
              <w:t>(1)</w:t>
            </w:r>
          </w:p>
        </w:tc>
        <w:tc>
          <w:tcPr>
            <w:tcW w:w="240" w:type="dxa"/>
            <w:vAlign w:val="bottom"/>
            <w:vMerge w:val="restart"/>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Fair Value as of June 30, 2014</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2"/>
              </w:rPr>
              <w:t>Fair Value as of December 31, 2013</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Level 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Interest rate derivatives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Total net derivative asset/(liability)</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1"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460"/>
        <w:spacing w:after="0" w:line="286" w:lineRule="auto"/>
        <w:rPr>
          <w:sz w:val="20"/>
          <w:szCs w:val="20"/>
          <w:color w:val="auto"/>
        </w:rPr>
      </w:pPr>
      <w:r>
        <w:rPr>
          <w:rFonts w:ascii="Arial" w:cs="Arial" w:eastAsia="Arial" w:hAnsi="Arial"/>
          <w:sz w:val="17"/>
          <w:szCs w:val="17"/>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60"/>
        <w:spacing w:after="0" w:line="279" w:lineRule="auto"/>
        <w:rPr>
          <w:sz w:val="20"/>
          <w:szCs w:val="20"/>
          <w:color w:val="auto"/>
        </w:rPr>
      </w:pPr>
      <w:r>
        <w:rPr>
          <w:rFonts w:ascii="Arial" w:cs="Arial" w:eastAsia="Arial" w:hAnsi="Arial"/>
          <w:sz w:val="17"/>
          <w:szCs w:val="17"/>
          <w:color w:val="auto"/>
        </w:rPr>
        <w:t>Level 3 of the fair value hierarchy includes certain physical commodity contracts.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or decrease in these forward prices could result in a material change in fair value to our level 3 derivatives.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40" w:type="dxa"/>
            <w:vAlign w:val="bottom"/>
            <w:gridSpan w:val="3"/>
          </w:tcPr>
          <w:p>
            <w:pPr>
              <w:jc w:val="right"/>
              <w:ind w:right="414"/>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440"/>
              <w:spacing w:after="0"/>
              <w:rPr>
                <w:sz w:val="20"/>
                <w:szCs w:val="20"/>
                <w:color w:val="auto"/>
              </w:rPr>
            </w:pPr>
            <w:r>
              <w:rPr>
                <w:rFonts w:ascii="Arial" w:cs="Arial" w:eastAsia="Arial" w:hAnsi="Arial"/>
                <w:sz w:val="15"/>
                <w:szCs w:val="15"/>
                <w:color w:val="auto"/>
                <w:w w:val="71"/>
              </w:rPr>
              <w:t>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Unrealized gains/(losses):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Included in earnings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Included in other comprehensive income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Derivatives entered into during the period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Transfers out of level 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8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5"/>
                <w:szCs w:val="15"/>
                <w:color w:val="auto"/>
                <w:w w:val="71"/>
              </w:rPr>
              <w:t>1</w:t>
            </w:r>
          </w:p>
        </w:tc>
        <w:tc>
          <w:tcPr>
            <w:tcW w:w="3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w w:val="92"/>
              </w:rPr>
              <w:t>Change in unrealized gains/(losses) included in earnings relating</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to level 3 derivatives still held at the end of the periods</w:t>
            </w:r>
          </w:p>
        </w:tc>
        <w:tc>
          <w:tcPr>
            <w:tcW w:w="102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020" w:type="dxa"/>
            <w:vAlign w:val="bottom"/>
          </w:tcPr>
          <w:p>
            <w:pPr>
              <w:jc w:val="right"/>
              <w:ind w:right="834"/>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696"/>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300" w:hanging="652"/>
        <w:spacing w:after="0" w:line="227" w:lineRule="auto"/>
        <w:tabs>
          <w:tab w:leader="none" w:pos="64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We reported unrealized gains and losses associated with level 3 commodity derivatives in our condensed consolidated statements of operations as Supply and Logistics segment 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In the ordinary course of business, we are involved in various legal proceedings. To the extent we are able to assess the likelihood of a</w:t>
      </w:r>
      <w:r>
        <w:rPr>
          <w:rFonts w:ascii="Arial" w:cs="Arial" w:eastAsia="Arial" w:hAnsi="Arial"/>
          <w:sz w:val="16"/>
          <w:szCs w:val="16"/>
          <w:i w:val="1"/>
          <w:iCs w:val="1"/>
          <w:color w:val="auto"/>
        </w:rPr>
        <w:t xml:space="preserve"> </w:t>
      </w:r>
      <w:r>
        <w:rPr>
          <w:rFonts w:ascii="Arial" w:cs="Arial" w:eastAsia="Arial" w:hAnsi="Arial"/>
          <w:sz w:val="16"/>
          <w:szCs w:val="16"/>
          <w:color w:val="auto"/>
        </w:rPr>
        <w:t>negative outcome for these proceedings, our assessments of such likelihood range from remote to probable. If we determine that a negative outcome is</w:t>
      </w:r>
    </w:p>
    <w:p>
      <w:pPr>
        <w:sectPr>
          <w:pgSz w:w="11900" w:h="16840" w:orient="portrait"/>
          <w:cols w:equalWidth="0" w:num="1">
            <w:col w:w="11420"/>
          </w:cols>
          <w:pgMar w:left="240" w:top="341" w:right="239" w:bottom="0" w:gutter="0" w:footer="0" w:header="0"/>
        </w:sectPr>
      </w:pPr>
    </w:p>
    <w:bookmarkStart w:id="16" w:name="page17"/>
    <w:bookmarkEnd w:id="16"/>
    <w:p>
      <w:pPr>
        <w:spacing w:after="0" w:line="276" w:lineRule="auto"/>
        <w:rPr>
          <w:sz w:val="20"/>
          <w:szCs w:val="20"/>
          <w:color w:val="auto"/>
        </w:rPr>
      </w:pPr>
      <w:r>
        <w:rPr>
          <w:rFonts w:ascii="Arial" w:cs="Arial" w:eastAsia="Arial" w:hAnsi="Arial"/>
          <w:sz w:val="17"/>
          <w:szCs w:val="17"/>
          <w:color w:val="auto"/>
        </w:rPr>
        <w:t>probable and the amount of loss is reasonably estimable, we accrue the estimated amount. We do not believe that the outcome of these legal proceedings, individually or in the aggregate, will have a material adverse effect on our financial condition, results of operations or cash flows. Although we believe that our operations are presently in material compliance with applicable requirements, as we acquire and incorporate additional assets it is possible that the EPA or other governmental entities may seek to impose fines, penalties or performance obligations on us (or on a portion of our operations) as a result of any past noncompliance whether such noncompliance initially developed before or after our acquisition.</w:t>
      </w:r>
    </w:p>
    <w:p>
      <w:pPr>
        <w:spacing w:after="0" w:line="173"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i w:val="1"/>
          <w:iCs w:val="1"/>
          <w:color w:val="auto"/>
        </w:rPr>
        <w:t xml:space="preserve">Pemex Exploración y Producción v. Big Star Gathering Ltd L.L.P. et al (the “Big Star Lawsuit”) and Pemex Exploración y Producción v. Murphy Energy et al (the “Murphy Lawsuit”). </w:t>
      </w:r>
      <w:r>
        <w:rPr>
          <w:rFonts w:ascii="Arial" w:cs="Arial" w:eastAsia="Arial" w:hAnsi="Arial"/>
          <w:sz w:val="17"/>
          <w:szCs w:val="17"/>
          <w:color w:val="auto"/>
        </w:rPr>
        <w:t>In two cases filed in the Texas Southern District Court in May 2011 and April 2012, Pemex Exploración y Producción</w:t>
      </w:r>
      <w:r>
        <w:rPr>
          <w:rFonts w:ascii="Arial" w:cs="Arial" w:eastAsia="Arial" w:hAnsi="Arial"/>
          <w:sz w:val="17"/>
          <w:szCs w:val="17"/>
          <w:i w:val="1"/>
          <w:iCs w:val="1"/>
          <w:color w:val="auto"/>
        </w:rPr>
        <w:t xml:space="preserve"> </w:t>
      </w:r>
      <w:r>
        <w:rPr>
          <w:rFonts w:ascii="Arial" w:cs="Arial" w:eastAsia="Arial" w:hAnsi="Arial"/>
          <w:sz w:val="17"/>
          <w:szCs w:val="17"/>
          <w:color w:val="auto"/>
        </w:rPr>
        <w:t>(“PEP”) alleges that certain parties stole condensate from pipelines and gathering stations and conspired with U.S. companies (primarily in Texas) to import and market the stolen condensate. PEP does not allege that Plains was part of any conspiracy, but that it dealt in the condensate only after it had been obtained by others and resold to Plains Marketing, L.P. PEP seeks actual damages, attorney’s fees, and statutory penalties from Plains Marketing, L.P. In February 2013, the Court granted Plains Marketing, L.P.’s motion to be dismissed from the Murphy Lawsuit. In October 2013, the Court issued an order in the Big Star Lawsuit granting summary judgment in favor of Plains Marketing, L.P. with respect to all of PEP’s remaining claims against Plains Marketing, L.P. In February 2014, the Court affirmed its order granting summary judgment in favor of Plains Marketing, L.P. in the Big Star Lawsuit, denied PEP’s motion for reconsideration, severed the case against Plains from the other defendants and issued a final judgment dismissing all claims against Plains. The time for PEP to appeal the final judgment in both cases has lapsed. Plains’ motion to sever Plains from the remainder of the defendants in the Murphy Lawsuit in order to obtain a final judgment has been granted.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In the Matter of Rancho LPG Holdings LLC, Respondent. </w:t>
      </w:r>
      <w:r>
        <w:rPr>
          <w:rFonts w:ascii="Arial" w:cs="Arial" w:eastAsia="Arial" w:hAnsi="Arial"/>
          <w:sz w:val="17"/>
          <w:szCs w:val="17"/>
          <w:color w:val="auto"/>
        </w:rPr>
        <w:t>In May 2014, Rancho LPG Holdings LLC (“Rancho”), a wholly owned subsidiary of</w:t>
      </w:r>
      <w:r>
        <w:rPr>
          <w:rFonts w:ascii="Arial" w:cs="Arial" w:eastAsia="Arial" w:hAnsi="Arial"/>
          <w:sz w:val="17"/>
          <w:szCs w:val="17"/>
          <w:i w:val="1"/>
          <w:iCs w:val="1"/>
          <w:color w:val="auto"/>
        </w:rPr>
        <w:t xml:space="preserve"> </w:t>
      </w:r>
      <w:r>
        <w:rPr>
          <w:rFonts w:ascii="Arial" w:cs="Arial" w:eastAsia="Arial" w:hAnsi="Arial"/>
          <w:sz w:val="17"/>
          <w:szCs w:val="17"/>
          <w:color w:val="auto"/>
        </w:rPr>
        <w:t>PAA, entered into a Consent Agreement and Final Order (“Consent Agreement”) with the EPA regarding alleged violations of certain risk management plan regulations under the federal Clean Air Act at Rancho’s LPG storage facility in San Pedro, California. The allegations, which Rancho disputed, arose from inspections of the facility by the EPA during 2010 and 2011. Pursuant to the Consent Agreement, Rancho agreed to pay a civil penalty of $260,000; however, no injunctive relief was sought by the EPA. Further, the Rancho facility was determined, as of the date of the Consent Agreement, to be in full compliance with the regulations that were the subject of the alleged violations.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Although we believe that our efforts to enhance our leak prevention and detection capabilities have produced positive results,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experienced (and likely will experience future) releases of hydrocarbon products into the environment from our pipeline, rail and storage operations. These releases can result from unpredictable man-made or natural forces and may reach surface water bodies, groundwater aquifers or other sensitive environments. Whether current or past, damages and liabilities associated with any such releases from our assets may substantially affect our business.</w:t>
      </w:r>
    </w:p>
    <w:p>
      <w:pPr>
        <w:spacing w:after="0" w:line="154"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At June 30, 2014, our estimated undiscounted reserve for environmental liabilities totaled approximately $92 million, of which approximately $13 million was classified as short-term and approximately $79 million was classified as long-term. At December 31, 2013, our estimated undiscounted reserve for environmental liabilities totaled approximately $93 million, of which approximately $11 million was classified as short-term and approximately $82 million was classified as long-term. The short- and long-term environmental liabilities referenced above are reflected in “Accounts payable and accrued liabilities” and “Other long-term liabilities and deferred credits,” respectively, on our condensed consolidated balance sheets. At June 30, 2014 and December 31, 2013, we had recorded receivables totaling approximately $8 million and $10 million, respectively, for amounts probable of recovery under insurance and from third parties under indemnification agreements, which are predominantly reflected in “Trade accounts receivable and other receivables, net” on our condensed consolidated balance sheets.</w:t>
      </w:r>
    </w:p>
    <w:p>
      <w:pPr>
        <w:spacing w:after="0" w:line="17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some cases, the actual cash expenditures may not occur for three years or longer.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liabilities. Therefore, although we believe that the reserve is adequate, costs incurred may be in excess of the reserve and may potentially have a material adverse effect on our financial condition, results of operations or cash flows.</w:t>
      </w:r>
    </w:p>
    <w:p>
      <w:pPr>
        <w:spacing w:after="0" w:line="178"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i w:val="1"/>
          <w:iCs w:val="1"/>
          <w:color w:val="auto"/>
        </w:rPr>
        <w:t xml:space="preserve">Rainbow Pipeline Release. </w:t>
      </w:r>
      <w:r>
        <w:rPr>
          <w:rFonts w:ascii="Arial" w:cs="Arial" w:eastAsia="Arial" w:hAnsi="Arial"/>
          <w:sz w:val="16"/>
          <w:szCs w:val="16"/>
          <w:color w:val="auto"/>
        </w:rPr>
        <w:t>During April 2011, we experienced a crude oil release of approximately 28,000 barrels of crude oil on a remote section</w:t>
      </w:r>
      <w:r>
        <w:rPr>
          <w:rFonts w:ascii="Arial" w:cs="Arial" w:eastAsia="Arial" w:hAnsi="Arial"/>
          <w:sz w:val="16"/>
          <w:szCs w:val="16"/>
          <w:i w:val="1"/>
          <w:iCs w:val="1"/>
          <w:color w:val="auto"/>
        </w:rPr>
        <w:t xml:space="preserve"> </w:t>
      </w:r>
      <w:r>
        <w:rPr>
          <w:rFonts w:ascii="Arial" w:cs="Arial" w:eastAsia="Arial" w:hAnsi="Arial"/>
          <w:sz w:val="16"/>
          <w:szCs w:val="16"/>
          <w:color w:val="auto"/>
        </w:rPr>
        <w:t>of our Rainbow Pipeline located in Alberta, Canada. Since the release and through June 30, 2014, we spent approximately $70 million, before insurance recoveries, in connection with site clean-up, reclamation and remediation activities, and as of June 30, 2014, we did not have any material outstanding liabilities or insurance receivables relating to this release. On February 26, 2013, the Alberta Energy Regulator (“AER”) issued four enforcement actions against PMC for failure to comply with certain regulatory requirements in connection with the release, including requirements related to operations and maintenance procedures, leak detection and response, backfill and compaction procedures and emergency response plan testing. PMC has taken and continues to take appropriate actions necessary to respond to and comply with the enforcement actions set forth in the report, including the implementation of additional risk assessment procedures and other actions designed to minimize the risk that similar incidents occur in the future and enhance the effectiveness of PMC’s response to any such future incidents. In addition, on April 23, 2013, the Alberta Crown Prosecutor filed charges under the Alberta Environmental Protection and Enhancement Act against PMC relating to the release. PMC settled these charges in July 2014 for $450,000 CAD.</w:t>
      </w:r>
    </w:p>
    <w:p>
      <w:pPr>
        <w:spacing w:after="0" w:line="16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i w:val="1"/>
          <w:iCs w:val="1"/>
          <w:color w:val="auto"/>
        </w:rPr>
        <w:t>Rangeland Pipeline Release</w:t>
      </w:r>
      <w:r>
        <w:rPr>
          <w:rFonts w:ascii="Arial" w:cs="Arial" w:eastAsia="Arial" w:hAnsi="Arial"/>
          <w:sz w:val="17"/>
          <w:szCs w:val="17"/>
          <w:color w:val="auto"/>
        </w:rPr>
        <w:t>. During June 2012, we experienced a crude oil release on a section of our Rangeland Pipeline located near Sundre,</w:t>
      </w:r>
      <w:r>
        <w:rPr>
          <w:rFonts w:ascii="Arial" w:cs="Arial" w:eastAsia="Arial" w:hAnsi="Arial"/>
          <w:sz w:val="17"/>
          <w:szCs w:val="17"/>
          <w:i w:val="1"/>
          <w:iCs w:val="1"/>
          <w:color w:val="auto"/>
        </w:rPr>
        <w:t xml:space="preserve"> </w:t>
      </w:r>
      <w:r>
        <w:rPr>
          <w:rFonts w:ascii="Arial" w:cs="Arial" w:eastAsia="Arial" w:hAnsi="Arial"/>
          <w:sz w:val="17"/>
          <w:szCs w:val="17"/>
          <w:color w:val="auto"/>
        </w:rPr>
        <w:t>Alberta, Canada. Approximately 3,000 barrels were released into the Red Deer River and were contained downstream in the Gleniffer Reservoir. Remediation activities in the reservoir area were completed by June 30, 2012, remediation of the remaining impacted areas of government-owned lands was completed by September 30, 2012 and interim closure, in respect of those lands, was received from the applicable regulatory agencies. A long-term monitoring plan has been developed and implemented in accordance with regulatory requirements. Through June 30, 2014, we spent approximately $47 million, before insurance recoveries, in connection with site clean-up, reclamation and remediation activities. On July 4, 2013, the AER issued four enforcement actions against PMC citing failure to inspect water crossings, failure to complete an engineering assessment to determine suitability of continued operation of the Rangeland Pipeline, failure to maintain updated emergency response plans, and failure to conduct regular public awareness programs. In addition, on May 30, 2014, the Alberta Crown Prosecutor and Public Prosecution Services of Canada filed charges under the Alberta Environmental Protection and Enhancement Act and Canadian Federal Fisheries Act against PMC relating to the release. PMC settled all of such charges in July 2014 for an aggregate of $850,000 CAD.</w:t>
      </w:r>
    </w:p>
    <w:p>
      <w:pPr>
        <w:sectPr>
          <w:pgSz w:w="11900" w:h="16838" w:orient="portrait"/>
          <w:cols w:equalWidth="0" w:num="1">
            <w:col w:w="11400"/>
          </w:cols>
          <w:pgMar w:left="240" w:top="125" w:right="259" w:bottom="0" w:gutter="0" w:footer="0" w:header="0"/>
        </w:sectPr>
      </w:pPr>
    </w:p>
    <w:bookmarkStart w:id="17" w:name="page18"/>
    <w:bookmarkEnd w:id="17"/>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 xml:space="preserve">Bay Springs Pipeline Release. </w:t>
      </w:r>
      <w:r>
        <w:rPr>
          <w:rFonts w:ascii="Arial" w:cs="Arial" w:eastAsia="Arial" w:hAnsi="Arial"/>
          <w:sz w:val="17"/>
          <w:szCs w:val="17"/>
          <w:color w:val="auto"/>
        </w:rPr>
        <w:t>During February 2013, we experienced a crude oil release of approximately 120 barrels on a portion of one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pipelines near Bay Springs, Mississippi. Most of the released oil was contained within our pipeline right of way, but some of the released oil entered a nearby waterway where it was contained with booms. The EPA has issued an administrative order requiring us to take various actions in response to the release, including remediation, reporting and other actions. We have satisfied the requirements of the administrative order; however, we may be subjected to a civil penalty. The aggregate cost to clean up and remediate the site was approximately $6 million.</w:t>
      </w:r>
    </w:p>
    <w:p>
      <w:pPr>
        <w:spacing w:after="0" w:line="173"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i w:val="1"/>
          <w:iCs w:val="1"/>
          <w:color w:val="auto"/>
        </w:rPr>
        <w:t>Kemp River Pipeline Release</w:t>
      </w:r>
      <w:r>
        <w:rPr>
          <w:rFonts w:ascii="Arial" w:cs="Arial" w:eastAsia="Arial" w:hAnsi="Arial"/>
          <w:sz w:val="17"/>
          <w:szCs w:val="17"/>
          <w:color w:val="auto"/>
        </w:rPr>
        <w:t>. During May and June 2013, two separate releases were discovered on our Kemp River pipeline in Northern Alberta,</w:t>
      </w:r>
      <w:r>
        <w:rPr>
          <w:rFonts w:ascii="Arial" w:cs="Arial" w:eastAsia="Arial" w:hAnsi="Arial"/>
          <w:sz w:val="17"/>
          <w:szCs w:val="17"/>
          <w:i w:val="1"/>
          <w:iCs w:val="1"/>
          <w:color w:val="auto"/>
        </w:rPr>
        <w:t xml:space="preserve"> </w:t>
      </w:r>
      <w:r>
        <w:rPr>
          <w:rFonts w:ascii="Arial" w:cs="Arial" w:eastAsia="Arial" w:hAnsi="Arial"/>
          <w:sz w:val="17"/>
          <w:szCs w:val="17"/>
          <w:color w:val="auto"/>
        </w:rPr>
        <w:t>Canada that, in the aggregate, resulted in the release of approximately 700 barrels of condensate and light crude oil. Clean-up and remediation activities are being conducted in cooperation with the applicable regulatory agencies. AER’s final investigation is not complete. To date, no charges, fines or penalties have been assessed against PMC with respect to these releases; however, it is possible that fines or penalties may be assessed against PMC in the future. We estimate that the aggregate clean-up and remediation costs associated with these releases will be approximately $15 million. Through June 30, 2014, we spent approximately $8 million in connection with clean-up and remediation activities.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12—Operating Segments</w:t>
      </w:r>
    </w:p>
    <w:p>
      <w:pPr>
        <w:spacing w:after="0" w:line="22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We manage our operations through three operating segments: (i) Transportation, (ii) Facilities and (iii) Supply and Logistics. Our Chief Operating Decision Maker (our Chief Executive Officer) evaluates segment performance based on measures including segment profit and maintenance capital investment. We define segment profit as revenues and equity earnings in unconsolidated entities less (i) purchases and related costs, (ii) field operating costs and (iii) segment general and administrative expenses. Each of the items above excludes depreciation and amortization. Maintenance capital consists of capital expenditures for the replacement of partially or fully depreciated assets in order to maintain the operating and/or earnings capacity of our existing assets. The following table reflects certain financial data for each segment for the periods indicated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Transportation</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72"/>
              <w:spacing w:after="0"/>
              <w:rPr>
                <w:sz w:val="20"/>
                <w:szCs w:val="20"/>
                <w:color w:val="auto"/>
              </w:rPr>
            </w:pPr>
            <w:r>
              <w:rPr>
                <w:rFonts w:ascii="Arial" w:cs="Arial" w:eastAsia="Arial" w:hAnsi="Arial"/>
                <w:sz w:val="14"/>
                <w:szCs w:val="14"/>
                <w:b w:val="1"/>
                <w:bCs w:val="1"/>
                <w:color w:val="auto"/>
              </w:rPr>
              <w:t>Facilities</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Supply and Logistics</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June 30, 2014</w:t>
            </w:r>
          </w:p>
        </w:tc>
        <w:tc>
          <w:tcPr>
            <w:tcW w:w="13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1380" w:type="dxa"/>
            <w:vAlign w:val="bottom"/>
            <w:shd w:val="clear" w:color="auto" w:fill="CCEEFF"/>
          </w:tcPr>
          <w:p>
            <w:pPr>
              <w:jc w:val="right"/>
              <w:ind w:right="1225"/>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w:t>
            </w:r>
          </w:p>
        </w:tc>
        <w:tc>
          <w:tcPr>
            <w:tcW w:w="1460" w:type="dxa"/>
            <w:vAlign w:val="bottom"/>
            <w:gridSpan w:val="2"/>
            <w:shd w:val="clear" w:color="auto" w:fill="CCEEFF"/>
          </w:tcPr>
          <w:p>
            <w:pPr>
              <w:jc w:val="right"/>
              <w:ind w:right="11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10,856</w:t>
            </w:r>
          </w:p>
        </w:tc>
        <w:tc>
          <w:tcPr>
            <w:tcW w:w="5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3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380" w:type="dxa"/>
            <w:vAlign w:val="bottom"/>
            <w:tcBorders>
              <w:top w:val="single" w:sz="8" w:color="auto"/>
              <w:bottom w:val="single" w:sz="8" w:color="auto"/>
            </w:tcBorders>
            <w:shd w:val="clear" w:color="auto" w:fill="CCEEFF"/>
          </w:tcPr>
          <w:p>
            <w:pPr>
              <w:jc w:val="right"/>
              <w:ind w:right="122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111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Borders>
              <w:bottom w:val="single" w:sz="8" w:color="CCEEFF"/>
            </w:tcBorders>
            <w:gridSpan w:val="2"/>
            <w:vMerge w:val="continue"/>
          </w:tcPr>
          <w:p>
            <w:pPr>
              <w:spacing w:after="0"/>
              <w:rPr>
                <w:sz w:val="20"/>
                <w:szCs w:val="20"/>
                <w:color w:val="auto"/>
              </w:rPr>
            </w:pPr>
          </w:p>
        </w:tc>
        <w:tc>
          <w:tcPr>
            <w:tcW w:w="1380" w:type="dxa"/>
            <w:vAlign w:val="bottom"/>
            <w:tcBorders>
              <w:bottom w:val="single" w:sz="8" w:color="auto"/>
            </w:tcBorders>
          </w:tcPr>
          <w:p>
            <w:pPr>
              <w:jc w:val="right"/>
              <w:ind w:right="122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w:t>
            </w:r>
          </w:p>
        </w:tc>
        <w:tc>
          <w:tcPr>
            <w:tcW w:w="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right"/>
              <w:ind w:right="1112"/>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60" w:type="dxa"/>
            <w:vAlign w:val="bottom"/>
            <w:tcBorders>
              <w:bottom w:val="single" w:sz="8" w:color="CCEEFF"/>
            </w:tcBorders>
            <w:gridSpan w:val="2"/>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(3) (4)</w:t>
            </w:r>
          </w:p>
        </w:tc>
        <w:tc>
          <w:tcPr>
            <w:tcW w:w="1380" w:type="dxa"/>
            <w:vAlign w:val="bottom"/>
            <w:tcBorders>
              <w:bottom w:val="single" w:sz="8" w:color="auto"/>
            </w:tcBorders>
            <w:shd w:val="clear" w:color="auto" w:fill="CCEEFF"/>
          </w:tcPr>
          <w:p>
            <w:pPr>
              <w:jc w:val="right"/>
              <w:ind w:right="122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221</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112"/>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Borders>
              <w:bottom w:val="single" w:sz="8" w:color="CCEEFF"/>
            </w:tcBorders>
            <w:gridSpan w:val="2"/>
            <w:vMerge w:val="continue"/>
          </w:tcPr>
          <w:p>
            <w:pPr>
              <w:spacing w:after="0"/>
              <w:rPr>
                <w:sz w:val="20"/>
                <w:szCs w:val="20"/>
                <w:color w:val="auto"/>
              </w:rPr>
            </w:pPr>
          </w:p>
        </w:tc>
        <w:tc>
          <w:tcPr>
            <w:tcW w:w="1380" w:type="dxa"/>
            <w:vAlign w:val="bottom"/>
            <w:tcBorders>
              <w:bottom w:val="single" w:sz="8" w:color="auto"/>
            </w:tcBorders>
          </w:tcPr>
          <w:p>
            <w:pPr>
              <w:jc w:val="right"/>
              <w:ind w:right="122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w:t>
            </w:r>
          </w:p>
        </w:tc>
        <w:tc>
          <w:tcPr>
            <w:tcW w:w="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right"/>
              <w:ind w:right="1112"/>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June 30, 2013</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External Customers</w:t>
            </w:r>
          </w:p>
        </w:tc>
        <w:tc>
          <w:tcPr>
            <w:tcW w:w="1380" w:type="dxa"/>
            <w:vAlign w:val="bottom"/>
          </w:tcPr>
          <w:p>
            <w:pPr>
              <w:jc w:val="right"/>
              <w:ind w:right="1225"/>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c>
          <w:tcPr>
            <w:tcW w:w="1460" w:type="dxa"/>
            <w:vAlign w:val="bottom"/>
            <w:gridSpan w:val="2"/>
          </w:tcPr>
          <w:p>
            <w:pPr>
              <w:jc w:val="right"/>
              <w:ind w:right="111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9,933</w:t>
            </w:r>
          </w:p>
        </w:tc>
        <w:tc>
          <w:tcPr>
            <w:tcW w:w="5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380" w:type="dxa"/>
            <w:vAlign w:val="bottom"/>
            <w:tcBorders>
              <w:top w:val="single" w:sz="8" w:color="auto"/>
              <w:bottom w:val="single" w:sz="8" w:color="auto"/>
            </w:tcBorders>
          </w:tcPr>
          <w:p>
            <w:pPr>
              <w:jc w:val="right"/>
              <w:ind w:right="122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11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10,647</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6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Equity earnings in unconsolidated entities</w:t>
            </w:r>
          </w:p>
        </w:tc>
        <w:tc>
          <w:tcPr>
            <w:tcW w:w="1380" w:type="dxa"/>
            <w:vAlign w:val="bottom"/>
            <w:tcBorders>
              <w:bottom w:val="single" w:sz="8" w:color="auto"/>
            </w:tcBorders>
            <w:shd w:val="clear" w:color="auto" w:fill="CCEEFF"/>
          </w:tcPr>
          <w:p>
            <w:pPr>
              <w:jc w:val="right"/>
              <w:ind w:right="122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112"/>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(3) (4)</w:t>
            </w: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Borders>
              <w:bottom w:val="single" w:sz="8" w:color="CCEEFF"/>
            </w:tcBorders>
            <w:gridSpan w:val="2"/>
            <w:vMerge w:val="continue"/>
          </w:tcPr>
          <w:p>
            <w:pPr>
              <w:spacing w:after="0"/>
              <w:rPr>
                <w:sz w:val="20"/>
                <w:szCs w:val="20"/>
                <w:color w:val="auto"/>
              </w:rPr>
            </w:pPr>
          </w:p>
        </w:tc>
        <w:tc>
          <w:tcPr>
            <w:tcW w:w="1380" w:type="dxa"/>
            <w:vAlign w:val="bottom"/>
            <w:tcBorders>
              <w:bottom w:val="single" w:sz="8" w:color="auto"/>
            </w:tcBorders>
          </w:tcPr>
          <w:p>
            <w:pPr>
              <w:jc w:val="right"/>
              <w:ind w:right="122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w:t>
            </w:r>
          </w:p>
        </w:tc>
        <w:tc>
          <w:tcPr>
            <w:tcW w:w="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right"/>
              <w:ind w:right="1112"/>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w:t>
            </w:r>
          </w:p>
        </w:tc>
        <w:tc>
          <w:tcPr>
            <w:tcW w:w="2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6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1380" w:type="dxa"/>
            <w:vAlign w:val="bottom"/>
            <w:tcBorders>
              <w:bottom w:val="single" w:sz="8" w:color="auto"/>
            </w:tcBorders>
            <w:shd w:val="clear" w:color="auto" w:fill="CCEEFF"/>
          </w:tcPr>
          <w:p>
            <w:pPr>
              <w:jc w:val="right"/>
              <w:ind w:right="122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112"/>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2"/>
          </w:tcPr>
          <w:p>
            <w:pPr>
              <w:jc w:val="right"/>
              <w:ind w:right="1132"/>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50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7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Transportation</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72"/>
              <w:spacing w:after="0"/>
              <w:rPr>
                <w:sz w:val="20"/>
                <w:szCs w:val="20"/>
                <w:color w:val="auto"/>
              </w:rPr>
            </w:pPr>
            <w:r>
              <w:rPr>
                <w:rFonts w:ascii="Arial" w:cs="Arial" w:eastAsia="Arial" w:hAnsi="Arial"/>
                <w:sz w:val="14"/>
                <w:szCs w:val="14"/>
                <w:b w:val="1"/>
                <w:bCs w:val="1"/>
                <w:color w:val="auto"/>
              </w:rPr>
              <w:t>Facilities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Supply and Logistics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Six Months Ended June 30, 2014</w:t>
            </w:r>
          </w:p>
        </w:tc>
        <w:tc>
          <w:tcPr>
            <w:tcW w:w="13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1380" w:type="dxa"/>
            <w:vAlign w:val="bottom"/>
            <w:shd w:val="clear" w:color="auto" w:fill="CCEEFF"/>
          </w:tcPr>
          <w:p>
            <w:pPr>
              <w:jc w:val="right"/>
              <w:ind w:right="1225"/>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w:t>
            </w:r>
          </w:p>
        </w:tc>
        <w:tc>
          <w:tcPr>
            <w:tcW w:w="1460" w:type="dxa"/>
            <w:vAlign w:val="bottom"/>
            <w:gridSpan w:val="2"/>
            <w:shd w:val="clear" w:color="auto" w:fill="CCEEFF"/>
          </w:tcPr>
          <w:p>
            <w:pPr>
              <w:jc w:val="right"/>
              <w:ind w:right="11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22,201</w:t>
            </w:r>
          </w:p>
        </w:tc>
        <w:tc>
          <w:tcPr>
            <w:tcW w:w="5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3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380" w:type="dxa"/>
            <w:vAlign w:val="bottom"/>
            <w:tcBorders>
              <w:top w:val="single" w:sz="8" w:color="auto"/>
              <w:bottom w:val="single" w:sz="8" w:color="auto"/>
            </w:tcBorders>
            <w:shd w:val="clear" w:color="auto" w:fill="CCEEFF"/>
          </w:tcPr>
          <w:p>
            <w:pPr>
              <w:jc w:val="right"/>
              <w:ind w:right="122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111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Borders>
              <w:bottom w:val="single" w:sz="8" w:color="CCEEFF"/>
            </w:tcBorders>
            <w:gridSpan w:val="2"/>
            <w:vMerge w:val="continue"/>
          </w:tcPr>
          <w:p>
            <w:pPr>
              <w:spacing w:after="0"/>
              <w:rPr>
                <w:sz w:val="20"/>
                <w:szCs w:val="20"/>
                <w:color w:val="auto"/>
              </w:rPr>
            </w:pPr>
          </w:p>
        </w:tc>
        <w:tc>
          <w:tcPr>
            <w:tcW w:w="1380" w:type="dxa"/>
            <w:vAlign w:val="bottom"/>
            <w:tcBorders>
              <w:bottom w:val="single" w:sz="8" w:color="auto"/>
            </w:tcBorders>
          </w:tcPr>
          <w:p>
            <w:pPr>
              <w:jc w:val="right"/>
              <w:ind w:right="122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w:t>
            </w:r>
          </w:p>
        </w:tc>
        <w:tc>
          <w:tcPr>
            <w:tcW w:w="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right"/>
              <w:ind w:right="1112"/>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60" w:type="dxa"/>
            <w:vAlign w:val="bottom"/>
            <w:tcBorders>
              <w:bottom w:val="single" w:sz="8" w:color="CCEEFF"/>
            </w:tcBorders>
            <w:gridSpan w:val="2"/>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(3) (4)</w:t>
            </w:r>
          </w:p>
        </w:tc>
        <w:tc>
          <w:tcPr>
            <w:tcW w:w="1380" w:type="dxa"/>
            <w:vAlign w:val="bottom"/>
            <w:tcBorders>
              <w:bottom w:val="single" w:sz="8" w:color="auto"/>
            </w:tcBorders>
            <w:shd w:val="clear" w:color="auto" w:fill="CCEEFF"/>
          </w:tcPr>
          <w:p>
            <w:pPr>
              <w:jc w:val="right"/>
              <w:ind w:right="122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427</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112"/>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288</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Borders>
              <w:bottom w:val="single" w:sz="8" w:color="CCEEFF"/>
            </w:tcBorders>
            <w:gridSpan w:val="2"/>
            <w:vMerge w:val="continue"/>
          </w:tcPr>
          <w:p>
            <w:pPr>
              <w:spacing w:after="0"/>
              <w:rPr>
                <w:sz w:val="20"/>
                <w:szCs w:val="20"/>
                <w:color w:val="auto"/>
              </w:rPr>
            </w:pPr>
          </w:p>
        </w:tc>
        <w:tc>
          <w:tcPr>
            <w:tcW w:w="1380" w:type="dxa"/>
            <w:vAlign w:val="bottom"/>
            <w:tcBorders>
              <w:bottom w:val="single" w:sz="8" w:color="auto"/>
            </w:tcBorders>
          </w:tcPr>
          <w:p>
            <w:pPr>
              <w:jc w:val="right"/>
              <w:ind w:right="122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w:t>
            </w:r>
          </w:p>
        </w:tc>
        <w:tc>
          <w:tcPr>
            <w:tcW w:w="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right"/>
              <w:ind w:right="1112"/>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Six Months Ended June 30, 2013</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External Customers</w:t>
            </w:r>
          </w:p>
        </w:tc>
        <w:tc>
          <w:tcPr>
            <w:tcW w:w="1380" w:type="dxa"/>
            <w:vAlign w:val="bottom"/>
          </w:tcPr>
          <w:p>
            <w:pPr>
              <w:jc w:val="right"/>
              <w:ind w:right="1225"/>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338</w:t>
            </w:r>
          </w:p>
        </w:tc>
        <w:tc>
          <w:tcPr>
            <w:tcW w:w="1460" w:type="dxa"/>
            <w:vAlign w:val="bottom"/>
            <w:gridSpan w:val="2"/>
          </w:tcPr>
          <w:p>
            <w:pPr>
              <w:jc w:val="right"/>
              <w:ind w:right="111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420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20,157</w:t>
            </w:r>
          </w:p>
        </w:tc>
        <w:tc>
          <w:tcPr>
            <w:tcW w:w="5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380" w:type="dxa"/>
            <w:vAlign w:val="bottom"/>
            <w:tcBorders>
              <w:top w:val="single" w:sz="8" w:color="auto"/>
              <w:bottom w:val="single" w:sz="8" w:color="auto"/>
            </w:tcBorders>
          </w:tcPr>
          <w:p>
            <w:pPr>
              <w:jc w:val="right"/>
              <w:ind w:right="122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11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21,593</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6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Equity earnings in unconsolidated entities</w:t>
            </w:r>
          </w:p>
        </w:tc>
        <w:tc>
          <w:tcPr>
            <w:tcW w:w="1380" w:type="dxa"/>
            <w:vAlign w:val="bottom"/>
            <w:tcBorders>
              <w:bottom w:val="single" w:sz="8" w:color="auto"/>
            </w:tcBorders>
            <w:shd w:val="clear" w:color="auto" w:fill="CCEEFF"/>
          </w:tcPr>
          <w:p>
            <w:pPr>
              <w:jc w:val="right"/>
              <w:ind w:right="122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112"/>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(3) (4)</w:t>
            </w: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Borders>
              <w:bottom w:val="single" w:sz="8" w:color="CCEEFF"/>
            </w:tcBorders>
            <w:gridSpan w:val="2"/>
            <w:vMerge w:val="continue"/>
          </w:tcPr>
          <w:p>
            <w:pPr>
              <w:spacing w:after="0"/>
              <w:rPr>
                <w:sz w:val="20"/>
                <w:szCs w:val="20"/>
                <w:color w:val="auto"/>
              </w:rPr>
            </w:pPr>
          </w:p>
        </w:tc>
        <w:tc>
          <w:tcPr>
            <w:tcW w:w="1380" w:type="dxa"/>
            <w:vAlign w:val="bottom"/>
            <w:tcBorders>
              <w:bottom w:val="single" w:sz="8" w:color="auto"/>
            </w:tcBorders>
          </w:tcPr>
          <w:p>
            <w:pPr>
              <w:jc w:val="right"/>
              <w:ind w:right="122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323</w:t>
            </w:r>
          </w:p>
        </w:tc>
        <w:tc>
          <w:tcPr>
            <w:tcW w:w="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right"/>
              <w:ind w:right="1112"/>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w:t>
            </w:r>
          </w:p>
        </w:tc>
        <w:tc>
          <w:tcPr>
            <w:tcW w:w="2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6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1380" w:type="dxa"/>
            <w:vAlign w:val="bottom"/>
            <w:tcBorders>
              <w:bottom w:val="single" w:sz="8" w:color="auto"/>
            </w:tcBorders>
            <w:shd w:val="clear" w:color="auto" w:fill="CCEEFF"/>
          </w:tcPr>
          <w:p>
            <w:pPr>
              <w:jc w:val="right"/>
              <w:ind w:right="122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112"/>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-3174365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-3174365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57"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31" w:lineRule="exact"/>
        <w:rPr>
          <w:sz w:val="20"/>
          <w:szCs w:val="20"/>
          <w:color w:val="auto"/>
        </w:rPr>
      </w:pPr>
    </w:p>
    <w:p>
      <w:pPr>
        <w:ind w:left="660" w:right="340" w:hanging="652"/>
        <w:spacing w:after="0" w:line="267" w:lineRule="auto"/>
        <w:tabs>
          <w:tab w:leader="none" w:pos="648"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Effective January 1, 2014, our natural gas sales and costs, primarily attributable to the activities performed by our natural gas storage commercial optimization group, are reported in the Supply and Logistics segment. Such items were previously reported in the Facilities segment.</w:t>
      </w:r>
    </w:p>
    <w:p>
      <w:pPr>
        <w:sectPr>
          <w:pgSz w:w="11900" w:h="16857" w:orient="portrait"/>
          <w:cols w:equalWidth="0" w:num="1">
            <w:col w:w="11460"/>
          </w:cols>
          <w:pgMar w:left="240" w:top="125" w:right="199" w:bottom="0" w:gutter="0" w:footer="0" w:header="0"/>
          <w:type w:val="continuous"/>
        </w:sectPr>
      </w:pPr>
    </w:p>
    <w:bookmarkStart w:id="18" w:name="page19"/>
    <w:bookmarkEnd w:id="18"/>
    <w:p>
      <w:pPr>
        <w:ind w:left="660" w:right="60" w:hanging="652"/>
        <w:spacing w:after="0" w:line="234" w:lineRule="auto"/>
        <w:tabs>
          <w:tab w:leader="none" w:pos="64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Segment revenues and purchases and related costs include intersegment amounts. Intersegment sales are conducted at posted tariff rates, rates similar to those charged to third parties or rates that we believe approximate market. For further discussion, see “Analysis of Operating Segments” under Item 7 of our 2013 Annual Report on Form 10-K.</w:t>
      </w:r>
    </w:p>
    <w:p>
      <w:pPr>
        <w:spacing w:after="0" w:line="202" w:lineRule="exact"/>
        <w:rPr>
          <w:rFonts w:ascii="Arial" w:cs="Arial" w:eastAsia="Arial" w:hAnsi="Arial"/>
          <w:sz w:val="23"/>
          <w:szCs w:val="23"/>
          <w:color w:val="auto"/>
          <w:vertAlign w:val="superscript"/>
        </w:rPr>
      </w:pPr>
    </w:p>
    <w:p>
      <w:pPr>
        <w:ind w:left="660" w:right="300" w:hanging="652"/>
        <w:spacing w:after="0" w:line="234" w:lineRule="auto"/>
        <w:tabs>
          <w:tab w:leader="none" w:pos="64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Supply and Logistics segment profit includes interest expense (related to hedged inventory purchases) of approximately $5 million for each of the three months ended June 30, 2014 and 2013 and approximately $7 million and $10 million for the six months ended June 30, 2014 and 2013, respectively.</w:t>
      </w:r>
    </w:p>
    <w:p>
      <w:pPr>
        <w:spacing w:after="0" w:line="168"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The following table reconciles segment profit to net income attributable to PAA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5"/>
          </w:tcPr>
          <w:p>
            <w:pPr>
              <w:jc w:val="right"/>
              <w:ind w:right="405"/>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6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805"/>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87"/>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65"/>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0"/>
        </w:trPr>
        <w:tc>
          <w:tcPr>
            <w:tcW w:w="66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5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5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Arial" w:cs="Arial" w:eastAsia="Arial" w:hAnsi="Arial"/>
                <w:sz w:val="18"/>
                <w:szCs w:val="18"/>
                <w:color w:val="auto"/>
                <w:w w:val="96"/>
              </w:rPr>
              <w:t>Net income attributable to noncontrolling interests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40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13—Related Party Transactions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See Note 14 to our Consolidated Financial Statements included in Part IV of our 2013 Annual Report on Form 10-K for a complete discussion of our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Occidental Petroleum Corporation</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As of June 30, 2014, a subsidiary of Occidental Petroleum Corporation (“Oxy”) owned approximately 25% of our general partner and had a representative on the board of directors of GP LLC. During the three and six months ended June 30, 2014 and 2013, we recognized sales and transportation revenues and purchased petroleum products from companies affiliated with Oxy. These transactions were conducted at posted tariff rates or prices that we believe approximate market. See detail below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9"/>
              </w:rPr>
              <w:t>351</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Purchases and related costs</w:t>
            </w:r>
          </w:p>
        </w:tc>
        <w:tc>
          <w:tcPr>
            <w:tcW w:w="18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209</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468</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currently have a netting arrangement with Oxy. Our gross receivable and payable amounts with affiliates of Oxy were as follows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478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w:t>
            </w:r>
          </w:p>
        </w:tc>
        <w:tc>
          <w:tcPr>
            <w:tcW w:w="37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780" w:type="dxa"/>
            <w:vAlign w:val="bottom"/>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760" w:type="dxa"/>
            <w:vAlign w:val="bottom"/>
          </w:tcPr>
          <w:p>
            <w:pPr>
              <w:jc w:val="right"/>
              <w:ind w:right="2416"/>
              <w:spacing w:after="0"/>
              <w:rPr>
                <w:sz w:val="20"/>
                <w:szCs w:val="20"/>
                <w:color w:val="auto"/>
              </w:rPr>
            </w:pPr>
            <w:r>
              <w:rPr>
                <w:rFonts w:ascii="Arial" w:cs="Arial" w:eastAsia="Arial" w:hAnsi="Arial"/>
                <w:sz w:val="18"/>
                <w:szCs w:val="18"/>
                <w:color w:val="auto"/>
              </w:rPr>
              <w:t>27</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520" w:type="dxa"/>
            <w:vAlign w:val="bottom"/>
            <w:tcBorders>
              <w:bottom w:val="single" w:sz="8" w:color="010101"/>
            </w:tcBorders>
          </w:tcPr>
          <w:p>
            <w:pPr>
              <w:spacing w:after="0"/>
              <w:rPr>
                <w:sz w:val="11"/>
                <w:szCs w:val="11"/>
                <w:color w:val="auto"/>
              </w:rPr>
            </w:pPr>
          </w:p>
        </w:tc>
        <w:tc>
          <w:tcPr>
            <w:tcW w:w="376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2013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and Internal Growth Projects</w:t>
      </w:r>
    </w:p>
    <w:p>
      <w:pPr>
        <w:sectPr>
          <w:pgSz w:w="11900" w:h="16838" w:orient="portrait"/>
          <w:cols w:equalWidth="0" w:num="1">
            <w:col w:w="11460"/>
          </w:cols>
          <w:pgMar w:left="240" w:top="341" w:right="199" w:bottom="0" w:gutter="0" w:footer="0" w:header="0"/>
        </w:sectPr>
      </w:pPr>
    </w:p>
    <w:bookmarkStart w:id="19" w:name="page20"/>
    <w:bookmarkEnd w:id="19"/>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We own and operate midstream energy infrastructure and provide logistics services for crude oil, NGL, natural gas and refined products.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(i) Transportation, (ii) Facilities and (iii) Supply and Logistics.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Significant Activities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During the first six months of 2014, we recognized net income attributable to PAA of approximately $671 million, or $1.18 per diluted limited partner unit, as compared to net income attributable to PAA of approximately $821 million, or $1.84 per diluted limited partner unit, recognized during the first six months of 2013. These decreases were primarily driven by less favorable crude oil market conditions experienced during the 2014 period, most notably during the comparative first quarter period, which provided fewer opportunities for above-baseline crude oil margins in our Supply and Logistics segment. In addition, our Facilities and Supply and Logistics segments were negatively impacted by costs incurred in our natural gas storage activities to manage deliverability requirements in conjunction with the severe cold weather experienced during the first several months of 2014. However, such decreases were partially offset by favorable results from our Transportation segment, largely due to the continued increase in North American crude oil production and our related, recently completed internal growth projects.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Internal Growth Projects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summarizes our capital expenditures for acquisitions, internal growth projects and maintenance capital for the periods indicated (in millions):</w:t>
      </w:r>
    </w:p>
    <w:p>
      <w:pPr>
        <w:spacing w:after="0" w:line="16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Six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020" w:type="dxa"/>
            <w:vAlign w:val="bottom"/>
            <w:tcBorders>
              <w:bottom w:val="single" w:sz="8" w:color="CCEEFF"/>
            </w:tcBorders>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Acquisition capital</w:t>
            </w:r>
          </w:p>
        </w:tc>
        <w:tc>
          <w:tcPr>
            <w:tcW w:w="3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Internal growth projects</w:t>
            </w:r>
          </w:p>
        </w:tc>
        <w:tc>
          <w:tcPr>
            <w:tcW w:w="3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830</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3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r>
      <w:tr>
        <w:trPr>
          <w:trHeight w:val="210"/>
        </w:trPr>
        <w:tc>
          <w:tcPr>
            <w:tcW w:w="5020" w:type="dxa"/>
            <w:vAlign w:val="bottom"/>
          </w:tcPr>
          <w:p>
            <w:pPr>
              <w:ind w:left="180"/>
              <w:spacing w:after="0"/>
              <w:rPr>
                <w:sz w:val="20"/>
                <w:szCs w:val="20"/>
                <w:color w:val="auto"/>
              </w:rPr>
            </w:pPr>
            <w:r>
              <w:rPr>
                <w:rFonts w:ascii="Arial" w:cs="Arial" w:eastAsia="Arial" w:hAnsi="Arial"/>
                <w:sz w:val="18"/>
                <w:szCs w:val="18"/>
                <w:color w:val="auto"/>
              </w:rPr>
              <w:t>Total</w:t>
            </w:r>
          </w:p>
        </w:tc>
        <w:tc>
          <w:tcPr>
            <w:tcW w:w="32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Growth Projects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our more notable projects in progress during 2014 and the forecasted expenditures for the year ending December 31, 2014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60" w:type="dxa"/>
            <w:vAlign w:val="bottom"/>
            <w:gridSpan w:val="2"/>
          </w:tcPr>
          <w:p>
            <w:pPr>
              <w:spacing w:after="0"/>
              <w:rPr>
                <w:sz w:val="20"/>
                <w:szCs w:val="20"/>
                <w:color w:val="auto"/>
              </w:rPr>
            </w:pPr>
            <w:r>
              <w:rPr>
                <w:rFonts w:ascii="Arial" w:cs="Arial" w:eastAsia="Arial" w:hAnsi="Arial"/>
                <w:sz w:val="14"/>
                <w:szCs w:val="14"/>
                <w:b w:val="1"/>
                <w:bCs w:val="1"/>
                <w:color w:val="auto"/>
              </w:rPr>
              <w:t>Projects</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r>
      <w:tr>
        <w:trPr>
          <w:trHeight w:val="210"/>
        </w:trPr>
        <w:tc>
          <w:tcPr>
            <w:tcW w:w="8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Permian Basin Area Projects</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$480</w:t>
            </w: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Cactus Pipeline</w:t>
            </w:r>
          </w:p>
        </w:tc>
        <w:tc>
          <w:tcPr>
            <w:tcW w:w="2460" w:type="dxa"/>
            <w:vAlign w:val="bottom"/>
          </w:tcPr>
          <w:p>
            <w:pPr>
              <w:jc w:val="center"/>
              <w:spacing w:after="0"/>
              <w:rPr>
                <w:sz w:val="20"/>
                <w:szCs w:val="20"/>
                <w:color w:val="auto"/>
              </w:rPr>
            </w:pPr>
            <w:r>
              <w:rPr>
                <w:rFonts w:ascii="Arial" w:cs="Arial" w:eastAsia="Arial" w:hAnsi="Arial"/>
                <w:sz w:val="18"/>
                <w:szCs w:val="18"/>
                <w:color w:val="auto"/>
                <w:w w:val="86"/>
              </w:rPr>
              <w:t>350</w:t>
            </w:r>
          </w:p>
        </w:tc>
      </w:tr>
      <w:tr>
        <w:trPr>
          <w:trHeight w:val="216"/>
        </w:trPr>
        <w:tc>
          <w:tcPr>
            <w:tcW w:w="89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Rail Terminal Projects </w:t>
            </w:r>
            <w:r>
              <w:rPr>
                <w:rFonts w:ascii="Arial" w:cs="Arial" w:eastAsia="Arial" w:hAnsi="Arial"/>
                <w:sz w:val="23"/>
                <w:szCs w:val="23"/>
                <w:color w:val="auto"/>
                <w:vertAlign w:val="superscript"/>
              </w:rPr>
              <w:t>(1)</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220</w:t>
            </w: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Ft. Sask Facility Projects / NGL Line</w:t>
            </w:r>
          </w:p>
        </w:tc>
        <w:tc>
          <w:tcPr>
            <w:tcW w:w="2460" w:type="dxa"/>
            <w:vAlign w:val="bottom"/>
          </w:tcPr>
          <w:p>
            <w:pPr>
              <w:jc w:val="center"/>
              <w:spacing w:after="0"/>
              <w:rPr>
                <w:sz w:val="20"/>
                <w:szCs w:val="20"/>
                <w:color w:val="auto"/>
              </w:rPr>
            </w:pPr>
            <w:r>
              <w:rPr>
                <w:rFonts w:ascii="Arial" w:cs="Arial" w:eastAsia="Arial" w:hAnsi="Arial"/>
                <w:sz w:val="18"/>
                <w:szCs w:val="18"/>
                <w:color w:val="auto"/>
                <w:w w:val="86"/>
              </w:rPr>
              <w:t>135</w:t>
            </w: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Western Oklahoma Extension</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80</w:t>
            </w: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Eagle Ford JV Project</w:t>
            </w: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65</w:t>
            </w: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Mississippian Lime Pipeline</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White Cliffs Expansion</w:t>
            </w: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 63 Reactivation</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Natural Gas Storage Expansions</w:t>
            </w: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Projects</w:t>
            </w:r>
          </w:p>
        </w:tc>
        <w:tc>
          <w:tcPr>
            <w:tcW w:w="2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460</w:t>
            </w:r>
          </w:p>
        </w:tc>
      </w:tr>
      <w:tr>
        <w:trPr>
          <w:trHeight w:val="210"/>
        </w:trPr>
        <w:tc>
          <w:tcPr>
            <w:tcW w:w="8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$1,950</w:t>
            </w:r>
          </w:p>
        </w:tc>
      </w:tr>
      <w:tr>
        <w:trPr>
          <w:trHeight w:val="216"/>
        </w:trPr>
        <w:tc>
          <w:tcPr>
            <w:tcW w:w="89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23"/>
                <w:szCs w:val="23"/>
                <w:color w:val="auto"/>
                <w:vertAlign w:val="superscript"/>
              </w:rPr>
              <w:t>(2)</w:t>
            </w:r>
          </w:p>
        </w:tc>
        <w:tc>
          <w:tcPr>
            <w:tcW w:w="2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 + $100</w:t>
            </w:r>
          </w:p>
        </w:tc>
      </w:tr>
      <w:tr>
        <w:trPr>
          <w:trHeight w:val="210"/>
        </w:trPr>
        <w:tc>
          <w:tcPr>
            <w:tcW w:w="8960" w:type="dxa"/>
            <w:vAlign w:val="bottom"/>
            <w:gridSpan w:val="2"/>
          </w:tcPr>
          <w:p>
            <w:pPr>
              <w:ind w:left="180"/>
              <w:spacing w:after="0"/>
              <w:rPr>
                <w:sz w:val="20"/>
                <w:szCs w:val="20"/>
                <w:color w:val="auto"/>
              </w:rPr>
            </w:pPr>
            <w:r>
              <w:rPr>
                <w:rFonts w:ascii="Arial" w:cs="Arial" w:eastAsia="Arial" w:hAnsi="Arial"/>
                <w:sz w:val="18"/>
                <w:szCs w:val="18"/>
                <w:color w:val="auto"/>
              </w:rPr>
              <w:t>Total Projected Expansion Capital Expenditures</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$1,850 - $2,050</w:t>
            </w:r>
          </w:p>
        </w:tc>
      </w:tr>
      <w:tr>
        <w:trPr>
          <w:trHeight w:val="20"/>
        </w:trPr>
        <w:tc>
          <w:tcPr>
            <w:tcW w:w="8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Includes projects located in or near Bakersfield, CA; Carr, CO; Van Hook, ND; and Kerrobert, Canada.</w:t>
      </w:r>
    </w:p>
    <w:p>
      <w:pPr>
        <w:sectPr>
          <w:pgSz w:w="11900" w:h="16838" w:orient="portrait"/>
          <w:cols w:equalWidth="0" w:num="1">
            <w:col w:w="11420"/>
          </w:cols>
          <w:pgMar w:left="240" w:top="125" w:right="239" w:bottom="171" w:gutter="0" w:footer="0" w:header="0"/>
        </w:sectPr>
      </w:pPr>
    </w:p>
    <w:bookmarkStart w:id="20" w:name="page21"/>
    <w:bookmarkEnd w:id="20"/>
    <w:p>
      <w:pPr>
        <w:spacing w:after="0" w:line="62" w:lineRule="exact"/>
        <w:rPr>
          <w:sz w:val="20"/>
          <w:szCs w:val="20"/>
          <w:color w:val="auto"/>
        </w:rPr>
      </w:pPr>
    </w:p>
    <w:p>
      <w:pPr>
        <w:ind w:left="660" w:right="620" w:hanging="652"/>
        <w:spacing w:after="0" w:line="227" w:lineRule="auto"/>
        <w:tabs>
          <w:tab w:leader="none" w:pos="64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Potential variation to current capital costs estimates may result from changes to project design, final cost of materials and labor and timing of incurrence of costs due to uncontrollable factors such as permits, regulatory approvals and weather.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(i) Transportation, (ii) Facilities and (iii) Supply and Logistics. Our Chief Operating Decision Maker (our Chief Executive Officer) evaluates such segment performance based on a variety of measures including segment profit, segment volumes, segment profit per barrel and maintenance capital investment. See Note 18 to our Consolidated Financial Statements included in Part IV of our 2013 Annual Report on Form 10-K for further discussion of how we evaluate segment profit.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sets forth an overview of our consolidated financial results calculated in accordance with GAAP (in millions, except per unit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w w:val="99"/>
              </w:rPr>
              <w:t>Three Months Ended</w:t>
            </w:r>
          </w:p>
        </w:tc>
        <w:tc>
          <w:tcPr>
            <w:tcW w:w="220" w:type="dxa"/>
            <w:vAlign w:val="bottom"/>
          </w:tcPr>
          <w:p>
            <w:pPr>
              <w:spacing w:after="0"/>
              <w:rPr>
                <w:sz w:val="14"/>
                <w:szCs w:val="14"/>
                <w:color w:val="auto"/>
              </w:rPr>
            </w:pPr>
          </w:p>
        </w:tc>
        <w:tc>
          <w:tcPr>
            <w:tcW w:w="960" w:type="dxa"/>
            <w:vAlign w:val="bottom"/>
            <w:gridSpan w:val="3"/>
          </w:tcPr>
          <w:p>
            <w:pPr>
              <w:jc w:val="center"/>
              <w:ind w:left="114"/>
              <w:spacing w:after="0"/>
              <w:rPr>
                <w:sz w:val="20"/>
                <w:szCs w:val="20"/>
                <w:color w:val="auto"/>
              </w:rPr>
            </w:pPr>
            <w:r>
              <w:rPr>
                <w:rFonts w:ascii="Arial" w:cs="Arial" w:eastAsia="Arial" w:hAnsi="Arial"/>
                <w:sz w:val="14"/>
                <w:szCs w:val="14"/>
                <w:b w:val="1"/>
                <w:bCs w:val="1"/>
                <w:color w:val="auto"/>
                <w:w w:val="97"/>
              </w:rPr>
              <w:t>Favorable/</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vMerge w:val="restart"/>
          </w:tcPr>
          <w:p>
            <w:pPr>
              <w:jc w:val="right"/>
              <w:ind w:right="380"/>
              <w:spacing w:after="0"/>
              <w:rPr>
                <w:sz w:val="20"/>
                <w:szCs w:val="20"/>
                <w:color w:val="auto"/>
              </w:rPr>
            </w:pPr>
            <w:r>
              <w:rPr>
                <w:rFonts w:ascii="Arial" w:cs="Arial" w:eastAsia="Arial" w:hAnsi="Arial"/>
                <w:sz w:val="14"/>
                <w:szCs w:val="14"/>
                <w:b w:val="1"/>
                <w:bCs w:val="1"/>
                <w:color w:val="auto"/>
                <w:w w:val="98"/>
              </w:rPr>
              <w:t>Six Months Ended</w:t>
            </w:r>
          </w:p>
        </w:tc>
        <w:tc>
          <w:tcPr>
            <w:tcW w:w="240" w:type="dxa"/>
            <w:vAlign w:val="bottom"/>
          </w:tcPr>
          <w:p>
            <w:pPr>
              <w:spacing w:after="0"/>
              <w:rPr>
                <w:sz w:val="14"/>
                <w:szCs w:val="14"/>
                <w:color w:val="auto"/>
              </w:rPr>
            </w:pPr>
          </w:p>
        </w:tc>
        <w:tc>
          <w:tcPr>
            <w:tcW w:w="1000" w:type="dxa"/>
            <w:vAlign w:val="bottom"/>
            <w:gridSpan w:val="3"/>
          </w:tcPr>
          <w:p>
            <w:pPr>
              <w:jc w:val="center"/>
              <w:ind w:left="194"/>
              <w:spacing w:after="0"/>
              <w:rPr>
                <w:sz w:val="20"/>
                <w:szCs w:val="20"/>
                <w:color w:val="auto"/>
              </w:rPr>
            </w:pPr>
            <w:r>
              <w:rPr>
                <w:rFonts w:ascii="Arial" w:cs="Arial" w:eastAsia="Arial" w:hAnsi="Arial"/>
                <w:sz w:val="14"/>
                <w:szCs w:val="14"/>
                <w:b w:val="1"/>
                <w:bCs w:val="1"/>
                <w:color w:val="auto"/>
                <w:w w:val="97"/>
              </w:rPr>
              <w:t>Favorable/</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gridSpan w:val="6"/>
          </w:tcPr>
          <w:p>
            <w:pPr>
              <w:jc w:val="center"/>
              <w:ind w:right="860"/>
              <w:spacing w:after="0" w:line="149" w:lineRule="exact"/>
              <w:rPr>
                <w:sz w:val="20"/>
                <w:szCs w:val="20"/>
                <w:color w:val="auto"/>
              </w:rPr>
            </w:pPr>
            <w:r>
              <w:rPr>
                <w:rFonts w:ascii="Arial" w:cs="Arial" w:eastAsia="Arial" w:hAnsi="Arial"/>
                <w:sz w:val="14"/>
                <w:szCs w:val="14"/>
                <w:b w:val="1"/>
                <w:bCs w:val="1"/>
                <w:color w:val="auto"/>
                <w:w w:val="97"/>
              </w:rPr>
              <w:t>(Unfavorable)</w:t>
            </w:r>
          </w:p>
        </w:tc>
        <w:tc>
          <w:tcPr>
            <w:tcW w:w="140" w:type="dxa"/>
            <w:vAlign w:val="bottom"/>
          </w:tcPr>
          <w:p>
            <w:pPr>
              <w:spacing w:after="0"/>
              <w:rPr>
                <w:sz w:val="12"/>
                <w:szCs w:val="12"/>
                <w:color w:val="auto"/>
              </w:rPr>
            </w:pPr>
          </w:p>
        </w:tc>
        <w:tc>
          <w:tcPr>
            <w:tcW w:w="160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5"/>
          </w:tcPr>
          <w:p>
            <w:pPr>
              <w:jc w:val="center"/>
              <w:ind w:right="410"/>
              <w:spacing w:after="0" w:line="149" w:lineRule="exact"/>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left="114"/>
              <w:spacing w:after="0"/>
              <w:rPr>
                <w:sz w:val="20"/>
                <w:szCs w:val="20"/>
                <w:color w:val="auto"/>
              </w:rPr>
            </w:pPr>
            <w:r>
              <w:rPr>
                <w:rFonts w:ascii="Arial" w:cs="Arial" w:eastAsia="Arial" w:hAnsi="Arial"/>
                <w:sz w:val="14"/>
                <w:szCs w:val="14"/>
                <w:b w:val="1"/>
                <w:bCs w:val="1"/>
                <w:color w:val="auto"/>
                <w:w w:val="95"/>
              </w:rPr>
              <w:t>Variance</w:t>
            </w:r>
          </w:p>
        </w:tc>
        <w:tc>
          <w:tcPr>
            <w:tcW w:w="4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left="194"/>
              <w:spacing w:after="0"/>
              <w:rPr>
                <w:sz w:val="20"/>
                <w:szCs w:val="20"/>
                <w:color w:val="auto"/>
              </w:rPr>
            </w:pPr>
            <w:r>
              <w:rPr>
                <w:rFonts w:ascii="Arial" w:cs="Arial" w:eastAsia="Arial" w:hAnsi="Arial"/>
                <w:sz w:val="14"/>
                <w:szCs w:val="14"/>
                <w:b w:val="1"/>
                <w:bCs w:val="1"/>
                <w:color w:val="auto"/>
                <w:w w:val="95"/>
              </w:rPr>
              <w:t>Variance</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w w:val="83"/>
              </w:rPr>
              <w:t>2013</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profit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Facilities segment profit</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288</w:t>
            </w:r>
          </w:p>
        </w:tc>
        <w:tc>
          <w:tcPr>
            <w:tcW w:w="2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Supply and Logistics segment profit</w:t>
            </w: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w:t>
            </w: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vMerge w:val="restart"/>
          </w:tcPr>
          <w:p>
            <w:pPr>
              <w:ind w:left="160"/>
              <w:spacing w:after="0"/>
              <w:rPr>
                <w:sz w:val="20"/>
                <w:szCs w:val="20"/>
                <w:color w:val="auto"/>
              </w:rPr>
            </w:pPr>
            <w:r>
              <w:rPr>
                <w:rFonts w:ascii="Arial" w:cs="Arial" w:eastAsia="Arial" w:hAnsi="Arial"/>
                <w:sz w:val="18"/>
                <w:szCs w:val="18"/>
                <w:color w:val="auto"/>
              </w:rPr>
              <w:t>Total segment profit</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488</w:t>
            </w:r>
          </w:p>
        </w:tc>
        <w:tc>
          <w:tcPr>
            <w:tcW w:w="1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485</w:t>
            </w:r>
          </w:p>
        </w:tc>
        <w:tc>
          <w:tcPr>
            <w:tcW w:w="1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1,097</w:t>
            </w:r>
          </w:p>
        </w:tc>
        <w:tc>
          <w:tcPr>
            <w:tcW w:w="1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1,233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(136)</w:t>
            </w:r>
          </w:p>
        </w:tc>
        <w:tc>
          <w:tcPr>
            <w:tcW w:w="1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60" w:type="dxa"/>
            <w:vAlign w:val="bottom"/>
            <w:tcBorders>
              <w:right w:val="single" w:sz="8" w:color="CCEEFF"/>
            </w:tcBorders>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ind w:left="16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1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0"/>
                <w:szCs w:val="20"/>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60" w:type="dxa"/>
            <w:vAlign w:val="bottom"/>
            <w:tcBorders>
              <w:right w:val="single" w:sz="8" w:color="CCEEFF"/>
            </w:tcBorders>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right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Basic net income per limited partner unit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0.45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0.58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(0.13)</w:t>
            </w:r>
          </w:p>
        </w:tc>
        <w:tc>
          <w:tcPr>
            <w:tcW w:w="2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(0.66)</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Diluted net income per limited partner</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(0.66)</w:t>
            </w:r>
          </w:p>
        </w:tc>
        <w:tc>
          <w:tcPr>
            <w:tcW w:w="2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w w:val="97"/>
              </w:rPr>
              <w:t>Basic weighted average units outstanding</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363</w:t>
            </w:r>
          </w:p>
        </w:tc>
        <w:tc>
          <w:tcPr>
            <w:tcW w:w="2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338</w:t>
            </w: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Diluted weighted average units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w:t>
            </w:r>
          </w:p>
        </w:tc>
        <w:tc>
          <w:tcPr>
            <w:tcW w:w="16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367</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342</w:t>
            </w: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w:t>
            </w:r>
          </w:p>
        </w:tc>
        <w:tc>
          <w:tcPr>
            <w:tcW w:w="260" w:type="dxa"/>
            <w:vAlign w:val="bottom"/>
            <w:shd w:val="clear" w:color="auto" w:fill="CCEEFF"/>
          </w:tcPr>
          <w:p>
            <w:pPr>
              <w:spacing w:after="0"/>
              <w:rPr>
                <w:sz w:val="20"/>
                <w:szCs w:val="20"/>
                <w:color w:val="auto"/>
              </w:rPr>
            </w:pPr>
          </w:p>
        </w:tc>
        <w:tc>
          <w:tcPr>
            <w:tcW w:w="6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w:t>
            </w: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that are known as “non-GAAP financial measures” in its evaluation of past performance and prospects for the future. The primary additional measures used by management are adjusted earnings before interest, taxes, depreciation and amortization (“adjusted EBITDA”) and implied distributable cash flow (“DCF”).</w:t>
      </w:r>
    </w:p>
    <w:p>
      <w:pPr>
        <w:spacing w:after="0" w:line="16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adjustment of derivative instruments that are related to underlying activities in another period (or the reversal of such adjustments from a prior period), (iii) items that are not indicative of our core operating results and business outlook and/or (iv) other items that we believe should be excluded in understanding our core operating performance. We have defined all such items hereinafter as “Selected Items Impacting Comparability.” These additional financial measures are reconciled to the most directly comparable measures as reported in accordance with GAAP, and should be viewed in addition to, and not in lieu of, our condensed consolidated financial statements and footnotes.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non-GAAP financial measures that are reconciled to the most directly comparable GAAP measures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3"/>
          </w:tcPr>
          <w:p>
            <w:pPr>
              <w:jc w:val="center"/>
              <w:ind w:left="100"/>
              <w:spacing w:after="0"/>
              <w:rPr>
                <w:sz w:val="20"/>
                <w:szCs w:val="20"/>
                <w:color w:val="auto"/>
              </w:rPr>
            </w:pPr>
            <w:r>
              <w:rPr>
                <w:rFonts w:ascii="Arial" w:cs="Arial" w:eastAsia="Arial" w:hAnsi="Arial"/>
                <w:sz w:val="14"/>
                <w:szCs w:val="14"/>
                <w:b w:val="1"/>
                <w:bCs w:val="1"/>
                <w:color w:val="auto"/>
                <w:w w:val="97"/>
              </w:rPr>
              <w:t>Favorable/</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5"/>
            <w:vMerge w:val="restart"/>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jc w:val="center"/>
              <w:ind w:left="200"/>
              <w:spacing w:after="0"/>
              <w:rPr>
                <w:sz w:val="20"/>
                <w:szCs w:val="20"/>
                <w:color w:val="auto"/>
              </w:rPr>
            </w:pPr>
            <w:r>
              <w:rPr>
                <w:rFonts w:ascii="Arial" w:cs="Arial" w:eastAsia="Arial" w:hAnsi="Arial"/>
                <w:sz w:val="14"/>
                <w:szCs w:val="14"/>
                <w:b w:val="1"/>
                <w:bCs w:val="1"/>
                <w:color w:val="auto"/>
                <w:w w:val="97"/>
              </w:rPr>
              <w:t>Favorable/</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5"/>
          </w:tcPr>
          <w:p>
            <w:pPr>
              <w:jc w:val="center"/>
              <w:ind w:right="640"/>
              <w:spacing w:after="0" w:line="149" w:lineRule="exact"/>
              <w:rPr>
                <w:sz w:val="20"/>
                <w:szCs w:val="20"/>
                <w:color w:val="auto"/>
              </w:rPr>
            </w:pPr>
            <w:r>
              <w:rPr>
                <w:rFonts w:ascii="Arial" w:cs="Arial" w:eastAsia="Arial" w:hAnsi="Arial"/>
                <w:sz w:val="14"/>
                <w:szCs w:val="14"/>
                <w:b w:val="1"/>
                <w:bCs w:val="1"/>
                <w:color w:val="auto"/>
                <w:w w:val="97"/>
              </w:rPr>
              <w:t>(Unfavorable)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5"/>
          </w:tcPr>
          <w:p>
            <w:pPr>
              <w:jc w:val="center"/>
              <w:ind w:right="410"/>
              <w:spacing w:after="0" w:line="149" w:lineRule="exact"/>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left="339"/>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left="100"/>
              <w:spacing w:after="0"/>
              <w:rPr>
                <w:sz w:val="20"/>
                <w:szCs w:val="20"/>
                <w:color w:val="auto"/>
              </w:rPr>
            </w:pPr>
            <w:r>
              <w:rPr>
                <w:rFonts w:ascii="Arial" w:cs="Arial" w:eastAsia="Arial" w:hAnsi="Arial"/>
                <w:sz w:val="14"/>
                <w:szCs w:val="14"/>
                <w:b w:val="1"/>
                <w:bCs w:val="1"/>
                <w:color w:val="auto"/>
                <w:w w:val="95"/>
              </w:rPr>
              <w:t>Variance</w:t>
            </w:r>
          </w:p>
        </w:tc>
        <w:tc>
          <w:tcPr>
            <w:tcW w:w="4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left="200"/>
              <w:spacing w:after="0"/>
              <w:rPr>
                <w:sz w:val="20"/>
                <w:szCs w:val="20"/>
                <w:color w:val="auto"/>
              </w:rPr>
            </w:pPr>
            <w:r>
              <w:rPr>
                <w:rFonts w:ascii="Arial" w:cs="Arial" w:eastAsia="Arial" w:hAnsi="Arial"/>
                <w:sz w:val="14"/>
                <w:szCs w:val="14"/>
                <w:b w:val="1"/>
                <w:bCs w:val="1"/>
                <w:color w:val="auto"/>
                <w:w w:val="95"/>
              </w:rPr>
              <w:t>Variance</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89"/>
              </w:rPr>
              <w:t>2013</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Add:</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3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1" w:name="page22"/>
    <w:bookmarkEnd w:id="2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0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8"/>
                <w:szCs w:val="18"/>
                <w:color w:val="auto"/>
              </w:rPr>
              <w:t>EBITDA</w:t>
            </w:r>
          </w:p>
        </w:tc>
        <w:tc>
          <w:tcPr>
            <w:tcW w:w="1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50"/>
        </w:trPr>
        <w:tc>
          <w:tcPr>
            <w:tcW w:w="3300" w:type="dxa"/>
            <w:vAlign w:val="bottom"/>
            <w:gridSpan w:val="2"/>
            <w:vMerge w:val="continue"/>
          </w:tcPr>
          <w:p>
            <w:pPr>
              <w:spacing w:after="0"/>
              <w:rPr>
                <w:sz w:val="21"/>
                <w:szCs w:val="21"/>
                <w:color w:val="auto"/>
              </w:rPr>
            </w:pPr>
          </w:p>
        </w:tc>
        <w:tc>
          <w:tcPr>
            <w:tcW w:w="160" w:type="dxa"/>
            <w:vAlign w:val="bottom"/>
            <w:vMerge w:val="continue"/>
          </w:tcPr>
          <w:p>
            <w:pPr>
              <w:spacing w:after="0"/>
              <w:rPr>
                <w:sz w:val="21"/>
                <w:szCs w:val="21"/>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492</w:t>
            </w:r>
          </w:p>
        </w:tc>
        <w:tc>
          <w:tcPr>
            <w:tcW w:w="180" w:type="dxa"/>
            <w:vAlign w:val="bottom"/>
            <w:vMerge w:val="continue"/>
          </w:tcPr>
          <w:p>
            <w:pPr>
              <w:spacing w:after="0"/>
              <w:rPr>
                <w:sz w:val="21"/>
                <w:szCs w:val="21"/>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vMerge w:val="continue"/>
          </w:tcPr>
          <w:p>
            <w:pPr>
              <w:spacing w:after="0"/>
              <w:rPr>
                <w:sz w:val="21"/>
                <w:szCs w:val="21"/>
                <w:color w:val="auto"/>
              </w:rPr>
            </w:pPr>
          </w:p>
        </w:tc>
        <w:tc>
          <w:tcPr>
            <w:tcW w:w="10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vMerge w:val="continue"/>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1,099</w:t>
            </w:r>
          </w:p>
        </w:tc>
        <w:tc>
          <w:tcPr>
            <w:tcW w:w="160" w:type="dxa"/>
            <w:vAlign w:val="bottom"/>
            <w:vMerge w:val="continue"/>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vMerge w:val="continue"/>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(133)</w:t>
            </w:r>
          </w:p>
        </w:tc>
        <w:tc>
          <w:tcPr>
            <w:tcW w:w="160" w:type="dxa"/>
            <w:vAlign w:val="bottom"/>
            <w:vMerge w:val="continue"/>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80" w:type="dxa"/>
            <w:vAlign w:val="bottom"/>
          </w:tcPr>
          <w:p>
            <w:pPr>
              <w:spacing w:after="0" w:line="198" w:lineRule="exact"/>
              <w:rPr>
                <w:sz w:val="20"/>
                <w:szCs w:val="20"/>
                <w:color w:val="auto"/>
              </w:rPr>
            </w:pPr>
            <w:r>
              <w:rPr>
                <w:rFonts w:ascii="Arial" w:cs="Arial" w:eastAsia="Arial" w:hAnsi="Arial"/>
                <w:sz w:val="18"/>
                <w:szCs w:val="18"/>
                <w:b w:val="1"/>
                <w:bCs w:val="1"/>
                <w:color w:val="auto"/>
                <w:w w:val="95"/>
              </w:rPr>
              <w:t>Selected Items Impacting Comparability</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tcPr>
          <w:p>
            <w:pPr>
              <w:ind w:left="160"/>
              <w:spacing w:after="0"/>
              <w:rPr>
                <w:sz w:val="20"/>
                <w:szCs w:val="20"/>
                <w:color w:val="auto"/>
              </w:rPr>
            </w:pPr>
            <w:r>
              <w:rPr>
                <w:rFonts w:ascii="Arial" w:cs="Arial" w:eastAsia="Arial" w:hAnsi="Arial"/>
                <w:sz w:val="18"/>
                <w:szCs w:val="18"/>
                <w:b w:val="1"/>
                <w:bCs w:val="1"/>
                <w:color w:val="auto"/>
              </w:rPr>
              <w:t>of EBITDA</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Gains/(losses) from derivative activities</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6"/>
              </w:rPr>
              <w:t>net of inventory valuation adjustments</w:t>
            </w:r>
          </w:p>
        </w:tc>
        <w:tc>
          <w:tcPr>
            <w:tcW w:w="440" w:type="dxa"/>
            <w:vAlign w:val="bottom"/>
            <w:gridSpan w:val="2"/>
            <w:vMerge w:val="restart"/>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280" w:type="dxa"/>
            <w:vAlign w:val="bottom"/>
            <w:vMerge w:val="restart"/>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00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400" w:type="dxa"/>
            <w:vAlign w:val="bottom"/>
            <w:gridSpan w:val="2"/>
            <w:vMerge w:val="restart"/>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(1)</w:t>
            </w:r>
          </w:p>
        </w:tc>
        <w:tc>
          <w:tcPr>
            <w:tcW w:w="44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0" w:type="dxa"/>
            <w:vAlign w:val="bottom"/>
            <w:tcBorders>
              <w:right w:val="single" w:sz="8" w:color="auto"/>
            </w:tcBorders>
            <w:gridSpan w:val="2"/>
            <w:vMerge w:val="continue"/>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line="216" w:lineRule="exact"/>
              <w:rPr>
                <w:sz w:val="20"/>
                <w:szCs w:val="20"/>
                <w:color w:val="auto"/>
              </w:rPr>
            </w:pPr>
            <w:r>
              <w:rPr>
                <w:rFonts w:ascii="Arial" w:cs="Arial" w:eastAsia="Arial" w:hAnsi="Arial"/>
                <w:sz w:val="18"/>
                <w:szCs w:val="18"/>
                <w:color w:val="auto"/>
                <w:w w:val="93"/>
              </w:rPr>
              <w:t xml:space="preserve">Equity-indexed compensation expense </w:t>
            </w:r>
            <w:r>
              <w:rPr>
                <w:rFonts w:ascii="Arial" w:cs="Arial" w:eastAsia="Arial" w:hAnsi="Arial"/>
                <w:sz w:val="23"/>
                <w:szCs w:val="23"/>
                <w:color w:val="auto"/>
                <w:w w:val="93"/>
                <w:vertAlign w:val="superscript"/>
              </w:rPr>
              <w:t>(2)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gain/(loss) on foreign currency</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0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vMerge w:val="restart"/>
          </w:tcPr>
          <w:p>
            <w:pPr>
              <w:spacing w:after="0" w:line="201" w:lineRule="exact"/>
              <w:rPr>
                <w:sz w:val="20"/>
                <w:szCs w:val="20"/>
                <w:color w:val="auto"/>
              </w:rPr>
            </w:pPr>
            <w:r>
              <w:rPr>
                <w:rFonts w:ascii="Arial" w:cs="Arial" w:eastAsia="Arial" w:hAnsi="Arial"/>
                <w:sz w:val="18"/>
                <w:szCs w:val="18"/>
                <w:color w:val="auto"/>
                <w:w w:val="96"/>
              </w:rPr>
              <w:t>Selected Items Impacting Comparability of</w:t>
            </w: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280" w:type="dxa"/>
            <w:vAlign w:val="bottom"/>
            <w:vMerge w:val="continue"/>
          </w:tcPr>
          <w:p>
            <w:pPr>
              <w:spacing w:after="0"/>
              <w:rPr>
                <w:sz w:val="15"/>
                <w:szCs w:val="15"/>
                <w:color w:val="auto"/>
              </w:rPr>
            </w:pPr>
          </w:p>
        </w:tc>
        <w:tc>
          <w:tcPr>
            <w:tcW w:w="440" w:type="dxa"/>
            <w:vAlign w:val="bottom"/>
            <w:gridSpan w:val="2"/>
            <w:vMerge w:val="restart"/>
          </w:tcPr>
          <w:p>
            <w:pPr>
              <w:jc w:val="right"/>
              <w:ind w:right="125"/>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(20)</w:t>
            </w:r>
          </w:p>
        </w:tc>
        <w:tc>
          <w:tcPr>
            <w:tcW w:w="280" w:type="dxa"/>
            <w:vAlign w:val="bottom"/>
            <w:vMerge w:val="restart"/>
          </w:tcPr>
          <w:p>
            <w:pPr>
              <w:jc w:val="right"/>
              <w:ind w:right="125"/>
              <w:spacing w:after="0"/>
              <w:rPr>
                <w:sz w:val="20"/>
                <w:szCs w:val="20"/>
                <w:color w:val="auto"/>
              </w:rPr>
            </w:pPr>
            <w:r>
              <w:rPr>
                <w:rFonts w:ascii="Arial" w:cs="Arial" w:eastAsia="Arial" w:hAnsi="Arial"/>
                <w:sz w:val="15"/>
                <w:szCs w:val="15"/>
                <w:color w:val="auto"/>
                <w:w w:val="71"/>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6</w:t>
            </w:r>
          </w:p>
        </w:tc>
        <w:tc>
          <w:tcPr>
            <w:tcW w:w="40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(26)</w:t>
            </w:r>
          </w:p>
        </w:tc>
        <w:tc>
          <w:tcPr>
            <w:tcW w:w="100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8"/>
                <w:szCs w:val="18"/>
                <w:color w:val="auto"/>
              </w:rPr>
              <w:t>(433)%</w:t>
            </w:r>
          </w:p>
        </w:tc>
        <w:tc>
          <w:tcPr>
            <w:tcW w:w="400" w:type="dxa"/>
            <w:vAlign w:val="bottom"/>
            <w:gridSpan w:val="2"/>
            <w:vMerge w:val="restart"/>
          </w:tcPr>
          <w:p>
            <w:pPr>
              <w:jc w:val="right"/>
              <w:ind w:right="25"/>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w:t>
            </w:r>
          </w:p>
        </w:tc>
        <w:tc>
          <w:tcPr>
            <w:tcW w:w="10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EBITDA</w:t>
            </w:r>
          </w:p>
        </w:tc>
        <w:tc>
          <w:tcPr>
            <w:tcW w:w="440" w:type="dxa"/>
            <w:vAlign w:val="bottom"/>
            <w:gridSpan w:val="2"/>
            <w:vMerge w:val="continue"/>
          </w:tcPr>
          <w:p>
            <w:pPr>
              <w:spacing w:after="0"/>
              <w:rPr>
                <w:sz w:val="22"/>
                <w:szCs w:val="22"/>
                <w:color w:val="auto"/>
              </w:rPr>
            </w:pPr>
          </w:p>
        </w:tc>
        <w:tc>
          <w:tcPr>
            <w:tcW w:w="700" w:type="dxa"/>
            <w:vAlign w:val="bottom"/>
            <w:gridSpan w:val="2"/>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640" w:type="dxa"/>
            <w:vAlign w:val="bottom"/>
            <w:gridSpan w:val="2"/>
            <w:vMerge w:val="continue"/>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640" w:type="dxa"/>
            <w:vAlign w:val="bottom"/>
            <w:gridSpan w:val="2"/>
            <w:vMerge w:val="continue"/>
          </w:tcPr>
          <w:p>
            <w:pPr>
              <w:spacing w:after="0"/>
              <w:rPr>
                <w:sz w:val="22"/>
                <w:szCs w:val="22"/>
                <w:color w:val="auto"/>
              </w:rPr>
            </w:pPr>
          </w:p>
        </w:tc>
        <w:tc>
          <w:tcPr>
            <w:tcW w:w="1000" w:type="dxa"/>
            <w:vAlign w:val="bottom"/>
            <w:tcBorders>
              <w:right w:val="single" w:sz="8" w:color="auto"/>
            </w:tcBorders>
            <w:gridSpan w:val="2"/>
            <w:vMerge w:val="continue"/>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5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54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680" w:type="dxa"/>
            <w:vAlign w:val="bottom"/>
            <w:gridSpan w:val="2"/>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EBITDA</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492</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484</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2%</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1,099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Selected Items Impacting Comparability</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 EBITDA</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0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8"/>
                <w:szCs w:val="18"/>
                <w:color w:val="auto"/>
              </w:rPr>
              <w:t>Adjusted EBITDA</w:t>
            </w:r>
          </w:p>
        </w:tc>
        <w:tc>
          <w:tcPr>
            <w:tcW w:w="1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50"/>
        </w:trPr>
        <w:tc>
          <w:tcPr>
            <w:tcW w:w="3300" w:type="dxa"/>
            <w:vAlign w:val="bottom"/>
            <w:gridSpan w:val="2"/>
            <w:vMerge w:val="continue"/>
          </w:tcPr>
          <w:p>
            <w:pPr>
              <w:spacing w:after="0"/>
              <w:rPr>
                <w:sz w:val="21"/>
                <w:szCs w:val="21"/>
                <w:color w:val="auto"/>
              </w:rPr>
            </w:pPr>
          </w:p>
        </w:tc>
        <w:tc>
          <w:tcPr>
            <w:tcW w:w="160" w:type="dxa"/>
            <w:vAlign w:val="bottom"/>
            <w:vMerge w:val="continue"/>
          </w:tcPr>
          <w:p>
            <w:pPr>
              <w:spacing w:after="0"/>
              <w:rPr>
                <w:sz w:val="21"/>
                <w:szCs w:val="21"/>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512</w:t>
            </w:r>
          </w:p>
        </w:tc>
        <w:tc>
          <w:tcPr>
            <w:tcW w:w="180" w:type="dxa"/>
            <w:vAlign w:val="bottom"/>
            <w:vMerge w:val="continue"/>
          </w:tcPr>
          <w:p>
            <w:pPr>
              <w:spacing w:after="0"/>
              <w:rPr>
                <w:sz w:val="21"/>
                <w:szCs w:val="21"/>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vMerge w:val="continue"/>
          </w:tcPr>
          <w:p>
            <w:pPr>
              <w:spacing w:after="0"/>
              <w:rPr>
                <w:sz w:val="21"/>
                <w:szCs w:val="21"/>
                <w:color w:val="auto"/>
              </w:rPr>
            </w:pPr>
          </w:p>
        </w:tc>
        <w:tc>
          <w:tcPr>
            <w:tcW w:w="10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7%</w:t>
            </w:r>
          </w:p>
        </w:tc>
        <w:tc>
          <w:tcPr>
            <w:tcW w:w="220" w:type="dxa"/>
            <w:vAlign w:val="bottom"/>
            <w:vMerge w:val="continue"/>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1,079</w:t>
            </w:r>
          </w:p>
        </w:tc>
        <w:tc>
          <w:tcPr>
            <w:tcW w:w="160" w:type="dxa"/>
            <w:vAlign w:val="bottom"/>
            <w:vMerge w:val="continue"/>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vMerge w:val="continue"/>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vMerge w:val="continue"/>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Adjusted EBITDA</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512</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478</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0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7%</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1,079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0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0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income tax expense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0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ind w:left="160"/>
              <w:spacing w:after="0" w:line="201" w:lineRule="exact"/>
              <w:rPr>
                <w:sz w:val="20"/>
                <w:szCs w:val="20"/>
                <w:color w:val="auto"/>
              </w:rPr>
            </w:pPr>
            <w:r>
              <w:rPr>
                <w:rFonts w:ascii="Arial" w:cs="Arial" w:eastAsia="Arial" w:hAnsi="Arial"/>
                <w:sz w:val="18"/>
                <w:szCs w:val="18"/>
                <w:color w:val="auto"/>
              </w:rPr>
              <w:t>Equity earnings in unconsolidated</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rPr>
              <w:t>entities, net of distributions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0"/>
                <w:szCs w:val="20"/>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80" w:type="dxa"/>
            <w:vAlign w:val="bottom"/>
            <w:shd w:val="clear" w:color="auto" w:fill="CCEEFF"/>
          </w:tcPr>
          <w:p>
            <w:pPr>
              <w:ind w:left="160"/>
              <w:spacing w:after="0" w:line="162" w:lineRule="exact"/>
              <w:rPr>
                <w:sz w:val="20"/>
                <w:szCs w:val="20"/>
                <w:color w:val="auto"/>
              </w:rPr>
            </w:pPr>
            <w:r>
              <w:rPr>
                <w:rFonts w:ascii="Arial" w:cs="Arial" w:eastAsia="Arial" w:hAnsi="Arial"/>
                <w:sz w:val="18"/>
                <w:szCs w:val="18"/>
                <w:color w:val="auto"/>
              </w:rPr>
              <w:t>Distributions to noncontrolling interests</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000" w:type="dxa"/>
            <w:vAlign w:val="bottom"/>
            <w:tcBorders>
              <w:right w:val="single" w:sz="8" w:color="auto"/>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4"/>
                <w:szCs w:val="14"/>
                <w:color w:val="auto"/>
              </w:rPr>
            </w:pPr>
          </w:p>
        </w:tc>
        <w:tc>
          <w:tcPr>
            <w:tcW w:w="6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0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(5)</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0" w:type="dxa"/>
            <w:vAlign w:val="bottom"/>
            <w:tcBorders>
              <w:right w:val="single" w:sz="8" w:color="auto"/>
            </w:tcBorders>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vMerge w:val="restart"/>
          </w:tcPr>
          <w:p>
            <w:pPr>
              <w:spacing w:after="0"/>
              <w:rPr>
                <w:sz w:val="20"/>
                <w:szCs w:val="20"/>
                <w:color w:val="auto"/>
              </w:rPr>
            </w:pPr>
            <w:r>
              <w:rPr>
                <w:rFonts w:ascii="Arial" w:cs="Arial" w:eastAsia="Arial" w:hAnsi="Arial"/>
                <w:sz w:val="18"/>
                <w:szCs w:val="18"/>
                <w:color w:val="auto"/>
              </w:rPr>
              <w:t>Implied DCF</w:t>
            </w:r>
          </w:p>
        </w:tc>
        <w:tc>
          <w:tcPr>
            <w:tcW w:w="1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367</w:t>
            </w:r>
          </w:p>
        </w:tc>
        <w:tc>
          <w:tcPr>
            <w:tcW w:w="180" w:type="dxa"/>
            <w:vAlign w:val="bottom"/>
            <w:vMerge w:val="continue"/>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vMerge w:val="continue"/>
          </w:tcPr>
          <w:p>
            <w:pPr>
              <w:spacing w:after="0"/>
              <w:rPr>
                <w:sz w:val="18"/>
                <w:szCs w:val="18"/>
                <w:color w:val="auto"/>
              </w:rPr>
            </w:pPr>
          </w:p>
        </w:tc>
        <w:tc>
          <w:tcPr>
            <w:tcW w:w="10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7%</w:t>
            </w:r>
          </w:p>
        </w:tc>
        <w:tc>
          <w:tcPr>
            <w:tcW w:w="220" w:type="dxa"/>
            <w:vAlign w:val="bottom"/>
            <w:vMerge w:val="continue"/>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776</w:t>
            </w:r>
          </w:p>
        </w:tc>
        <w:tc>
          <w:tcPr>
            <w:tcW w:w="16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904</w:t>
            </w:r>
          </w:p>
        </w:tc>
        <w:tc>
          <w:tcPr>
            <w:tcW w:w="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vMerge w:val="continue"/>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Distributions paid </w:t>
            </w:r>
            <w:r>
              <w:rPr>
                <w:rFonts w:ascii="Arial" w:cs="Arial" w:eastAsia="Arial" w:hAnsi="Arial"/>
                <w:sz w:val="23"/>
                <w:szCs w:val="23"/>
                <w:color w:val="auto"/>
                <w:vertAlign w:val="superscript"/>
              </w:rPr>
              <w:t>(5)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w:t>
            </w: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Pr>
          <w:p>
            <w:pPr>
              <w:spacing w:after="0" w:line="210" w:lineRule="exact"/>
              <w:rPr>
                <w:sz w:val="20"/>
                <w:szCs w:val="20"/>
                <w:color w:val="auto"/>
              </w:rPr>
            </w:pPr>
            <w:r>
              <w:rPr>
                <w:rFonts w:ascii="Arial" w:cs="Arial" w:eastAsia="Arial" w:hAnsi="Arial"/>
                <w:sz w:val="18"/>
                <w:szCs w:val="18"/>
                <w:color w:val="auto"/>
              </w:rPr>
              <w:t xml:space="preserve">DCF Excess/(Shortage) </w:t>
            </w:r>
            <w:r>
              <w:rPr>
                <w:rFonts w:ascii="Arial" w:cs="Arial" w:eastAsia="Arial" w:hAnsi="Arial"/>
                <w:sz w:val="23"/>
                <w:szCs w:val="23"/>
                <w:color w:val="auto"/>
                <w:vertAlign w:val="superscript"/>
              </w:rPr>
              <w:t>(6)</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00" w:right="80" w:hanging="692"/>
        <w:spacing w:after="0" w:line="259" w:lineRule="auto"/>
        <w:tabs>
          <w:tab w:leader="none" w:pos="728"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We also exclude the impact of corresponding inventory valuation adjustments, as applicable. See Note 10 to our condensed consolidated financial statements for a comprehensive discussion regarding our derivatives and risk management activities.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00" w:right="60" w:hanging="692"/>
        <w:spacing w:after="0" w:line="259" w:lineRule="auto"/>
        <w:tabs>
          <w:tab w:leader="none" w:pos="728"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Our total equity-indexed compensation expense includes expense associated with awards that will or may be settled in units and awards that will or may be settled in cash. The awards that will or may be settled in units are included in our diluted earnings per unit calculation when the applicable performance criteria have been met. We consider the compensation expense associated with these awards as a selected item impacting comparability as the dilutive impact of the outstanding awards is included in our diluted earnings per unit calculation and the majority of the awards are expected to be settled in units. The portion of compensation expense associated with awards that are certain to be settled in cash is not considered a selected item impacting comparability. See Note 15 to our Consolidated Financial Statements included in Part IV of our 2013 Annual Report on Form 10-K for a comprehensive discussion regarding our equity-indexed compensation plans.</w:t>
      </w:r>
    </w:p>
    <w:p>
      <w:pPr>
        <w:spacing w:after="0" w:line="189" w:lineRule="exact"/>
        <w:rPr>
          <w:rFonts w:ascii="Arial" w:cs="Arial" w:eastAsia="Arial" w:hAnsi="Arial"/>
          <w:sz w:val="22"/>
          <w:szCs w:val="22"/>
          <w:color w:val="auto"/>
          <w:vertAlign w:val="superscript"/>
        </w:rPr>
      </w:pPr>
    </w:p>
    <w:p>
      <w:pPr>
        <w:ind w:left="700" w:right="320" w:hanging="674"/>
        <w:spacing w:after="0" w:line="238" w:lineRule="auto"/>
        <w:tabs>
          <w:tab w:leader="none" w:pos="752" w:val="left"/>
        </w:tabs>
        <w:numPr>
          <w:ilvl w:val="1"/>
          <w:numId w:val="21"/>
        </w:numPr>
        <w:rPr>
          <w:rFonts w:ascii="Arial" w:cs="Arial" w:eastAsia="Arial" w:hAnsi="Arial"/>
          <w:sz w:val="23"/>
          <w:szCs w:val="23"/>
          <w:color w:val="auto"/>
          <w:vertAlign w:val="superscript"/>
        </w:rPr>
      </w:pPr>
      <w:r>
        <w:rPr>
          <w:rFonts w:ascii="Arial" w:cs="Arial" w:eastAsia="Arial" w:hAnsi="Arial"/>
          <w:sz w:val="18"/>
          <w:szCs w:val="18"/>
          <w:color w:val="auto"/>
        </w:rPr>
        <w:t>During the three and six months ended June 30, 2014 and 2013, there were fluctuations in the value of the Canadian dollar (“CAD”) to the U.S. dollar (“USD”), resulting in gains and losses that were not related to our core operating results for the period and were thus classified as selected items impacting comparability. See Note 10 to our condensed consolidated financial statements for further discussion regarding our currency exchange rate risk hedging activities.</w:t>
      </w:r>
    </w:p>
    <w:p>
      <w:pPr>
        <w:sectPr>
          <w:pgSz w:w="11900" w:h="16900" w:orient="portrait"/>
          <w:cols w:equalWidth="0" w:num="1">
            <w:col w:w="11420"/>
          </w:cols>
          <w:pgMar w:left="240" w:top="140" w:right="23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40" w:right="60" w:firstLine="34"/>
        <w:spacing w:after="0" w:line="277" w:lineRule="auto"/>
        <w:rPr>
          <w:sz w:val="20"/>
          <w:szCs w:val="20"/>
          <w:color w:val="auto"/>
        </w:rPr>
      </w:pPr>
      <w:r>
        <w:rPr>
          <w:rFonts w:ascii="Arial" w:cs="Arial" w:eastAsia="Arial" w:hAnsi="Arial"/>
          <w:sz w:val="18"/>
          <w:szCs w:val="18"/>
          <w:color w:val="auto"/>
        </w:rPr>
        <w:t>Maintenance capital expenditures are defined as capital expenditures for the replacement of partially or fully depreciated assets in order to maintain the operating and/or earnings capacity of our existing assets.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Includes distributions that pertain to the current period’s net income and are paid in the subsequent period.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Excess DCF is retained to establish reserves for future distributions, capital expenditures and other partnership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 Segment</w:t>
      </w:r>
    </w:p>
    <w:p>
      <w:pPr>
        <w:spacing w:after="0" w:line="200" w:lineRule="exact"/>
        <w:rPr>
          <w:sz w:val="20"/>
          <w:szCs w:val="20"/>
          <w:color w:val="auto"/>
        </w:rPr>
      </w:pPr>
    </w:p>
    <w:p>
      <w:pPr>
        <w:sectPr>
          <w:pgSz w:w="11900" w:h="16900" w:orient="portrait"/>
          <w:cols w:equalWidth="0" w:num="2">
            <w:col w:w="140" w:space="520"/>
            <w:col w:w="10760"/>
          </w:cols>
          <w:pgMar w:left="240" w:top="140" w:right="239" w:bottom="0" w:gutter="0" w:footer="0" w:header="0"/>
          <w:type w:val="continuous"/>
        </w:sectPr>
      </w:pPr>
    </w:p>
    <w:p>
      <w:pPr>
        <w:spacing w:after="0" w:line="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leases of pipeline capacity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operating results from our Transportation segment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3"/>
                <w:szCs w:val="13"/>
                <w:color w:val="auto"/>
              </w:rPr>
            </w:pPr>
          </w:p>
        </w:tc>
        <w:tc>
          <w:tcPr>
            <w:tcW w:w="1520" w:type="dxa"/>
            <w:vAlign w:val="bottom"/>
            <w:gridSpan w:val="4"/>
          </w:tcPr>
          <w:p>
            <w:pPr>
              <w:jc w:val="center"/>
              <w:ind w:right="780"/>
              <w:spacing w:after="0"/>
              <w:rPr>
                <w:sz w:val="20"/>
                <w:szCs w:val="20"/>
                <w:color w:val="auto"/>
              </w:rPr>
            </w:pPr>
            <w:r>
              <w:rPr>
                <w:rFonts w:ascii="Arial" w:cs="Arial" w:eastAsia="Arial" w:hAnsi="Arial"/>
                <w:sz w:val="14"/>
                <w:szCs w:val="14"/>
                <w:b w:val="1"/>
                <w:bCs w:val="1"/>
                <w:color w:val="auto"/>
                <w:w w:val="94"/>
              </w:rPr>
              <w:t>Favorable/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c>
          <w:tcPr>
            <w:tcW w:w="440" w:type="dxa"/>
            <w:vAlign w:val="bottom"/>
          </w:tcPr>
          <w:p>
            <w:pPr>
              <w:spacing w:after="0"/>
              <w:rPr>
                <w:sz w:val="13"/>
                <w:szCs w:val="13"/>
                <w:color w:val="auto"/>
              </w:rPr>
            </w:pPr>
          </w:p>
        </w:tc>
        <w:tc>
          <w:tcPr>
            <w:tcW w:w="162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4"/>
              </w:rPr>
              <w:t>Favorable/</w:t>
            </w: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000" w:type="dxa"/>
            <w:vAlign w:val="bottom"/>
            <w:gridSpan w:val="5"/>
            <w:vMerge w:val="continue"/>
          </w:tcPr>
          <w:p>
            <w:pPr>
              <w:spacing w:after="0"/>
              <w:rPr>
                <w:sz w:val="12"/>
                <w:szCs w:val="12"/>
                <w:color w:val="auto"/>
              </w:rPr>
            </w:pPr>
          </w:p>
        </w:tc>
        <w:tc>
          <w:tcPr>
            <w:tcW w:w="198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5"/>
            <w:vMerge w:val="continue"/>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71"/>
        </w:trPr>
        <w:tc>
          <w:tcPr>
            <w:tcW w:w="33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420" w:type="dxa"/>
            <w:vAlign w:val="bottom"/>
            <w:gridSpan w:val="4"/>
          </w:tcPr>
          <w:p>
            <w:pPr>
              <w:ind w:left="60"/>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1520" w:type="dxa"/>
            <w:vAlign w:val="bottom"/>
            <w:gridSpan w:val="4"/>
          </w:tcPr>
          <w:p>
            <w:pPr>
              <w:jc w:val="center"/>
              <w:ind w:right="780"/>
              <w:spacing w:after="0"/>
              <w:rPr>
                <w:sz w:val="20"/>
                <w:szCs w:val="20"/>
                <w:color w:val="auto"/>
              </w:rPr>
            </w:pPr>
            <w:r>
              <w:rPr>
                <w:rFonts w:ascii="Arial" w:cs="Arial" w:eastAsia="Arial" w:hAnsi="Arial"/>
                <w:sz w:val="14"/>
                <w:szCs w:val="14"/>
                <w:b w:val="1"/>
                <w:bCs w:val="1"/>
                <w:color w:val="auto"/>
                <w:w w:val="92"/>
              </w:rPr>
              <w:t>Variance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Pr>
          <w:p>
            <w:pPr>
              <w:spacing w:after="0"/>
              <w:rPr>
                <w:sz w:val="14"/>
                <w:szCs w:val="14"/>
                <w:color w:val="auto"/>
              </w:rPr>
            </w:pPr>
          </w:p>
        </w:tc>
        <w:tc>
          <w:tcPr>
            <w:tcW w:w="162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165"/>
        </w:trPr>
        <w:tc>
          <w:tcPr>
            <w:tcW w:w="31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200" w:type="dxa"/>
            <w:vAlign w:val="bottom"/>
            <w:tcBorders>
              <w:bottom w:val="single" w:sz="8" w:color="CCEEFF"/>
            </w:tcBorders>
          </w:tcPr>
          <w:p>
            <w:pPr>
              <w:spacing w:after="0"/>
              <w:rPr>
                <w:sz w:val="14"/>
                <w:szCs w:val="14"/>
                <w:color w:val="auto"/>
              </w:rPr>
            </w:pPr>
          </w:p>
        </w:tc>
        <w:tc>
          <w:tcPr>
            <w:tcW w:w="58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w w:val="96"/>
              </w:rPr>
              <w:t>2014</w:t>
            </w:r>
          </w:p>
        </w:tc>
        <w:tc>
          <w:tcPr>
            <w:tcW w:w="2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-26670</wp:posOffset>
            </wp:positionV>
            <wp:extent cx="8890" cy="27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27305"/>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tcPr>
          <w:p>
            <w:pPr>
              <w:ind w:left="160"/>
              <w:spacing w:after="0"/>
              <w:rPr>
                <w:sz w:val="20"/>
                <w:szCs w:val="20"/>
                <w:color w:val="auto"/>
              </w:rPr>
            </w:pPr>
            <w:r>
              <w:rPr>
                <w:rFonts w:ascii="Arial" w:cs="Arial" w:eastAsia="Arial" w:hAnsi="Arial"/>
                <w:sz w:val="18"/>
                <w:szCs w:val="18"/>
                <w:color w:val="auto"/>
              </w:rPr>
              <w:t>Tariff activities</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310</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691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629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Trucking</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gridSpan w:val="4"/>
            <w:vMerge w:val="restart"/>
          </w:tcPr>
          <w:p>
            <w:pPr>
              <w:spacing w:after="0"/>
              <w:rPr>
                <w:sz w:val="20"/>
                <w:szCs w:val="20"/>
                <w:color w:val="auto"/>
              </w:rPr>
            </w:pPr>
            <w:r>
              <w:rPr>
                <w:rFonts w:ascii="Arial" w:cs="Arial" w:eastAsia="Arial" w:hAnsi="Arial"/>
                <w:sz w:val="18"/>
                <w:szCs w:val="18"/>
                <w:color w:val="auto"/>
              </w:rPr>
              <w:t>Total Transportation revenues</w:t>
            </w: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798</w:t>
            </w:r>
          </w:p>
        </w:tc>
        <w:tc>
          <w:tcPr>
            <w:tcW w:w="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732</w:t>
            </w:r>
          </w:p>
        </w:tc>
        <w:tc>
          <w:tcPr>
            <w:tcW w:w="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4"/>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Trucking costs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gridSpan w:val="4"/>
          </w:tcPr>
          <w:p>
            <w:pPr>
              <w:ind w:left="160"/>
              <w:spacing w:after="0" w:line="201" w:lineRule="exact"/>
              <w:rPr>
                <w:sz w:val="20"/>
                <w:szCs w:val="20"/>
                <w:color w:val="auto"/>
              </w:rPr>
            </w:pPr>
            <w:r>
              <w:rPr>
                <w:rFonts w:ascii="Arial" w:cs="Arial" w:eastAsia="Arial" w:hAnsi="Arial"/>
                <w:sz w:val="18"/>
                <w:szCs w:val="18"/>
                <w:color w:val="auto"/>
                <w:w w:val="96"/>
              </w:rPr>
              <w:t>Field operating costs (excluding equity-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4"/>
          </w:tcPr>
          <w:p>
            <w:pPr>
              <w:ind w:left="340"/>
              <w:spacing w:after="0"/>
              <w:rPr>
                <w:sz w:val="20"/>
                <w:szCs w:val="20"/>
                <w:color w:val="auto"/>
              </w:rPr>
            </w:pPr>
            <w:r>
              <w:rPr>
                <w:rFonts w:ascii="Arial" w:cs="Arial" w:eastAsia="Arial" w:hAnsi="Arial"/>
                <w:sz w:val="18"/>
                <w:szCs w:val="18"/>
                <w:color w:val="auto"/>
              </w:rPr>
              <w:t>indexed compensation expense)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20"/>
                <w:szCs w:val="20"/>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0"/>
                <w:szCs w:val="20"/>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Equity-indexed compensation expense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4"/>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operations </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Segment general and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tcPr>
          <w:p>
            <w:pPr>
              <w:ind w:left="340"/>
              <w:spacing w:after="0" w:line="216" w:lineRule="exact"/>
              <w:rPr>
                <w:sz w:val="20"/>
                <w:szCs w:val="20"/>
                <w:color w:val="auto"/>
              </w:rPr>
            </w:pPr>
            <w:r>
              <w:rPr>
                <w:rFonts w:ascii="Arial" w:cs="Arial" w:eastAsia="Arial" w:hAnsi="Arial"/>
                <w:sz w:val="18"/>
                <w:szCs w:val="18"/>
                <w:color w:val="auto"/>
                <w:w w:val="92"/>
              </w:rPr>
              <w:t xml:space="preserve">administrative expenses </w:t>
            </w:r>
            <w:r>
              <w:rPr>
                <w:rFonts w:ascii="Arial" w:cs="Arial" w:eastAsia="Arial" w:hAnsi="Arial"/>
                <w:sz w:val="23"/>
                <w:szCs w:val="23"/>
                <w:color w:val="auto"/>
                <w:w w:val="92"/>
                <w:vertAlign w:val="superscript"/>
              </w:rPr>
              <w:t>(3)</w:t>
            </w:r>
            <w:r>
              <w:rPr>
                <w:rFonts w:ascii="Arial" w:cs="Arial" w:eastAsia="Arial" w:hAnsi="Arial"/>
                <w:sz w:val="18"/>
                <w:szCs w:val="18"/>
                <w:color w:val="auto"/>
                <w:w w:val="92"/>
              </w:rPr>
              <w:t xml:space="preserve"> (excluding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tcPr>
          <w:p>
            <w:pPr>
              <w:ind w:left="340"/>
              <w:spacing w:after="0"/>
              <w:rPr>
                <w:sz w:val="20"/>
                <w:szCs w:val="20"/>
                <w:color w:val="auto"/>
              </w:rPr>
            </w:pPr>
            <w:r>
              <w:rPr>
                <w:rFonts w:ascii="Arial" w:cs="Arial" w:eastAsia="Arial" w:hAnsi="Arial"/>
                <w:sz w:val="18"/>
                <w:szCs w:val="18"/>
                <w:color w:val="auto"/>
              </w:rPr>
              <w:t>equity- indexed compensation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4"/>
          </w:tcPr>
          <w:p>
            <w:pPr>
              <w:ind w:left="340"/>
              <w:spacing w:after="0"/>
              <w:rPr>
                <w:sz w:val="20"/>
                <w:szCs w:val="20"/>
                <w:color w:val="auto"/>
              </w:rPr>
            </w:pPr>
            <w:r>
              <w:rPr>
                <w:rFonts w:ascii="Arial" w:cs="Arial" w:eastAsia="Arial" w:hAnsi="Arial"/>
                <w:sz w:val="18"/>
                <w:szCs w:val="18"/>
                <w:color w:val="auto"/>
              </w:rPr>
              <w:t>expense)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0"/>
                <w:szCs w:val="20"/>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0"/>
                <w:szCs w:val="20"/>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Equity-indexed compensation expense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4"/>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Arial" w:cs="Arial" w:eastAsia="Arial" w:hAnsi="Arial"/>
                <w:sz w:val="18"/>
                <w:szCs w:val="18"/>
                <w:color w:val="auto"/>
                <w:w w:val="95"/>
              </w:rPr>
              <w:t>Equity earnings in unconsolidated entities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4"/>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0" w:type="dxa"/>
            <w:vAlign w:val="bottom"/>
            <w:gridSpan w:val="5"/>
            <w:vMerge w:val="restart"/>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gridSpan w:val="5"/>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1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right w:val="single" w:sz="8" w:color="auto"/>
            </w:tcBorders>
            <w:gridSpan w:val="3"/>
          </w:tcPr>
          <w:p>
            <w:pPr>
              <w:jc w:val="right"/>
              <w:ind w:right="140"/>
              <w:spacing w:after="0" w:line="196" w:lineRule="exact"/>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76</w:t>
            </w:r>
          </w:p>
        </w:tc>
        <w:tc>
          <w:tcPr>
            <w:tcW w:w="220" w:type="dxa"/>
            <w:vAlign w:val="bottom"/>
            <w:vMerge w:val="continue"/>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55</w:t>
            </w:r>
          </w:p>
        </w:tc>
        <w:tc>
          <w:tcPr>
            <w:tcW w:w="2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gridSpan w:val="4"/>
            <w:vMerge w:val="restart"/>
            <w:shd w:val="clear" w:color="auto" w:fill="CCEEFF"/>
          </w:tcPr>
          <w:p>
            <w:pPr>
              <w:spacing w:after="0"/>
              <w:rPr>
                <w:sz w:val="20"/>
                <w:szCs w:val="20"/>
                <w:color w:val="auto"/>
              </w:rPr>
            </w:pPr>
            <w:r>
              <w:rPr>
                <w:rFonts w:ascii="Arial" w:cs="Arial" w:eastAsia="Arial" w:hAnsi="Arial"/>
                <w:sz w:val="18"/>
                <w:szCs w:val="18"/>
                <w:color w:val="auto"/>
              </w:rPr>
              <w:t>Segment profit per barrel</w:t>
            </w: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vMerge w:val="restart"/>
            <w:shd w:val="clear" w:color="auto" w:fill="CCEEFF"/>
          </w:tcPr>
          <w:p>
            <w:pPr>
              <w:spacing w:after="0" w:line="20" w:lineRule="exact"/>
              <w:rPr>
                <w:sz w:val="1"/>
                <w:szCs w:val="1"/>
                <w:color w:val="auto"/>
              </w:rPr>
            </w:pPr>
          </w:p>
        </w:tc>
        <w:tc>
          <w:tcPr>
            <w:tcW w:w="180" w:type="dxa"/>
            <w:vAlign w:val="bottom"/>
            <w:tcBorders>
              <w:top w:val="single" w:sz="8" w:color="CCEEFF"/>
            </w:tcBorders>
            <w:vMerge w:val="restart"/>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shd w:val="clear" w:color="auto" w:fill="CCEEFF"/>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gridSpan w:val="4"/>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0.62</w:t>
            </w:r>
          </w:p>
        </w:tc>
        <w:tc>
          <w:tcPr>
            <w:tcW w:w="4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0.49</w:t>
            </w:r>
          </w:p>
        </w:tc>
        <w:tc>
          <w:tcPr>
            <w:tcW w:w="8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0.13</w:t>
            </w:r>
          </w:p>
        </w:tc>
        <w:tc>
          <w:tcPr>
            <w:tcW w:w="12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3"/>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27%</w:t>
            </w: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0.61</w:t>
            </w:r>
          </w:p>
        </w:tc>
        <w:tc>
          <w:tcPr>
            <w:tcW w:w="220" w:type="dxa"/>
            <w:vAlign w:val="bottom"/>
            <w:tcBorders>
              <w:right w:val="single" w:sz="8" w:color="CCEEFF"/>
            </w:tcBorders>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0.49</w:t>
            </w:r>
          </w:p>
        </w:tc>
        <w:tc>
          <w:tcPr>
            <w:tcW w:w="220" w:type="dxa"/>
            <w:vAlign w:val="bottom"/>
            <w:tcBorders>
              <w:right w:val="single" w:sz="8" w:color="CCEEFF"/>
            </w:tcBorders>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0.12</w:t>
            </w:r>
          </w:p>
        </w:tc>
        <w:tc>
          <w:tcPr>
            <w:tcW w:w="22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ind w:right="9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20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Favorable/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7"/>
            <w:vMerge w:val="restart"/>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24"/>
                <w:szCs w:val="24"/>
                <w:color w:val="auto"/>
              </w:rPr>
            </w:pPr>
          </w:p>
        </w:tc>
        <w:tc>
          <w:tcPr>
            <w:tcW w:w="1220" w:type="dxa"/>
            <w:vAlign w:val="bottom"/>
            <w:gridSpan w:val="3"/>
          </w:tcPr>
          <w:p>
            <w:pPr>
              <w:jc w:val="center"/>
              <w:ind w:left="272"/>
              <w:spacing w:after="0"/>
              <w:rPr>
                <w:sz w:val="20"/>
                <w:szCs w:val="20"/>
                <w:color w:val="auto"/>
              </w:rPr>
            </w:pPr>
            <w:r>
              <w:rPr>
                <w:rFonts w:ascii="Arial" w:cs="Arial" w:eastAsia="Arial" w:hAnsi="Arial"/>
                <w:sz w:val="14"/>
                <w:szCs w:val="14"/>
                <w:b w:val="1"/>
                <w:bCs w:val="1"/>
                <w:color w:val="auto"/>
                <w:w w:val="94"/>
              </w:rPr>
              <w:t>Favorable/</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100" w:type="dxa"/>
            <w:vAlign w:val="bottom"/>
          </w:tcPr>
          <w:p>
            <w:pPr>
              <w:spacing w:after="0"/>
              <w:rPr>
                <w:sz w:val="12"/>
                <w:szCs w:val="12"/>
                <w:color w:val="auto"/>
              </w:rPr>
            </w:pPr>
          </w:p>
        </w:tc>
        <w:tc>
          <w:tcPr>
            <w:tcW w:w="1860" w:type="dxa"/>
            <w:vAlign w:val="bottom"/>
            <w:gridSpan w:val="9"/>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5"/>
              </w:rPr>
              <w:t>(Unfavorable)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left="272"/>
              <w:spacing w:after="0" w:line="149" w:lineRule="exact"/>
              <w:rPr>
                <w:sz w:val="20"/>
                <w:szCs w:val="20"/>
                <w:color w:val="auto"/>
              </w:rPr>
            </w:pPr>
            <w:r>
              <w:rPr>
                <w:rFonts w:ascii="Arial" w:cs="Arial" w:eastAsia="Arial" w:hAnsi="Arial"/>
                <w:sz w:val="14"/>
                <w:szCs w:val="14"/>
                <w:b w:val="1"/>
                <w:bCs w:val="1"/>
                <w:color w:val="auto"/>
                <w:w w:val="95"/>
              </w:rPr>
              <w:t>(Unfavorable)</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Variance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left="272"/>
              <w:spacing w:after="0"/>
              <w:rPr>
                <w:sz w:val="20"/>
                <w:szCs w:val="20"/>
                <w:color w:val="auto"/>
              </w:rPr>
            </w:pPr>
            <w:r>
              <w:rPr>
                <w:rFonts w:ascii="Arial" w:cs="Arial" w:eastAsia="Arial" w:hAnsi="Arial"/>
                <w:sz w:val="14"/>
                <w:szCs w:val="14"/>
                <w:b w:val="1"/>
                <w:bCs w:val="1"/>
                <w:color w:val="auto"/>
                <w:w w:val="92"/>
              </w:rPr>
              <w:t>Variance</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8"/>
                <w:szCs w:val="8"/>
                <w:b w:val="1"/>
                <w:bCs w:val="1"/>
                <w:color w:val="auto"/>
              </w:rPr>
              <w:t>(4)</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6"/>
          </w:tcPr>
          <w:p>
            <w:pPr>
              <w:ind w:left="20"/>
              <w:spacing w:after="0" w:line="142" w:lineRule="exact"/>
              <w:rPr>
                <w:sz w:val="20"/>
                <w:szCs w:val="20"/>
                <w:color w:val="auto"/>
              </w:rPr>
            </w:pPr>
            <w:r>
              <w:rPr>
                <w:rFonts w:ascii="Arial" w:cs="Arial" w:eastAsia="Arial" w:hAnsi="Arial"/>
                <w:sz w:val="14"/>
                <w:szCs w:val="14"/>
                <w:b w:val="1"/>
                <w:bCs w:val="1"/>
                <w:color w:val="auto"/>
              </w:rPr>
              <w:t>Volumes</w:t>
            </w:r>
          </w:p>
        </w:tc>
        <w:tc>
          <w:tcPr>
            <w:tcW w:w="38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Volumes</w:t>
            </w:r>
          </w:p>
        </w:tc>
        <w:tc>
          <w:tcPr>
            <w:tcW w:w="46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w w:val="96"/>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Tariff activities</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tcPr>
          <w:p>
            <w:pPr>
              <w:ind w:left="160"/>
              <w:spacing w:after="0"/>
              <w:rPr>
                <w:sz w:val="20"/>
                <w:szCs w:val="20"/>
                <w:color w:val="auto"/>
              </w:rPr>
            </w:pPr>
            <w:r>
              <w:rPr>
                <w:rFonts w:ascii="Arial" w:cs="Arial" w:eastAsia="Arial" w:hAnsi="Arial"/>
                <w:sz w:val="18"/>
                <w:szCs w:val="18"/>
                <w:color w:val="auto"/>
              </w:rPr>
              <w:t>Crude Oil Pipelines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All American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tcPr>
          <w:p>
            <w:pPr>
              <w:ind w:left="340"/>
              <w:spacing w:after="0"/>
              <w:rPr>
                <w:sz w:val="20"/>
                <w:szCs w:val="20"/>
                <w:color w:val="auto"/>
              </w:rPr>
            </w:pPr>
            <w:r>
              <w:rPr>
                <w:rFonts w:ascii="Arial" w:cs="Arial" w:eastAsia="Arial" w:hAnsi="Arial"/>
                <w:sz w:val="18"/>
                <w:szCs w:val="18"/>
                <w:color w:val="auto"/>
              </w:rPr>
              <w:t>Bakken Area Systems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145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Basin / Mesa</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729</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tcPr>
          <w:p>
            <w:pPr>
              <w:ind w:left="340"/>
              <w:spacing w:after="0"/>
              <w:rPr>
                <w:sz w:val="20"/>
                <w:szCs w:val="20"/>
                <w:color w:val="auto"/>
              </w:rPr>
            </w:pPr>
            <w:r>
              <w:rPr>
                <w:rFonts w:ascii="Arial" w:cs="Arial" w:eastAsia="Arial" w:hAnsi="Arial"/>
                <w:sz w:val="18"/>
                <w:szCs w:val="18"/>
                <w:color w:val="auto"/>
              </w:rPr>
              <w:t>Capline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Eagle Ford Area Systems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182%</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tcPr>
          <w:p>
            <w:pPr>
              <w:ind w:left="340"/>
              <w:spacing w:after="0"/>
              <w:rPr>
                <w:sz w:val="20"/>
                <w:szCs w:val="20"/>
                <w:color w:val="auto"/>
              </w:rPr>
            </w:pPr>
            <w:r>
              <w:rPr>
                <w:rFonts w:ascii="Arial" w:cs="Arial" w:eastAsia="Arial" w:hAnsi="Arial"/>
                <w:sz w:val="18"/>
                <w:szCs w:val="18"/>
                <w:color w:val="auto"/>
              </w:rPr>
              <w:t>Line 63 / Line 2000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Manito</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tcPr>
          <w:p>
            <w:pPr>
              <w:ind w:left="340"/>
              <w:spacing w:after="0"/>
              <w:rPr>
                <w:sz w:val="20"/>
                <w:szCs w:val="20"/>
                <w:color w:val="auto"/>
              </w:rPr>
            </w:pPr>
            <w:r>
              <w:rPr>
                <w:rFonts w:ascii="Arial" w:cs="Arial" w:eastAsia="Arial" w:hAnsi="Arial"/>
                <w:sz w:val="18"/>
                <w:szCs w:val="18"/>
                <w:color w:val="auto"/>
              </w:rPr>
              <w:t>Mid-Continent Area Systems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360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Permian Basin Area Systems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39%</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tcPr>
          <w:p>
            <w:pPr>
              <w:ind w:left="340"/>
              <w:spacing w:after="0"/>
              <w:rPr>
                <w:sz w:val="20"/>
                <w:szCs w:val="20"/>
                <w:color w:val="auto"/>
              </w:rPr>
            </w:pPr>
            <w:r>
              <w:rPr>
                <w:rFonts w:ascii="Arial" w:cs="Arial" w:eastAsia="Arial" w:hAnsi="Arial"/>
                <w:sz w:val="18"/>
                <w:szCs w:val="18"/>
                <w:color w:val="auto"/>
              </w:rPr>
              <w:t>Rainbow</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Rangeland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tcPr>
          <w:p>
            <w:pPr>
              <w:ind w:left="340"/>
              <w:spacing w:after="0"/>
              <w:rPr>
                <w:sz w:val="20"/>
                <w:szCs w:val="20"/>
                <w:color w:val="auto"/>
              </w:rPr>
            </w:pPr>
            <w:r>
              <w:rPr>
                <w:rFonts w:ascii="Arial" w:cs="Arial" w:eastAsia="Arial" w:hAnsi="Arial"/>
                <w:sz w:val="18"/>
                <w:szCs w:val="18"/>
                <w:color w:val="auto"/>
              </w:rPr>
              <w:t>Salt Lake City Area Systems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South Saskatchewan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76%</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tcPr>
          <w:p>
            <w:pPr>
              <w:ind w:left="340"/>
              <w:spacing w:after="0"/>
              <w:rPr>
                <w:sz w:val="20"/>
                <w:szCs w:val="20"/>
                <w:color w:val="auto"/>
              </w:rPr>
            </w:pPr>
            <w:r>
              <w:rPr>
                <w:rFonts w:ascii="Arial" w:cs="Arial" w:eastAsia="Arial" w:hAnsi="Arial"/>
                <w:sz w:val="18"/>
                <w:szCs w:val="18"/>
                <w:color w:val="auto"/>
              </w:rPr>
              <w:t>White Cliffs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tcPr>
          <w:p>
            <w:pPr>
              <w:ind w:left="160"/>
              <w:spacing w:after="0"/>
              <w:rPr>
                <w:sz w:val="20"/>
                <w:szCs w:val="20"/>
                <w:color w:val="auto"/>
              </w:rPr>
            </w:pPr>
            <w:r>
              <w:rPr>
                <w:rFonts w:ascii="Arial" w:cs="Arial" w:eastAsia="Arial" w:hAnsi="Arial"/>
                <w:sz w:val="18"/>
                <w:szCs w:val="18"/>
                <w:color w:val="auto"/>
              </w:rPr>
              <w:t>NGL Pipelines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Co-Ed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Refined Products Pipelines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9"/>
              </w:rPr>
              <w:t>(100)%</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gridSpan w:val="3"/>
            <w:vMerge w:val="restart"/>
          </w:tcPr>
          <w:p>
            <w:pPr>
              <w:spacing w:after="0"/>
              <w:rPr>
                <w:sz w:val="20"/>
                <w:szCs w:val="20"/>
                <w:color w:val="auto"/>
              </w:rPr>
            </w:pPr>
            <w:r>
              <w:rPr>
                <w:rFonts w:ascii="Arial" w:cs="Arial" w:eastAsia="Arial" w:hAnsi="Arial"/>
                <w:sz w:val="18"/>
                <w:szCs w:val="18"/>
                <w:color w:val="auto"/>
              </w:rPr>
              <w:t>Tariff activities total</w:t>
            </w: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3,804</w:t>
            </w:r>
          </w:p>
        </w:tc>
        <w:tc>
          <w:tcPr>
            <w:tcW w:w="1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3,495</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3,757</w:t>
            </w:r>
          </w:p>
        </w:tc>
        <w:tc>
          <w:tcPr>
            <w:tcW w:w="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3,513</w:t>
            </w:r>
          </w:p>
        </w:tc>
        <w:tc>
          <w:tcPr>
            <w:tcW w:w="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w:t>
            </w:r>
          </w:p>
        </w:tc>
        <w:tc>
          <w:tcPr>
            <w:tcW w:w="2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Trucking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80" w:type="dxa"/>
            <w:vAlign w:val="bottom"/>
            <w:gridSpan w:val="4"/>
          </w:tcPr>
          <w:p>
            <w:pPr>
              <w:spacing w:after="0"/>
              <w:rPr>
                <w:sz w:val="20"/>
                <w:szCs w:val="20"/>
                <w:color w:val="auto"/>
              </w:rPr>
            </w:pPr>
            <w:r>
              <w:rPr>
                <w:rFonts w:ascii="Arial" w:cs="Arial" w:eastAsia="Arial" w:hAnsi="Arial"/>
                <w:sz w:val="18"/>
                <w:szCs w:val="18"/>
                <w:color w:val="auto"/>
              </w:rPr>
              <w:t>Transportation segment total</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3,931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-4263390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-4263390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40" w:right="199" w:bottom="111"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left="20" w:right="200" w:hanging="11"/>
        <w:spacing w:after="0" w:line="264" w:lineRule="auto"/>
        <w:rPr>
          <w:sz w:val="20"/>
          <w:szCs w:val="20"/>
          <w:color w:val="auto"/>
        </w:rPr>
      </w:pPr>
      <w:r>
        <w:rPr>
          <w:rFonts w:ascii="Arial" w:cs="Arial" w:eastAsia="Arial" w:hAnsi="Arial"/>
          <w:sz w:val="18"/>
          <w:szCs w:val="18"/>
          <w:color w:val="auto"/>
        </w:rPr>
        <w:t>Equity-indexed compensation expense shown in the table above includes expenses associated with awards that will or may be settled in units and awards that will or may be settled in cash. See Note 15 to our Consolidated Financial Statements included in Part IV of our 2013 Annual Report on Form 10-K for additional discussion regarding our equity-indexed compensation plans.</w:t>
      </w:r>
    </w:p>
    <w:p>
      <w:pPr>
        <w:spacing w:after="0" w:line="181" w:lineRule="exact"/>
        <w:rPr>
          <w:sz w:val="20"/>
          <w:szCs w:val="20"/>
          <w:color w:val="auto"/>
        </w:rPr>
      </w:pPr>
    </w:p>
    <w:p>
      <w:pPr>
        <w:sectPr>
          <w:pgSz w:w="11900" w:h="16838" w:orient="portrait"/>
          <w:cols w:equalWidth="0" w:num="2">
            <w:col w:w="140" w:space="500"/>
            <w:col w:w="10820"/>
          </w:cols>
          <w:pgMar w:left="240" w:top="140" w:right="199" w:bottom="111"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ind w:left="20" w:right="240" w:hanging="11"/>
        <w:spacing w:after="0" w:line="277" w:lineRule="auto"/>
        <w:rPr>
          <w:sz w:val="20"/>
          <w:szCs w:val="20"/>
          <w:color w:val="auto"/>
        </w:rPr>
      </w:pPr>
      <w:r>
        <w:rPr>
          <w:rFonts w:ascii="Arial" w:cs="Arial" w:eastAsia="Arial" w:hAnsi="Arial"/>
          <w:sz w:val="18"/>
          <w:szCs w:val="18"/>
          <w:color w:val="auto"/>
        </w:rPr>
        <w:t>Volumes associated with assets employed through acquisitions and internal growth projects represent total volumes (attributable to our interest) for the number of days we employed the assets divided by the number of days in the period.</w:t>
      </w:r>
    </w:p>
    <w:p>
      <w:pPr>
        <w:spacing w:after="0" w:line="170" w:lineRule="exact"/>
        <w:rPr>
          <w:sz w:val="20"/>
          <w:szCs w:val="20"/>
          <w:color w:val="auto"/>
        </w:rPr>
      </w:pPr>
    </w:p>
    <w:p>
      <w:pPr>
        <w:sectPr>
          <w:pgSz w:w="11900" w:h="16838" w:orient="portrait"/>
          <w:cols w:equalWidth="0" w:num="2">
            <w:col w:w="140" w:space="500"/>
            <w:col w:w="10820"/>
          </w:cols>
          <w:pgMar w:left="240" w:top="140" w:right="199" w:bottom="111" w:gutter="0" w:footer="0" w:header="0"/>
          <w:type w:val="continuous"/>
        </w:sectPr>
      </w:pPr>
    </w:p>
    <w:p>
      <w:pPr>
        <w:ind w:right="300" w:firstLine="648"/>
        <w:spacing w:after="0" w:line="286" w:lineRule="auto"/>
        <w:rPr>
          <w:sz w:val="20"/>
          <w:szCs w:val="20"/>
          <w:color w:val="auto"/>
        </w:rPr>
      </w:pPr>
      <w:r>
        <w:rPr>
          <w:rFonts w:ascii="Arial" w:cs="Arial" w:eastAsia="Arial" w:hAnsi="Arial"/>
          <w:sz w:val="17"/>
          <w:szCs w:val="17"/>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Revenue from our pipeline capacity leases generally reflects a negotiated amount.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discussion of items impacting Transportation segment profit and segment profit per barrel for the periods indicated.</w:t>
      </w:r>
    </w:p>
    <w:p>
      <w:pPr>
        <w:sectPr>
          <w:pgSz w:w="11900" w:h="16838" w:orient="portrait"/>
          <w:cols w:equalWidth="0" w:num="1">
            <w:col w:w="11460"/>
          </w:cols>
          <w:pgMar w:left="240" w:top="140" w:right="199" w:bottom="111" w:gutter="0" w:footer="0" w:header="0"/>
          <w:type w:val="continuous"/>
        </w:sectPr>
      </w:pPr>
    </w:p>
    <w:bookmarkStart w:id="23" w:name="page24"/>
    <w:bookmarkEnd w:id="23"/>
    <w:p>
      <w:pPr>
        <w:ind w:right="380" w:firstLine="648"/>
        <w:spacing w:after="0" w:line="264" w:lineRule="auto"/>
        <w:rPr>
          <w:sz w:val="20"/>
          <w:szCs w:val="20"/>
          <w:color w:val="auto"/>
        </w:rPr>
      </w:pPr>
      <w:r>
        <w:rPr>
          <w:rFonts w:ascii="Arial" w:cs="Arial" w:eastAsia="Arial" w:hAnsi="Arial"/>
          <w:sz w:val="18"/>
          <w:szCs w:val="18"/>
          <w:i w:val="1"/>
          <w:iCs w:val="1"/>
          <w:color w:val="auto"/>
        </w:rPr>
        <w:t xml:space="preserve">Operating Revenues and Volumes. </w:t>
      </w:r>
      <w:r>
        <w:rPr>
          <w:rFonts w:ascii="Arial" w:cs="Arial" w:eastAsia="Arial" w:hAnsi="Arial"/>
          <w:sz w:val="18"/>
          <w:szCs w:val="18"/>
          <w:color w:val="auto"/>
        </w:rPr>
        <w:t>As noted in the table above, our total Transportation segment revenues, net of trucking costs, and volumes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for both the three and six months ended June 30, 2014 compared to the three and six months ended June 30, 2013. Our Transportation segment results for the comparative periods were impacted by the following: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60" w:hanging="328"/>
        <w:spacing w:after="0" w:line="293" w:lineRule="auto"/>
        <w:tabs>
          <w:tab w:leader="none" w:pos="624"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North American Crude Oil Production and Related Expansion Projects — The increase in North American crude oil production has had a favorable impact on volumes and revenues on our existing pipeline systems and has also provided opportunities for midstream infrastructure development in production growth areas. The resulting increases in volumes for the three and six months ended June 30, 2014 over the comparable 2013 periods were most notably on our Permian Basin, Eagle Ford and Mid-Continent Area Systems and our Basin and Mesa pipelines. We estimate that increased production combined with our recently completed internal growth projects increased revenues by over $25 million and $50 million for the three and six months ended June 30, 2014, respectively, compared to the three and six months ended June 30, 2013.</w:t>
      </w:r>
    </w:p>
    <w:p>
      <w:pPr>
        <w:spacing w:after="0" w:line="164" w:lineRule="exact"/>
        <w:rPr>
          <w:rFonts w:ascii="Arial" w:cs="Arial" w:eastAsia="Arial" w:hAnsi="Arial"/>
          <w:sz w:val="16"/>
          <w:szCs w:val="16"/>
          <w:color w:val="auto"/>
        </w:rPr>
      </w:pPr>
    </w:p>
    <w:p>
      <w:pPr>
        <w:ind w:left="660" w:hanging="328"/>
        <w:spacing w:after="0" w:line="293" w:lineRule="auto"/>
        <w:tabs>
          <w:tab w:leader="none" w:pos="624" w:val="left"/>
        </w:tabs>
        <w:numPr>
          <w:ilvl w:val="0"/>
          <w:numId w:val="22"/>
        </w:numPr>
        <w:rPr>
          <w:rFonts w:ascii="Arial" w:cs="Arial" w:eastAsia="Arial" w:hAnsi="Arial"/>
          <w:sz w:val="16"/>
          <w:szCs w:val="16"/>
          <w:color w:val="auto"/>
        </w:rPr>
      </w:pPr>
      <w:r>
        <w:rPr>
          <w:rFonts w:ascii="Arial" w:cs="Arial" w:eastAsia="Arial" w:hAnsi="Arial"/>
          <w:sz w:val="16"/>
          <w:szCs w:val="16"/>
          <w:color w:val="auto"/>
        </w:rPr>
        <w:t>Loss Allowance Revenue — As is common in the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increased by approximately $20 million and $30 million, respectively, for the three and six months ended June 30, 2014 compared to the three and six months ended June 30, 2013 driven primarily by higher volumes, as well as a higher average realized price per barrel (including the impact of gains and losses from derivative-related activities).</w:t>
      </w:r>
    </w:p>
    <w:p>
      <w:pPr>
        <w:spacing w:after="0" w:line="164" w:lineRule="exact"/>
        <w:rPr>
          <w:rFonts w:ascii="Arial" w:cs="Arial" w:eastAsia="Arial" w:hAnsi="Arial"/>
          <w:sz w:val="16"/>
          <w:szCs w:val="16"/>
          <w:color w:val="auto"/>
        </w:rPr>
      </w:pPr>
    </w:p>
    <w:p>
      <w:pPr>
        <w:ind w:left="660" w:right="180" w:hanging="328"/>
        <w:spacing w:after="0" w:line="302" w:lineRule="auto"/>
        <w:tabs>
          <w:tab w:leader="none" w:pos="624" w:val="left"/>
        </w:tabs>
        <w:numPr>
          <w:ilvl w:val="0"/>
          <w:numId w:val="22"/>
        </w:numPr>
        <w:rPr>
          <w:rFonts w:ascii="Arial" w:cs="Arial" w:eastAsia="Arial" w:hAnsi="Arial"/>
          <w:sz w:val="16"/>
          <w:szCs w:val="16"/>
          <w:color w:val="auto"/>
        </w:rPr>
      </w:pPr>
      <w:r>
        <w:rPr>
          <w:rFonts w:ascii="Arial" w:cs="Arial" w:eastAsia="Arial" w:hAnsi="Arial"/>
          <w:sz w:val="16"/>
          <w:szCs w:val="16"/>
          <w:color w:val="auto"/>
        </w:rPr>
        <w:t>Rate Changes — Revenues on our pipelines are impacted by various rate changes that may occur during the period. These primarily include the indexing of rates on our FERC regulated pipelines, rate increases or decreases on our intrastate and Canadian pipelines or other negotiated rate changes. We estimate that the net impact of rate changes on our pipelines increased revenues by approximately $11 million and $18 million for the three and six months ended June 30, 2014, respectively, compared to the three and six months ended June 30, 2013.</w:t>
      </w:r>
    </w:p>
    <w:p>
      <w:pPr>
        <w:spacing w:after="0" w:line="154" w:lineRule="exact"/>
        <w:rPr>
          <w:rFonts w:ascii="Arial" w:cs="Arial" w:eastAsia="Arial" w:hAnsi="Arial"/>
          <w:sz w:val="16"/>
          <w:szCs w:val="16"/>
          <w:color w:val="auto"/>
        </w:rPr>
      </w:pPr>
    </w:p>
    <w:p>
      <w:pPr>
        <w:ind w:left="660" w:right="120" w:hanging="328"/>
        <w:spacing w:after="0" w:line="259"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 of Refined Products Pipelines — We sold certain refined products pipeline systems and related assets in July 2013 and November 2013. As we did not own these assets during the three and six months ended June 30, 2014, our revenues were lower by approximately $10 million and $20 million, respectively, and volumes were lower by 110,000 and 105,000 barrels per day, respectively, as compared to the three and six months ended June 30, 2013.</w:t>
      </w:r>
    </w:p>
    <w:p>
      <w:pPr>
        <w:spacing w:after="0" w:line="186" w:lineRule="exact"/>
        <w:rPr>
          <w:rFonts w:ascii="Arial" w:cs="Arial" w:eastAsia="Arial" w:hAnsi="Arial"/>
          <w:sz w:val="18"/>
          <w:szCs w:val="18"/>
          <w:color w:val="auto"/>
        </w:rPr>
      </w:pPr>
    </w:p>
    <w:p>
      <w:pPr>
        <w:ind w:left="660" w:hanging="328"/>
        <w:spacing w:after="0" w:line="255"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Exchange Impact — Revenues and expenses from our Canadian based subsidiaries, which use the Canadian dollar as their functional currency, are translated at the prevailing average exchange rates for each month. The average CAD to USD exchange rates for the three months ended June 30, 2014 and 2013 were $1.09 CAD: $1.00 USD and $1.02 CAD: $1.00 USD, respectively. The average CAD to USD exchange rates for the six months ended June 30, 2014 and 2013 were $1.10 CAD: $1.00 USD and $1.02 CAD: $1.00 USD, respectively. Therefore, revenues from our Canadian pipeline systems and trucking operations were unfavorably impacted by approximately $6 million and $15 million for the three and six months ended June 30, 2014, respectively, compared to the three and six months ended June 30, 2013 due to the depreciation of the Canadian dollar relative to the U.S. dollar.</w:t>
      </w:r>
    </w:p>
    <w:p>
      <w:pPr>
        <w:spacing w:after="0" w:line="189"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Additional noteworthy volume and revenue variances on our pipelines for the three and six months ended June 30, 2014 compared to the three and six months ended June 30, 2013 were (i) decreased volumes and revenues on certain of our NGL pipelines due to (a) the discontinuation of an agreement in 2014 to transport volumes on a pipeline and (b) the impact of netting joint venture related volumes to our share on a pipeline during 2014, which did not affect revenues, (ii) decreased volumes and revenues on the Capline pipeline due to refinery turnaround in the first half of 2014, (iii) increased volumes and revenues on our Rangeland, South Saskatchewan and Co-Ed pipelines, as these pipelines were shut down during a portion of the second quarter of 2013 due to high river flow rates and flooding in the surrounding area and (iv) a net decrease in volumes on our crude oil pipelines included in “Other” in the table above for the six month comparable period, a majority of which was related to (a) pipelines subject to long-term lease commitments with annual service payments whereby volumes may fluctuate, but such fluctuations did not have a meaningful impact on revenue and (b) pipelines impacted by third-party connection shut-downs and line repairs, which also did not have a significant impact on revenues for the period, partially offset by incremental volumes and revenues from our Gulf Coast pipeline, which was placed into service in April 2014.</w:t>
      </w:r>
    </w:p>
    <w:p>
      <w:pPr>
        <w:spacing w:after="0" w:line="16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Field operating costs (excluding equity-indexed compensation expenses) decreased during the three and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2014 compared to the three and six months ended June 30, 2013 due to higher environmental remediation costs in 2013, partially offset by increases due to (i) a change in classification of certain costs from General and Administrative expenses, and (ii) a general increase in expenses due to growth.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(excluding equity-indexed compensation expenses) decreased during</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and six months ended June 30, 2014 compared to the three and six months ended June 30, 2013 primarily due to (i) a change in classification of certain costs to Field Operating Costs and (ii) higher costs in 2013 associated with the sale of certain refined products pipeline systems and related assets.</w:t>
      </w:r>
    </w:p>
    <w:p>
      <w:pPr>
        <w:spacing w:after="0" w:line="14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i w:val="1"/>
          <w:iCs w:val="1"/>
          <w:color w:val="auto"/>
        </w:rPr>
        <w:t xml:space="preserve">Maintenance Capital. </w:t>
      </w:r>
      <w:r>
        <w:rPr>
          <w:rFonts w:ascii="Arial" w:cs="Arial" w:eastAsia="Arial" w:hAnsi="Arial"/>
          <w:sz w:val="17"/>
          <w:szCs w:val="17"/>
          <w:color w:val="auto"/>
        </w:rPr>
        <w:t>Maintenance capital consists of capital expenditures for the replacement of partially or fully depreciated assets in order to</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 the operating and/or earnings capacity of our existing assets. The increase in maintenance capital for the three and six months ended June 30, 2014 compared to the three and six months ended June 30, 2013 is primarily due to increased investments on integrity-related projects.</w:t>
      </w:r>
    </w:p>
    <w:p>
      <w:pPr>
        <w:spacing w:after="0" w:line="166"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i w:val="1"/>
          <w:iCs w:val="1"/>
          <w:color w:val="auto"/>
        </w:rPr>
        <w:t>Equity-Indexed Compensation Expense</w:t>
      </w:r>
      <w:r>
        <w:rPr>
          <w:rFonts w:ascii="Arial" w:cs="Arial" w:eastAsia="Arial" w:hAnsi="Arial"/>
          <w:sz w:val="18"/>
          <w:szCs w:val="18"/>
          <w:color w:val="auto"/>
        </w:rPr>
        <w:t>. On a consolidated basis across all segments, equity-indexed compensation expense increased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2014 compared to the same period in 2013, primarily due to the impact of the increase in unit price during the period compared to a decrease in unit price for the same period in 2013.</w:t>
      </w:r>
    </w:p>
    <w:p>
      <w:pPr>
        <w:spacing w:after="0" w:line="181"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Consolidated equity-indexed compensation expense decreased for the six months ended June 30, 2014 compared to the same period in 2013, primarily due to a less significant impact of the increase in unit price during the six months ended June 30, 2014 compared to the same period in 2013. See</w:t>
      </w:r>
    </w:p>
    <w:p>
      <w:pPr>
        <w:sectPr>
          <w:pgSz w:w="11900" w:h="16838" w:orient="portrait"/>
          <w:cols w:equalWidth="0" w:num="1">
            <w:col w:w="11400"/>
          </w:cols>
          <w:pgMar w:left="240" w:top="125" w:right="259" w:bottom="0" w:gutter="0" w:footer="0" w:header="0"/>
        </w:sectPr>
      </w:pPr>
    </w:p>
    <w:bookmarkStart w:id="24" w:name="page25"/>
    <w:bookmarkEnd w:id="24"/>
    <w:p>
      <w:pPr>
        <w:ind w:right="440"/>
        <w:spacing w:after="0" w:line="277" w:lineRule="auto"/>
        <w:rPr>
          <w:sz w:val="20"/>
          <w:szCs w:val="20"/>
          <w:color w:val="auto"/>
        </w:rPr>
      </w:pPr>
      <w:r>
        <w:rPr>
          <w:rFonts w:ascii="Arial" w:cs="Arial" w:eastAsia="Arial" w:hAnsi="Arial"/>
          <w:sz w:val="18"/>
          <w:szCs w:val="18"/>
          <w:color w:val="auto"/>
        </w:rPr>
        <w:t>Note 15 to our Consolidated Financial Statements included in Part IV of our 2013 Annual Report on Form 10-K for additional information regarding our equity-indexed compensation plans.</w:t>
      </w:r>
    </w:p>
    <w:p>
      <w:pPr>
        <w:spacing w:after="0" w:line="170"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i w:val="1"/>
          <w:iCs w:val="1"/>
          <w:color w:val="auto"/>
        </w:rPr>
        <w:t>Equity Earnings in Unconsolidated Entities</w:t>
      </w:r>
      <w:r>
        <w:rPr>
          <w:rFonts w:ascii="Arial" w:cs="Arial" w:eastAsia="Arial" w:hAnsi="Arial"/>
          <w:sz w:val="18"/>
          <w:szCs w:val="18"/>
          <w:color w:val="auto"/>
        </w:rPr>
        <w:t>. The favorable variance in equity earnings in unconsolidated entities for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2014 compared to the three and six months ended June 30, 2013 was largely due to increased throughput on the Eagle Ford joint venture pipeline as a result of increased production, as discussed above.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operating results from our Facilities segment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160" w:type="dxa"/>
            <w:vAlign w:val="bottom"/>
            <w:gridSpan w:val="3"/>
          </w:tcPr>
          <w:p>
            <w:pPr>
              <w:jc w:val="center"/>
              <w:ind w:left="216"/>
              <w:spacing w:after="0"/>
              <w:rPr>
                <w:sz w:val="20"/>
                <w:szCs w:val="20"/>
                <w:color w:val="auto"/>
              </w:rPr>
            </w:pPr>
            <w:r>
              <w:rPr>
                <w:rFonts w:ascii="Arial" w:cs="Arial" w:eastAsia="Arial" w:hAnsi="Arial"/>
                <w:sz w:val="14"/>
                <w:szCs w:val="14"/>
                <w:b w:val="1"/>
                <w:bCs w:val="1"/>
                <w:color w:val="auto"/>
                <w:w w:val="94"/>
              </w:rPr>
              <w:t>Favorable/</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5"/>
            <w:vMerge w:val="restart"/>
          </w:tcPr>
          <w:p>
            <w:pPr>
              <w:jc w:val="center"/>
              <w:ind w:right="360"/>
              <w:spacing w:after="0"/>
              <w:rPr>
                <w:sz w:val="20"/>
                <w:szCs w:val="20"/>
                <w:color w:val="auto"/>
              </w:rPr>
            </w:pPr>
            <w:r>
              <w:rPr>
                <w:rFonts w:ascii="Arial" w:cs="Arial" w:eastAsia="Arial" w:hAnsi="Arial"/>
                <w:sz w:val="14"/>
                <w:szCs w:val="14"/>
                <w:b w:val="1"/>
                <w:bCs w:val="1"/>
                <w:color w:val="auto"/>
                <w:w w:val="92"/>
              </w:rPr>
              <w:t>Six Months Ended</w:t>
            </w:r>
          </w:p>
        </w:tc>
        <w:tc>
          <w:tcPr>
            <w:tcW w:w="100" w:type="dxa"/>
            <w:vAlign w:val="bottom"/>
          </w:tcPr>
          <w:p>
            <w:pPr>
              <w:spacing w:after="0"/>
              <w:rPr>
                <w:sz w:val="14"/>
                <w:szCs w:val="14"/>
                <w:color w:val="auto"/>
              </w:rPr>
            </w:pPr>
          </w:p>
        </w:tc>
        <w:tc>
          <w:tcPr>
            <w:tcW w:w="1220" w:type="dxa"/>
            <w:vAlign w:val="bottom"/>
            <w:gridSpan w:val="3"/>
          </w:tcPr>
          <w:p>
            <w:pPr>
              <w:jc w:val="center"/>
              <w:ind w:left="296"/>
              <w:spacing w:after="0"/>
              <w:rPr>
                <w:sz w:val="20"/>
                <w:szCs w:val="20"/>
                <w:color w:val="auto"/>
              </w:rPr>
            </w:pPr>
            <w:r>
              <w:rPr>
                <w:rFonts w:ascii="Arial" w:cs="Arial" w:eastAsia="Arial" w:hAnsi="Arial"/>
                <w:sz w:val="14"/>
                <w:szCs w:val="14"/>
                <w:b w:val="1"/>
                <w:bCs w:val="1"/>
                <w:color w:val="auto"/>
                <w:w w:val="97"/>
              </w:rPr>
              <w:t>Favorable/</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180" w:type="dxa"/>
            <w:vAlign w:val="bottom"/>
          </w:tcPr>
          <w:p>
            <w:pPr>
              <w:spacing w:after="0"/>
              <w:rPr>
                <w:sz w:val="12"/>
                <w:szCs w:val="12"/>
                <w:color w:val="auto"/>
              </w:rPr>
            </w:pPr>
          </w:p>
        </w:tc>
        <w:tc>
          <w:tcPr>
            <w:tcW w:w="190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left="216"/>
              <w:spacing w:after="0" w:line="149" w:lineRule="exact"/>
              <w:rPr>
                <w:sz w:val="20"/>
                <w:szCs w:val="20"/>
                <w:color w:val="auto"/>
              </w:rPr>
            </w:pPr>
            <w:r>
              <w:rPr>
                <w:rFonts w:ascii="Arial" w:cs="Arial" w:eastAsia="Arial" w:hAnsi="Arial"/>
                <w:sz w:val="14"/>
                <w:szCs w:val="14"/>
                <w:b w:val="1"/>
                <w:bCs w:val="1"/>
                <w:color w:val="auto"/>
                <w:w w:val="95"/>
              </w:rPr>
              <w:t>(Unfavorable)</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5"/>
          </w:tcPr>
          <w:p>
            <w:pPr>
              <w:jc w:val="center"/>
              <w:ind w:right="31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9"/>
              </w:rPr>
              <w:t>June 30,</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216"/>
              <w:spacing w:after="0"/>
              <w:rPr>
                <w:sz w:val="20"/>
                <w:szCs w:val="20"/>
                <w:color w:val="auto"/>
              </w:rPr>
            </w:pPr>
            <w:r>
              <w:rPr>
                <w:rFonts w:ascii="Arial" w:cs="Arial" w:eastAsia="Arial" w:hAnsi="Arial"/>
                <w:sz w:val="14"/>
                <w:szCs w:val="14"/>
                <w:b w:val="1"/>
                <w:bCs w:val="1"/>
                <w:color w:val="auto"/>
                <w:w w:val="92"/>
              </w:rPr>
              <w:t>Variance</w:t>
            </w:r>
          </w:p>
        </w:tc>
        <w:tc>
          <w:tcPr>
            <w:tcW w:w="4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left="355"/>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296"/>
              <w:spacing w:after="0"/>
              <w:rPr>
                <w:sz w:val="20"/>
                <w:szCs w:val="20"/>
                <w:color w:val="auto"/>
              </w:rPr>
            </w:pPr>
            <w:r>
              <w:rPr>
                <w:rFonts w:ascii="Arial" w:cs="Arial" w:eastAsia="Arial" w:hAnsi="Arial"/>
                <w:sz w:val="14"/>
                <w:szCs w:val="14"/>
                <w:b w:val="1"/>
                <w:bCs w:val="1"/>
                <w:color w:val="auto"/>
                <w:w w:val="95"/>
              </w:rPr>
              <w:t>Variance</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220" w:type="dxa"/>
            <w:vAlign w:val="bottom"/>
            <w:tcBorders>
              <w:bottom w:val="single" w:sz="8" w:color="CCEEFF"/>
            </w:tcBorders>
            <w:gridSpan w:val="2"/>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4"/>
          </w:tcPr>
          <w:p>
            <w:pPr>
              <w:spacing w:after="0" w:line="216" w:lineRule="exact"/>
              <w:rPr>
                <w:sz w:val="20"/>
                <w:szCs w:val="20"/>
                <w:color w:val="auto"/>
              </w:rPr>
            </w:pPr>
            <w:r>
              <w:rPr>
                <w:rFonts w:ascii="Arial" w:cs="Arial" w:eastAsia="Arial" w:hAnsi="Arial"/>
                <w:sz w:val="18"/>
                <w:szCs w:val="18"/>
                <w:color w:val="auto"/>
              </w:rPr>
              <w:t xml:space="preserve">Natural gas sales </w:t>
            </w:r>
            <w:r>
              <w:rPr>
                <w:rFonts w:ascii="Arial" w:cs="Arial" w:eastAsia="Arial" w:hAnsi="Arial"/>
                <w:sz w:val="23"/>
                <w:szCs w:val="23"/>
                <w:color w:val="auto"/>
                <w:vertAlign w:val="superscript"/>
              </w:rPr>
              <w:t>(2)</w:t>
            </w: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Storage related costs (natural gas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related)</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20"/>
                <w:szCs w:val="20"/>
                <w:color w:val="auto"/>
              </w:rPr>
            </w:pPr>
          </w:p>
        </w:tc>
        <w:tc>
          <w:tcPr>
            <w:tcW w:w="820" w:type="dxa"/>
            <w:vAlign w:val="bottom"/>
            <w:tcBorders>
              <w:right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gridSpan w:val="4"/>
          </w:tcPr>
          <w:p>
            <w:pPr>
              <w:spacing w:after="0" w:line="216" w:lineRule="exact"/>
              <w:rPr>
                <w:sz w:val="20"/>
                <w:szCs w:val="20"/>
                <w:color w:val="auto"/>
              </w:rPr>
            </w:pPr>
            <w:r>
              <w:rPr>
                <w:rFonts w:ascii="Arial" w:cs="Arial" w:eastAsia="Arial" w:hAnsi="Arial"/>
                <w:sz w:val="18"/>
                <w:szCs w:val="18"/>
                <w:color w:val="auto"/>
              </w:rPr>
              <w:t xml:space="preserve">Natural gas sales costs </w:t>
            </w:r>
            <w:r>
              <w:rPr>
                <w:rFonts w:ascii="Arial" w:cs="Arial" w:eastAsia="Arial" w:hAnsi="Arial"/>
                <w:sz w:val="23"/>
                <w:szCs w:val="23"/>
                <w:color w:val="auto"/>
                <w:vertAlign w:val="superscript"/>
              </w:rPr>
              <w:t>(2)</w:t>
            </w: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320" w:type="dxa"/>
            <w:vAlign w:val="bottom"/>
          </w:tcPr>
          <w:p>
            <w:pPr>
              <w:spacing w:after="0"/>
              <w:rPr>
                <w:sz w:val="18"/>
                <w:szCs w:val="18"/>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Field operating costs (excluding</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equity-indexed compensation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20"/>
                <w:szCs w:val="20"/>
                <w:color w:val="auto"/>
              </w:rPr>
            </w:pPr>
          </w:p>
        </w:tc>
        <w:tc>
          <w:tcPr>
            <w:tcW w:w="820" w:type="dxa"/>
            <w:vAlign w:val="bottom"/>
            <w:tcBorders>
              <w:right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00" w:type="dxa"/>
            <w:vAlign w:val="bottom"/>
            <w:gridSpan w:val="4"/>
          </w:tcPr>
          <w:p>
            <w:pPr>
              <w:spacing w:after="0" w:line="201" w:lineRule="exact"/>
              <w:rPr>
                <w:sz w:val="20"/>
                <w:szCs w:val="20"/>
                <w:color w:val="auto"/>
              </w:rPr>
            </w:pPr>
            <w:r>
              <w:rPr>
                <w:rFonts w:ascii="Arial" w:cs="Arial" w:eastAsia="Arial" w:hAnsi="Arial"/>
                <w:sz w:val="18"/>
                <w:szCs w:val="18"/>
                <w:color w:val="auto"/>
                <w:w w:val="99"/>
              </w:rPr>
              <w:t>Equity-indexed compensation expense</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4"/>
          </w:tcPr>
          <w:p>
            <w:pPr>
              <w:ind w:left="180"/>
              <w:spacing w:after="0" w:line="231" w:lineRule="exact"/>
              <w:rPr>
                <w:sz w:val="20"/>
                <w:szCs w:val="20"/>
                <w:color w:val="auto"/>
              </w:rPr>
            </w:pPr>
            <w:r>
              <w:rPr>
                <w:rFonts w:ascii="Arial" w:cs="Arial" w:eastAsia="Arial" w:hAnsi="Arial"/>
                <w:sz w:val="18"/>
                <w:szCs w:val="18"/>
                <w:color w:val="auto"/>
              </w:rPr>
              <w:t xml:space="preserve">- operations </w:t>
            </w:r>
            <w:r>
              <w:rPr>
                <w:rFonts w:ascii="Arial" w:cs="Arial" w:eastAsia="Arial" w:hAnsi="Arial"/>
                <w:sz w:val="23"/>
                <w:szCs w:val="23"/>
                <w:color w:val="auto"/>
                <w:vertAlign w:val="superscript"/>
              </w:rPr>
              <w:t>(3)</w:t>
            </w:r>
          </w:p>
        </w:tc>
        <w:tc>
          <w:tcPr>
            <w:tcW w:w="1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gridSpan w:val="4"/>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(excluding equity-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indexed compensation expense)</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00" w:type="dxa"/>
            <w:vAlign w:val="bottom"/>
            <w:gridSpan w:val="4"/>
          </w:tcPr>
          <w:p>
            <w:pPr>
              <w:spacing w:after="0" w:line="201" w:lineRule="exact"/>
              <w:rPr>
                <w:sz w:val="20"/>
                <w:szCs w:val="20"/>
                <w:color w:val="auto"/>
              </w:rPr>
            </w:pPr>
            <w:r>
              <w:rPr>
                <w:rFonts w:ascii="Arial" w:cs="Arial" w:eastAsia="Arial" w:hAnsi="Arial"/>
                <w:sz w:val="18"/>
                <w:szCs w:val="18"/>
                <w:color w:val="auto"/>
                <w:w w:val="99"/>
              </w:rPr>
              <w:t>Equity-indexed compensation expense</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4"/>
          </w:tcPr>
          <w:p>
            <w:pPr>
              <w:ind w:left="180"/>
              <w:spacing w:after="0" w:line="231" w:lineRule="exact"/>
              <w:rPr>
                <w:sz w:val="20"/>
                <w:szCs w:val="20"/>
                <w:color w:val="auto"/>
              </w:rPr>
            </w:pPr>
            <w:r>
              <w:rPr>
                <w:rFonts w:ascii="Arial" w:cs="Arial" w:eastAsia="Arial" w:hAnsi="Arial"/>
                <w:sz w:val="18"/>
                <w:szCs w:val="18"/>
                <w:color w:val="auto"/>
              </w:rPr>
              <w:t xml:space="preserve">- general and administrative </w:t>
            </w:r>
            <w:r>
              <w:rPr>
                <w:rFonts w:ascii="Arial" w:cs="Arial" w:eastAsia="Arial" w:hAnsi="Arial"/>
                <w:sz w:val="23"/>
                <w:szCs w:val="23"/>
                <w:color w:val="auto"/>
                <w:vertAlign w:val="superscript"/>
              </w:rPr>
              <w:t>(3)</w:t>
            </w:r>
          </w:p>
        </w:tc>
        <w:tc>
          <w:tcPr>
            <w:tcW w:w="1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gridSpan w:val="4"/>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rPr>
              <w:t>Maintenance capital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gridSpan w:val="4"/>
            <w:vMerge w:val="continue"/>
          </w:tcPr>
          <w:p>
            <w:pPr>
              <w:spacing w:after="0"/>
              <w:rPr>
                <w:sz w:val="20"/>
                <w:szCs w:val="20"/>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14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220" w:type="dxa"/>
            <w:vAlign w:val="bottom"/>
            <w:vMerge w:val="continue"/>
          </w:tcPr>
          <w:p>
            <w:pPr>
              <w:spacing w:after="0"/>
              <w:rPr>
                <w:sz w:val="20"/>
                <w:szCs w:val="20"/>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170"/>
              <w:spacing w:after="0" w:line="196" w:lineRule="exact"/>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20"/>
                <w:szCs w:val="20"/>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220" w:type="dxa"/>
            <w:vAlign w:val="bottom"/>
          </w:tcPr>
          <w:p>
            <w:pPr>
              <w:spacing w:after="0"/>
              <w:rPr>
                <w:sz w:val="20"/>
                <w:szCs w:val="20"/>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100" w:type="dxa"/>
            <w:vAlign w:val="bottom"/>
            <w:tcBorders>
              <w:top w:val="single" w:sz="8" w:color="CCEEFF"/>
              <w:bottom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Segment profit per barrel</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220" w:type="dxa"/>
            <w:vAlign w:val="bottom"/>
            <w:tcBorders>
              <w:top w:val="single" w:sz="8" w:color="CCEEFF"/>
              <w:bottom w:val="single" w:sz="8" w:color="CCEEFF"/>
            </w:tcBorders>
            <w:shd w:val="clear" w:color="auto" w:fill="CCEEFF"/>
          </w:tcPr>
          <w:p>
            <w:pPr>
              <w:jc w:val="center"/>
              <w:ind w:right="70"/>
              <w:spacing w:after="0" w:line="190"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380" w:type="dxa"/>
            <w:vAlign w:val="bottom"/>
            <w:tcBorders>
              <w:top w:val="single" w:sz="8" w:color="CCEEFF"/>
              <w:bottom w:val="single" w:sz="8" w:color="CCEEFF"/>
              <w:right w:val="single" w:sz="8" w:color="auto"/>
            </w:tcBorders>
            <w:shd w:val="clear" w:color="auto" w:fill="CCEEFF"/>
          </w:tcPr>
          <w:p>
            <w:pPr>
              <w:jc w:val="right"/>
              <w:ind w:right="110"/>
              <w:spacing w:after="0" w:line="190" w:lineRule="exact"/>
              <w:rPr>
                <w:sz w:val="20"/>
                <w:szCs w:val="20"/>
                <w:color w:val="auto"/>
              </w:rPr>
            </w:pPr>
            <w:r>
              <w:rPr>
                <w:rFonts w:ascii="Arial" w:cs="Arial" w:eastAsia="Arial" w:hAnsi="Arial"/>
                <w:sz w:val="18"/>
                <w:szCs w:val="18"/>
                <w:color w:val="auto"/>
                <w:w w:val="72"/>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0.40</w:t>
            </w:r>
          </w:p>
        </w:tc>
        <w:tc>
          <w:tcPr>
            <w:tcW w:w="2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0.42</w:t>
            </w:r>
          </w:p>
        </w:tc>
        <w:tc>
          <w:tcPr>
            <w:tcW w:w="2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280" w:type="dxa"/>
            <w:vAlign w:val="bottom"/>
            <w:tcBorders>
              <w:top w:val="single" w:sz="8" w:color="CCEEFF"/>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81"/>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116"/>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gridSpan w:val="2"/>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10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160" w:type="dxa"/>
            <w:vAlign w:val="bottom"/>
            <w:gridSpan w:val="3"/>
          </w:tcPr>
          <w:p>
            <w:pPr>
              <w:jc w:val="center"/>
              <w:ind w:left="256"/>
              <w:spacing w:after="0"/>
              <w:rPr>
                <w:sz w:val="20"/>
                <w:szCs w:val="20"/>
                <w:color w:val="auto"/>
              </w:rPr>
            </w:pPr>
            <w:r>
              <w:rPr>
                <w:rFonts w:ascii="Arial" w:cs="Arial" w:eastAsia="Arial" w:hAnsi="Arial"/>
                <w:sz w:val="14"/>
                <w:szCs w:val="14"/>
                <w:b w:val="1"/>
                <w:bCs w:val="1"/>
                <w:color w:val="auto"/>
                <w:w w:val="94"/>
              </w:rPr>
              <w:t>Favorable/</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5"/>
            <w:vMerge w:val="restart"/>
          </w:tcPr>
          <w:p>
            <w:pPr>
              <w:jc w:val="center"/>
              <w:ind w:right="360"/>
              <w:spacing w:after="0"/>
              <w:rPr>
                <w:sz w:val="20"/>
                <w:szCs w:val="20"/>
                <w:color w:val="auto"/>
              </w:rPr>
            </w:pPr>
            <w:r>
              <w:rPr>
                <w:rFonts w:ascii="Arial" w:cs="Arial" w:eastAsia="Arial" w:hAnsi="Arial"/>
                <w:sz w:val="14"/>
                <w:szCs w:val="14"/>
                <w:b w:val="1"/>
                <w:bCs w:val="1"/>
                <w:color w:val="auto"/>
                <w:w w:val="92"/>
              </w:rPr>
              <w:t>Six Months Ended</w:t>
            </w:r>
          </w:p>
        </w:tc>
        <w:tc>
          <w:tcPr>
            <w:tcW w:w="100" w:type="dxa"/>
            <w:vAlign w:val="bottom"/>
          </w:tcPr>
          <w:p>
            <w:pPr>
              <w:spacing w:after="0"/>
              <w:rPr>
                <w:sz w:val="24"/>
                <w:szCs w:val="24"/>
                <w:color w:val="auto"/>
              </w:rPr>
            </w:pPr>
          </w:p>
        </w:tc>
        <w:tc>
          <w:tcPr>
            <w:tcW w:w="1220" w:type="dxa"/>
            <w:vAlign w:val="bottom"/>
            <w:gridSpan w:val="3"/>
          </w:tcPr>
          <w:p>
            <w:pPr>
              <w:jc w:val="center"/>
              <w:ind w:left="276"/>
              <w:spacing w:after="0"/>
              <w:rPr>
                <w:sz w:val="20"/>
                <w:szCs w:val="20"/>
                <w:color w:val="auto"/>
              </w:rPr>
            </w:pPr>
            <w:r>
              <w:rPr>
                <w:rFonts w:ascii="Arial" w:cs="Arial" w:eastAsia="Arial" w:hAnsi="Arial"/>
                <w:sz w:val="14"/>
                <w:szCs w:val="14"/>
                <w:b w:val="1"/>
                <w:bCs w:val="1"/>
                <w:color w:val="auto"/>
                <w:w w:val="94"/>
              </w:rPr>
              <w:t>Favorable/</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6"/>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14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left="276"/>
              <w:spacing w:after="0" w:line="149" w:lineRule="exact"/>
              <w:rPr>
                <w:sz w:val="20"/>
                <w:szCs w:val="20"/>
                <w:color w:val="auto"/>
              </w:rPr>
            </w:pPr>
            <w:r>
              <w:rPr>
                <w:rFonts w:ascii="Arial" w:cs="Arial" w:eastAsia="Arial" w:hAnsi="Arial"/>
                <w:sz w:val="14"/>
                <w:szCs w:val="14"/>
                <w:b w:val="1"/>
                <w:bCs w:val="1"/>
                <w:color w:val="auto"/>
                <w:w w:val="95"/>
              </w:rPr>
              <w:t>(Unfavorable)</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8"/>
                <w:szCs w:val="8"/>
                <w:b w:val="1"/>
                <w:bCs w:val="1"/>
                <w:color w:val="auto"/>
              </w:rPr>
              <w:t>(5)</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9"/>
              </w:rPr>
              <w:t>June 30,</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256"/>
              <w:spacing w:after="0"/>
              <w:rPr>
                <w:sz w:val="20"/>
                <w:szCs w:val="20"/>
                <w:color w:val="auto"/>
              </w:rPr>
            </w:pPr>
            <w:r>
              <w:rPr>
                <w:rFonts w:ascii="Arial" w:cs="Arial" w:eastAsia="Arial" w:hAnsi="Arial"/>
                <w:sz w:val="14"/>
                <w:szCs w:val="14"/>
                <w:b w:val="1"/>
                <w:bCs w:val="1"/>
                <w:color w:val="auto"/>
                <w:w w:val="92"/>
              </w:rPr>
              <w:t>Variance</w:t>
            </w:r>
          </w:p>
        </w:tc>
        <w:tc>
          <w:tcPr>
            <w:tcW w:w="4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left="355"/>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276"/>
              <w:spacing w:after="0"/>
              <w:rPr>
                <w:sz w:val="20"/>
                <w:szCs w:val="20"/>
                <w:color w:val="auto"/>
              </w:rPr>
            </w:pPr>
            <w:r>
              <w:rPr>
                <w:rFonts w:ascii="Arial" w:cs="Arial" w:eastAsia="Arial" w:hAnsi="Arial"/>
                <w:sz w:val="14"/>
                <w:szCs w:val="14"/>
                <w:b w:val="1"/>
                <w:bCs w:val="1"/>
                <w:color w:val="auto"/>
                <w:w w:val="92"/>
              </w:rPr>
              <w:t>Variance</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Volumes</w:t>
            </w:r>
          </w:p>
        </w:tc>
        <w:tc>
          <w:tcPr>
            <w:tcW w:w="44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w w:val="96"/>
              </w:rPr>
              <w:t>2013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Volumes</w:t>
            </w:r>
          </w:p>
        </w:tc>
        <w:tc>
          <w:tcPr>
            <w:tcW w:w="48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88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9"/>
              </w:rPr>
              <w:t>Crude oil, refined products and NGL</w:t>
            </w: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right w:val="single" w:sz="8" w:color="CCEEFF"/>
            </w:tcBorders>
            <w:shd w:val="clear" w:color="auto" w:fill="CCEEFF"/>
          </w:tcPr>
          <w:p>
            <w:pPr>
              <w:spacing w:after="0"/>
              <w:rPr>
                <w:sz w:val="16"/>
                <w:szCs w:val="16"/>
                <w:color w:val="auto"/>
              </w:rPr>
            </w:pPr>
          </w:p>
        </w:tc>
        <w:tc>
          <w:tcPr>
            <w:tcW w:w="380" w:type="dxa"/>
            <w:vAlign w:val="bottom"/>
            <w:tcBorders>
              <w:top w:val="single" w:sz="8" w:color="CCEEFF"/>
              <w:right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right w:val="single" w:sz="8" w:color="CCEEFF"/>
            </w:tcBorders>
            <w:shd w:val="clear" w:color="auto" w:fill="CCEEFF"/>
          </w:tcPr>
          <w:p>
            <w:pPr>
              <w:spacing w:after="0"/>
              <w:rPr>
                <w:sz w:val="16"/>
                <w:szCs w:val="16"/>
                <w:color w:val="auto"/>
              </w:rPr>
            </w:pP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terminalling and storage (average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monthly capacity in millions of</w:t>
            </w:r>
          </w:p>
        </w:tc>
        <w:tc>
          <w:tcPr>
            <w:tcW w:w="1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barrels)</w:t>
            </w: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gridSpan w:val="4"/>
            <w:vMerge w:val="restart"/>
          </w:tcPr>
          <w:p>
            <w:pPr>
              <w:spacing w:after="0" w:line="195" w:lineRule="exact"/>
              <w:rPr>
                <w:sz w:val="20"/>
                <w:szCs w:val="20"/>
                <w:color w:val="auto"/>
              </w:rPr>
            </w:pPr>
            <w:r>
              <w:rPr>
                <w:rFonts w:ascii="Arial" w:cs="Arial" w:eastAsia="Arial" w:hAnsi="Arial"/>
                <w:sz w:val="18"/>
                <w:szCs w:val="18"/>
                <w:color w:val="auto"/>
              </w:rPr>
              <w:t>Rail load / unload volumes (average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0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00" w:type="dxa"/>
            <w:vAlign w:val="bottom"/>
            <w:gridSpan w:val="4"/>
          </w:tcPr>
          <w:p>
            <w:pPr>
              <w:ind w:left="180"/>
              <w:spacing w:after="0"/>
              <w:rPr>
                <w:sz w:val="20"/>
                <w:szCs w:val="20"/>
                <w:color w:val="auto"/>
              </w:rPr>
            </w:pPr>
            <w:r>
              <w:rPr>
                <w:rFonts w:ascii="Arial" w:cs="Arial" w:eastAsia="Arial" w:hAnsi="Arial"/>
                <w:sz w:val="18"/>
                <w:szCs w:val="18"/>
                <w:color w:val="auto"/>
              </w:rPr>
              <w:t>volumes in thousands of barrels per</w:t>
            </w:r>
          </w:p>
        </w:tc>
        <w:tc>
          <w:tcPr>
            <w:tcW w:w="18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224</w:t>
            </w:r>
          </w:p>
        </w:tc>
        <w:tc>
          <w:tcPr>
            <w:tcW w:w="14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231</w:t>
            </w:r>
          </w:p>
        </w:tc>
        <w:tc>
          <w:tcPr>
            <w:tcW w:w="2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820" w:type="dxa"/>
            <w:vAlign w:val="bottom"/>
            <w:tcBorders>
              <w:right w:val="single" w:sz="8" w:color="auto"/>
            </w:tcBorders>
            <w:gridSpan w:val="2"/>
            <w:vMerge w:val="restart"/>
          </w:tcPr>
          <w:p>
            <w:pPr>
              <w:jc w:val="right"/>
              <w:ind w:right="7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76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00" w:type="dxa"/>
            <w:vAlign w:val="bottom"/>
            <w:gridSpan w:val="4"/>
          </w:tcPr>
          <w:p>
            <w:pPr>
              <w:ind w:left="180"/>
              <w:spacing w:after="0"/>
              <w:rPr>
                <w:sz w:val="20"/>
                <w:szCs w:val="20"/>
                <w:color w:val="auto"/>
              </w:rPr>
            </w:pPr>
            <w:r>
              <w:rPr>
                <w:rFonts w:ascii="Arial" w:cs="Arial" w:eastAsia="Arial" w:hAnsi="Arial"/>
                <w:sz w:val="18"/>
                <w:szCs w:val="18"/>
                <w:color w:val="auto"/>
              </w:rPr>
              <w:t>day)</w:t>
            </w:r>
          </w:p>
        </w:tc>
        <w:tc>
          <w:tcPr>
            <w:tcW w:w="18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right w:val="single" w:sz="8" w:color="auto"/>
            </w:tcBorders>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gridSpan w:val="4"/>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Natural gas storage (average monthly</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00" w:type="dxa"/>
            <w:vAlign w:val="bottom"/>
            <w:gridSpan w:val="4"/>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3"/>
                <w:szCs w:val="13"/>
                <w:color w:val="auto"/>
              </w:rPr>
            </w:pPr>
          </w:p>
        </w:tc>
        <w:tc>
          <w:tcPr>
            <w:tcW w:w="240" w:type="dxa"/>
            <w:vAlign w:val="bottom"/>
            <w:vMerge w:val="restart"/>
            <w:shd w:val="clear" w:color="auto" w:fill="CCEEFF"/>
          </w:tcPr>
          <w:p>
            <w:pPr>
              <w:spacing w:after="0"/>
              <w:rPr>
                <w:sz w:val="13"/>
                <w:szCs w:val="13"/>
                <w:color w:val="auto"/>
              </w:rPr>
            </w:pPr>
          </w:p>
        </w:tc>
        <w:tc>
          <w:tcPr>
            <w:tcW w:w="820" w:type="dxa"/>
            <w:vAlign w:val="bottom"/>
            <w:tcBorders>
              <w:right w:val="single" w:sz="8" w:color="auto"/>
            </w:tcBorders>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1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capacity in billions of cubic feet)</w:t>
            </w: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20" w:type="dxa"/>
            <w:vAlign w:val="bottom"/>
            <w:tcBorders>
              <w:right w:val="single" w:sz="8" w:color="auto"/>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gridSpan w:val="4"/>
            <w:vMerge w:val="restart"/>
          </w:tcPr>
          <w:p>
            <w:pPr>
              <w:spacing w:after="0" w:line="195" w:lineRule="exact"/>
              <w:rPr>
                <w:sz w:val="20"/>
                <w:szCs w:val="20"/>
                <w:color w:val="auto"/>
              </w:rPr>
            </w:pPr>
            <w:r>
              <w:rPr>
                <w:rFonts w:ascii="Arial" w:cs="Arial" w:eastAsia="Arial" w:hAnsi="Arial"/>
                <w:sz w:val="18"/>
                <w:szCs w:val="18"/>
                <w:color w:val="auto"/>
              </w:rPr>
              <w:t>NGL fractionation (average volumes in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0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3"/>
                <w:szCs w:val="13"/>
                <w:color w:val="auto"/>
              </w:rPr>
            </w:pPr>
          </w:p>
        </w:tc>
        <w:tc>
          <w:tcPr>
            <w:tcW w:w="92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3"/>
                <w:szCs w:val="13"/>
                <w:color w:val="auto"/>
              </w:rPr>
            </w:pPr>
          </w:p>
        </w:tc>
        <w:tc>
          <w:tcPr>
            <w:tcW w:w="820" w:type="dxa"/>
            <w:vAlign w:val="bottom"/>
            <w:tcBorders>
              <w:right w:val="single" w:sz="8" w:color="auto"/>
            </w:tcBorders>
            <w:gridSpan w:val="2"/>
            <w:vMerge w:val="restart"/>
          </w:tcPr>
          <w:p>
            <w:pPr>
              <w:jc w:val="right"/>
              <w:ind w:right="7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3"/>
                <w:szCs w:val="13"/>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100" w:type="dxa"/>
            <w:vAlign w:val="bottom"/>
            <w:gridSpan w:val="4"/>
          </w:tcPr>
          <w:p>
            <w:pPr>
              <w:ind w:left="180"/>
              <w:spacing w:after="0"/>
              <w:rPr>
                <w:sz w:val="20"/>
                <w:szCs w:val="20"/>
                <w:color w:val="auto"/>
              </w:rPr>
            </w:pPr>
            <w:r>
              <w:rPr>
                <w:rFonts w:ascii="Arial" w:cs="Arial" w:eastAsia="Arial" w:hAnsi="Arial"/>
                <w:sz w:val="18"/>
                <w:szCs w:val="18"/>
                <w:color w:val="auto"/>
              </w:rPr>
              <w:t>thousands of barrels per day)</w:t>
            </w:r>
          </w:p>
        </w:tc>
        <w:tc>
          <w:tcPr>
            <w:tcW w:w="180" w:type="dxa"/>
            <w:vAlign w:val="bottom"/>
          </w:tcPr>
          <w:p>
            <w:pPr>
              <w:spacing w:after="0"/>
              <w:rPr>
                <w:sz w:val="22"/>
                <w:szCs w:val="22"/>
                <w:color w:val="auto"/>
              </w:rPr>
            </w:pPr>
          </w:p>
        </w:tc>
        <w:tc>
          <w:tcPr>
            <w:tcW w:w="6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Borders>
              <w:right w:val="single" w:sz="8" w:color="auto"/>
            </w:tcBorders>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10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Facilities segment total (average</w:t>
            </w: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right w:val="single" w:sz="8" w:color="CCEEFF"/>
            </w:tcBorders>
            <w:shd w:val="clear" w:color="auto" w:fill="CCEEFF"/>
          </w:tcPr>
          <w:p>
            <w:pPr>
              <w:spacing w:after="0"/>
              <w:rPr>
                <w:sz w:val="13"/>
                <w:szCs w:val="13"/>
                <w:color w:val="auto"/>
              </w:rPr>
            </w:pPr>
          </w:p>
        </w:tc>
        <w:tc>
          <w:tcPr>
            <w:tcW w:w="380" w:type="dxa"/>
            <w:vAlign w:val="bottom"/>
            <w:tcBorders>
              <w:top w:val="single" w:sz="8" w:color="CCEEFF"/>
              <w:right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right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monthly volumes in millions of</w:t>
            </w:r>
          </w:p>
        </w:tc>
        <w:tc>
          <w:tcPr>
            <w:tcW w:w="180" w:type="dxa"/>
            <w:vAlign w:val="bottom"/>
            <w:shd w:val="clear" w:color="auto" w:fill="CCEEFF"/>
          </w:tcPr>
          <w:p>
            <w:pPr>
              <w:spacing w:after="0"/>
              <w:rPr>
                <w:sz w:val="18"/>
                <w:szCs w:val="18"/>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00" w:type="dxa"/>
            <w:vAlign w:val="bottom"/>
            <w:gridSpan w:val="4"/>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3"/>
                <w:szCs w:val="23"/>
                <w:color w:val="auto"/>
                <w:vertAlign w:val="superscript"/>
              </w:rPr>
              <w:t>(6)</w:t>
            </w:r>
          </w:p>
        </w:tc>
        <w:tc>
          <w:tcPr>
            <w:tcW w:w="18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-3071495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-3071495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203" w:gutter="0" w:footer="0" w:header="0"/>
        </w:sectPr>
      </w:pPr>
    </w:p>
    <w:p>
      <w:pPr>
        <w:spacing w:after="0" w:line="31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left="20" w:right="340" w:hanging="11"/>
        <w:spacing w:after="0" w:line="277" w:lineRule="auto"/>
        <w:rPr>
          <w:sz w:val="20"/>
          <w:szCs w:val="20"/>
          <w:color w:val="auto"/>
        </w:rPr>
      </w:pPr>
      <w:r>
        <w:rPr>
          <w:rFonts w:ascii="Arial" w:cs="Arial" w:eastAsia="Arial" w:hAnsi="Arial"/>
          <w:sz w:val="18"/>
          <w:szCs w:val="18"/>
          <w:color w:val="auto"/>
        </w:rPr>
        <w:t>Effective January 1, 2014, our natural gas sales and costs, primarily attributable to the activities performed by our natural gas storage commercial optimization group, are reported in the Supply and Logistics segment.</w:t>
      </w:r>
    </w:p>
    <w:p>
      <w:pPr>
        <w:spacing w:after="0" w:line="170" w:lineRule="exact"/>
        <w:rPr>
          <w:sz w:val="20"/>
          <w:szCs w:val="20"/>
          <w:color w:val="auto"/>
        </w:rPr>
      </w:pPr>
    </w:p>
    <w:p>
      <w:pPr>
        <w:ind w:left="20" w:right="200" w:hanging="11"/>
        <w:spacing w:after="0" w:line="264" w:lineRule="auto"/>
        <w:rPr>
          <w:sz w:val="20"/>
          <w:szCs w:val="20"/>
          <w:color w:val="auto"/>
        </w:rPr>
      </w:pPr>
      <w:r>
        <w:rPr>
          <w:rFonts w:ascii="Arial" w:cs="Arial" w:eastAsia="Arial" w:hAnsi="Arial"/>
          <w:sz w:val="18"/>
          <w:szCs w:val="18"/>
          <w:color w:val="auto"/>
        </w:rPr>
        <w:t>Equity-indexed compensation expense shown in the table above includes expenses associated with awards that will or may be settled in units and awards that will or may be settled in cash. See Note 15 to our Consolidated Financial Statements included in Part IV of our 2013 Annual Report on Form 10-K for additional discussion regarding our equity-indexed compensation plans.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ectPr>
          <w:pgSz w:w="11900" w:h="16838" w:orient="portrait"/>
          <w:cols w:equalWidth="0" w:num="2">
            <w:col w:w="140" w:space="500"/>
            <w:col w:w="10820"/>
          </w:cols>
          <w:pgMar w:left="240" w:top="125" w:right="199" w:bottom="203" w:gutter="0" w:footer="0" w:header="0"/>
          <w:type w:val="continuous"/>
        </w:sectPr>
      </w:pPr>
    </w:p>
    <w:bookmarkStart w:id="25" w:name="page26"/>
    <w:bookmarkEnd w:id="25"/>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(5)</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br w:type="column"/>
      </w:r>
    </w:p>
    <w:p>
      <w:pPr>
        <w:ind w:left="4" w:right="340" w:hanging="11"/>
        <w:spacing w:after="0" w:line="277" w:lineRule="auto"/>
        <w:rPr>
          <w:sz w:val="20"/>
          <w:szCs w:val="20"/>
          <w:color w:val="auto"/>
        </w:rPr>
      </w:pPr>
      <w:r>
        <w:rPr>
          <w:rFonts w:ascii="Arial" w:cs="Arial" w:eastAsia="Arial" w:hAnsi="Arial"/>
          <w:sz w:val="18"/>
          <w:szCs w:val="18"/>
          <w:color w:val="auto"/>
        </w:rPr>
        <w:t>Volumes associated with assets employed through acquisitions and internal growth projects represent total volumes for the number of months we employed the assets divided by the number of months in the period.</w:t>
      </w:r>
    </w:p>
    <w:p>
      <w:pPr>
        <w:spacing w:after="0" w:line="170" w:lineRule="exact"/>
        <w:rPr>
          <w:sz w:val="20"/>
          <w:szCs w:val="20"/>
          <w:color w:val="auto"/>
        </w:rPr>
      </w:pPr>
    </w:p>
    <w:p>
      <w:pPr>
        <w:jc w:val="both"/>
        <w:ind w:left="4" w:hanging="7"/>
        <w:spacing w:after="0" w:line="288" w:lineRule="auto"/>
        <w:rPr>
          <w:sz w:val="20"/>
          <w:szCs w:val="20"/>
          <w:color w:val="auto"/>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capacity divided by 6 to account for the 6:1 mcf of gas to crude Btu equivalent ratio and further divided by 1,000 to convert to monthly volumes in millions; and</w:t>
      </w:r>
    </w:p>
    <w:p>
      <w:pPr>
        <w:ind w:left="4" w:right="1340" w:hanging="4"/>
        <w:spacing w:after="0" w:line="554" w:lineRule="auto"/>
        <w:tabs>
          <w:tab w:leader="none" w:pos="309" w:val="left"/>
        </w:tabs>
        <w:numPr>
          <w:ilvl w:val="0"/>
          <w:numId w:val="23"/>
        </w:numPr>
        <w:rPr>
          <w:rFonts w:ascii="Arial" w:cs="Arial" w:eastAsia="Arial" w:hAnsi="Arial"/>
          <w:sz w:val="16"/>
          <w:szCs w:val="16"/>
          <w:color w:val="auto"/>
        </w:rPr>
      </w:pPr>
      <w:r>
        <w:rPr>
          <w:rFonts w:ascii="Arial" w:cs="Arial" w:eastAsia="Arial" w:hAnsi="Arial"/>
          <w:sz w:val="16"/>
          <w:szCs w:val="16"/>
          <w:color w:val="auto"/>
        </w:rPr>
        <w:t>NGL fractionation volumes multiplied by the number of days in the period and divided by the number of months in the period. The following is a discussion of items impacting Facilities segment profit and segment profit per barrel for the periods indicated.</w:t>
      </w:r>
    </w:p>
    <w:p>
      <w:pPr>
        <w:spacing w:after="0" w:line="1" w:lineRule="exact"/>
        <w:rPr>
          <w:sz w:val="20"/>
          <w:szCs w:val="20"/>
          <w:color w:val="auto"/>
        </w:rPr>
      </w:pPr>
    </w:p>
    <w:p>
      <w:pPr>
        <w:sectPr>
          <w:pgSz w:w="11900" w:h="16838" w:orient="portrait"/>
          <w:cols w:equalWidth="0" w:num="2">
            <w:col w:w="160" w:space="496"/>
            <w:col w:w="10764"/>
          </w:cols>
          <w:pgMar w:left="240" w:top="125" w:right="239" w:bottom="0" w:gutter="0" w:footer="0" w:header="0"/>
        </w:sectPr>
      </w:pPr>
    </w:p>
    <w:p>
      <w:pPr>
        <w:ind w:right="220" w:firstLine="648"/>
        <w:spacing w:after="0" w:line="279" w:lineRule="auto"/>
        <w:rPr>
          <w:sz w:val="20"/>
          <w:szCs w:val="20"/>
          <w:color w:val="auto"/>
        </w:rPr>
      </w:pPr>
      <w:r>
        <w:rPr>
          <w:rFonts w:ascii="Arial" w:cs="Arial" w:eastAsia="Arial" w:hAnsi="Arial"/>
          <w:sz w:val="17"/>
          <w:szCs w:val="17"/>
          <w:i w:val="1"/>
          <w:iCs w:val="1"/>
          <w:color w:val="auto"/>
        </w:rPr>
        <w:t xml:space="preserve">Operating Revenues and Volumes. </w:t>
      </w:r>
      <w:r>
        <w:rPr>
          <w:rFonts w:ascii="Arial" w:cs="Arial" w:eastAsia="Arial" w:hAnsi="Arial"/>
          <w:sz w:val="17"/>
          <w:szCs w:val="17"/>
          <w:color w:val="auto"/>
        </w:rPr>
        <w:t>As noted in the table above, our Facilities segment revenues, less storage related costs,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2014 were in line with our results as compared to the same period of 2013, while our segment revenues, less storage related costs, increased slightly for the six months ended June 30, 2014 compared to the six months ended June 30, 2013. Total volumes were relatively consistent over the periods presented. The significant variances in revenues between the comparative periods are discussed below: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0" w:hanging="328"/>
        <w:spacing w:after="0" w:line="259"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NGL Fractionation, NGL Storage and Natural Gas Processing Activities —Increases in revenues from our NGL fractionation and storage and natural gas processing activities of approximately $5 million and $21 million, respectively, for the three and six months ended June 30, 2014 compared to the three and six months ended June 30, 2013, were largely driven by higher facility fee revenues due to rate increases at certain of our storage and fractionation facilities.</w:t>
      </w:r>
    </w:p>
    <w:p>
      <w:pPr>
        <w:spacing w:after="0" w:line="187" w:lineRule="exact"/>
        <w:rPr>
          <w:sz w:val="20"/>
          <w:szCs w:val="20"/>
          <w:color w:val="auto"/>
        </w:rPr>
      </w:pPr>
    </w:p>
    <w:p>
      <w:pPr>
        <w:ind w:left="660" w:right="80"/>
        <w:spacing w:after="0" w:line="276" w:lineRule="auto"/>
        <w:rPr>
          <w:sz w:val="20"/>
          <w:szCs w:val="20"/>
          <w:color w:val="auto"/>
        </w:rPr>
      </w:pPr>
      <w:r>
        <w:rPr>
          <w:rFonts w:ascii="Arial" w:cs="Arial" w:eastAsia="Arial" w:hAnsi="Arial"/>
          <w:sz w:val="17"/>
          <w:szCs w:val="17"/>
          <w:color w:val="auto"/>
        </w:rPr>
        <w:t>These increases in NGL revenues include estimated unfavorable foreign currency impacts of approximately $5 million and $11 million for the three and six months ended June 30, 2014, respectively, as compared to the three and six months ended June 30, 2013 due to the depreciation of the Canadian dollar relative to the U.S. dollar. The average CAD to USD exchange rates for the three months ended June 30, 2014 and 2013 were $1.09 CAD: $1.00 USD and $1.02 CAD: $1.00 USD, respectively. The average CAD to USD exchange rates for the six months ended June 30, 2014 and 2013 were $1.10 CAD: $1.00 USD and $1.02 CAD: $1.00 USD, respectively.</w:t>
      </w:r>
    </w:p>
    <w:p>
      <w:pPr>
        <w:spacing w:after="0" w:line="173" w:lineRule="exact"/>
        <w:rPr>
          <w:sz w:val="20"/>
          <w:szCs w:val="20"/>
          <w:color w:val="auto"/>
        </w:rPr>
      </w:pPr>
    </w:p>
    <w:p>
      <w:pPr>
        <w:ind w:left="660" w:right="120" w:hanging="328"/>
        <w:spacing w:after="0" w:line="297" w:lineRule="auto"/>
        <w:tabs>
          <w:tab w:leader="none" w:pos="624" w:val="left"/>
        </w:tabs>
        <w:numPr>
          <w:ilvl w:val="0"/>
          <w:numId w:val="25"/>
        </w:numPr>
        <w:rPr>
          <w:rFonts w:ascii="Arial" w:cs="Arial" w:eastAsia="Arial" w:hAnsi="Arial"/>
          <w:sz w:val="16"/>
          <w:szCs w:val="16"/>
          <w:color w:val="auto"/>
        </w:rPr>
      </w:pPr>
      <w:r>
        <w:rPr>
          <w:rFonts w:ascii="Arial" w:cs="Arial" w:eastAsia="Arial" w:hAnsi="Arial"/>
          <w:sz w:val="16"/>
          <w:szCs w:val="16"/>
          <w:color w:val="auto"/>
        </w:rPr>
        <w:t>Natural Gas Storage Operations — Net revenues from our natural gas storage operations decreased by approximately $9 million and $21 million, respectively, for the three and six months ended June 30, 2014 compared to the three and six months ended June 30, 2013. The decrease for the three-month 2014 period was primarily due to decreased storage rates on contracts that renewed or replaced expiring contracts. The six-month 2014 period was further unfavorably impacted by costs incurred in our natural gas storage activities to manage deliverability requirements in conjunction with the extended period of severe cold weather experienced during the first several months of 2014.</w:t>
      </w:r>
    </w:p>
    <w:p>
      <w:pPr>
        <w:spacing w:after="0" w:line="158" w:lineRule="exact"/>
        <w:rPr>
          <w:rFonts w:ascii="Arial" w:cs="Arial" w:eastAsia="Arial" w:hAnsi="Arial"/>
          <w:sz w:val="16"/>
          <w:szCs w:val="16"/>
          <w:color w:val="auto"/>
        </w:rPr>
      </w:pPr>
    </w:p>
    <w:p>
      <w:pPr>
        <w:ind w:left="660" w:right="60" w:hanging="328"/>
        <w:spacing w:after="0" w:line="255"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Rail Terminals —Revenues from rail load and unload activities increased by approximately $3 million for the six months ended June 30, 2014 compared to the same period in 2013, respectively. This increase was primarily due to new rail terminals that came online in the fourth quarter of 2013, partially offset by the unfavorable impact of rail congestion and weather-related issues at certain of our terminals. For the three month comparable period, the increase in revenues from the new rail terminals was offset by decreased volumes into our St. James facility as well as the unfavorable impact of congestion, resulting in relatively consistent revenues for the three months ended June 30, 2014 compared to the three months ended June 30, 2013.</w:t>
      </w:r>
    </w:p>
    <w:p>
      <w:pPr>
        <w:spacing w:after="0" w:line="193" w:lineRule="exact"/>
        <w:rPr>
          <w:rFonts w:ascii="Arial" w:cs="Arial" w:eastAsia="Arial" w:hAnsi="Arial"/>
          <w:sz w:val="18"/>
          <w:szCs w:val="18"/>
          <w:color w:val="auto"/>
        </w:rPr>
      </w:pPr>
    </w:p>
    <w:p>
      <w:pPr>
        <w:ind w:left="660" w:right="20" w:hanging="328"/>
        <w:spacing w:after="0" w:line="273" w:lineRule="auto"/>
        <w:tabs>
          <w:tab w:leader="none" w:pos="624" w:val="left"/>
        </w:tabs>
        <w:numPr>
          <w:ilvl w:val="0"/>
          <w:numId w:val="25"/>
        </w:numPr>
        <w:rPr>
          <w:rFonts w:ascii="Arial" w:cs="Arial" w:eastAsia="Arial" w:hAnsi="Arial"/>
          <w:sz w:val="17"/>
          <w:szCs w:val="17"/>
          <w:color w:val="auto"/>
        </w:rPr>
      </w:pPr>
      <w:r>
        <w:rPr>
          <w:rFonts w:ascii="Arial" w:cs="Arial" w:eastAsia="Arial" w:hAnsi="Arial"/>
          <w:sz w:val="17"/>
          <w:szCs w:val="17"/>
          <w:color w:val="auto"/>
        </w:rPr>
        <w:t>Crude Oil Storage and Condensate Processing Activities —Increased revenues from our crude oil storage and condensate processing activities of approximately $4 million and $5 million, respectively, for the three and six months ended June 30, 2014 compared to the three and six months ended June 30, 2013 were largely driven by the start-up and subsequent expansion of our Eagle Ford processing facility and increased throughput and expansions at certain of our Mid-Continent and Gulf Coast storage facilities. However, such results were partially offset by reduced revenues from storage facilities in California and the East Coast due to decreased demand, as well as the reclassification of certain of our Canadian storage facilities to our Transportation segment during the second quarter of 2014.</w:t>
      </w:r>
    </w:p>
    <w:p>
      <w:pPr>
        <w:spacing w:after="0" w:line="17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Field operating costs (excluding equity-indexed compensation expenses) increased during the three and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2014 compared to the three and six months ended June 30, 2013 due to (i) a change in classification of certain costs from General and Administrative expenses, (ii) increased utility costs due primarily to higher power and gas prices and (iii) increased maintenance and repairs costs.</w:t>
      </w:r>
    </w:p>
    <w:p>
      <w:pPr>
        <w:spacing w:after="0" w:line="166"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(excluding equity-indexed compensation expenses) remained relatively</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consistent for the three months ended June 30, 2014 compared to the three months ended June 30, 2013 and decreased during the comparative six-month periods. These results reflect the net impact of a decrease in general and administrative expenses due to a change in classification of certain costs to Field Operating Costs during the 2014 periods partially offset by increased expenses resulting from overall growth in the segment.</w:t>
      </w:r>
    </w:p>
    <w:p>
      <w:pPr>
        <w:spacing w:after="0" w:line="154"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i w:val="1"/>
          <w:iCs w:val="1"/>
          <w:color w:val="auto"/>
        </w:rPr>
        <w:t xml:space="preserve">Equity-Indexed Compensation Expense. </w:t>
      </w:r>
      <w:r>
        <w:rPr>
          <w:rFonts w:ascii="Arial" w:cs="Arial" w:eastAsia="Arial" w:hAnsi="Arial"/>
          <w:sz w:val="16"/>
          <w:szCs w:val="16"/>
          <w:color w:val="auto"/>
        </w:rPr>
        <w:t>On a consolidated basis across all segments, equity-indexed compensation expense increased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2014 over the comparable 2013 period, and decreased for the six months ended June 30, 2014 compared to the six months ended June 30, 2013. See the discussion regarding such variances under “— Transportation Segment” above. Also, see Note 15 to our Consolidated Financial Statements included in Part IV of our 2013 Annual Report on Form 10-K for additional information regarding our equity-indexed compensation plans.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Our revenues from supply and logistics activities reflect the sale of gathered and bulk-purchased crude oil, as well as sales of NGL volumes purchased from suppliers and natural gas sales attributable to the activities performed by our natural gas storage commercial optimization group. We do not anticipate that future changes in revenues resulting from variances in commodity prices will be a primary driver of segment profit. Generally, we expect our segment profit to increase or decrease directionally with (i) increases or decreases in our Supply and Logistics segment volumes (which consist of lease gathering crude oil purchase volumes, NGL sales volumes and waterborne cargos),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w:t>
      </w:r>
    </w:p>
    <w:p>
      <w:pPr>
        <w:sectPr>
          <w:pgSz w:w="11900" w:h="16838" w:orient="portrait"/>
          <w:cols w:equalWidth="0" w:num="1">
            <w:col w:w="11420"/>
          </w:cols>
          <w:pgMar w:left="240" w:top="125" w:right="239" w:bottom="0" w:gutter="0" w:footer="0" w:header="0"/>
          <w:type w:val="continuous"/>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operating results from our Supply and Logistics segment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680" w:type="dxa"/>
            <w:vAlign w:val="bottom"/>
            <w:gridSpan w:val="5"/>
          </w:tcPr>
          <w:p>
            <w:pPr>
              <w:jc w:val="center"/>
              <w:ind w:right="472"/>
              <w:spacing w:after="0"/>
              <w:rPr>
                <w:sz w:val="20"/>
                <w:szCs w:val="20"/>
                <w:color w:val="auto"/>
              </w:rPr>
            </w:pPr>
            <w:r>
              <w:rPr>
                <w:rFonts w:ascii="Arial" w:cs="Arial" w:eastAsia="Arial" w:hAnsi="Arial"/>
                <w:sz w:val="14"/>
                <w:szCs w:val="14"/>
                <w:b w:val="1"/>
                <w:bCs w:val="1"/>
                <w:color w:val="auto"/>
                <w:w w:val="94"/>
              </w:rPr>
              <w:t>Favorable/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7"/>
            <w:vMerge w:val="restart"/>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6"/>
          </w:tcPr>
          <w:p>
            <w:pPr>
              <w:jc w:val="center"/>
              <w:ind w:right="350"/>
              <w:spacing w:after="0"/>
              <w:rPr>
                <w:sz w:val="20"/>
                <w:szCs w:val="20"/>
                <w:color w:val="auto"/>
              </w:rPr>
            </w:pPr>
            <w:r>
              <w:rPr>
                <w:rFonts w:ascii="Arial" w:cs="Arial" w:eastAsia="Arial" w:hAnsi="Arial"/>
                <w:sz w:val="14"/>
                <w:szCs w:val="14"/>
                <w:b w:val="1"/>
                <w:bCs w:val="1"/>
                <w:color w:val="auto"/>
                <w:w w:val="94"/>
              </w:rPr>
              <w:t>Favorable/</w:t>
            </w:r>
          </w:p>
        </w:tc>
        <w:tc>
          <w:tcPr>
            <w:tcW w:w="0" w:type="dxa"/>
            <w:vAlign w:val="bottom"/>
          </w:tcPr>
          <w:p>
            <w:pPr>
              <w:spacing w:after="0"/>
              <w:rPr>
                <w:sz w:val="1"/>
                <w:szCs w:val="1"/>
                <w:color w:val="auto"/>
              </w:rPr>
            </w:pPr>
          </w:p>
        </w:tc>
      </w:tr>
      <w:tr>
        <w:trPr>
          <w:trHeight w:val="149"/>
        </w:trPr>
        <w:tc>
          <w:tcPr>
            <w:tcW w:w="34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 (2)</w:t>
            </w:r>
          </w:p>
        </w:tc>
        <w:tc>
          <w:tcPr>
            <w:tcW w:w="180" w:type="dxa"/>
            <w:vAlign w:val="bottom"/>
          </w:tcPr>
          <w:p>
            <w:pPr>
              <w:spacing w:after="0"/>
              <w:rPr>
                <w:sz w:val="12"/>
                <w:szCs w:val="12"/>
                <w:color w:val="auto"/>
              </w:rPr>
            </w:pPr>
          </w:p>
        </w:tc>
        <w:tc>
          <w:tcPr>
            <w:tcW w:w="200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5"/>
          </w:tcPr>
          <w:p>
            <w:pPr>
              <w:jc w:val="center"/>
              <w:ind w:right="472"/>
              <w:spacing w:after="0" w:line="149" w:lineRule="exact"/>
              <w:rPr>
                <w:sz w:val="20"/>
                <w:szCs w:val="20"/>
                <w:color w:val="auto"/>
              </w:rPr>
            </w:pPr>
            <w:r>
              <w:rPr>
                <w:rFonts w:ascii="Arial" w:cs="Arial" w:eastAsia="Arial" w:hAnsi="Arial"/>
                <w:sz w:val="14"/>
                <w:szCs w:val="14"/>
                <w:b w:val="1"/>
                <w:bCs w:val="1"/>
                <w:color w:val="auto"/>
                <w:w w:val="95"/>
              </w:rPr>
              <w:t>(Unfavorable)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6"/>
          </w:tcPr>
          <w:p>
            <w:pPr>
              <w:jc w:val="center"/>
              <w:ind w:right="35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71"/>
        </w:trPr>
        <w:tc>
          <w:tcPr>
            <w:tcW w:w="340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center"/>
              <w:ind w:left="196"/>
              <w:spacing w:after="0"/>
              <w:rPr>
                <w:sz w:val="20"/>
                <w:szCs w:val="20"/>
                <w:color w:val="auto"/>
              </w:rPr>
            </w:pPr>
            <w:r>
              <w:rPr>
                <w:rFonts w:ascii="Arial" w:cs="Arial" w:eastAsia="Arial" w:hAnsi="Arial"/>
                <w:sz w:val="14"/>
                <w:szCs w:val="14"/>
                <w:b w:val="1"/>
                <w:bCs w:val="1"/>
                <w:color w:val="auto"/>
                <w:w w:val="92"/>
              </w:rPr>
              <w:t>Variance</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99"/>
              </w:rPr>
              <w:t>June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left="217"/>
              <w:spacing w:after="0"/>
              <w:rPr>
                <w:sz w:val="20"/>
                <w:szCs w:val="20"/>
                <w:color w:val="auto"/>
              </w:rPr>
            </w:pPr>
            <w:r>
              <w:rPr>
                <w:rFonts w:ascii="Arial" w:cs="Arial" w:eastAsia="Arial" w:hAnsi="Arial"/>
                <w:sz w:val="14"/>
                <w:szCs w:val="14"/>
                <w:b w:val="1"/>
                <w:bCs w:val="1"/>
                <w:color w:val="auto"/>
                <w:w w:val="92"/>
              </w:rPr>
              <w:t>Variance</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140" w:type="dxa"/>
            <w:vAlign w:val="bottom"/>
            <w:tcBorders>
              <w:bottom w:val="single" w:sz="8" w:color="CCEEFF"/>
            </w:tcBorders>
            <w:gridSpan w:val="2"/>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10,860</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9,934</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60" w:type="dxa"/>
            <w:vAlign w:val="bottom"/>
            <w:shd w:val="clear" w:color="auto" w:fill="CCEEFF"/>
          </w:tcPr>
          <w:p>
            <w:pPr>
              <w:spacing w:after="0"/>
              <w:rPr>
                <w:sz w:val="18"/>
                <w:szCs w:val="18"/>
                <w:color w:val="auto"/>
              </w:rPr>
            </w:pPr>
          </w:p>
        </w:tc>
        <w:tc>
          <w:tcPr>
            <w:tcW w:w="860" w:type="dxa"/>
            <w:vAlign w:val="bottom"/>
            <w:tcBorders>
              <w:left w:val="single" w:sz="8" w:color="CCEEFF"/>
              <w:right w:val="single" w:sz="8" w:color="auto"/>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20,158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60" w:type="dxa"/>
            <w:vAlign w:val="bottom"/>
            <w:shd w:val="clear" w:color="auto" w:fill="CCEEFF"/>
          </w:tcPr>
          <w:p>
            <w:pPr>
              <w:spacing w:after="0"/>
              <w:rPr>
                <w:sz w:val="18"/>
                <w:szCs w:val="18"/>
                <w:color w:val="auto"/>
              </w:rPr>
            </w:pPr>
          </w:p>
        </w:tc>
        <w:tc>
          <w:tcPr>
            <w:tcW w:w="820" w:type="dxa"/>
            <w:vAlign w:val="bottom"/>
            <w:tcBorders>
              <w:lef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400" w:type="dxa"/>
            <w:vAlign w:val="bottom"/>
            <w:gridSpan w:val="4"/>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(3)</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(10,578)</w:t>
            </w:r>
          </w:p>
        </w:tc>
        <w:tc>
          <w:tcPr>
            <w:tcW w:w="1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(9,614)</w:t>
            </w:r>
          </w:p>
        </w:tc>
        <w:tc>
          <w:tcPr>
            <w:tcW w:w="16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(964)</w:t>
            </w:r>
          </w:p>
        </w:tc>
        <w:tc>
          <w:tcPr>
            <w:tcW w:w="860" w:type="dxa"/>
            <w:vAlign w:val="bottom"/>
            <w:tcBorders>
              <w:right w:val="single" w:sz="8" w:color="auto"/>
            </w:tcBorders>
            <w:gridSpan w:val="2"/>
          </w:tcPr>
          <w:p>
            <w:pPr>
              <w:jc w:val="right"/>
              <w:ind w:right="92"/>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(21,553)</w:t>
            </w:r>
          </w:p>
        </w:tc>
        <w:tc>
          <w:tcPr>
            <w:tcW w:w="100" w:type="dxa"/>
            <w:vAlign w:val="bottom"/>
          </w:tcPr>
          <w:p>
            <w:pPr>
              <w:spacing w:after="0"/>
              <w:rPr>
                <w:sz w:val="18"/>
                <w:szCs w:val="18"/>
                <w:color w:val="auto"/>
              </w:rPr>
            </w:pPr>
          </w:p>
        </w:tc>
        <w:tc>
          <w:tcPr>
            <w:tcW w:w="960" w:type="dxa"/>
            <w:vAlign w:val="bottom"/>
            <w:gridSpan w:val="4"/>
          </w:tcPr>
          <w:p>
            <w:pPr>
              <w:jc w:val="right"/>
              <w:ind w:right="8"/>
              <w:spacing w:after="0"/>
              <w:rPr>
                <w:sz w:val="20"/>
                <w:szCs w:val="20"/>
                <w:color w:val="auto"/>
              </w:rPr>
            </w:pPr>
            <w:r>
              <w:rPr>
                <w:rFonts w:ascii="Arial" w:cs="Arial" w:eastAsia="Arial" w:hAnsi="Arial"/>
                <w:sz w:val="18"/>
                <w:szCs w:val="18"/>
                <w:color w:val="auto"/>
              </w:rPr>
              <w:t>(19,249)</w:t>
            </w:r>
          </w:p>
        </w:tc>
        <w:tc>
          <w:tcPr>
            <w:tcW w:w="12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(2,304)</w:t>
            </w:r>
          </w:p>
        </w:tc>
        <w:tc>
          <w:tcPr>
            <w:tcW w:w="820" w:type="dxa"/>
            <w:vAlign w:val="bottom"/>
            <w:gridSpan w:val="3"/>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34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Field operating costs (excluding equity-</w:t>
            </w: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tcBorders>
              <w:left w:val="single" w:sz="8" w:color="CCEEFF"/>
              <w:right w:val="single" w:sz="8" w:color="CCEEFF"/>
            </w:tcBorders>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tcBorders>
              <w:left w:val="single" w:sz="8" w:color="CCEEFF"/>
            </w:tcBorders>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indexed compensation expense)</w:t>
            </w:r>
          </w:p>
        </w:tc>
        <w:tc>
          <w:tcPr>
            <w:tcW w:w="18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60" w:type="dxa"/>
            <w:vAlign w:val="bottom"/>
            <w:tcBorders>
              <w:left w:val="single" w:sz="8" w:color="CCEEFF"/>
              <w:right w:val="single" w:sz="8" w:color="auto"/>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0"/>
                <w:szCs w:val="20"/>
                <w:color w:val="auto"/>
              </w:rPr>
            </w:pPr>
          </w:p>
        </w:tc>
        <w:tc>
          <w:tcPr>
            <w:tcW w:w="960" w:type="dxa"/>
            <w:vAlign w:val="bottom"/>
            <w:gridSpan w:val="4"/>
            <w:shd w:val="clear" w:color="auto" w:fill="CCEEFF"/>
          </w:tcPr>
          <w:p>
            <w:pPr>
              <w:jc w:val="right"/>
              <w:ind w:right="8"/>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20" w:type="dxa"/>
            <w:vAlign w:val="bottom"/>
            <w:tcBorders>
              <w:lef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3400" w:type="dxa"/>
            <w:vAlign w:val="bottom"/>
            <w:gridSpan w:val="4"/>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4"/>
          </w:tcPr>
          <w:p>
            <w:pPr>
              <w:ind w:left="180"/>
              <w:spacing w:after="0" w:line="231" w:lineRule="exact"/>
              <w:rPr>
                <w:sz w:val="20"/>
                <w:szCs w:val="20"/>
                <w:color w:val="auto"/>
              </w:rPr>
            </w:pPr>
            <w:r>
              <w:rPr>
                <w:rFonts w:ascii="Arial" w:cs="Arial" w:eastAsia="Arial" w:hAnsi="Arial"/>
                <w:sz w:val="18"/>
                <w:szCs w:val="18"/>
                <w:color w:val="auto"/>
              </w:rPr>
              <w:t xml:space="preserve">operations </w:t>
            </w:r>
            <w:r>
              <w:rPr>
                <w:rFonts w:ascii="Arial" w:cs="Arial" w:eastAsia="Arial" w:hAnsi="Arial"/>
                <w:sz w:val="23"/>
                <w:szCs w:val="23"/>
                <w:color w:val="auto"/>
                <w:vertAlign w:val="superscript"/>
              </w:rPr>
              <w:t>(4)</w:t>
            </w:r>
          </w:p>
        </w:tc>
        <w:tc>
          <w:tcPr>
            <w:tcW w:w="1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tcPr>
          <w:p>
            <w:pPr>
              <w:jc w:val="right"/>
              <w:ind w:right="1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960" w:type="dxa"/>
            <w:vAlign w:val="bottom"/>
            <w:gridSpan w:val="4"/>
          </w:tcPr>
          <w:p>
            <w:pPr>
              <w:jc w:val="right"/>
              <w:ind w:right="8"/>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tcBorders>
              <w:left w:val="single" w:sz="8" w:color="CCEEFF"/>
              <w:right w:val="single" w:sz="8" w:color="CCEEFF"/>
            </w:tcBorders>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tcBorders>
              <w:left w:val="single" w:sz="8" w:color="CCEEFF"/>
            </w:tcBorders>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4"/>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(excluding equity- indexed</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18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Borders>
              <w:left w:val="single" w:sz="8" w:color="CCEEFF"/>
              <w:right w:val="single" w:sz="8" w:color="auto"/>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0"/>
                <w:szCs w:val="20"/>
                <w:color w:val="auto"/>
              </w:rPr>
            </w:pPr>
          </w:p>
        </w:tc>
        <w:tc>
          <w:tcPr>
            <w:tcW w:w="960" w:type="dxa"/>
            <w:vAlign w:val="bottom"/>
            <w:gridSpan w:val="4"/>
            <w:shd w:val="clear" w:color="auto" w:fill="CCEEFF"/>
          </w:tcPr>
          <w:p>
            <w:pPr>
              <w:jc w:val="right"/>
              <w:ind w:right="8"/>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820" w:type="dxa"/>
            <w:vAlign w:val="bottom"/>
            <w:tcBorders>
              <w:lef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0" w:type="dxa"/>
            <w:vAlign w:val="bottom"/>
            <w:gridSpan w:val="4"/>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4"/>
          </w:tcPr>
          <w:p>
            <w:pPr>
              <w:ind w:left="180"/>
              <w:spacing w:after="0" w:line="231"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(4)</w:t>
            </w:r>
          </w:p>
        </w:tc>
        <w:tc>
          <w:tcPr>
            <w:tcW w:w="1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860" w:type="dxa"/>
            <w:vAlign w:val="bottom"/>
            <w:tcBorders>
              <w:right w:val="single" w:sz="8" w:color="auto"/>
            </w:tcBorders>
            <w:gridSpan w:val="2"/>
          </w:tcPr>
          <w:p>
            <w:pPr>
              <w:jc w:val="right"/>
              <w:ind w:right="92"/>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960" w:type="dxa"/>
            <w:vAlign w:val="bottom"/>
            <w:gridSpan w:val="4"/>
          </w:tcPr>
          <w:p>
            <w:pPr>
              <w:jc w:val="right"/>
              <w:ind w:right="8"/>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0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4"/>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vMerge w:val="continue"/>
            <w:shd w:val="clear" w:color="auto" w:fill="CCEEFF"/>
          </w:tcPr>
          <w:p>
            <w:pPr>
              <w:spacing w:after="0"/>
              <w:rPr>
                <w:sz w:val="18"/>
                <w:szCs w:val="18"/>
                <w:color w:val="auto"/>
              </w:rPr>
            </w:pPr>
          </w:p>
        </w:tc>
        <w:tc>
          <w:tcPr>
            <w:tcW w:w="860" w:type="dxa"/>
            <w:vAlign w:val="bottom"/>
            <w:tcBorders>
              <w:left w:val="single" w:sz="8" w:color="CCEEFF"/>
              <w:right w:val="single" w:sz="8" w:color="auto"/>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(24)%</w:t>
            </w:r>
          </w:p>
        </w:tc>
        <w:tc>
          <w:tcPr>
            <w:tcW w:w="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610</w:t>
            </w:r>
          </w:p>
        </w:tc>
        <w:tc>
          <w:tcPr>
            <w:tcW w:w="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60" w:type="dxa"/>
            <w:vAlign w:val="bottom"/>
            <w:vMerge w:val="continue"/>
            <w:shd w:val="clear" w:color="auto" w:fill="CCEEFF"/>
          </w:tcPr>
          <w:p>
            <w:pPr>
              <w:spacing w:after="0"/>
              <w:rPr>
                <w:sz w:val="18"/>
                <w:szCs w:val="18"/>
                <w:color w:val="auto"/>
              </w:rPr>
            </w:pPr>
          </w:p>
        </w:tc>
        <w:tc>
          <w:tcPr>
            <w:tcW w:w="820" w:type="dxa"/>
            <w:vAlign w:val="bottom"/>
            <w:tcBorders>
              <w:lef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rPr>
              <w:t>Maintenance capital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0" w:type="dxa"/>
            <w:vAlign w:val="bottom"/>
            <w:gridSpan w:val="4"/>
            <w:vMerge w:val="continue"/>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200" w:type="dxa"/>
            <w:vAlign w:val="bottom"/>
            <w:vMerge w:val="continue"/>
          </w:tcPr>
          <w:p>
            <w:pPr>
              <w:spacing w:after="0"/>
              <w:rPr>
                <w:sz w:val="20"/>
                <w:szCs w:val="20"/>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140" w:type="dxa"/>
            <w:vAlign w:val="bottom"/>
            <w:vMerge w:val="continue"/>
          </w:tcPr>
          <w:p>
            <w:pPr>
              <w:spacing w:after="0"/>
              <w:rPr>
                <w:sz w:val="20"/>
                <w:szCs w:val="20"/>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160" w:type="dxa"/>
            <w:vAlign w:val="bottom"/>
            <w:vMerge w:val="continue"/>
          </w:tcPr>
          <w:p>
            <w:pPr>
              <w:spacing w:after="0"/>
              <w:rPr>
                <w:sz w:val="20"/>
                <w:szCs w:val="20"/>
                <w:color w:val="auto"/>
              </w:rPr>
            </w:pPr>
          </w:p>
        </w:tc>
        <w:tc>
          <w:tcPr>
            <w:tcW w:w="860" w:type="dxa"/>
            <w:vAlign w:val="bottom"/>
            <w:tcBorders>
              <w:right w:val="single" w:sz="8" w:color="auto"/>
            </w:tcBorders>
            <w:gridSpan w:val="2"/>
          </w:tcPr>
          <w:p>
            <w:pPr>
              <w:jc w:val="right"/>
              <w:ind w:right="152"/>
              <w:spacing w:after="0" w:line="196" w:lineRule="exact"/>
              <w:rPr>
                <w:sz w:val="20"/>
                <w:szCs w:val="20"/>
                <w:color w:val="auto"/>
              </w:rPr>
            </w:pPr>
            <w:r>
              <w:rPr>
                <w:rFonts w:ascii="Arial" w:cs="Arial" w:eastAsia="Arial" w:hAnsi="Arial"/>
                <w:sz w:val="18"/>
                <w:szCs w:val="18"/>
                <w:color w:val="auto"/>
              </w:rPr>
              <w:t>80%</w:t>
            </w:r>
          </w:p>
        </w:tc>
        <w:tc>
          <w:tcPr>
            <w:tcW w:w="6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140" w:type="dxa"/>
            <w:vAlign w:val="bottom"/>
            <w:vMerge w:val="continue"/>
          </w:tcPr>
          <w:p>
            <w:pPr>
              <w:spacing w:after="0"/>
              <w:rPr>
                <w:sz w:val="20"/>
                <w:szCs w:val="20"/>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1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160" w:type="dxa"/>
            <w:vAlign w:val="bottom"/>
            <w:vMerge w:val="continue"/>
          </w:tcPr>
          <w:p>
            <w:pPr>
              <w:spacing w:after="0"/>
              <w:rPr>
                <w:sz w:val="20"/>
                <w:szCs w:val="20"/>
                <w:color w:val="auto"/>
              </w:rPr>
            </w:pPr>
          </w:p>
        </w:tc>
        <w:tc>
          <w:tcPr>
            <w:tcW w:w="820" w:type="dxa"/>
            <w:vAlign w:val="bottom"/>
            <w:gridSpan w:val="3"/>
          </w:tcPr>
          <w:p>
            <w:pPr>
              <w:jc w:val="right"/>
              <w:ind w:right="7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7"/>
        </w:trPr>
        <w:tc>
          <w:tcPr>
            <w:tcW w:w="3400" w:type="dxa"/>
            <w:vAlign w:val="bottom"/>
            <w:tcBorders>
              <w:top w:val="single" w:sz="8" w:color="CCEEFF"/>
              <w:bottom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Segment profit per barrel</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w:t>
            </w:r>
          </w:p>
        </w:tc>
        <w:tc>
          <w:tcPr>
            <w:tcW w:w="2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1.89</w:t>
            </w:r>
          </w:p>
        </w:tc>
        <w:tc>
          <w:tcPr>
            <w:tcW w:w="1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(0.52</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left w:val="single" w:sz="8" w:color="CCEEFF"/>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w:t>
            </w:r>
          </w:p>
        </w:tc>
        <w:tc>
          <w:tcPr>
            <w:tcW w:w="380" w:type="dxa"/>
            <w:vAlign w:val="bottom"/>
            <w:tcBorders>
              <w:top w:val="single" w:sz="8" w:color="CCEEFF"/>
              <w:bottom w:val="single" w:sz="8" w:color="CCEEFF"/>
              <w:right w:val="single" w:sz="8" w:color="auto"/>
            </w:tcBorders>
            <w:shd w:val="clear" w:color="auto" w:fill="CCEEFF"/>
          </w:tcPr>
          <w:p>
            <w:pPr>
              <w:jc w:val="right"/>
              <w:ind w:right="92"/>
              <w:spacing w:after="0" w:line="190" w:lineRule="exact"/>
              <w:rPr>
                <w:sz w:val="20"/>
                <w:szCs w:val="20"/>
                <w:color w:val="auto"/>
              </w:rPr>
            </w:pPr>
            <w:r>
              <w:rPr>
                <w:rFonts w:ascii="Arial" w:cs="Arial" w:eastAsia="Arial" w:hAnsi="Arial"/>
                <w:sz w:val="18"/>
                <w:szCs w:val="18"/>
                <w:color w:val="auto"/>
                <w:w w:val="90"/>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1.89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right w:val="single" w:sz="8" w:color="CCEEFF"/>
            </w:tcBorders>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3.11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(1.22</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left w:val="single" w:sz="8" w:color="CCEEFF"/>
              <w:bottom w:val="single" w:sz="8" w:color="auto"/>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(39</w:t>
            </w:r>
          </w:p>
        </w:tc>
        <w:tc>
          <w:tcPr>
            <w:tcW w:w="320" w:type="dxa"/>
            <w:vAlign w:val="bottom"/>
            <w:tcBorders>
              <w:top w:val="single" w:sz="8" w:color="CCEEFF"/>
              <w:bottom w:val="single" w:sz="8" w:color="CCEEFF"/>
            </w:tcBorders>
            <w:shd w:val="clear" w:color="auto" w:fill="CCEEFF"/>
          </w:tcPr>
          <w:p>
            <w:pPr>
              <w:jc w:val="right"/>
              <w:ind w:right="10"/>
              <w:spacing w:after="0" w:line="190" w:lineRule="exact"/>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820" w:type="dxa"/>
            <w:vAlign w:val="bottom"/>
            <w:gridSpan w:val="3"/>
          </w:tcPr>
          <w:p>
            <w:pPr>
              <w:jc w:val="center"/>
              <w:ind w:left="76"/>
              <w:spacing w:after="0"/>
              <w:rPr>
                <w:sz w:val="20"/>
                <w:szCs w:val="20"/>
                <w:color w:val="auto"/>
              </w:rPr>
            </w:pPr>
            <w:r>
              <w:rPr>
                <w:rFonts w:ascii="Arial" w:cs="Arial" w:eastAsia="Arial" w:hAnsi="Arial"/>
                <w:sz w:val="14"/>
                <w:szCs w:val="14"/>
                <w:b w:val="1"/>
                <w:bCs w:val="1"/>
                <w:color w:val="auto"/>
                <w:w w:val="94"/>
              </w:rPr>
              <w:t>Favorable/</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7"/>
            <w:vMerge w:val="restart"/>
          </w:tcPr>
          <w:p>
            <w:pPr>
              <w:jc w:val="right"/>
              <w:ind w:right="580"/>
              <w:spacing w:after="0"/>
              <w:rPr>
                <w:sz w:val="20"/>
                <w:szCs w:val="20"/>
                <w:color w:val="auto"/>
              </w:rPr>
            </w:pPr>
            <w:r>
              <w:rPr>
                <w:rFonts w:ascii="Arial" w:cs="Arial" w:eastAsia="Arial" w:hAnsi="Arial"/>
                <w:sz w:val="14"/>
                <w:szCs w:val="14"/>
                <w:b w:val="1"/>
                <w:bCs w:val="1"/>
                <w:color w:val="auto"/>
                <w:w w:val="98"/>
              </w:rPr>
              <w:t>Six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Favorable/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180" w:type="dxa"/>
            <w:vAlign w:val="bottom"/>
          </w:tcPr>
          <w:p>
            <w:pPr>
              <w:spacing w:after="0"/>
              <w:rPr>
                <w:sz w:val="12"/>
                <w:szCs w:val="12"/>
                <w:color w:val="auto"/>
              </w:rPr>
            </w:pPr>
          </w:p>
        </w:tc>
        <w:tc>
          <w:tcPr>
            <w:tcW w:w="200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5"/>
          </w:tcPr>
          <w:p>
            <w:pPr>
              <w:jc w:val="center"/>
              <w:ind w:right="592"/>
              <w:spacing w:after="0" w:line="149" w:lineRule="exact"/>
              <w:rPr>
                <w:sz w:val="20"/>
                <w:szCs w:val="20"/>
                <w:color w:val="auto"/>
              </w:rPr>
            </w:pPr>
            <w:r>
              <w:rPr>
                <w:rFonts w:ascii="Arial" w:cs="Arial" w:eastAsia="Arial" w:hAnsi="Arial"/>
                <w:sz w:val="14"/>
                <w:szCs w:val="14"/>
                <w:b w:val="1"/>
                <w:bCs w:val="1"/>
                <w:color w:val="auto"/>
                <w:w w:val="95"/>
              </w:rPr>
              <w:t>(Unfavorable)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(Unfavorable)</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center"/>
              <w:ind w:left="116"/>
              <w:spacing w:after="0"/>
              <w:rPr>
                <w:sz w:val="20"/>
                <w:szCs w:val="20"/>
                <w:color w:val="auto"/>
              </w:rPr>
            </w:pPr>
            <w:r>
              <w:rPr>
                <w:rFonts w:ascii="Arial" w:cs="Arial" w:eastAsia="Arial" w:hAnsi="Arial"/>
                <w:sz w:val="14"/>
                <w:szCs w:val="14"/>
                <w:b w:val="1"/>
                <w:bCs w:val="1"/>
                <w:color w:val="auto"/>
                <w:w w:val="92"/>
              </w:rPr>
              <w:t>Variance</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thousands of barrels per day)</w:t>
            </w:r>
          </w:p>
        </w:tc>
        <w:tc>
          <w:tcPr>
            <w:tcW w:w="140" w:type="dxa"/>
            <w:vAlign w:val="bottom"/>
            <w:tcBorders>
              <w:bottom w:val="single" w:sz="8" w:color="CCEEFF"/>
            </w:tcBorders>
            <w:gridSpan w:val="2"/>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6"/>
              <w:spacing w:after="0" w:line="142" w:lineRule="exact"/>
              <w:rPr>
                <w:sz w:val="20"/>
                <w:szCs w:val="20"/>
                <w:color w:val="auto"/>
              </w:rPr>
            </w:pPr>
            <w:r>
              <w:rPr>
                <w:rFonts w:ascii="Arial" w:cs="Arial" w:eastAsia="Arial" w:hAnsi="Arial"/>
                <w:sz w:val="14"/>
                <w:szCs w:val="14"/>
                <w:b w:val="1"/>
                <w:bCs w:val="1"/>
                <w:color w:val="auto"/>
                <w:w w:val="92"/>
              </w:rPr>
              <w:t>Volumes</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3"/>
          </w:tcPr>
          <w:p>
            <w:pPr>
              <w:jc w:val="right"/>
              <w:ind w:right="97"/>
              <w:spacing w:after="0" w:line="142" w:lineRule="exact"/>
              <w:rPr>
                <w:sz w:val="20"/>
                <w:szCs w:val="20"/>
                <w:color w:val="auto"/>
              </w:rPr>
            </w:pPr>
            <w:r>
              <w:rPr>
                <w:rFonts w:ascii="Arial" w:cs="Arial" w:eastAsia="Arial" w:hAnsi="Arial"/>
                <w:sz w:val="14"/>
                <w:szCs w:val="14"/>
                <w:b w:val="1"/>
                <w:bCs w:val="1"/>
                <w:color w:val="auto"/>
                <w:w w:val="89"/>
              </w:rPr>
              <w:t>Volumes</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Crude oil lease gathering purchases</w:t>
            </w:r>
          </w:p>
        </w:tc>
        <w:tc>
          <w:tcPr>
            <w:tcW w:w="1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left w:val="single" w:sz="8" w:color="CCEEFF"/>
              <w:right w:val="single" w:sz="8" w:color="auto"/>
            </w:tcBorders>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left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400" w:type="dxa"/>
            <w:vAlign w:val="bottom"/>
            <w:gridSpan w:val="4"/>
          </w:tcPr>
          <w:p>
            <w:pPr>
              <w:spacing w:after="0"/>
              <w:rPr>
                <w:sz w:val="20"/>
                <w:szCs w:val="20"/>
                <w:color w:val="auto"/>
              </w:rPr>
            </w:pPr>
            <w:r>
              <w:rPr>
                <w:rFonts w:ascii="Arial" w:cs="Arial" w:eastAsia="Arial" w:hAnsi="Arial"/>
                <w:sz w:val="18"/>
                <w:szCs w:val="18"/>
                <w:color w:val="auto"/>
              </w:rPr>
              <w:t>NGL sales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72"/>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820" w:type="dxa"/>
            <w:vAlign w:val="bottom"/>
            <w:gridSpan w:val="3"/>
          </w:tcPr>
          <w:p>
            <w:pPr>
              <w:jc w:val="right"/>
              <w:ind w:right="7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Waterborne cargos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860" w:type="dxa"/>
            <w:vAlign w:val="bottom"/>
            <w:tcBorders>
              <w:left w:val="single" w:sz="8" w:color="CCEEFF"/>
              <w:right w:val="single" w:sz="8" w:color="auto"/>
            </w:tcBorders>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820" w:type="dxa"/>
            <w:vAlign w:val="bottom"/>
            <w:tcBorders>
              <w:lef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3380" w:type="dxa"/>
            <w:vAlign w:val="bottom"/>
            <w:gridSpan w:val="3"/>
          </w:tcPr>
          <w:p>
            <w:pPr>
              <w:ind w:left="180"/>
              <w:spacing w:after="0"/>
              <w:rPr>
                <w:sz w:val="20"/>
                <w:szCs w:val="20"/>
                <w:color w:val="auto"/>
              </w:rPr>
            </w:pPr>
            <w:r>
              <w:rPr>
                <w:rFonts w:ascii="Arial" w:cs="Arial" w:eastAsia="Arial" w:hAnsi="Arial"/>
                <w:sz w:val="18"/>
                <w:szCs w:val="18"/>
                <w:color w:val="auto"/>
              </w:rPr>
              <w:t>Supply and Logistics segment total</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80" w:type="dxa"/>
            <w:vAlign w:val="bottom"/>
            <w:tcBorders>
              <w:right w:val="single" w:sz="8" w:color="auto"/>
            </w:tcBorders>
          </w:tcPr>
          <w:p>
            <w:pPr>
              <w:jc w:val="right"/>
              <w:ind w:right="232"/>
              <w:spacing w:after="0"/>
              <w:rPr>
                <w:sz w:val="20"/>
                <w:szCs w:val="20"/>
                <w:color w:val="auto"/>
              </w:rPr>
            </w:pPr>
            <w:r>
              <w:rPr>
                <w:rFonts w:ascii="Arial" w:cs="Arial" w:eastAsia="Arial" w:hAnsi="Arial"/>
                <w:sz w:val="9"/>
                <w:szCs w:val="9"/>
                <w:color w:val="auto"/>
                <w:w w:val="74"/>
              </w:rPr>
              <w:t>%</w:t>
            </w: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517" w:right="239" w:bottom="129"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 and costs include intersegment amounts.</w:t>
      </w:r>
    </w:p>
    <w:p>
      <w:pPr>
        <w:spacing w:after="0" w:line="225" w:lineRule="exact"/>
        <w:rPr>
          <w:sz w:val="20"/>
          <w:szCs w:val="20"/>
          <w:color w:val="auto"/>
        </w:rPr>
      </w:pPr>
    </w:p>
    <w:p>
      <w:pPr>
        <w:ind w:right="740" w:firstLine="28"/>
        <w:spacing w:after="0" w:line="277" w:lineRule="auto"/>
        <w:rPr>
          <w:sz w:val="20"/>
          <w:szCs w:val="20"/>
          <w:color w:val="auto"/>
        </w:rPr>
      </w:pPr>
      <w:r>
        <w:rPr>
          <w:rFonts w:ascii="Arial" w:cs="Arial" w:eastAsia="Arial" w:hAnsi="Arial"/>
          <w:sz w:val="18"/>
          <w:szCs w:val="18"/>
          <w:color w:val="auto"/>
        </w:rPr>
        <w:t>Prior to January 1, 2014, natural gas sales revenues and costs attributable to the activities performed by our natural gas storage commercial optimization group were reported in the Facilities segment.</w:t>
      </w:r>
    </w:p>
    <w:p>
      <w:pPr>
        <w:spacing w:after="0" w:line="170" w:lineRule="exact"/>
        <w:rPr>
          <w:sz w:val="20"/>
          <w:szCs w:val="20"/>
          <w:color w:val="auto"/>
        </w:rPr>
      </w:pPr>
    </w:p>
    <w:p>
      <w:pPr>
        <w:ind w:right="20" w:firstLine="28"/>
        <w:spacing w:after="0" w:line="342" w:lineRule="auto"/>
        <w:rPr>
          <w:sz w:val="20"/>
          <w:szCs w:val="20"/>
          <w:color w:val="auto"/>
        </w:rPr>
      </w:pPr>
      <w:r>
        <w:rPr>
          <w:rFonts w:ascii="Arial" w:cs="Arial" w:eastAsia="Arial" w:hAnsi="Arial"/>
          <w:sz w:val="16"/>
          <w:szCs w:val="16"/>
          <w:color w:val="auto"/>
        </w:rPr>
        <w:t>Purchases and related costs include interest expense (related to hedged inventory purchases) of approximately $5 million and $7 million for the three and six months ended June 30, 2014 and approximately $5 million and $10 million for the three and six months ended June 30, 2013, respectively.</w:t>
      </w:r>
    </w:p>
    <w:p>
      <w:pPr>
        <w:spacing w:after="0" w:line="124" w:lineRule="exact"/>
        <w:rPr>
          <w:sz w:val="20"/>
          <w:szCs w:val="20"/>
          <w:color w:val="auto"/>
        </w:rPr>
      </w:pPr>
    </w:p>
    <w:p>
      <w:pPr>
        <w:ind w:right="120" w:firstLine="28"/>
        <w:spacing w:after="0" w:line="264" w:lineRule="auto"/>
        <w:rPr>
          <w:sz w:val="20"/>
          <w:szCs w:val="20"/>
          <w:color w:val="auto"/>
        </w:rPr>
      </w:pPr>
      <w:r>
        <w:rPr>
          <w:rFonts w:ascii="Arial" w:cs="Arial" w:eastAsia="Arial" w:hAnsi="Arial"/>
          <w:sz w:val="18"/>
          <w:szCs w:val="18"/>
          <w:color w:val="auto"/>
        </w:rPr>
        <w:t>Equity-indexed compensation expense shown in the table above includes expenses associated with awards that will or may be settled in units and awards that will or may be settled in cash. See Note 15 to our Consolidated Financial Statements included in Part IV of our 2013 Annual Report on Form 10-K for additional discussion regarding our equity-indexed compensation plans.</w:t>
      </w:r>
    </w:p>
    <w:p>
      <w:pPr>
        <w:spacing w:after="0" w:line="181" w:lineRule="exact"/>
        <w:rPr>
          <w:sz w:val="20"/>
          <w:szCs w:val="20"/>
          <w:color w:val="auto"/>
        </w:rPr>
      </w:pPr>
    </w:p>
    <w:p>
      <w:pPr>
        <w:sectPr>
          <w:pgSz w:w="11900" w:h="16838" w:orient="portrait"/>
          <w:cols w:equalWidth="0" w:num="2">
            <w:col w:w="140" w:space="520"/>
            <w:col w:w="10760"/>
          </w:cols>
          <w:pgMar w:left="240" w:top="517" w:right="239" w:bottom="129" w:gutter="0" w:footer="0" w:header="0"/>
          <w:type w:val="continuous"/>
        </w:sectPr>
      </w:pPr>
    </w:p>
    <w:p>
      <w:pPr>
        <w:ind w:left="660" w:right="220" w:hanging="634"/>
        <w:spacing w:after="0" w:line="267" w:lineRule="auto"/>
        <w:tabs>
          <w:tab w:leader="none" w:pos="706"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75"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The NYMEX West Texas Intermediate benchmark price of crude oil ranged from approximately $99 to $108 per barrel and $86 to $99 per barrel during the three months ended June 30, 2014 and 2013, respectively, and from $91 to $108 per barrel and $86 to $99 per barrel during the six months ended June 30, 2014 and 2013, respectively. Because the commodities that we buy and sell are generally indexed to the same pricing indices for both the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three and six months ended June 30, 2014 relative to the comparative periods, primarily resulting from increases in crude oil volumes in 2014, as well as increases in prices, primarily during the comparative three-month period.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Also, our NGL marketing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discussion of items impacting Supply and Logistics segment profit and segment profit per barrel for the periods indicated.</w:t>
      </w:r>
    </w:p>
    <w:p>
      <w:pPr>
        <w:spacing w:after="0" w:line="23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Operating Revenues and Volumes. </w:t>
      </w:r>
      <w:r>
        <w:rPr>
          <w:rFonts w:ascii="Arial" w:cs="Arial" w:eastAsia="Arial" w:hAnsi="Arial"/>
          <w:sz w:val="18"/>
          <w:szCs w:val="18"/>
          <w:color w:val="auto"/>
        </w:rPr>
        <w:t>Our Supply and Logistics segment revenues, net of purchases and related costs, excluding gains and losses from</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derivative activities (see the “Impact from Certain Derivative Activities” section below), were relatively consistent for the three months ended June 30, 2014 compared to the three months ended June 30, 2013, while such results decreased year-over-year for the six month comparative periods presented. The following factors impacted revenues and volumes in the comparative periods:</w:t>
      </w:r>
    </w:p>
    <w:p>
      <w:pPr>
        <w:sectPr>
          <w:pgSz w:w="11900" w:h="16838" w:orient="portrait"/>
          <w:cols w:equalWidth="0" w:num="1">
            <w:col w:w="11420"/>
          </w:cols>
          <w:pgMar w:left="240" w:top="517" w:right="239" w:bottom="129" w:gutter="0" w:footer="0" w:header="0"/>
          <w:type w:val="continuous"/>
        </w:sectPr>
      </w:pPr>
    </w:p>
    <w:bookmarkStart w:id="27" w:name="page28"/>
    <w:bookmarkEnd w:id="27"/>
    <w:p>
      <w:pPr>
        <w:spacing w:after="0" w:line="18" w:lineRule="exact"/>
        <w:rPr>
          <w:sz w:val="20"/>
          <w:szCs w:val="20"/>
          <w:color w:val="auto"/>
        </w:rPr>
      </w:pPr>
    </w:p>
    <w:p>
      <w:pPr>
        <w:ind w:left="660" w:right="40" w:hanging="328"/>
        <w:spacing w:after="0" w:line="257" w:lineRule="auto"/>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North American Crude Oil Production and Related Market Economics - The significant increase in oil and liquids-rich gas production growth in North America has generally created regional supply and demand imbalances, due to the lack of sufficient infrastructure to support the movement of such production, which increased certain crude oil location differentials. The lack of existing pipeline takeaway capacity and associated logistical challenges has created market conditions that provided opportunities to capture above-baseline margins in our supply and logistics activities over the last few years.</w:t>
      </w:r>
    </w:p>
    <w:p>
      <w:pPr>
        <w:spacing w:after="0" w:line="188" w:lineRule="exact"/>
        <w:rPr>
          <w:sz w:val="20"/>
          <w:szCs w:val="20"/>
          <w:color w:val="auto"/>
        </w:rPr>
      </w:pPr>
    </w:p>
    <w:p>
      <w:pPr>
        <w:ind w:left="660" w:right="340"/>
        <w:spacing w:after="0" w:line="259" w:lineRule="auto"/>
        <w:rPr>
          <w:sz w:val="20"/>
          <w:szCs w:val="20"/>
          <w:color w:val="auto"/>
        </w:rPr>
      </w:pPr>
      <w:r>
        <w:rPr>
          <w:rFonts w:ascii="Arial" w:cs="Arial" w:eastAsia="Arial" w:hAnsi="Arial"/>
          <w:sz w:val="18"/>
          <w:szCs w:val="18"/>
          <w:color w:val="auto"/>
        </w:rPr>
        <w:t>The favorable impact of widening differentials in the second quarter of 2014 led to an increase in net revenues from our crude oil supply and logistics activities for the three months ended June 30, 2014 compared to the three months ended June 30, 2103. Net revenues from our crude oil supply and logistics activities decreased for the six months ended June 30, 2014 compared to the six months ended June 30, 2013, as there were fewer opportunities to capture above-baseline margins.</w:t>
      </w:r>
    </w:p>
    <w:p>
      <w:pPr>
        <w:spacing w:after="0" w:line="187"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We believe the fundamentals of our business remain strong as lease-gathered volumes for the three and six month periods ended June 30, 2014 increased by 9% and 7%, respectively, as compared to volumes in the same three and six month periods in 2013. However, as the midstream infrastructure continues to be developed, we believe a normalization of margins will continue to occur as the logistics challenges are addressed. (See Items 1 and 2 “Business and Properties—Description of Segments and Associated Assets—Supply and Logistics Segment—Impact of Commodity Price Volatility and Dynamic Market Conditions on Our Business Model” included in Part I of our 2013 Annual Report on Form 10-K for further discussion regarding our business model, including diversification and utilization of our asset base among varying demand- and supply-driven markets.)</w:t>
      </w:r>
    </w:p>
    <w:p>
      <w:pPr>
        <w:spacing w:after="0" w:line="189" w:lineRule="exact"/>
        <w:rPr>
          <w:sz w:val="20"/>
          <w:szCs w:val="20"/>
          <w:color w:val="auto"/>
        </w:rPr>
      </w:pPr>
    </w:p>
    <w:p>
      <w:pPr>
        <w:ind w:left="660" w:right="280" w:hanging="328"/>
        <w:spacing w:after="0" w:line="259" w:lineRule="auto"/>
        <w:tabs>
          <w:tab w:leader="none" w:pos="651" w:val="left"/>
        </w:tabs>
        <w:numPr>
          <w:ilvl w:val="0"/>
          <w:numId w:val="28"/>
        </w:numPr>
        <w:rPr>
          <w:rFonts w:ascii="Arial" w:cs="Arial" w:eastAsia="Arial" w:hAnsi="Arial"/>
          <w:sz w:val="18"/>
          <w:szCs w:val="18"/>
          <w:color w:val="auto"/>
        </w:rPr>
      </w:pPr>
      <w:r>
        <w:rPr>
          <w:rFonts w:ascii="Arial" w:cs="Arial" w:eastAsia="Arial" w:hAnsi="Arial"/>
          <w:sz w:val="18"/>
          <w:szCs w:val="18"/>
          <w:color w:val="auto"/>
        </w:rPr>
        <w:t>NGL Marketing Operations — Revenues and volumes from our NGL marketing operations decreased during the three and six months ended June 30, 2014 as compared to the three and six months ended June 30, 2013. These decreases were driven by (i) less favorable market conditions, most notably during the second quarter of 2014, (ii) higher costs during the 2014 periods, primarily due to increased facility fees, and (iii) lower butane supply during the three months ended June 30, 2014.</w:t>
      </w:r>
    </w:p>
    <w:p>
      <w:pPr>
        <w:spacing w:after="0" w:line="186" w:lineRule="exact"/>
        <w:rPr>
          <w:rFonts w:ascii="Arial" w:cs="Arial" w:eastAsia="Arial" w:hAnsi="Arial"/>
          <w:sz w:val="18"/>
          <w:szCs w:val="18"/>
          <w:color w:val="auto"/>
        </w:rPr>
      </w:pPr>
    </w:p>
    <w:p>
      <w:pPr>
        <w:jc w:val="both"/>
        <w:ind w:left="660" w:right="160" w:hanging="328"/>
        <w:spacing w:after="0" w:line="264" w:lineRule="auto"/>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Natural Gas Storage Commercial Optimization - Our natural gas storage commercial optimization activities for the six months ended June 30, 2014 were unfavorably impacted by costs incurred to manage deliverability requirements in conjunction with the extended period of severe cold weather experienced during the first quarter of 2014.</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Impact from Certain Derivative Activities</w:t>
      </w:r>
      <w:r>
        <w:rPr>
          <w:rFonts w:ascii="Arial" w:cs="Arial" w:eastAsia="Arial" w:hAnsi="Arial"/>
          <w:sz w:val="18"/>
          <w:szCs w:val="18"/>
          <w:color w:val="auto"/>
        </w:rPr>
        <w:t>. The mark-to-market valuation of certain of our derivative activities impacted our net revenues as shown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table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640" w:type="dxa"/>
            <w:vAlign w:val="bottom"/>
            <w:gridSpan w:val="4"/>
          </w:tcPr>
          <w:p>
            <w:pPr>
              <w:ind w:left="280"/>
              <w:spacing w:after="0"/>
              <w:rPr>
                <w:sz w:val="20"/>
                <w:szCs w:val="20"/>
                <w:color w:val="auto"/>
              </w:rPr>
            </w:pPr>
            <w:r>
              <w:rPr>
                <w:rFonts w:ascii="Arial" w:cs="Arial" w:eastAsia="Arial" w:hAnsi="Arial"/>
                <w:sz w:val="14"/>
                <w:szCs w:val="14"/>
                <w:b w:val="1"/>
                <w:bCs w:val="1"/>
                <w:color w:val="auto"/>
                <w:w w:val="96"/>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June 30,</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560" w:type="dxa"/>
            <w:vAlign w:val="bottom"/>
          </w:tcPr>
          <w:p>
            <w:pPr>
              <w:ind w:left="260"/>
              <w:spacing w:after="0" w:line="142" w:lineRule="exact"/>
              <w:rPr>
                <w:sz w:val="20"/>
                <w:szCs w:val="20"/>
                <w:color w:val="auto"/>
              </w:rPr>
            </w:pPr>
            <w:r>
              <w:rPr>
                <w:rFonts w:ascii="Arial" w:cs="Arial" w:eastAsia="Arial" w:hAnsi="Arial"/>
                <w:sz w:val="14"/>
                <w:szCs w:val="14"/>
                <w:b w:val="1"/>
                <w:bCs w:val="1"/>
                <w:color w:val="auto"/>
                <w:w w:val="89"/>
              </w:rPr>
              <w:t>2014</w:t>
            </w:r>
          </w:p>
        </w:tc>
        <w:tc>
          <w:tcPr>
            <w:tcW w:w="26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84"/>
              <w:spacing w:after="0" w:line="142" w:lineRule="exact"/>
              <w:rPr>
                <w:sz w:val="20"/>
                <w:szCs w:val="20"/>
                <w:color w:val="auto"/>
              </w:rPr>
            </w:pPr>
            <w:r>
              <w:rPr>
                <w:rFonts w:ascii="Arial" w:cs="Arial" w:eastAsia="Arial" w:hAnsi="Arial"/>
                <w:sz w:val="14"/>
                <w:szCs w:val="14"/>
                <w:b w:val="1"/>
                <w:bCs w:val="1"/>
                <w:color w:val="auto"/>
              </w:rPr>
              <w:t>2014</w:t>
            </w: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Gains/(losses) from certain derivative activities </w:t>
            </w:r>
            <w:r>
              <w:rPr>
                <w:rFonts w:ascii="Arial" w:cs="Arial" w:eastAsia="Arial" w:hAnsi="Arial"/>
                <w:sz w:val="23"/>
                <w:szCs w:val="23"/>
                <w:color w:val="auto"/>
                <w:vertAlign w:val="superscript"/>
              </w:rPr>
              <w:t>(1)</w:t>
            </w:r>
          </w:p>
        </w:tc>
        <w:tc>
          <w:tcPr>
            <w:tcW w:w="560" w:type="dxa"/>
            <w:vAlign w:val="bottom"/>
            <w:tcBorders>
              <w:top w:val="single" w:sz="8" w:color="auto"/>
            </w:tcBorders>
            <w:shd w:val="clear" w:color="auto" w:fill="CCEEFF"/>
          </w:tcPr>
          <w:p>
            <w:pPr>
              <w:jc w:val="right"/>
              <w:ind w:right="382"/>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(15)</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0" w:hanging="652"/>
        <w:spacing w:after="0"/>
        <w:tabs>
          <w:tab w:leader="none" w:pos="648"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Includes mark-to-market and other gains and losses resulting from certain derivative instruments that are related to underlying activities in future periods or the reversal of mark-to-market gains and losses from the prior period. These amounts are reduced by the net impact of inventory valuation adjustments attributable to inventory hedged by the related derivative and gains recognized in later periods on physical sales of inventory that was previously written down. See Note 10 to our condensed consolidated financial statements for a comprehensive discussion regarding our derivatives and risk management activities.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(excluding equity-indexed compensation expenses)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2014 compared to the three months ended June 30, 2013 was primarily due to an increase in trucking costs associated with higher crude oil lease gathered volumes.</w:t>
      </w:r>
    </w:p>
    <w:p>
      <w:pPr>
        <w:spacing w:after="0" w:line="18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Field operating costs (excluding equity-indexed compensation expenses) decreased for the six months ended June 30, 2014 compared to the six months ended June 30, 2013 primarily due to a decrease in third-party transportation costs in the first quarter of 2014 as compared to the first quarter of 2013.</w:t>
      </w:r>
    </w:p>
    <w:p>
      <w:pPr>
        <w:spacing w:after="0" w:line="124"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i w:val="1"/>
          <w:iCs w:val="1"/>
          <w:color w:val="auto"/>
        </w:rPr>
        <w:t xml:space="preserve">Equity-Indexed Compensation Expense. </w:t>
      </w:r>
      <w:r>
        <w:rPr>
          <w:rFonts w:ascii="Arial" w:cs="Arial" w:eastAsia="Arial" w:hAnsi="Arial"/>
          <w:sz w:val="16"/>
          <w:szCs w:val="16"/>
          <w:color w:val="auto"/>
        </w:rPr>
        <w:t>On a consolidated basis across all segments, equity-indexed compensation expense increased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2014 over the comparable 2013 period, and decreased for the six months ended June 30, 2014 compared to the six months ended June 30, 2013. See the discussion regarding such variances under “— Transportation Segment” above. Also, see Note 15 to our Consolidated Financial Statements included in Part IV of our 2013 Annual Report on Form 10-K for additional information regarding our equity-indexed compensation plans.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Depreciation and amortization expense increased by approximately $9 million and $23 million for the three and six months ended June 30, 2014, respectively, over the three and six months ended June 30, 2013. These increases in depreciation and amortization expense in the 2014 periods over the comparable 2013 periods were primarily due to an acceleration of depreciation on certain pipeline assets to reflect a change in their estimated useful lives, as well as various internal growth projects completed since June 30, 2013.</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Interest expense increased by approximately $7 million and $9 million for the three and six months ended June 30, 2014, respectively, over the three and six months ended June 30, 2013 as a result of higher average debt outstanding during the 2014 periods, primarily due to (i) our August 2013 issuance of $700 million, 3.85% senior notes and (ii) our April 2014 issuance of $700 million, 4.70% senior notes, partially offset by the maturity of our $250 million, 5.63% senior notes in December 2013.</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ectPr>
          <w:pgSz w:w="11900" w:h="16856" w:orient="portrait"/>
          <w:cols w:equalWidth="0" w:num="1">
            <w:col w:w="11420"/>
          </w:cols>
          <w:pgMar w:left="240" w:top="125" w:right="239" w:bottom="0" w:gutter="0" w:footer="0" w:header="0"/>
        </w:sectPr>
      </w:pPr>
    </w:p>
    <w:bookmarkStart w:id="28" w:name="page29"/>
    <w:bookmarkEnd w:id="28"/>
    <w:p>
      <w:pPr>
        <w:ind w:right="180" w:firstLine="648"/>
        <w:spacing w:after="0" w:line="308" w:lineRule="auto"/>
        <w:rPr>
          <w:sz w:val="20"/>
          <w:szCs w:val="20"/>
          <w:color w:val="auto"/>
        </w:rPr>
      </w:pPr>
      <w:r>
        <w:rPr>
          <w:rFonts w:ascii="Arial" w:cs="Arial" w:eastAsia="Arial" w:hAnsi="Arial"/>
          <w:sz w:val="17"/>
          <w:szCs w:val="17"/>
          <w:color w:val="auto"/>
        </w:rPr>
        <w:t>Other income/(expense), net in each of the periods presented was primarily comprised of foreign currency gains or losses related to revaluations of CAD-denominated interest receivables associated with our intercompany notes and the impact of related foreign currency hedges.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Income tax expense increased by approximately $4 million for the three months ended June 30, 2014 compared to the three months ended June 30, 2013, primarily as a result of higher year over year Canadian tax expense.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Net Income attributable to Noncontrolling Interests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Net income attributable to noncontrolling interests decreased for the three and six months ended June 30, 2014 compared to the three and six months ended June 30, 2013 as a result of our completion of the PNG Merger on December 31, 2013, pursuant to which we acquired all of the noncontrolling interests in PNG.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Our primary sources of liquidity are (i) cash flow from operating activities, (ii) borrowings under the commercial paper program or credit facilities and (iii) funds received from sales of equity and debt securities. Our primary cash requirements include, but are not limited to (i) ordinary course of business uses, such as the payment of amounts related to the purchase of crude oil, NGL and other products and other expenses and interest payments on outstanding debt, (ii) expansion and maintenance activities, (iii) acquisitions of assets or businesses, (iv) repayment of principal on long-term debt and (v) distributions to our unitholders and general partner. We generally expect to fund our short-term cash requirements through cash flow generated from operating activities and/or borrowings under the commercial paper program or credit facilities.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As of June 30, 2014, we had a working capital deficit of approximately $255 million and approximately $2.2 billion of liquidity available to meet our ongoing operating, investing and financing needs as noted below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As of</w:t>
            </w:r>
          </w:p>
        </w:tc>
      </w:tr>
      <w:tr>
        <w:trPr>
          <w:trHeight w:val="171"/>
        </w:trPr>
        <w:tc>
          <w:tcPr>
            <w:tcW w:w="9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June 30, 2014</w:t>
            </w:r>
          </w:p>
        </w:tc>
      </w:tr>
      <w:tr>
        <w:trPr>
          <w:trHeight w:val="210"/>
        </w:trPr>
        <w:tc>
          <w:tcPr>
            <w:tcW w:w="996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60" w:type="dxa"/>
            <w:vAlign w:val="bottom"/>
          </w:tcPr>
          <w:p>
            <w:pPr>
              <w:spacing w:after="0" w:line="216"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3"/>
                <w:szCs w:val="23"/>
                <w:color w:val="auto"/>
                <w:vertAlign w:val="superscript"/>
              </w:rPr>
              <w:t>(1)</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1,376</w:t>
            </w:r>
          </w:p>
        </w:tc>
        <w:tc>
          <w:tcPr>
            <w:tcW w:w="8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Less: Amounts outstanding under PAA commercial paper program</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(760)</w:t>
            </w:r>
          </w:p>
        </w:tc>
      </w:tr>
      <w:tr>
        <w:trPr>
          <w:trHeight w:val="210"/>
        </w:trPr>
        <w:tc>
          <w:tcPr>
            <w:tcW w:w="996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r>
      <w:tr>
        <w:trPr>
          <w:trHeight w:val="210"/>
        </w:trPr>
        <w:tc>
          <w:tcPr>
            <w:tcW w:w="9960" w:type="dxa"/>
            <w:vAlign w:val="bottom"/>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720" w:hanging="652"/>
        <w:spacing w:after="0" w:line="227" w:lineRule="auto"/>
        <w:tabs>
          <w:tab w:leader="none" w:pos="64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Represents availability prior to giving effect to amounts outstanding under the PAA commercial paper program. Borrowings under the PAA commercial paper program reduce available capacity under the facility.</w:t>
      </w:r>
    </w:p>
    <w:p>
      <w:pPr>
        <w:spacing w:after="0" w:line="20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believe that we have, and will continue to have, the ability to access the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“Risk Factors” in Item 1A of our 2013 Annual Report on Form 10-K for further discussion regarding such risks that may impact our liquidity and capital resources. Usage of the credit facilities, which provide the backstop for the commercial paper program, is subject to ongoing compliance with covenants. As of June 30, 2014, we were in compliance with all such covenants.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 activities, see “Liquidity and Capital Resources-Cash Flow from Operating Activities” under Item 7 of our 2013 Annual Report on Form 10-K.</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Net cash provided by operating activities for the first six months of 2014 was approximately $963 million, primarily resulting from earnings from our operations. Additionally, we decreased our inventory levels (including margin balances required as part of our hedging activities) that were funded by our short-term debt, resulting in a positive impact on our cash provided by operating activities.</w:t>
      </w:r>
    </w:p>
    <w:p>
      <w:pPr>
        <w:spacing w:after="0" w:line="18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Net cash provided by operating activities for the first six months of 2013 of approximately $1.3 billion also resulted primarily from earnings from our operations. In addition, we decreased the amount of our inventory during the first half of 2013, primarily due to the sale of NGL inventory related to product demand caused by increases in (i) heating requirements during the extended 2013 winter season, (ii) export activity that reduced overall product availability in the market and (iii) petrochemical demand, as well as the sale of crude oil inventory that had been stored during the contango market. The net proceeds received from liquidation of such inventory during the quarter were used to repay borrowings under our credit facilities and favorably impacted our cash flow from operating activities.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41" w:right="239" w:bottom="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b w:val="1"/>
          <w:bCs w:val="1"/>
          <w:i w:val="1"/>
          <w:iCs w:val="1"/>
          <w:color w:val="auto"/>
        </w:rPr>
        <w:t>cquisitions and Capital Expenditures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 addition to operating needs discussed above, we also use cash for acquisition activities and internal growth projects. We have made and will continue to make capital expenditures for acquisitions, expansion capital and maintenance capital.</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i w:val="1"/>
          <w:iCs w:val="1"/>
          <w:color w:val="auto"/>
        </w:rPr>
        <w:t xml:space="preserve">2014 Capital Expansion Projects. </w:t>
      </w:r>
      <w:r>
        <w:rPr>
          <w:rFonts w:ascii="Arial" w:cs="Arial" w:eastAsia="Arial" w:hAnsi="Arial"/>
          <w:sz w:val="18"/>
          <w:szCs w:val="18"/>
          <w:color w:val="auto"/>
        </w:rPr>
        <w:t>See “—Acquisitions and Internal Growth Projects” for detail of our projected capital expenditures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ending December 31, 2014. We expect the majority of funding for our 2014 capital program will be provided by borrowings under the commercial paper program, our credit facilities and cash flow in excess of partnership distributions, as well as through our access to the capital markets for equity and debt as we deem necessary.</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The price of acquisitions includes cash paid, assumed liabilities and net working capital items. Because of the non-cash items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total price of the acquisition and the timing of certain cash payments, the net cash paid may differ significantly from the total price of the acquisitions completed during the period. Historically, we have financed acquisitions primarily with cash generated by operations and the financing activities discussed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Our financing activities primarily relate to funding acquisitions, internal capital projects and refinancing our debt maturities, as well as short-term working capital and hedged inventory borrowings related to our NGL business and contango market activities. Our financing activities have primarily consisted of equity offerings, senior notes offerings and borrowings and repayments under the commercial paper program or the credit facilities, as well as payment of distributions to our unitholders and general partner.</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Registration Statements. </w:t>
      </w:r>
      <w:r>
        <w:rPr>
          <w:rFonts w:ascii="Arial" w:cs="Arial" w:eastAsia="Arial" w:hAnsi="Arial"/>
          <w:sz w:val="18"/>
          <w:szCs w:val="18"/>
          <w:color w:val="auto"/>
        </w:rPr>
        <w:t>We periodically access the capital markets for both equity and debt financing. We have filed with the SEC a universal shelf</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that, subject to effectiveness at the time of use, allows us to issue up to an aggregate of $2.0 billion of debt or equity securities (“Traditional Shelf”). All issuances of equity securities associated with our continuous offering program, as discussed further below, have been issued pursuant to the Traditional Shelf. At June 30, 2014, we had approximately $1.0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w:t>
      </w:r>
    </w:p>
    <w:p>
      <w:pPr>
        <w:spacing w:after="0" w:line="193"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i w:val="1"/>
          <w:iCs w:val="1"/>
          <w:color w:val="auto"/>
        </w:rPr>
        <w:t>Continuous Offering Program</w:t>
      </w:r>
      <w:r>
        <w:rPr>
          <w:rFonts w:ascii="Arial" w:cs="Arial" w:eastAsia="Arial" w:hAnsi="Arial"/>
          <w:sz w:val="17"/>
          <w:szCs w:val="17"/>
          <w:color w:val="auto"/>
        </w:rPr>
        <w:t>. During the six months ended June 30, 2014, we issued an aggregate of approximately 8.1 million common units</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continuous offering program, generating net proceeds of approximately $453 million, including our general partner’s proportionate capital contribution of approximately $9 million. The net proceeds from these sales were used for general partnership purposes.</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Credit Agreements, Commercial Paper Program and Indentures. </w:t>
      </w:r>
      <w:r>
        <w:rPr>
          <w:rFonts w:ascii="Arial" w:cs="Arial" w:eastAsia="Arial" w:hAnsi="Arial"/>
          <w:sz w:val="18"/>
          <w:szCs w:val="18"/>
          <w:color w:val="auto"/>
        </w:rPr>
        <w:t>Our credit agreements (which impact our ability to access our commercial paper</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because they provide the backstop that supports our short-term credit ratings) and the indentures governing our senior notes contain cross-default provisions. A default under our credit agreements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June 30, 2014.</w:t>
      </w:r>
    </w:p>
    <w:p>
      <w:pPr>
        <w:spacing w:after="0" w:line="188" w:lineRule="exact"/>
        <w:rPr>
          <w:sz w:val="20"/>
          <w:szCs w:val="20"/>
          <w:color w:val="auto"/>
        </w:rPr>
      </w:pPr>
    </w:p>
    <w:p>
      <w:pPr>
        <w:ind w:right="640" w:firstLine="648"/>
        <w:spacing w:after="0" w:line="312" w:lineRule="auto"/>
        <w:rPr>
          <w:sz w:val="20"/>
          <w:szCs w:val="20"/>
          <w:color w:val="auto"/>
        </w:rPr>
      </w:pPr>
      <w:r>
        <w:rPr>
          <w:rFonts w:ascii="Arial" w:cs="Arial" w:eastAsia="Arial" w:hAnsi="Arial"/>
          <w:sz w:val="16"/>
          <w:szCs w:val="16"/>
          <w:color w:val="auto"/>
        </w:rPr>
        <w:t>During the six months ended June 30, 2014 and 2013, we had net repayments on our credit agreements and commercial paper program of approximately $344 million and $186 million, respectively. The net repayments during both periods resulted primarily from cash flow from operating activities, including sales of inventory that was liquidated during the periods, as well as cash received from our debt and equity activities.</w:t>
      </w:r>
    </w:p>
    <w:p>
      <w:pPr>
        <w:spacing w:after="0" w:line="1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April 2014, we completed the issuance of $700 million, 4.70% senior notes due 2044 at a public offering price of 99.734%. Interest payments are due on June 15 and December 15 of each year, commencing on December 15, 2014. We used the net proceeds from this offering of approximately $691 million, after deducting the underwriting discount and offering expenses, to repay outstanding borrowings under our commercial paper program and for general partnership purposes.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Paid to Our Unitholders, General Partner and Noncontrolling Interests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 xml:space="preserve">Distributions to our unitholders and general partner. </w:t>
      </w:r>
      <w:r>
        <w:rPr>
          <w:rFonts w:ascii="Arial" w:cs="Arial" w:eastAsia="Arial" w:hAnsi="Arial"/>
          <w:sz w:val="16"/>
          <w:szCs w:val="16"/>
          <w:color w:val="auto"/>
        </w:rPr>
        <w:t>We distribute 100% of our available cash within 45 days after the end of each quarter to</w:t>
      </w:r>
      <w:r>
        <w:rPr>
          <w:rFonts w:ascii="Arial" w:cs="Arial" w:eastAsia="Arial" w:hAnsi="Arial"/>
          <w:sz w:val="16"/>
          <w:szCs w:val="16"/>
          <w:i w:val="1"/>
          <w:iCs w:val="1"/>
          <w:color w:val="auto"/>
        </w:rPr>
        <w:t xml:space="preserve"> </w:t>
      </w:r>
      <w:r>
        <w:rPr>
          <w:rFonts w:ascii="Arial" w:cs="Arial" w:eastAsia="Arial" w:hAnsi="Arial"/>
          <w:sz w:val="16"/>
          <w:szCs w:val="16"/>
          <w:color w:val="auto"/>
        </w:rPr>
        <w:t>unitholders of record and to our general partner. Available cash is generally defined as all of our cash and cash equivalents on hand at the end of each quarter less reserves established in the discretion of our general partner for future requirements. On August 14, 2014 we will pay a distribution of $0.6450 per limited partner unit, which represents a 9.8% increase over the distribution we paid in August 2013. See Note 8 to our condensed consolidated financial statements for details of distributions paid. Also, see Item 5. “Market for Registrant’s Common Units, Related Unitholder Matters and Issuer Purchases of Equity Securities—Cash Distribution Policy” included in our 2013 Annual Report on Form 10-K for additional discussion on distributions.</w:t>
      </w:r>
    </w:p>
    <w:p>
      <w:pPr>
        <w:spacing w:after="0" w:line="16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Distributions to noncontrolling interests. </w:t>
      </w:r>
      <w:r>
        <w:rPr>
          <w:rFonts w:ascii="Arial" w:cs="Arial" w:eastAsia="Arial" w:hAnsi="Arial"/>
          <w:sz w:val="18"/>
          <w:szCs w:val="18"/>
          <w:color w:val="auto"/>
        </w:rPr>
        <w:t>We paid approximately $1 million and $24 million for distributions to noncontrolling interests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2014 and 2013, respectively. The decrease in amounts paid is due to our completion of the purchase of all of the noncontrolling interests in PNG on December 31, 2013.</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11 to our condensed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ectPr>
          <w:pgSz w:w="11900" w:h="16838" w:orient="portrait"/>
          <w:cols w:equalWidth="0" w:num="1">
            <w:col w:w="11420"/>
          </w:cols>
          <w:pgMar w:left="240" w:top="341" w:right="239" w:bottom="0" w:gutter="0" w:footer="0" w:header="0"/>
        </w:sectPr>
      </w:pPr>
    </w:p>
    <w:bookmarkStart w:id="30" w:name="page31"/>
    <w:bookmarkEnd w:id="30"/>
    <w:p>
      <w:pPr>
        <w:ind w:right="40" w:firstLine="648"/>
        <w:spacing w:after="0" w:line="290"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In the ordinary course of doing business, we purchase crude oil and NGL from third parties under contracts,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range in term from thirty-day evergreen to five years with a limited number of contracts extending up to approximately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6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June 30, 2014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Remainder of</w:t>
            </w: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2019 and</w:t>
            </w:r>
          </w:p>
        </w:tc>
        <w:tc>
          <w:tcPr>
            <w:tcW w:w="180" w:type="dxa"/>
            <w:vAlign w:val="bottom"/>
          </w:tcPr>
          <w:p>
            <w:pPr>
              <w:spacing w:after="0"/>
              <w:rPr>
                <w:sz w:val="14"/>
                <w:szCs w:val="14"/>
                <w:color w:val="auto"/>
              </w:rPr>
            </w:pPr>
          </w:p>
        </w:tc>
        <w:tc>
          <w:tcPr>
            <w:tcW w:w="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Thereafter</w:t>
            </w: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1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Long-term debt, including related</w:t>
            </w: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interest payments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927</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12,169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line="216"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9,525</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Crude oil, natural gas, NGL and other</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purchases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7,310</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4,898</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8,151</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36,539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7,701</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5,800</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17,676</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50,342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 w:hanging="652"/>
        <w:spacing w:after="0" w:line="238" w:lineRule="auto"/>
        <w:tabs>
          <w:tab w:leader="none" w:pos="648"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Includes debt service payments, interest payments due on senior notes and the commitment fee on assumed available capacity under the PAA revolving credit facilities. Although there may be short-term borrowings under the PAA revolving credit facilities and commercial paper program, we historically repay and borrow at varying amounts. As such, we have included only the maximum commitment fee (as if no short-term borrowings were outstanding on the facilities or commercial paper program) in the amounts above.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Leases are primarily for (i) surface rentals, (ii) office rent, (iii) pipeline assets and (iv) trucks, trailers and railcars.</w:t>
      </w:r>
    </w:p>
    <w:p>
      <w:pPr>
        <w:spacing w:after="0" w:line="225" w:lineRule="exact"/>
        <w:rPr>
          <w:sz w:val="20"/>
          <w:szCs w:val="20"/>
          <w:color w:val="auto"/>
        </w:rPr>
      </w:pPr>
    </w:p>
    <w:p>
      <w:pPr>
        <w:ind w:left="20" w:right="40" w:hanging="11"/>
        <w:spacing w:after="0" w:line="286" w:lineRule="auto"/>
        <w:rPr>
          <w:sz w:val="20"/>
          <w:szCs w:val="20"/>
          <w:color w:val="auto"/>
        </w:rPr>
      </w:pPr>
      <w:r>
        <w:rPr>
          <w:rFonts w:ascii="Arial" w:cs="Arial" w:eastAsia="Arial" w:hAnsi="Arial"/>
          <w:sz w:val="17"/>
          <w:szCs w:val="17"/>
          <w:color w:val="auto"/>
        </w:rPr>
        <w:t>Includes (i) other long-term liabilities, (ii) storage, processing and transportation agreements and (iii) commitments related to our capital expansion projects, including projected contributions for our share of the capital spending of our equity-method investments. Excludes a non-current liability of approximately $4 million related to derivative activity included in Crude oil, natural gas, NGL and other purchases.</w:t>
      </w:r>
    </w:p>
    <w:p>
      <w:pPr>
        <w:spacing w:after="0" w:line="166" w:lineRule="exact"/>
        <w:rPr>
          <w:sz w:val="20"/>
          <w:szCs w:val="20"/>
          <w:color w:val="auto"/>
        </w:rPr>
      </w:pPr>
    </w:p>
    <w:p>
      <w:pPr>
        <w:sectPr>
          <w:pgSz w:w="11900" w:h="16838" w:orient="portrait"/>
          <w:cols w:equalWidth="0" w:num="2">
            <w:col w:w="140" w:space="500"/>
            <w:col w:w="10780"/>
          </w:cols>
          <w:pgMar w:left="240" w:top="341" w:right="239" w:bottom="0" w:gutter="0" w:footer="0" w:header="0"/>
          <w:type w:val="continuous"/>
        </w:sectPr>
      </w:pPr>
    </w:p>
    <w:p>
      <w:pPr>
        <w:ind w:left="660" w:right="220" w:hanging="652"/>
        <w:spacing w:after="0" w:line="249" w:lineRule="auto"/>
        <w:tabs>
          <w:tab w:leader="none" w:pos="648" w:val="left"/>
        </w:tabs>
        <w:numPr>
          <w:ilvl w:val="0"/>
          <w:numId w:val="32"/>
        </w:numPr>
        <w:rPr>
          <w:rFonts w:ascii="Arial" w:cs="Arial" w:eastAsia="Arial" w:hAnsi="Arial"/>
          <w:sz w:val="22"/>
          <w:szCs w:val="22"/>
          <w:color w:val="auto"/>
          <w:vertAlign w:val="superscript"/>
        </w:rPr>
      </w:pPr>
      <w:r>
        <w:rPr>
          <w:rFonts w:ascii="Arial" w:cs="Arial" w:eastAsia="Arial" w:hAnsi="Arial"/>
          <w:sz w:val="17"/>
          <w:szCs w:val="17"/>
          <w:color w:val="auto"/>
        </w:rPr>
        <w:t>Amounts are primarily based on estimated volumes and market prices based on average activity during June 2014.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6"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i w:val="1"/>
          <w:iCs w:val="1"/>
          <w:color w:val="auto"/>
        </w:rPr>
        <w:t xml:space="preserve">Letters of Credit. </w:t>
      </w:r>
      <w:r>
        <w:rPr>
          <w:rFonts w:ascii="Arial" w:cs="Arial" w:eastAsia="Arial" w:hAnsi="Arial"/>
          <w:sz w:val="16"/>
          <w:szCs w:val="16"/>
          <w:color w:val="auto"/>
        </w:rPr>
        <w:t>In connection with supply and logistics activities, we provide certain suppliers with irrevocable standby letters of credit to secure</w:t>
      </w:r>
      <w:r>
        <w:rPr>
          <w:rFonts w:ascii="Arial" w:cs="Arial" w:eastAsia="Arial" w:hAnsi="Arial"/>
          <w:sz w:val="16"/>
          <w:szCs w:val="16"/>
          <w:i w:val="1"/>
          <w:iCs w:val="1"/>
          <w:color w:val="auto"/>
        </w:rPr>
        <w:t xml:space="preserve"> </w:t>
      </w:r>
      <w:r>
        <w:rPr>
          <w:rFonts w:ascii="Arial" w:cs="Arial" w:eastAsia="Arial" w:hAnsi="Arial"/>
          <w:sz w:val="16"/>
          <w:szCs w:val="16"/>
          <w:color w:val="auto"/>
        </w:rPr>
        <w:t>our obligation for the purchase of crude oil, NGL and natural gas. Additionally, we issue letters of credit to support insurance programs and construction activities. At June 30, 2014 and December 31, 2013, we had outstanding letters of credit of approximately $38 million and $41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firstLine="454"/>
        <w:spacing w:after="0" w:line="277" w:lineRule="auto"/>
        <w:rPr>
          <w:sz w:val="20"/>
          <w:szCs w:val="20"/>
          <w:color w:val="auto"/>
        </w:rPr>
      </w:pPr>
      <w:r>
        <w:rPr>
          <w:rFonts w:ascii="Arial" w:cs="Arial" w:eastAsia="Arial" w:hAnsi="Arial"/>
          <w:sz w:val="18"/>
          <w:szCs w:val="18"/>
          <w:color w:val="auto"/>
        </w:rPr>
        <w:t>For additional discussion regarding our critical accounting policies and estimates, see “Critical Accounting Policies and Estimates” under Item 7 of our 2013 Annual Report on Form 10-K.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454"/>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internal growth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ectPr>
          <w:pgSz w:w="11900" w:h="16838" w:orient="portrait"/>
          <w:cols w:equalWidth="0" w:num="1">
            <w:col w:w="11420"/>
          </w:cols>
          <w:pgMar w:left="240" w:top="341" w:right="239" w:bottom="0" w:gutter="0" w:footer="0" w:header="0"/>
          <w:type w:val="continuous"/>
        </w:sectPr>
      </w:pPr>
    </w:p>
    <w:bookmarkStart w:id="31" w:name="page32"/>
    <w:bookmarkEnd w:id="31"/>
    <w:p>
      <w:pPr>
        <w:spacing w:after="0" w:line="32" w:lineRule="exact"/>
        <w:rPr>
          <w:sz w:val="20"/>
          <w:szCs w:val="20"/>
          <w:color w:val="auto"/>
        </w:rPr>
      </w:pPr>
    </w:p>
    <w:p>
      <w:pPr>
        <w:ind w:left="980" w:right="200" w:hanging="324"/>
        <w:spacing w:after="0" w:line="264" w:lineRule="auto"/>
        <w:tabs>
          <w:tab w:leader="none" w:pos="9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w:t>
      </w:r>
    </w:p>
    <w:p>
      <w:pPr>
        <w:spacing w:after="0" w:line="181" w:lineRule="exact"/>
        <w:rPr>
          <w:rFonts w:ascii="Arial" w:cs="Arial" w:eastAsia="Arial" w:hAnsi="Arial"/>
          <w:sz w:val="18"/>
          <w:szCs w:val="18"/>
          <w:color w:val="auto"/>
        </w:rPr>
      </w:pPr>
    </w:p>
    <w:p>
      <w:pPr>
        <w:ind w:left="980" w:right="280" w:hanging="324"/>
        <w:spacing w:after="0" w:line="308" w:lineRule="auto"/>
        <w:tabs>
          <w:tab w:leader="none" w:pos="944" w:val="left"/>
        </w:tabs>
        <w:numPr>
          <w:ilvl w:val="0"/>
          <w:numId w:val="34"/>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occurrence of a natural disaster, catastrophe, terrorist attack or other event, including attacks on our electronic and computer systems;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access to capital;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b w:val="1"/>
          <w:bCs w:val="1"/>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right="840" w:hanging="324"/>
        <w:spacing w:after="0" w:line="277" w:lineRule="auto"/>
        <w:tabs>
          <w:tab w:leader="none" w:pos="9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236" w:lineRule="exact"/>
        <w:rPr>
          <w:rFonts w:ascii="Arial" w:cs="Arial" w:eastAsia="Arial" w:hAnsi="Arial"/>
          <w:sz w:val="17"/>
          <w:szCs w:val="17"/>
          <w:color w:val="auto"/>
        </w:rPr>
      </w:pPr>
    </w:p>
    <w:p>
      <w:pPr>
        <w:ind w:left="980" w:right="40" w:hanging="324"/>
        <w:spacing w:after="0" w:line="277" w:lineRule="auto"/>
        <w:tabs>
          <w:tab w:leader="none" w:pos="9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120" w:hanging="324"/>
        <w:spacing w:after="0" w:line="308" w:lineRule="auto"/>
        <w:tabs>
          <w:tab w:leader="none" w:pos="944"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ind w:right="100" w:firstLine="454"/>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2013 Annual Report on Form 10-K. Except as required by applicable securities laws, we do not intend to update these forward-looking statements and information.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ommodity Price Risk</w:t>
      </w:r>
    </w:p>
    <w:p>
      <w:pPr>
        <w:sectPr>
          <w:pgSz w:w="11900" w:h="16870" w:orient="portrait"/>
          <w:cols w:equalWidth="0" w:num="1">
            <w:col w:w="11400"/>
          </w:cols>
          <w:pgMar w:left="240" w:top="125" w:right="259" w:bottom="0" w:gutter="0" w:footer="0" w:header="0"/>
        </w:sectPr>
      </w:pPr>
    </w:p>
    <w:bookmarkStart w:id="32" w:name="page33"/>
    <w:bookmarkEnd w:id="32"/>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commodity price risk associated with the following commodities:</w:t>
      </w:r>
    </w:p>
    <w:p>
      <w:pPr>
        <w:spacing w:after="0" w:line="225" w:lineRule="exact"/>
        <w:rPr>
          <w:sz w:val="20"/>
          <w:szCs w:val="20"/>
          <w:color w:val="auto"/>
        </w:rPr>
      </w:pPr>
    </w:p>
    <w:p>
      <w:pPr>
        <w:ind w:left="1260" w:hanging="280"/>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i w:val="1"/>
          <w:iCs w:val="1"/>
          <w:u w:val="single" w:color="auto"/>
          <w:color w:val="auto"/>
        </w:rPr>
        <w:t>Crude oil and refined products</w:t>
      </w:r>
    </w:p>
    <w:p>
      <w:pPr>
        <w:spacing w:after="0" w:line="225" w:lineRule="exact"/>
        <w:rPr>
          <w:sz w:val="20"/>
          <w:szCs w:val="20"/>
          <w:color w:val="auto"/>
        </w:rPr>
      </w:pPr>
    </w:p>
    <w:p>
      <w:pPr>
        <w:ind w:left="1300" w:right="20"/>
        <w:spacing w:after="0" w:line="259" w:lineRule="auto"/>
        <w:rPr>
          <w:sz w:val="20"/>
          <w:szCs w:val="20"/>
          <w:color w:val="auto"/>
        </w:rPr>
      </w:pPr>
      <w:r>
        <w:rPr>
          <w:rFonts w:ascii="Arial" w:cs="Arial" w:eastAsia="Arial" w:hAnsi="Arial"/>
          <w:sz w:val="18"/>
          <w:szCs w:val="18"/>
          <w:color w:val="auto"/>
        </w:rPr>
        <w:t>We utilize crude oil and refined products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87" w:lineRule="exact"/>
        <w:rPr>
          <w:sz w:val="20"/>
          <w:szCs w:val="20"/>
          <w:color w:val="auto"/>
        </w:rPr>
      </w:pPr>
    </w:p>
    <w:p>
      <w:pPr>
        <w:ind w:left="1260" w:hanging="280"/>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i w:val="1"/>
          <w:iCs w:val="1"/>
          <w:u w:val="single" w:color="auto"/>
          <w:color w:val="auto"/>
        </w:rPr>
        <w:t>Natural gas</w:t>
      </w:r>
    </w:p>
    <w:p>
      <w:pPr>
        <w:spacing w:after="0" w:line="225" w:lineRule="exact"/>
        <w:rPr>
          <w:sz w:val="20"/>
          <w:szCs w:val="20"/>
          <w:color w:val="auto"/>
        </w:rPr>
      </w:pPr>
    </w:p>
    <w:p>
      <w:pPr>
        <w:ind w:left="1300" w:right="200"/>
        <w:spacing w:after="0" w:line="286" w:lineRule="auto"/>
        <w:rPr>
          <w:sz w:val="20"/>
          <w:szCs w:val="20"/>
          <w:color w:val="auto"/>
        </w:rPr>
      </w:pPr>
      <w:r>
        <w:rPr>
          <w:rFonts w:ascii="Arial" w:cs="Arial" w:eastAsia="Arial" w:hAnsi="Arial"/>
          <w:sz w:val="17"/>
          <w:szCs w:val="17"/>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166" w:lineRule="exact"/>
        <w:rPr>
          <w:sz w:val="20"/>
          <w:szCs w:val="20"/>
          <w:color w:val="auto"/>
        </w:rPr>
      </w:pPr>
    </w:p>
    <w:p>
      <w:pPr>
        <w:ind w:left="1260" w:hanging="280"/>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i w:val="1"/>
          <w:iCs w:val="1"/>
          <w:u w:val="single" w:color="auto"/>
          <w:color w:val="auto"/>
        </w:rPr>
        <w:t>NGL</w:t>
      </w:r>
    </w:p>
    <w:p>
      <w:pPr>
        <w:spacing w:after="0" w:line="225" w:lineRule="exact"/>
        <w:rPr>
          <w:sz w:val="20"/>
          <w:szCs w:val="20"/>
          <w:color w:val="auto"/>
        </w:rPr>
      </w:pPr>
    </w:p>
    <w:p>
      <w:pPr>
        <w:ind w:left="1300" w:right="120"/>
        <w:spacing w:after="0" w:line="286" w:lineRule="auto"/>
        <w:rPr>
          <w:sz w:val="20"/>
          <w:szCs w:val="20"/>
          <w:color w:val="auto"/>
        </w:rPr>
      </w:pPr>
      <w:r>
        <w:rPr>
          <w:rFonts w:ascii="Arial" w:cs="Arial" w:eastAsia="Arial" w:hAnsi="Arial"/>
          <w:sz w:val="17"/>
          <w:szCs w:val="17"/>
          <w:color w:val="auto"/>
        </w:rPr>
        <w:t>We utilize NGL derivatives, primarily butane and propane derivatives, to hedge commodity price risk inherent in our Supply and Logistics segment. Our objectives for these derivatives include hedging anticipated purchases and sales. We manage these exposures with various instruments including exchange-traded and over-the-counter futures, forwards, swaps and options.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10 to our condensed consolidated financial statements for further discussion regarding our hedging strategies and objectives.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Our policy is to (i) purchase only product for which we have a market, (ii) hedge our purchase and sales contracts so that price fluctuations do not materially affect our operating income and (iii) not acquire and hold physical inventory or other derivative instruments for the purpose of speculating on outright commodity price changes, as these activities could expose us to significant losses.</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June 30, 2014 that would be expected from a 10% price increase or decrease is shown in the table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100" w:type="dxa"/>
            <w:vAlign w:val="bottom"/>
            <w:vMerge w:val="restart"/>
          </w:tcPr>
          <w:p>
            <w:pPr>
              <w:jc w:val="right"/>
              <w:ind w:right="26"/>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Effect of 10%</w:t>
            </w:r>
          </w:p>
        </w:tc>
        <w:tc>
          <w:tcPr>
            <w:tcW w:w="16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Price Increase</w:t>
            </w:r>
          </w:p>
        </w:tc>
        <w:tc>
          <w:tcPr>
            <w:tcW w:w="16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Price Decrease</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 and related products</w:t>
            </w:r>
          </w:p>
        </w:tc>
        <w:tc>
          <w:tcPr>
            <w:tcW w:w="1100" w:type="dxa"/>
            <w:vAlign w:val="bottom"/>
            <w:tcBorders>
              <w:top w:val="single" w:sz="8" w:color="auto"/>
            </w:tcBorders>
            <w:shd w:val="clear" w:color="auto" w:fill="CCEEFF"/>
          </w:tcPr>
          <w:p>
            <w:pPr>
              <w:jc w:val="right"/>
              <w:ind w:right="94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Natural gas</w:t>
            </w:r>
          </w:p>
        </w:tc>
        <w:tc>
          <w:tcPr>
            <w:tcW w:w="110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NGL and other</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66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1100" w:type="dxa"/>
            <w:vAlign w:val="bottom"/>
            <w:tcBorders>
              <w:top w:val="single" w:sz="8" w:color="auto"/>
              <w:bottom w:val="single" w:sz="8" w:color="auto"/>
            </w:tcBorders>
          </w:tcPr>
          <w:p>
            <w:pPr>
              <w:jc w:val="right"/>
              <w:ind w:right="94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Our use of variable rate debt and any forecasted issuances of fixed rate debt expose us to interest rate risk. Therefore, from time to time we use interest rate derivatives to hedge interest rate risk associated with anticipated debt issuances and, in certain cases, outstanding debt instruments. All of our senior notes are fixed rate notes and thus are not subject to interest rate risk. The majority of our variable rate debt at June 30, 2014, approximately $760 million, is subject to interest rate re-sets, which range from one day to two weeks. The average interest rate of approximately 0.3% is based upon rates in effect during the first six months ended June 30, 2014. The fair value of our interest rate derivatives is a liability of approximately $7 million as of June 30, 2014. A 10% increase in the forward LIBOR curve as of June 30, 2014 would result in an increase of approximately $17 million to the fair value of our interest rate derivatives. A 10% decrease in the forward LIBOR curve as of June 30, 2014 would result in a decrease of approximately $17 million to the fair value of our interest rate derivatives. See Note 10 to our condensed consolidated financial statements for a discussion of our interest rate risk hedging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is an asset of approximately $6 million as of June 30, 2014. A 10% increase in the exchange rate (USD-to-CAD) would result in a decrease of approximately $27 million to the fair value of our foreign currency derivatives. A 10% decrease in the exchange rate (USD-to-CAD) would result in an increase of approximately $27 million to the fair value of our foreign currency derivatives. See Note 10 to our condensed consolidated financial statements for a discussion of our currency exchange rate risk hedging.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w:t>
      </w:r>
    </w:p>
    <w:p>
      <w:pPr>
        <w:sectPr>
          <w:pgSz w:w="11900" w:h="16840" w:orient="portrait"/>
          <w:cols w:equalWidth="0" w:num="1">
            <w:col w:w="11420"/>
          </w:cols>
          <w:pgMar w:left="240" w:top="341" w:right="239" w:bottom="0" w:gutter="0" w:footer="0" w:header="0"/>
        </w:sectPr>
      </w:pPr>
    </w:p>
    <w:bookmarkStart w:id="33" w:name="page34"/>
    <w:bookmarkEnd w:id="33"/>
    <w:p>
      <w:pPr>
        <w:ind w:right="540"/>
        <w:spacing w:after="0" w:line="277" w:lineRule="auto"/>
        <w:rPr>
          <w:sz w:val="20"/>
          <w:szCs w:val="20"/>
          <w:color w:val="auto"/>
        </w:rPr>
      </w:pPr>
      <w:r>
        <w:rPr>
          <w:rFonts w:ascii="Arial" w:cs="Arial" w:eastAsia="Arial" w:hAnsi="Arial"/>
          <w:sz w:val="18"/>
          <w:szCs w:val="18"/>
          <w:color w:val="auto"/>
        </w:rPr>
        <w:t>within the time periods specified in the SEC’s rules and forms, and (ii) accumulated and communicated to management, including our Chief Executive Officer and Chief Financial Officer, to allow for timely decisions regarding required disclosure.</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In addition to the information concerning our DCP, we are required to disclose certain changes in internal control over financial reporting. Although we have made various enhancements to our controls, there have been no changes in our internal control over financial reporting during the period covered by this report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80" w:firstLine="454"/>
        <w:spacing w:after="0" w:line="277" w:lineRule="auto"/>
        <w:rPr>
          <w:sz w:val="20"/>
          <w:szCs w:val="20"/>
          <w:color w:val="auto"/>
        </w:rPr>
      </w:pPr>
      <w:r>
        <w:rPr>
          <w:rFonts w:ascii="Arial" w:cs="Arial" w:eastAsia="Arial" w:hAnsi="Arial"/>
          <w:sz w:val="18"/>
          <w:szCs w:val="18"/>
          <w:color w:val="auto"/>
        </w:rPr>
        <w:t>The information required by this item is included under the caption “Litigation” in Note 11 to our condensed consolidated financial statements, and is incorporated herein by reference thereto.</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120" w:firstLine="454"/>
        <w:spacing w:after="0" w:line="264" w:lineRule="auto"/>
        <w:rPr>
          <w:sz w:val="20"/>
          <w:szCs w:val="20"/>
          <w:color w:val="auto"/>
        </w:rPr>
      </w:pPr>
      <w:r>
        <w:rPr>
          <w:rFonts w:ascii="Arial" w:cs="Arial" w:eastAsia="Arial" w:hAnsi="Arial"/>
          <w:sz w:val="18"/>
          <w:szCs w:val="18"/>
          <w:color w:val="auto"/>
        </w:rPr>
        <w:t>For a discussion regarding our risk factors, see Item 1A of our 2013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right="880" w:firstLine="454"/>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PAA GP LLC, its general partner</w:t>
      </w:r>
    </w:p>
    <w:p>
      <w:pPr>
        <w:spacing w:after="0" w:line="23"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PLAINS AAP, L.P., its sole member</w:t>
      </w:r>
    </w:p>
    <w:p>
      <w:pPr>
        <w:spacing w:after="0" w:line="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PLAINS ALL AMERICAN GP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2014</w:t>
      </w:r>
    </w:p>
    <w:p>
      <w:pPr>
        <w:sectPr>
          <w:pgSz w:w="11900" w:h="16838" w:orient="portrait"/>
          <w:cols w:equalWidth="0" w:num="1">
            <w:col w:w="11420"/>
          </w:cols>
          <w:pgMar w:left="240" w:top="125" w:right="239" w:bottom="0" w:gutter="0" w:footer="0" w:header="0"/>
        </w:sectPr>
      </w:pPr>
    </w:p>
    <w:bookmarkStart w:id="34" w:name="page35"/>
    <w:bookmarkEnd w:id="34"/>
    <w:p>
      <w:pPr>
        <w:ind w:left="5720"/>
        <w:spacing w:after="0"/>
        <w:tabs>
          <w:tab w:leader="none" w:pos="6160" w:val="left"/>
        </w:tabs>
        <w:rPr>
          <w:sz w:val="20"/>
          <w:szCs w:val="20"/>
          <w:color w:val="auto"/>
        </w:rPr>
      </w:pPr>
      <w:r>
        <w:rPr>
          <w:rFonts w:ascii="Arial" w:cs="Arial" w:eastAsia="Arial" w:hAnsi="Arial"/>
          <w:sz w:val="18"/>
          <w:szCs w:val="18"/>
          <w:color w:val="auto"/>
        </w:rPr>
        <w:t>By:</w:t>
        <w:tab/>
        <w:t>/s/ Greg L. Armstrong</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 xml:space="preserve">Greg L. Armstrong, </w:t>
      </w:r>
      <w:r>
        <w:rPr>
          <w:rFonts w:ascii="Arial" w:cs="Arial" w:eastAsia="Arial" w:hAnsi="Arial"/>
          <w:sz w:val="18"/>
          <w:szCs w:val="18"/>
          <w:i w:val="1"/>
          <w:i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2014</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Al Swanson</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 xml:space="preserve">Al Swanson, </w:t>
      </w:r>
      <w:r>
        <w:rPr>
          <w:rFonts w:ascii="Arial" w:cs="Arial" w:eastAsia="Arial" w:hAnsi="Arial"/>
          <w:sz w:val="18"/>
          <w:szCs w:val="18"/>
          <w:i w:val="1"/>
          <w:iCs w:val="1"/>
          <w:color w:val="auto"/>
        </w:rPr>
        <w:t>Executive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2014</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Chris Herbold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5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 xml:space="preserve">Chris Herbold, </w:t>
            </w:r>
            <w:r>
              <w:rPr>
                <w:rFonts w:ascii="Arial" w:cs="Arial" w:eastAsia="Arial" w:hAnsi="Arial"/>
                <w:sz w:val="18"/>
                <w:szCs w:val="18"/>
                <w:i w:val="1"/>
                <w:iCs w:val="1"/>
                <w:color w:val="auto"/>
                <w:w w:val="91"/>
              </w:rPr>
              <w:t>Vice President- Accounting and</w:t>
            </w:r>
          </w:p>
        </w:tc>
        <w:tc>
          <w:tcPr>
            <w:tcW w:w="4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2"/>
              </w:rPr>
              <w:t>Chief Accounting Officer</w:t>
            </w:r>
          </w:p>
        </w:tc>
        <w:tc>
          <w:tcPr>
            <w:tcW w:w="4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Accounting Officer)</w:t>
            </w:r>
          </w:p>
        </w:tc>
        <w:tc>
          <w:tcPr>
            <w:tcW w:w="4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5400" w:type="dxa"/>
            <w:vAlign w:val="bottom"/>
          </w:tcPr>
          <w:p>
            <w:pPr>
              <w:ind w:left="4840"/>
              <w:spacing w:after="0"/>
              <w:rPr>
                <w:sz w:val="20"/>
                <w:szCs w:val="20"/>
                <w:color w:val="auto"/>
              </w:rPr>
            </w:pPr>
            <w:r>
              <w:rPr>
                <w:rFonts w:ascii="Arial" w:cs="Arial" w:eastAsia="Arial" w:hAnsi="Arial"/>
                <w:sz w:val="18"/>
                <w:szCs w:val="18"/>
                <w:color w:val="auto"/>
              </w:rPr>
              <w:t>49</w:t>
            </w: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780" w:type="dxa"/>
            <w:vAlign w:val="bottom"/>
            <w:tcBorders>
              <w:bottom w:val="single" w:sz="8" w:color="010101"/>
            </w:tcBorders>
          </w:tcPr>
          <w:p>
            <w:pPr>
              <w:spacing w:after="0"/>
              <w:rPr>
                <w:sz w:val="11"/>
                <w:szCs w:val="11"/>
                <w:color w:val="auto"/>
              </w:rPr>
            </w:pPr>
          </w:p>
        </w:tc>
        <w:tc>
          <w:tcPr>
            <w:tcW w:w="1064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780" w:type="dxa"/>
            <w:vAlign w:val="bottom"/>
          </w:tcPr>
          <w:p>
            <w:pPr>
              <w:spacing w:after="0"/>
              <w:rPr>
                <w:sz w:val="24"/>
                <w:szCs w:val="24"/>
                <w:color w:val="auto"/>
              </w:rPr>
            </w:pPr>
          </w:p>
        </w:tc>
        <w:tc>
          <w:tcPr>
            <w:tcW w:w="10640" w:type="dxa"/>
            <w:vAlign w:val="bottom"/>
            <w:gridSpan w:val="2"/>
          </w:tcPr>
          <w:p>
            <w:pPr>
              <w:ind w:left="424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3.1</w:t>
            </w: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6"/>
              </w:rPr>
              <w:t>—   Fourth Amended and Restated Agreement of Limited Partnership of Plains All American Pipeline, L.P. dated as of May 17, 2012</w:t>
            </w:r>
          </w:p>
        </w:tc>
        <w:tc>
          <w:tcPr>
            <w:tcW w:w="4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10640" w:type="dxa"/>
            <w:vAlign w:val="bottom"/>
            <w:gridSpan w:val="2"/>
          </w:tcPr>
          <w:p>
            <w:pPr>
              <w:ind w:left="860"/>
              <w:spacing w:after="0"/>
              <w:rPr>
                <w:sz w:val="20"/>
                <w:szCs w:val="20"/>
                <w:color w:val="auto"/>
              </w:rPr>
            </w:pPr>
            <w:r>
              <w:rPr>
                <w:rFonts w:ascii="Arial" w:cs="Arial" w:eastAsia="Arial" w:hAnsi="Arial"/>
                <w:sz w:val="18"/>
                <w:szCs w:val="18"/>
                <w:color w:val="auto"/>
              </w:rPr>
              <w:t>(incorporated by reference to Exhibit 3.1 to the Current Report on Form 8-K filed May 23, 2012).</w:t>
            </w:r>
          </w:p>
        </w:tc>
        <w:tc>
          <w:tcPr>
            <w:tcW w:w="40" w:type="dxa"/>
            <w:vAlign w:val="bottom"/>
          </w:tcPr>
          <w:p>
            <w:pPr>
              <w:spacing w:after="0"/>
              <w:rPr>
                <w:sz w:val="20"/>
                <w:szCs w:val="20"/>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8"/>
              </w:rPr>
              <w:t>—   Amendment No. 1 dated October 1, 2012 to the Fourth Amended and Restated Agreement of Limited Partnership of Plains All</w:t>
            </w:r>
          </w:p>
        </w:tc>
        <w:tc>
          <w:tcPr>
            <w:tcW w:w="4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10640" w:type="dxa"/>
            <w:vAlign w:val="bottom"/>
            <w:gridSpan w:val="2"/>
          </w:tcPr>
          <w:p>
            <w:pPr>
              <w:ind w:left="860"/>
              <w:spacing w:after="0"/>
              <w:rPr>
                <w:sz w:val="20"/>
                <w:szCs w:val="20"/>
                <w:color w:val="auto"/>
              </w:rPr>
            </w:pPr>
            <w:r>
              <w:rPr>
                <w:rFonts w:ascii="Arial" w:cs="Arial" w:eastAsia="Arial" w:hAnsi="Arial"/>
                <w:sz w:val="18"/>
                <w:szCs w:val="18"/>
                <w:color w:val="auto"/>
              </w:rPr>
              <w:t>American Pipeline, L.P. (incorporated by reference to Exhibit 3.1 to the Current Report on Form 8-K filed October 2, 2012).</w:t>
            </w:r>
          </w:p>
        </w:tc>
        <w:tc>
          <w:tcPr>
            <w:tcW w:w="40" w:type="dxa"/>
            <w:vAlign w:val="bottom"/>
          </w:tcPr>
          <w:p>
            <w:pPr>
              <w:spacing w:after="0"/>
              <w:rPr>
                <w:sz w:val="20"/>
                <w:szCs w:val="20"/>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3.3</w:t>
            </w: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5"/>
              </w:rPr>
              <w:t>—   Amendment No. 2 dated December 31, 2013 to the Fourth Amended and Restated Agreement of Limited Partnership of Plains All</w:t>
            </w:r>
          </w:p>
        </w:tc>
        <w:tc>
          <w:tcPr>
            <w:tcW w:w="4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10640" w:type="dxa"/>
            <w:vAlign w:val="bottom"/>
            <w:gridSpan w:val="2"/>
          </w:tcPr>
          <w:p>
            <w:pPr>
              <w:ind w:left="860"/>
              <w:spacing w:after="0"/>
              <w:rPr>
                <w:sz w:val="20"/>
                <w:szCs w:val="20"/>
                <w:color w:val="auto"/>
              </w:rPr>
            </w:pPr>
            <w:r>
              <w:rPr>
                <w:rFonts w:ascii="Arial" w:cs="Arial" w:eastAsia="Arial" w:hAnsi="Arial"/>
                <w:sz w:val="18"/>
                <w:szCs w:val="18"/>
                <w:color w:val="auto"/>
                <w:w w:val="97"/>
              </w:rPr>
              <w:t>American Pipeline, L.P. (incorporated by reference to Exhibit 3.1 to the Current Report on Form 8-K filed December 31, 2013).</w:t>
            </w:r>
          </w:p>
        </w:tc>
        <w:tc>
          <w:tcPr>
            <w:tcW w:w="40" w:type="dxa"/>
            <w:vAlign w:val="bottom"/>
          </w:tcPr>
          <w:p>
            <w:pPr>
              <w:spacing w:after="0"/>
              <w:rPr>
                <w:sz w:val="20"/>
                <w:szCs w:val="20"/>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3.4</w:t>
            </w: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4"/>
              </w:rPr>
              <w:t>—   Third Amended and Restated Agreement of Limited Partnership of Plains Marketing, L.P. dated as of April 1, 2004 (incorporated by</w:t>
            </w:r>
          </w:p>
        </w:tc>
        <w:tc>
          <w:tcPr>
            <w:tcW w:w="4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10640" w:type="dxa"/>
            <w:vAlign w:val="bottom"/>
            <w:gridSpan w:val="2"/>
          </w:tcPr>
          <w:p>
            <w:pPr>
              <w:ind w:left="860"/>
              <w:spacing w:after="0"/>
              <w:rPr>
                <w:sz w:val="20"/>
                <w:szCs w:val="20"/>
                <w:color w:val="auto"/>
              </w:rPr>
            </w:pPr>
            <w:r>
              <w:rPr>
                <w:rFonts w:ascii="Arial" w:cs="Arial" w:eastAsia="Arial" w:hAnsi="Arial"/>
                <w:sz w:val="18"/>
                <w:szCs w:val="18"/>
                <w:color w:val="auto"/>
              </w:rPr>
              <w:t>reference to Exhibit 3.2 to the Quarterly Report on Form 10-Q for the quarter ended March 31, 2004).</w:t>
            </w:r>
          </w:p>
        </w:tc>
        <w:tc>
          <w:tcPr>
            <w:tcW w:w="40" w:type="dxa"/>
            <w:vAlign w:val="bottom"/>
          </w:tcPr>
          <w:p>
            <w:pPr>
              <w:spacing w:after="0"/>
              <w:rPr>
                <w:sz w:val="20"/>
                <w:szCs w:val="20"/>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3.5</w:t>
            </w: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8"/>
              </w:rPr>
              <w:t>—   Amendment No. 1 dated December 31, 2010 to the Third Amended and Restated Agreement of Limited Partnership of Plains</w:t>
            </w:r>
          </w:p>
        </w:tc>
        <w:tc>
          <w:tcPr>
            <w:tcW w:w="4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10640" w:type="dxa"/>
            <w:vAlign w:val="bottom"/>
            <w:gridSpan w:val="2"/>
          </w:tcPr>
          <w:p>
            <w:pPr>
              <w:ind w:left="860"/>
              <w:spacing w:after="0"/>
              <w:rPr>
                <w:sz w:val="20"/>
                <w:szCs w:val="20"/>
                <w:color w:val="auto"/>
              </w:rPr>
            </w:pPr>
            <w:r>
              <w:rPr>
                <w:rFonts w:ascii="Arial" w:cs="Arial" w:eastAsia="Arial" w:hAnsi="Arial"/>
                <w:sz w:val="18"/>
                <w:szCs w:val="18"/>
                <w:color w:val="auto"/>
                <w:w w:val="92"/>
              </w:rPr>
              <w:t>Marketing, L.P. (incorporated by reference to Exhibit 3.9 to the Annual Report on Form 10-K for the year ended December 31, 2010).</w:t>
            </w:r>
          </w:p>
        </w:tc>
        <w:tc>
          <w:tcPr>
            <w:tcW w:w="40" w:type="dxa"/>
            <w:vAlign w:val="bottom"/>
          </w:tcPr>
          <w:p>
            <w:pPr>
              <w:spacing w:after="0"/>
              <w:rPr>
                <w:sz w:val="20"/>
                <w:szCs w:val="20"/>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3.6</w:t>
            </w: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rPr>
              <w:t>—   Amendment No. 2 dated January 1, 2011 to the Third Amended and Restated Agreement of Limited Partnership of Plains</w:t>
            </w:r>
          </w:p>
        </w:tc>
        <w:tc>
          <w:tcPr>
            <w:tcW w:w="4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10640" w:type="dxa"/>
            <w:vAlign w:val="bottom"/>
            <w:gridSpan w:val="2"/>
          </w:tcPr>
          <w:p>
            <w:pPr>
              <w:ind w:left="860"/>
              <w:spacing w:after="0"/>
              <w:rPr>
                <w:sz w:val="20"/>
                <w:szCs w:val="20"/>
                <w:color w:val="auto"/>
              </w:rPr>
            </w:pPr>
            <w:r>
              <w:rPr>
                <w:rFonts w:ascii="Arial" w:cs="Arial" w:eastAsia="Arial" w:hAnsi="Arial"/>
                <w:sz w:val="18"/>
                <w:szCs w:val="18"/>
                <w:color w:val="auto"/>
                <w:w w:val="91"/>
              </w:rPr>
              <w:t>Marketing, L.P. (incorporated by reference to Exhibit 3.10 to the Annual Report on Form 10-K for the year ended December 31, 2010).</w:t>
            </w:r>
          </w:p>
        </w:tc>
        <w:tc>
          <w:tcPr>
            <w:tcW w:w="40" w:type="dxa"/>
            <w:vAlign w:val="bottom"/>
          </w:tcPr>
          <w:p>
            <w:pPr>
              <w:spacing w:after="0"/>
              <w:rPr>
                <w:sz w:val="20"/>
                <w:szCs w:val="20"/>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3.7</w:t>
            </w: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rPr>
              <w:t>—   Amendment No. 3 dated June 30, 2011 to the Third Amended and Restated Agreement of Limited Partnership of Plains</w:t>
            </w:r>
          </w:p>
        </w:tc>
        <w:tc>
          <w:tcPr>
            <w:tcW w:w="4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10640" w:type="dxa"/>
            <w:vAlign w:val="bottom"/>
            <w:gridSpan w:val="2"/>
          </w:tcPr>
          <w:p>
            <w:pPr>
              <w:ind w:left="860"/>
              <w:spacing w:after="0"/>
              <w:rPr>
                <w:sz w:val="20"/>
                <w:szCs w:val="20"/>
                <w:color w:val="auto"/>
              </w:rPr>
            </w:pPr>
            <w:r>
              <w:rPr>
                <w:rFonts w:ascii="Arial" w:cs="Arial" w:eastAsia="Arial" w:hAnsi="Arial"/>
                <w:sz w:val="18"/>
                <w:szCs w:val="18"/>
                <w:color w:val="auto"/>
                <w:w w:val="92"/>
              </w:rPr>
              <w:t>Marketing, L.P. (incorporated by reference to Exhibit 3.7 to the Annual Report on Form 10-K for the year ended December 31, 2013).</w:t>
            </w:r>
          </w:p>
        </w:tc>
        <w:tc>
          <w:tcPr>
            <w:tcW w:w="40" w:type="dxa"/>
            <w:vAlign w:val="bottom"/>
          </w:tcPr>
          <w:p>
            <w:pPr>
              <w:spacing w:after="0"/>
              <w:rPr>
                <w:sz w:val="20"/>
                <w:szCs w:val="20"/>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3.8</w:t>
            </w: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rPr>
              <w:t>—   Amendment No. 4 dated January 1, 2013 to the Third Amended and Restated Agreement of Limited Partnership of Plains</w:t>
            </w:r>
          </w:p>
        </w:tc>
        <w:tc>
          <w:tcPr>
            <w:tcW w:w="4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10640" w:type="dxa"/>
            <w:vAlign w:val="bottom"/>
            <w:gridSpan w:val="2"/>
          </w:tcPr>
          <w:p>
            <w:pPr>
              <w:ind w:left="860"/>
              <w:spacing w:after="0"/>
              <w:rPr>
                <w:sz w:val="20"/>
                <w:szCs w:val="20"/>
                <w:color w:val="auto"/>
              </w:rPr>
            </w:pPr>
            <w:r>
              <w:rPr>
                <w:rFonts w:ascii="Arial" w:cs="Arial" w:eastAsia="Arial" w:hAnsi="Arial"/>
                <w:sz w:val="18"/>
                <w:szCs w:val="18"/>
                <w:color w:val="auto"/>
                <w:w w:val="92"/>
              </w:rPr>
              <w:t>Marketing, L.P. (incorporated by reference to Exhibit 3.8 to the Annual Report on Form 10-K for the year ended December 31, 2013).</w:t>
            </w:r>
          </w:p>
        </w:tc>
        <w:tc>
          <w:tcPr>
            <w:tcW w:w="40" w:type="dxa"/>
            <w:vAlign w:val="bottom"/>
          </w:tcPr>
          <w:p>
            <w:pPr>
              <w:spacing w:after="0"/>
              <w:rPr>
                <w:sz w:val="20"/>
                <w:szCs w:val="20"/>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3.9</w:t>
            </w: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5"/>
              </w:rPr>
              <w:t>—   Third Amended and Restated Agreement of Limited Partnership of Plains Pipeline, L.P. dated as of April 1, 2004 (incorporated by</w:t>
            </w:r>
          </w:p>
        </w:tc>
        <w:tc>
          <w:tcPr>
            <w:tcW w:w="4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10640" w:type="dxa"/>
            <w:vAlign w:val="bottom"/>
            <w:gridSpan w:val="2"/>
          </w:tcPr>
          <w:p>
            <w:pPr>
              <w:ind w:left="860"/>
              <w:spacing w:after="0"/>
              <w:rPr>
                <w:sz w:val="20"/>
                <w:szCs w:val="20"/>
                <w:color w:val="auto"/>
              </w:rPr>
            </w:pPr>
            <w:r>
              <w:rPr>
                <w:rFonts w:ascii="Arial" w:cs="Arial" w:eastAsia="Arial" w:hAnsi="Arial"/>
                <w:sz w:val="18"/>
                <w:szCs w:val="18"/>
                <w:color w:val="auto"/>
              </w:rPr>
              <w:t>reference to Exhibit 3.3 to the Quarterly Report on Form 10-Q for the quarter ended March 31, 2004).</w:t>
            </w:r>
          </w:p>
        </w:tc>
        <w:tc>
          <w:tcPr>
            <w:tcW w:w="40" w:type="dxa"/>
            <w:vAlign w:val="bottom"/>
          </w:tcPr>
          <w:p>
            <w:pPr>
              <w:spacing w:after="0"/>
              <w:rPr>
                <w:sz w:val="20"/>
                <w:szCs w:val="20"/>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3.10</w:t>
            </w: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1"/>
              </w:rPr>
              <w:t>—   Amendment No. 1 dated January 1, 2013 to the Third Amended and Restated Agreement of Limited Partnership of Plains Pipeline, L.P.</w:t>
            </w:r>
          </w:p>
        </w:tc>
        <w:tc>
          <w:tcPr>
            <w:tcW w:w="4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10640" w:type="dxa"/>
            <w:vAlign w:val="bottom"/>
            <w:gridSpan w:val="2"/>
          </w:tcPr>
          <w:p>
            <w:pPr>
              <w:ind w:left="860"/>
              <w:spacing w:after="0"/>
              <w:rPr>
                <w:sz w:val="20"/>
                <w:szCs w:val="20"/>
                <w:color w:val="auto"/>
              </w:rPr>
            </w:pPr>
            <w:r>
              <w:rPr>
                <w:rFonts w:ascii="Arial" w:cs="Arial" w:eastAsia="Arial" w:hAnsi="Arial"/>
                <w:sz w:val="18"/>
                <w:szCs w:val="18"/>
                <w:color w:val="auto"/>
              </w:rPr>
              <w:t>(incorporated by reference to Exhibit 3.10 to the Annual Report on Form 10-K for the year ended December 31, 2013).</w:t>
            </w:r>
          </w:p>
        </w:tc>
        <w:tc>
          <w:tcPr>
            <w:tcW w:w="40" w:type="dxa"/>
            <w:vAlign w:val="bottom"/>
          </w:tcPr>
          <w:p>
            <w:pPr>
              <w:spacing w:after="0"/>
              <w:rPr>
                <w:sz w:val="20"/>
                <w:szCs w:val="20"/>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rPr>
              <w:t>—   Sixth Amended and Restated Limited Liability Company Agreement of Plains All American GP LLC dated October 21, 2013</w:t>
            </w:r>
          </w:p>
        </w:tc>
        <w:tc>
          <w:tcPr>
            <w:tcW w:w="4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10640" w:type="dxa"/>
            <w:vAlign w:val="bottom"/>
            <w:gridSpan w:val="2"/>
          </w:tcPr>
          <w:p>
            <w:pPr>
              <w:ind w:left="860"/>
              <w:spacing w:after="0"/>
              <w:rPr>
                <w:sz w:val="20"/>
                <w:szCs w:val="20"/>
                <w:color w:val="auto"/>
              </w:rPr>
            </w:pPr>
            <w:r>
              <w:rPr>
                <w:rFonts w:ascii="Arial" w:cs="Arial" w:eastAsia="Arial" w:hAnsi="Arial"/>
                <w:sz w:val="18"/>
                <w:szCs w:val="18"/>
                <w:color w:val="auto"/>
              </w:rPr>
              <w:t>(incorporated by reference to Exhibit 3.2 to the Current Report on Form 8-K filed October 25, 2013).</w:t>
            </w:r>
          </w:p>
        </w:tc>
        <w:tc>
          <w:tcPr>
            <w:tcW w:w="40" w:type="dxa"/>
            <w:vAlign w:val="bottom"/>
          </w:tcPr>
          <w:p>
            <w:pPr>
              <w:spacing w:after="0"/>
              <w:rPr>
                <w:sz w:val="20"/>
                <w:szCs w:val="20"/>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1"/>
              </w:rPr>
              <w:t>—   Seventh Amended and Restated Limited Partnership Agreement of Plains AAP, L.P. dated October 21, 2013 (incorporated by reference</w:t>
            </w:r>
          </w:p>
        </w:tc>
        <w:tc>
          <w:tcPr>
            <w:tcW w:w="4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10640" w:type="dxa"/>
            <w:vAlign w:val="bottom"/>
            <w:gridSpan w:val="2"/>
          </w:tcPr>
          <w:p>
            <w:pPr>
              <w:ind w:left="860"/>
              <w:spacing w:after="0"/>
              <w:rPr>
                <w:sz w:val="20"/>
                <w:szCs w:val="20"/>
                <w:color w:val="auto"/>
              </w:rPr>
            </w:pPr>
            <w:r>
              <w:rPr>
                <w:rFonts w:ascii="Arial" w:cs="Arial" w:eastAsia="Arial" w:hAnsi="Arial"/>
                <w:sz w:val="18"/>
                <w:szCs w:val="18"/>
                <w:color w:val="auto"/>
              </w:rPr>
              <w:t>to Exhibit 3.1 to the Current Report on Form 8-K filed October 25, 2013).</w:t>
            </w:r>
          </w:p>
        </w:tc>
        <w:tc>
          <w:tcPr>
            <w:tcW w:w="40" w:type="dxa"/>
            <w:vAlign w:val="bottom"/>
          </w:tcPr>
          <w:p>
            <w:pPr>
              <w:spacing w:after="0"/>
              <w:rPr>
                <w:sz w:val="20"/>
                <w:szCs w:val="20"/>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3.13</w:t>
            </w: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3"/>
              </w:rPr>
              <w:t>—   Amendment No. 1 dated December 31, 2013 to Seventh Amended and Restated Limited Partnership Agreement of Plains AAP, L.P.</w:t>
            </w:r>
          </w:p>
        </w:tc>
        <w:tc>
          <w:tcPr>
            <w:tcW w:w="4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10640" w:type="dxa"/>
            <w:vAlign w:val="bottom"/>
            <w:gridSpan w:val="2"/>
          </w:tcPr>
          <w:p>
            <w:pPr>
              <w:ind w:left="860"/>
              <w:spacing w:after="0"/>
              <w:rPr>
                <w:sz w:val="20"/>
                <w:szCs w:val="20"/>
                <w:color w:val="auto"/>
              </w:rPr>
            </w:pPr>
            <w:r>
              <w:rPr>
                <w:rFonts w:ascii="Arial" w:cs="Arial" w:eastAsia="Arial" w:hAnsi="Arial"/>
                <w:sz w:val="18"/>
                <w:szCs w:val="18"/>
                <w:color w:val="auto"/>
              </w:rPr>
              <w:t>(incorporated by reference to Exhibit 3.2 to the Current Report on Form 8-K filed December 31, 2013).</w:t>
            </w:r>
          </w:p>
        </w:tc>
        <w:tc>
          <w:tcPr>
            <w:tcW w:w="40" w:type="dxa"/>
            <w:vAlign w:val="bottom"/>
          </w:tcPr>
          <w:p>
            <w:pPr>
              <w:spacing w:after="0"/>
              <w:rPr>
                <w:sz w:val="20"/>
                <w:szCs w:val="20"/>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3.14</w:t>
            </w: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5"/>
              </w:rPr>
              <w:t>—   Certificate of Incorporation of PAA Finance Corp (f/k/a Pacific Energy Finance Corporation, successor-by-merger to PAA Finance</w:t>
            </w:r>
          </w:p>
        </w:tc>
        <w:tc>
          <w:tcPr>
            <w:tcW w:w="4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10640" w:type="dxa"/>
            <w:vAlign w:val="bottom"/>
            <w:gridSpan w:val="2"/>
          </w:tcPr>
          <w:p>
            <w:pPr>
              <w:ind w:left="860"/>
              <w:spacing w:after="0"/>
              <w:rPr>
                <w:sz w:val="20"/>
                <w:szCs w:val="20"/>
                <w:color w:val="auto"/>
              </w:rPr>
            </w:pPr>
            <w:r>
              <w:rPr>
                <w:rFonts w:ascii="Arial" w:cs="Arial" w:eastAsia="Arial" w:hAnsi="Arial"/>
                <w:sz w:val="18"/>
                <w:szCs w:val="18"/>
                <w:color w:val="auto"/>
                <w:w w:val="98"/>
              </w:rPr>
              <w:t>Corp.) (incorporated by reference to Exhibit 3.10 to the Annual Report on Form 10-K for the year ended December 31, 2006).</w:t>
            </w:r>
          </w:p>
        </w:tc>
        <w:tc>
          <w:tcPr>
            <w:tcW w:w="40" w:type="dxa"/>
            <w:vAlign w:val="bottom"/>
          </w:tcPr>
          <w:p>
            <w:pPr>
              <w:spacing w:after="0"/>
              <w:rPr>
                <w:sz w:val="20"/>
                <w:szCs w:val="20"/>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3.15</w:t>
            </w: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2"/>
              </w:rPr>
              <w:t>—   Bylaws of PAA Finance Corp (f/k/a Pacific Energy Finance Corporation, successor-by-merger to PAA Finance Corp.) (incorporated by</w:t>
            </w:r>
          </w:p>
        </w:tc>
        <w:tc>
          <w:tcPr>
            <w:tcW w:w="4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10640" w:type="dxa"/>
            <w:vAlign w:val="bottom"/>
            <w:gridSpan w:val="2"/>
          </w:tcPr>
          <w:p>
            <w:pPr>
              <w:ind w:left="860"/>
              <w:spacing w:after="0"/>
              <w:rPr>
                <w:sz w:val="20"/>
                <w:szCs w:val="20"/>
                <w:color w:val="auto"/>
              </w:rPr>
            </w:pPr>
            <w:r>
              <w:rPr>
                <w:rFonts w:ascii="Arial" w:cs="Arial" w:eastAsia="Arial" w:hAnsi="Arial"/>
                <w:sz w:val="18"/>
                <w:szCs w:val="18"/>
                <w:color w:val="auto"/>
              </w:rPr>
              <w:t>reference to Exhibit 3.11 to the Annual Report on Form 10-K for the year ended December 31, 2006).</w:t>
            </w:r>
          </w:p>
        </w:tc>
        <w:tc>
          <w:tcPr>
            <w:tcW w:w="40" w:type="dxa"/>
            <w:vAlign w:val="bottom"/>
          </w:tcPr>
          <w:p>
            <w:pPr>
              <w:spacing w:after="0"/>
              <w:rPr>
                <w:sz w:val="20"/>
                <w:szCs w:val="20"/>
                <w:color w:val="auto"/>
              </w:rPr>
            </w:pPr>
          </w:p>
        </w:tc>
      </w:tr>
      <w:tr>
        <w:trPr>
          <w:trHeight w:val="375"/>
        </w:trPr>
        <w:tc>
          <w:tcPr>
            <w:tcW w:w="780" w:type="dxa"/>
            <w:vAlign w:val="bottom"/>
            <w:tcBorders>
              <w:bottom w:val="single" w:sz="8" w:color="010101"/>
            </w:tcBorders>
          </w:tcPr>
          <w:p>
            <w:pPr>
              <w:spacing w:after="0"/>
              <w:rPr>
                <w:sz w:val="24"/>
                <w:szCs w:val="24"/>
                <w:color w:val="auto"/>
              </w:rPr>
            </w:pPr>
          </w:p>
        </w:tc>
        <w:tc>
          <w:tcPr>
            <w:tcW w:w="5400" w:type="dxa"/>
            <w:vAlign w:val="bottom"/>
            <w:tcBorders>
              <w:bottom w:val="single" w:sz="8" w:color="010101"/>
            </w:tcBorders>
          </w:tcPr>
          <w:p>
            <w:pPr>
              <w:spacing w:after="0"/>
              <w:rPr>
                <w:sz w:val="24"/>
                <w:szCs w:val="24"/>
                <w:color w:val="auto"/>
              </w:rPr>
            </w:pPr>
          </w:p>
        </w:tc>
        <w:tc>
          <w:tcPr>
            <w:tcW w:w="5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-6950075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-6950075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350" w:lineRule="exact"/>
        <w:rPr>
          <w:sz w:val="20"/>
          <w:szCs w:val="20"/>
          <w:color w:val="auto"/>
        </w:rPr>
      </w:pPr>
    </w:p>
    <w:p>
      <w:pPr>
        <w:spacing w:after="0"/>
        <w:tabs>
          <w:tab w:leader="none" w:pos="1200" w:val="left"/>
          <w:tab w:leader="none" w:pos="162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Limited Liability Company Agreement of PAA GP LLC dated December 28, 2007 (incorporated by reference to Exhibit 3.3 to the</w:t>
      </w:r>
    </w:p>
    <w:p>
      <w:pPr>
        <w:sectPr>
          <w:pgSz w:w="11900" w:h="16838" w:orient="portrait"/>
          <w:cols w:equalWidth="0" w:num="1">
            <w:col w:w="11460"/>
          </w:cols>
          <w:pgMar w:left="240" w:top="125" w:right="199" w:bottom="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10680" w:type="dxa"/>
            <w:vAlign w:val="bottom"/>
          </w:tcPr>
          <w:p>
            <w:pPr>
              <w:ind w:left="860"/>
              <w:spacing w:after="0"/>
              <w:rPr>
                <w:sz w:val="20"/>
                <w:szCs w:val="20"/>
                <w:color w:val="auto"/>
              </w:rPr>
            </w:pPr>
            <w:r>
              <w:rPr>
                <w:rFonts w:ascii="Arial" w:cs="Arial" w:eastAsia="Arial" w:hAnsi="Arial"/>
                <w:sz w:val="18"/>
                <w:szCs w:val="18"/>
                <w:color w:val="auto"/>
              </w:rPr>
              <w:t>Current Report on Form 8-K filed January 4, 2008).</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10680" w:type="dxa"/>
            <w:vAlign w:val="bottom"/>
          </w:tcPr>
          <w:p>
            <w:pPr>
              <w:ind w:left="440"/>
              <w:spacing w:after="0"/>
              <w:rPr>
                <w:sz w:val="20"/>
                <w:szCs w:val="20"/>
                <w:color w:val="auto"/>
              </w:rPr>
            </w:pPr>
            <w:r>
              <w:rPr>
                <w:rFonts w:ascii="Arial" w:cs="Arial" w:eastAsia="Arial" w:hAnsi="Arial"/>
                <w:sz w:val="18"/>
                <w:szCs w:val="18"/>
                <w:color w:val="auto"/>
                <w:w w:val="96"/>
              </w:rPr>
              <w:t>—   Indenture dated September 25, 2002 among Plains All American Pipeline, L.P., PAA Finance Corp. and Wachovia Bank, National</w:t>
            </w:r>
          </w:p>
        </w:tc>
      </w:tr>
      <w:tr>
        <w:trPr>
          <w:trHeight w:val="216"/>
        </w:trPr>
        <w:tc>
          <w:tcPr>
            <w:tcW w:w="780" w:type="dxa"/>
            <w:vAlign w:val="bottom"/>
          </w:tcPr>
          <w:p>
            <w:pPr>
              <w:spacing w:after="0"/>
              <w:rPr>
                <w:sz w:val="18"/>
                <w:szCs w:val="18"/>
                <w:color w:val="auto"/>
              </w:rPr>
            </w:pPr>
          </w:p>
        </w:tc>
        <w:tc>
          <w:tcPr>
            <w:tcW w:w="10680" w:type="dxa"/>
            <w:vAlign w:val="bottom"/>
          </w:tcPr>
          <w:p>
            <w:pPr>
              <w:ind w:left="860"/>
              <w:spacing w:after="0"/>
              <w:rPr>
                <w:sz w:val="20"/>
                <w:szCs w:val="20"/>
                <w:color w:val="auto"/>
              </w:rPr>
            </w:pPr>
            <w:r>
              <w:rPr>
                <w:rFonts w:ascii="Arial" w:cs="Arial" w:eastAsia="Arial" w:hAnsi="Arial"/>
                <w:sz w:val="18"/>
                <w:szCs w:val="18"/>
                <w:color w:val="auto"/>
                <w:w w:val="99"/>
              </w:rPr>
              <w:t>Association, as trustee (incorporated by reference to Exhibit 4.1 to the Quarterly Report on Form 10-Q for the quarter ended</w:t>
            </w:r>
          </w:p>
        </w:tc>
      </w:tr>
      <w:tr>
        <w:trPr>
          <w:trHeight w:val="230"/>
        </w:trPr>
        <w:tc>
          <w:tcPr>
            <w:tcW w:w="780" w:type="dxa"/>
            <w:vAlign w:val="bottom"/>
          </w:tcPr>
          <w:p>
            <w:pPr>
              <w:spacing w:after="0"/>
              <w:rPr>
                <w:sz w:val="20"/>
                <w:szCs w:val="20"/>
                <w:color w:val="auto"/>
              </w:rPr>
            </w:pPr>
          </w:p>
        </w:tc>
        <w:tc>
          <w:tcPr>
            <w:tcW w:w="10680" w:type="dxa"/>
            <w:vAlign w:val="bottom"/>
          </w:tcPr>
          <w:p>
            <w:pPr>
              <w:ind w:left="860"/>
              <w:spacing w:after="0"/>
              <w:rPr>
                <w:sz w:val="20"/>
                <w:szCs w:val="20"/>
                <w:color w:val="auto"/>
              </w:rPr>
            </w:pPr>
            <w:r>
              <w:rPr>
                <w:rFonts w:ascii="Arial" w:cs="Arial" w:eastAsia="Arial" w:hAnsi="Arial"/>
                <w:sz w:val="18"/>
                <w:szCs w:val="18"/>
                <w:color w:val="auto"/>
              </w:rPr>
              <w:t>September 30, 2002).</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4.2</w:t>
            </w:r>
          </w:p>
        </w:tc>
        <w:tc>
          <w:tcPr>
            <w:tcW w:w="10680" w:type="dxa"/>
            <w:vAlign w:val="bottom"/>
          </w:tcPr>
          <w:p>
            <w:pPr>
              <w:ind w:left="440"/>
              <w:spacing w:after="0"/>
              <w:rPr>
                <w:sz w:val="20"/>
                <w:szCs w:val="20"/>
                <w:color w:val="auto"/>
              </w:rPr>
            </w:pPr>
            <w:r>
              <w:rPr>
                <w:rFonts w:ascii="Arial" w:cs="Arial" w:eastAsia="Arial" w:hAnsi="Arial"/>
                <w:sz w:val="18"/>
                <w:szCs w:val="18"/>
                <w:color w:val="auto"/>
              </w:rPr>
              <w:t>—   Fourth Supplemental Indenture (Series A and Series B 5.875% Senior Notes due 2016) dated August 12, 2004</w:t>
            </w:r>
          </w:p>
        </w:tc>
      </w:tr>
      <w:tr>
        <w:trPr>
          <w:trHeight w:val="216"/>
        </w:trPr>
        <w:tc>
          <w:tcPr>
            <w:tcW w:w="780" w:type="dxa"/>
            <w:vAlign w:val="bottom"/>
          </w:tcPr>
          <w:p>
            <w:pPr>
              <w:spacing w:after="0"/>
              <w:rPr>
                <w:sz w:val="18"/>
                <w:szCs w:val="18"/>
                <w:color w:val="auto"/>
              </w:rPr>
            </w:pPr>
          </w:p>
        </w:tc>
        <w:tc>
          <w:tcPr>
            <w:tcW w:w="10680" w:type="dxa"/>
            <w:vAlign w:val="bottom"/>
          </w:tcPr>
          <w:p>
            <w:pPr>
              <w:ind w:left="860"/>
              <w:spacing w:after="0"/>
              <w:rPr>
                <w:sz w:val="20"/>
                <w:szCs w:val="20"/>
                <w:color w:val="auto"/>
              </w:rPr>
            </w:pPr>
            <w:r>
              <w:rPr>
                <w:rFonts w:ascii="Arial" w:cs="Arial" w:eastAsia="Arial" w:hAnsi="Arial"/>
                <w:sz w:val="18"/>
                <w:szCs w:val="18"/>
                <w:color w:val="auto"/>
                <w:w w:val="91"/>
              </w:rPr>
              <w:t>among Plains All American Pipeline, L.P., PAA Finance Corp., the Subsidiary Guarantors named therein and Wachovia Bank, National</w:t>
            </w:r>
          </w:p>
        </w:tc>
      </w:tr>
      <w:tr>
        <w:trPr>
          <w:trHeight w:val="230"/>
        </w:trPr>
        <w:tc>
          <w:tcPr>
            <w:tcW w:w="780" w:type="dxa"/>
            <w:vAlign w:val="bottom"/>
          </w:tcPr>
          <w:p>
            <w:pPr>
              <w:spacing w:after="0"/>
              <w:rPr>
                <w:sz w:val="20"/>
                <w:szCs w:val="20"/>
                <w:color w:val="auto"/>
              </w:rPr>
            </w:pPr>
          </w:p>
        </w:tc>
        <w:tc>
          <w:tcPr>
            <w:tcW w:w="10680" w:type="dxa"/>
            <w:vAlign w:val="bottom"/>
          </w:tcPr>
          <w:p>
            <w:pPr>
              <w:ind w:left="860"/>
              <w:spacing w:after="0"/>
              <w:rPr>
                <w:sz w:val="20"/>
                <w:szCs w:val="20"/>
                <w:color w:val="auto"/>
              </w:rPr>
            </w:pPr>
            <w:r>
              <w:rPr>
                <w:rFonts w:ascii="Arial" w:cs="Arial" w:eastAsia="Arial" w:hAnsi="Arial"/>
                <w:sz w:val="18"/>
                <w:szCs w:val="18"/>
                <w:color w:val="auto"/>
                <w:w w:val="94"/>
              </w:rPr>
              <w:t>Association, as trustee (incorporated by reference to Exhibit 4.5 to the Registration Statement on Form S-4, File No. 333-121168).</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w:t>
            </w:r>
          </w:p>
        </w:tc>
        <w:tc>
          <w:tcPr>
            <w:tcW w:w="10680" w:type="dxa"/>
            <w:vAlign w:val="bottom"/>
          </w:tcPr>
          <w:p>
            <w:pPr>
              <w:ind w:left="440"/>
              <w:spacing w:after="0"/>
              <w:rPr>
                <w:sz w:val="20"/>
                <w:szCs w:val="20"/>
                <w:color w:val="auto"/>
              </w:rPr>
            </w:pPr>
            <w:r>
              <w:rPr>
                <w:rFonts w:ascii="Arial" w:cs="Arial" w:eastAsia="Arial" w:hAnsi="Arial"/>
                <w:sz w:val="18"/>
                <w:szCs w:val="18"/>
                <w:color w:val="auto"/>
                <w:w w:val="94"/>
              </w:rPr>
              <w:t>—   Fifth Supplemental Indenture (Series A and Series B 5.25% Senior Notes due 2015) dated May 27, 2005 among Plains All American</w:t>
            </w:r>
          </w:p>
        </w:tc>
      </w:tr>
      <w:tr>
        <w:trPr>
          <w:trHeight w:val="216"/>
        </w:trPr>
        <w:tc>
          <w:tcPr>
            <w:tcW w:w="780" w:type="dxa"/>
            <w:vAlign w:val="bottom"/>
          </w:tcPr>
          <w:p>
            <w:pPr>
              <w:spacing w:after="0"/>
              <w:rPr>
                <w:sz w:val="18"/>
                <w:szCs w:val="18"/>
                <w:color w:val="auto"/>
              </w:rPr>
            </w:pPr>
          </w:p>
        </w:tc>
        <w:tc>
          <w:tcPr>
            <w:tcW w:w="10680" w:type="dxa"/>
            <w:vAlign w:val="bottom"/>
          </w:tcPr>
          <w:p>
            <w:pPr>
              <w:ind w:left="860"/>
              <w:spacing w:after="0"/>
              <w:rPr>
                <w:sz w:val="20"/>
                <w:szCs w:val="20"/>
                <w:color w:val="auto"/>
              </w:rPr>
            </w:pPr>
            <w:r>
              <w:rPr>
                <w:rFonts w:ascii="Arial" w:cs="Arial" w:eastAsia="Arial" w:hAnsi="Arial"/>
                <w:sz w:val="18"/>
                <w:szCs w:val="18"/>
                <w:color w:val="auto"/>
                <w:w w:val="94"/>
              </w:rPr>
              <w:t>Pipeline, L.P., PAA Finance Corp., the Subsidiary Guarantors named therein and Wachovia Bank, National Association, as trustee</w:t>
            </w:r>
          </w:p>
        </w:tc>
      </w:tr>
      <w:tr>
        <w:trPr>
          <w:trHeight w:val="230"/>
        </w:trPr>
        <w:tc>
          <w:tcPr>
            <w:tcW w:w="780" w:type="dxa"/>
            <w:vAlign w:val="bottom"/>
          </w:tcPr>
          <w:p>
            <w:pPr>
              <w:spacing w:after="0"/>
              <w:rPr>
                <w:sz w:val="20"/>
                <w:szCs w:val="20"/>
                <w:color w:val="auto"/>
              </w:rPr>
            </w:pPr>
          </w:p>
        </w:tc>
        <w:tc>
          <w:tcPr>
            <w:tcW w:w="10680" w:type="dxa"/>
            <w:vAlign w:val="bottom"/>
          </w:tcPr>
          <w:p>
            <w:pPr>
              <w:ind w:left="860"/>
              <w:spacing w:after="0"/>
              <w:rPr>
                <w:sz w:val="20"/>
                <w:szCs w:val="20"/>
                <w:color w:val="auto"/>
              </w:rPr>
            </w:pPr>
            <w:r>
              <w:rPr>
                <w:rFonts w:ascii="Arial" w:cs="Arial" w:eastAsia="Arial" w:hAnsi="Arial"/>
                <w:sz w:val="18"/>
                <w:szCs w:val="18"/>
                <w:color w:val="auto"/>
              </w:rPr>
              <w:t>(incorporated by reference to Exhibit 4.1 to the Current Report on Form 8-K filed May 31, 2005).</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4.4</w:t>
            </w:r>
          </w:p>
        </w:tc>
        <w:tc>
          <w:tcPr>
            <w:tcW w:w="10680" w:type="dxa"/>
            <w:vAlign w:val="bottom"/>
          </w:tcPr>
          <w:p>
            <w:pPr>
              <w:ind w:left="440"/>
              <w:spacing w:after="0"/>
              <w:rPr>
                <w:sz w:val="20"/>
                <w:szCs w:val="20"/>
                <w:color w:val="auto"/>
              </w:rPr>
            </w:pPr>
            <w:r>
              <w:rPr>
                <w:rFonts w:ascii="Arial" w:cs="Arial" w:eastAsia="Arial" w:hAnsi="Arial"/>
                <w:sz w:val="18"/>
                <w:szCs w:val="18"/>
                <w:color w:val="auto"/>
                <w:w w:val="93"/>
              </w:rPr>
              <w:t>—   Sixth Supplemental Indenture (Series A and Series B 6.70% Senior Notes due 2036) dated May 12, 2006 among Plains All American</w:t>
            </w:r>
          </w:p>
        </w:tc>
      </w:tr>
      <w:tr>
        <w:trPr>
          <w:trHeight w:val="216"/>
        </w:trPr>
        <w:tc>
          <w:tcPr>
            <w:tcW w:w="780" w:type="dxa"/>
            <w:vAlign w:val="bottom"/>
          </w:tcPr>
          <w:p>
            <w:pPr>
              <w:spacing w:after="0"/>
              <w:rPr>
                <w:sz w:val="18"/>
                <w:szCs w:val="18"/>
                <w:color w:val="auto"/>
              </w:rPr>
            </w:pPr>
          </w:p>
        </w:tc>
        <w:tc>
          <w:tcPr>
            <w:tcW w:w="10680" w:type="dxa"/>
            <w:vAlign w:val="bottom"/>
          </w:tcPr>
          <w:p>
            <w:pPr>
              <w:ind w:left="860"/>
              <w:spacing w:after="0"/>
              <w:rPr>
                <w:sz w:val="20"/>
                <w:szCs w:val="20"/>
                <w:color w:val="auto"/>
              </w:rPr>
            </w:pPr>
            <w:r>
              <w:rPr>
                <w:rFonts w:ascii="Arial" w:cs="Arial" w:eastAsia="Arial" w:hAnsi="Arial"/>
                <w:sz w:val="18"/>
                <w:szCs w:val="18"/>
                <w:color w:val="auto"/>
                <w:w w:val="94"/>
              </w:rPr>
              <w:t>Pipeline, L.P., PAA Finance Corp., the Subsidiary Guarantors named therein and Wachovia Bank, National Association, as trustee</w:t>
            </w:r>
          </w:p>
        </w:tc>
      </w:tr>
      <w:tr>
        <w:trPr>
          <w:trHeight w:val="230"/>
        </w:trPr>
        <w:tc>
          <w:tcPr>
            <w:tcW w:w="780" w:type="dxa"/>
            <w:vAlign w:val="bottom"/>
          </w:tcPr>
          <w:p>
            <w:pPr>
              <w:spacing w:after="0"/>
              <w:rPr>
                <w:sz w:val="20"/>
                <w:szCs w:val="20"/>
                <w:color w:val="auto"/>
              </w:rPr>
            </w:pPr>
          </w:p>
        </w:tc>
        <w:tc>
          <w:tcPr>
            <w:tcW w:w="10680" w:type="dxa"/>
            <w:vAlign w:val="bottom"/>
          </w:tcPr>
          <w:p>
            <w:pPr>
              <w:ind w:left="860"/>
              <w:spacing w:after="0"/>
              <w:rPr>
                <w:sz w:val="20"/>
                <w:szCs w:val="20"/>
                <w:color w:val="auto"/>
              </w:rPr>
            </w:pPr>
            <w:r>
              <w:rPr>
                <w:rFonts w:ascii="Arial" w:cs="Arial" w:eastAsia="Arial" w:hAnsi="Arial"/>
                <w:sz w:val="18"/>
                <w:szCs w:val="18"/>
                <w:color w:val="auto"/>
              </w:rPr>
              <w:t>(incorporated by reference to Exhibit 4.1 to the Current Report on Form 8-K filed May 12, 2006).</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4.5</w:t>
            </w:r>
          </w:p>
        </w:tc>
        <w:tc>
          <w:tcPr>
            <w:tcW w:w="10680" w:type="dxa"/>
            <w:vAlign w:val="bottom"/>
          </w:tcPr>
          <w:p>
            <w:pPr>
              <w:ind w:left="440"/>
              <w:spacing w:after="0"/>
              <w:rPr>
                <w:sz w:val="20"/>
                <w:szCs w:val="20"/>
                <w:color w:val="auto"/>
              </w:rPr>
            </w:pPr>
            <w:r>
              <w:rPr>
                <w:rFonts w:ascii="Arial" w:cs="Arial" w:eastAsia="Arial" w:hAnsi="Arial"/>
                <w:sz w:val="18"/>
                <w:szCs w:val="18"/>
                <w:color w:val="auto"/>
                <w:w w:val="97"/>
              </w:rPr>
              <w:t>—   Ninth Supplemental Indenture (Series A and Series B 6.125% Senior Notes due 2017) dated October 30, 2006 among Plains All</w:t>
            </w:r>
          </w:p>
        </w:tc>
      </w:tr>
      <w:tr>
        <w:trPr>
          <w:trHeight w:val="216"/>
        </w:trPr>
        <w:tc>
          <w:tcPr>
            <w:tcW w:w="780" w:type="dxa"/>
            <w:vAlign w:val="bottom"/>
          </w:tcPr>
          <w:p>
            <w:pPr>
              <w:spacing w:after="0"/>
              <w:rPr>
                <w:sz w:val="18"/>
                <w:szCs w:val="18"/>
                <w:color w:val="auto"/>
              </w:rPr>
            </w:pPr>
          </w:p>
        </w:tc>
        <w:tc>
          <w:tcPr>
            <w:tcW w:w="10680" w:type="dxa"/>
            <w:vAlign w:val="bottom"/>
          </w:tcPr>
          <w:p>
            <w:pPr>
              <w:ind w:left="860"/>
              <w:spacing w:after="0"/>
              <w:rPr>
                <w:sz w:val="20"/>
                <w:szCs w:val="20"/>
                <w:color w:val="auto"/>
              </w:rPr>
            </w:pPr>
            <w:r>
              <w:rPr>
                <w:rFonts w:ascii="Arial" w:cs="Arial" w:eastAsia="Arial" w:hAnsi="Arial"/>
                <w:sz w:val="18"/>
                <w:szCs w:val="18"/>
                <w:color w:val="auto"/>
                <w:w w:val="91"/>
              </w:rPr>
              <w:t>American Pipeline, L.P., PAA Finance Corp., the Subsidiary Guarantors named therein and U.S. Bank National Association, as trustee</w:t>
            </w:r>
          </w:p>
        </w:tc>
      </w:tr>
      <w:tr>
        <w:trPr>
          <w:trHeight w:val="230"/>
        </w:trPr>
        <w:tc>
          <w:tcPr>
            <w:tcW w:w="780" w:type="dxa"/>
            <w:vAlign w:val="bottom"/>
          </w:tcPr>
          <w:p>
            <w:pPr>
              <w:spacing w:after="0"/>
              <w:rPr>
                <w:sz w:val="20"/>
                <w:szCs w:val="20"/>
                <w:color w:val="auto"/>
              </w:rPr>
            </w:pPr>
          </w:p>
        </w:tc>
        <w:tc>
          <w:tcPr>
            <w:tcW w:w="10680" w:type="dxa"/>
            <w:vAlign w:val="bottom"/>
          </w:tcPr>
          <w:p>
            <w:pPr>
              <w:ind w:left="860"/>
              <w:spacing w:after="0"/>
              <w:rPr>
                <w:sz w:val="20"/>
                <w:szCs w:val="20"/>
                <w:color w:val="auto"/>
              </w:rPr>
            </w:pPr>
            <w:r>
              <w:rPr>
                <w:rFonts w:ascii="Arial" w:cs="Arial" w:eastAsia="Arial" w:hAnsi="Arial"/>
                <w:sz w:val="18"/>
                <w:szCs w:val="18"/>
                <w:color w:val="auto"/>
              </w:rPr>
              <w:t>(incorporated by reference to Exhibit 4.1 to the Current Report on Form 8-K filed October 30, 2006).</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4.6</w:t>
            </w:r>
          </w:p>
        </w:tc>
        <w:tc>
          <w:tcPr>
            <w:tcW w:w="10680" w:type="dxa"/>
            <w:vAlign w:val="bottom"/>
          </w:tcPr>
          <w:p>
            <w:pPr>
              <w:ind w:left="440"/>
              <w:spacing w:after="0"/>
              <w:rPr>
                <w:sz w:val="20"/>
                <w:szCs w:val="20"/>
                <w:color w:val="auto"/>
              </w:rPr>
            </w:pPr>
            <w:r>
              <w:rPr>
                <w:rFonts w:ascii="Arial" w:cs="Arial" w:eastAsia="Arial" w:hAnsi="Arial"/>
                <w:sz w:val="18"/>
                <w:szCs w:val="18"/>
                <w:color w:val="auto"/>
                <w:w w:val="96"/>
              </w:rPr>
              <w:t>—   Tenth Supplemental Indenture (Series A and Series B 6.650% Senior Notes due 2037) dated October 30, 2006 among Plains All</w:t>
            </w:r>
          </w:p>
        </w:tc>
      </w:tr>
      <w:tr>
        <w:trPr>
          <w:trHeight w:val="216"/>
        </w:trPr>
        <w:tc>
          <w:tcPr>
            <w:tcW w:w="780" w:type="dxa"/>
            <w:vAlign w:val="bottom"/>
          </w:tcPr>
          <w:p>
            <w:pPr>
              <w:spacing w:after="0"/>
              <w:rPr>
                <w:sz w:val="18"/>
                <w:szCs w:val="18"/>
                <w:color w:val="auto"/>
              </w:rPr>
            </w:pPr>
          </w:p>
        </w:tc>
        <w:tc>
          <w:tcPr>
            <w:tcW w:w="10680" w:type="dxa"/>
            <w:vAlign w:val="bottom"/>
          </w:tcPr>
          <w:p>
            <w:pPr>
              <w:ind w:left="860"/>
              <w:spacing w:after="0"/>
              <w:rPr>
                <w:sz w:val="20"/>
                <w:szCs w:val="20"/>
                <w:color w:val="auto"/>
              </w:rPr>
            </w:pPr>
            <w:r>
              <w:rPr>
                <w:rFonts w:ascii="Arial" w:cs="Arial" w:eastAsia="Arial" w:hAnsi="Arial"/>
                <w:sz w:val="18"/>
                <w:szCs w:val="18"/>
                <w:color w:val="auto"/>
                <w:w w:val="91"/>
              </w:rPr>
              <w:t>American Pipeline, L.P., PAA Finance Corp., the Subsidiary Guarantors named therein and U.S. Bank National Association, as trustee</w:t>
            </w:r>
          </w:p>
        </w:tc>
      </w:tr>
      <w:tr>
        <w:trPr>
          <w:trHeight w:val="230"/>
        </w:trPr>
        <w:tc>
          <w:tcPr>
            <w:tcW w:w="780" w:type="dxa"/>
            <w:vAlign w:val="bottom"/>
          </w:tcPr>
          <w:p>
            <w:pPr>
              <w:spacing w:after="0"/>
              <w:rPr>
                <w:sz w:val="20"/>
                <w:szCs w:val="20"/>
                <w:color w:val="auto"/>
              </w:rPr>
            </w:pPr>
          </w:p>
        </w:tc>
        <w:tc>
          <w:tcPr>
            <w:tcW w:w="10680" w:type="dxa"/>
            <w:vAlign w:val="bottom"/>
          </w:tcPr>
          <w:p>
            <w:pPr>
              <w:ind w:left="860"/>
              <w:spacing w:after="0"/>
              <w:rPr>
                <w:sz w:val="20"/>
                <w:szCs w:val="20"/>
                <w:color w:val="auto"/>
              </w:rPr>
            </w:pPr>
            <w:r>
              <w:rPr>
                <w:rFonts w:ascii="Arial" w:cs="Arial" w:eastAsia="Arial" w:hAnsi="Arial"/>
                <w:sz w:val="18"/>
                <w:szCs w:val="18"/>
                <w:color w:val="auto"/>
              </w:rPr>
              <w:t>(incorporated by reference to Exhibit 4.2 to the Current Report on Form 8-K filed October 30, 2006).</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4.7</w:t>
            </w:r>
          </w:p>
        </w:tc>
        <w:tc>
          <w:tcPr>
            <w:tcW w:w="10680" w:type="dxa"/>
            <w:vAlign w:val="bottom"/>
          </w:tcPr>
          <w:p>
            <w:pPr>
              <w:ind w:left="440"/>
              <w:spacing w:after="0"/>
              <w:rPr>
                <w:sz w:val="20"/>
                <w:szCs w:val="20"/>
                <w:color w:val="auto"/>
              </w:rPr>
            </w:pPr>
            <w:r>
              <w:rPr>
                <w:rFonts w:ascii="Arial" w:cs="Arial" w:eastAsia="Arial" w:hAnsi="Arial"/>
                <w:sz w:val="18"/>
                <w:szCs w:val="18"/>
                <w:color w:val="auto"/>
                <w:w w:val="97"/>
              </w:rPr>
              <w:t>—   Thirteenth Supplemental Indenture (Series A and Series B 6.5% Senior Notes due 2018) dated April 23, 2008 among Plains All</w:t>
            </w:r>
          </w:p>
        </w:tc>
      </w:tr>
      <w:tr>
        <w:trPr>
          <w:trHeight w:val="216"/>
        </w:trPr>
        <w:tc>
          <w:tcPr>
            <w:tcW w:w="780" w:type="dxa"/>
            <w:vAlign w:val="bottom"/>
          </w:tcPr>
          <w:p>
            <w:pPr>
              <w:spacing w:after="0"/>
              <w:rPr>
                <w:sz w:val="18"/>
                <w:szCs w:val="18"/>
                <w:color w:val="auto"/>
              </w:rPr>
            </w:pPr>
          </w:p>
        </w:tc>
        <w:tc>
          <w:tcPr>
            <w:tcW w:w="10680" w:type="dxa"/>
            <w:vAlign w:val="bottom"/>
          </w:tcPr>
          <w:p>
            <w:pPr>
              <w:ind w:left="860"/>
              <w:spacing w:after="0"/>
              <w:rPr>
                <w:sz w:val="20"/>
                <w:szCs w:val="20"/>
                <w:color w:val="auto"/>
              </w:rPr>
            </w:pPr>
            <w:r>
              <w:rPr>
                <w:rFonts w:ascii="Arial" w:cs="Arial" w:eastAsia="Arial" w:hAnsi="Arial"/>
                <w:sz w:val="18"/>
                <w:szCs w:val="18"/>
                <w:color w:val="auto"/>
                <w:w w:val="91"/>
              </w:rPr>
              <w:t>American Pipeline, L.P., PAA Finance Corp., the Subsidiary Guarantors named therein and U.S. Bank National Association, as trustee</w:t>
            </w:r>
          </w:p>
        </w:tc>
      </w:tr>
      <w:tr>
        <w:trPr>
          <w:trHeight w:val="230"/>
        </w:trPr>
        <w:tc>
          <w:tcPr>
            <w:tcW w:w="780" w:type="dxa"/>
            <w:vAlign w:val="bottom"/>
          </w:tcPr>
          <w:p>
            <w:pPr>
              <w:spacing w:after="0"/>
              <w:rPr>
                <w:sz w:val="20"/>
                <w:szCs w:val="20"/>
                <w:color w:val="auto"/>
              </w:rPr>
            </w:pPr>
          </w:p>
        </w:tc>
        <w:tc>
          <w:tcPr>
            <w:tcW w:w="10680" w:type="dxa"/>
            <w:vAlign w:val="bottom"/>
          </w:tcPr>
          <w:p>
            <w:pPr>
              <w:ind w:left="860"/>
              <w:spacing w:after="0"/>
              <w:rPr>
                <w:sz w:val="20"/>
                <w:szCs w:val="20"/>
                <w:color w:val="auto"/>
              </w:rPr>
            </w:pPr>
            <w:r>
              <w:rPr>
                <w:rFonts w:ascii="Arial" w:cs="Arial" w:eastAsia="Arial" w:hAnsi="Arial"/>
                <w:sz w:val="18"/>
                <w:szCs w:val="18"/>
                <w:color w:val="auto"/>
              </w:rPr>
              <w:t>(incorporated by reference to Exhibit 4.1 to the Current Report on Form 8-K filed April 23, 2008).</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4.8</w:t>
            </w:r>
          </w:p>
        </w:tc>
        <w:tc>
          <w:tcPr>
            <w:tcW w:w="10680" w:type="dxa"/>
            <w:vAlign w:val="bottom"/>
          </w:tcPr>
          <w:p>
            <w:pPr>
              <w:ind w:left="440"/>
              <w:spacing w:after="0"/>
              <w:rPr>
                <w:sz w:val="20"/>
                <w:szCs w:val="20"/>
                <w:color w:val="auto"/>
              </w:rPr>
            </w:pPr>
            <w:r>
              <w:rPr>
                <w:rFonts w:ascii="Arial" w:cs="Arial" w:eastAsia="Arial" w:hAnsi="Arial"/>
                <w:sz w:val="18"/>
                <w:szCs w:val="18"/>
                <w:color w:val="auto"/>
                <w:w w:val="92"/>
              </w:rPr>
              <w:t>—   Fifteenth Supplemental Indenture (8.75% Senior Notes due 2019) dated April 20, 2009 among Plains All American Pipeline, L.P., PAA</w:t>
            </w:r>
          </w:p>
        </w:tc>
      </w:tr>
      <w:tr>
        <w:trPr>
          <w:trHeight w:val="216"/>
        </w:trPr>
        <w:tc>
          <w:tcPr>
            <w:tcW w:w="780" w:type="dxa"/>
            <w:vAlign w:val="bottom"/>
          </w:tcPr>
          <w:p>
            <w:pPr>
              <w:spacing w:after="0"/>
              <w:rPr>
                <w:sz w:val="18"/>
                <w:szCs w:val="18"/>
                <w:color w:val="auto"/>
              </w:rPr>
            </w:pPr>
          </w:p>
        </w:tc>
        <w:tc>
          <w:tcPr>
            <w:tcW w:w="10680" w:type="dxa"/>
            <w:vAlign w:val="bottom"/>
          </w:tcPr>
          <w:p>
            <w:pPr>
              <w:ind w:left="860"/>
              <w:spacing w:after="0"/>
              <w:rPr>
                <w:sz w:val="20"/>
                <w:szCs w:val="20"/>
                <w:color w:val="auto"/>
              </w:rPr>
            </w:pPr>
            <w:r>
              <w:rPr>
                <w:rFonts w:ascii="Arial" w:cs="Arial" w:eastAsia="Arial" w:hAnsi="Arial"/>
                <w:sz w:val="18"/>
                <w:szCs w:val="18"/>
                <w:color w:val="auto"/>
                <w:w w:val="91"/>
              </w:rPr>
              <w:t>Finance Corp., the Subsidiary Guarantors named therein and U.S. Bank National Association, as trustee (incorporated by reference to</w:t>
            </w:r>
          </w:p>
        </w:tc>
      </w:tr>
      <w:tr>
        <w:trPr>
          <w:trHeight w:val="230"/>
        </w:trPr>
        <w:tc>
          <w:tcPr>
            <w:tcW w:w="780" w:type="dxa"/>
            <w:vAlign w:val="bottom"/>
          </w:tcPr>
          <w:p>
            <w:pPr>
              <w:spacing w:after="0"/>
              <w:rPr>
                <w:sz w:val="20"/>
                <w:szCs w:val="20"/>
                <w:color w:val="auto"/>
              </w:rPr>
            </w:pPr>
          </w:p>
        </w:tc>
        <w:tc>
          <w:tcPr>
            <w:tcW w:w="10680" w:type="dxa"/>
            <w:vAlign w:val="bottom"/>
          </w:tcPr>
          <w:p>
            <w:pPr>
              <w:ind w:left="860"/>
              <w:spacing w:after="0"/>
              <w:rPr>
                <w:sz w:val="20"/>
                <w:szCs w:val="20"/>
                <w:color w:val="auto"/>
              </w:rPr>
            </w:pPr>
            <w:r>
              <w:rPr>
                <w:rFonts w:ascii="Arial" w:cs="Arial" w:eastAsia="Arial" w:hAnsi="Arial"/>
                <w:sz w:val="18"/>
                <w:szCs w:val="18"/>
                <w:color w:val="auto"/>
              </w:rPr>
              <w:t>Exhibit 4.1 to the Current Report on Form 8-K filed April 20, 2009).</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4.9</w:t>
            </w:r>
          </w:p>
        </w:tc>
        <w:tc>
          <w:tcPr>
            <w:tcW w:w="10680" w:type="dxa"/>
            <w:vAlign w:val="bottom"/>
          </w:tcPr>
          <w:p>
            <w:pPr>
              <w:ind w:left="440"/>
              <w:spacing w:after="0"/>
              <w:rPr>
                <w:sz w:val="20"/>
                <w:szCs w:val="20"/>
                <w:color w:val="auto"/>
              </w:rPr>
            </w:pPr>
            <w:r>
              <w:rPr>
                <w:rFonts w:ascii="Arial" w:cs="Arial" w:eastAsia="Arial" w:hAnsi="Arial"/>
                <w:sz w:val="18"/>
                <w:szCs w:val="18"/>
                <w:color w:val="auto"/>
                <w:w w:val="93"/>
              </w:rPr>
              <w:t>—   Seventeenth Supplemental Indenture (5.75% Senior Notes due 2020) dated September 4, 2009 among Plains All American Pipeline,</w:t>
            </w:r>
          </w:p>
        </w:tc>
      </w:tr>
      <w:tr>
        <w:trPr>
          <w:trHeight w:val="216"/>
        </w:trPr>
        <w:tc>
          <w:tcPr>
            <w:tcW w:w="780" w:type="dxa"/>
            <w:vAlign w:val="bottom"/>
          </w:tcPr>
          <w:p>
            <w:pPr>
              <w:spacing w:after="0"/>
              <w:rPr>
                <w:sz w:val="18"/>
                <w:szCs w:val="18"/>
                <w:color w:val="auto"/>
              </w:rPr>
            </w:pPr>
          </w:p>
        </w:tc>
        <w:tc>
          <w:tcPr>
            <w:tcW w:w="10680" w:type="dxa"/>
            <w:vAlign w:val="bottom"/>
          </w:tcPr>
          <w:p>
            <w:pPr>
              <w:ind w:left="860"/>
              <w:spacing w:after="0"/>
              <w:rPr>
                <w:sz w:val="20"/>
                <w:szCs w:val="20"/>
                <w:color w:val="auto"/>
              </w:rPr>
            </w:pPr>
            <w:r>
              <w:rPr>
                <w:rFonts w:ascii="Arial" w:cs="Arial" w:eastAsia="Arial" w:hAnsi="Arial"/>
                <w:sz w:val="18"/>
                <w:szCs w:val="18"/>
                <w:color w:val="auto"/>
                <w:w w:val="93"/>
              </w:rPr>
              <w:t>L.P., PAA Finance Corp., the Subsidiary Guarantors named therein and U.S. Bank National Association, as trustee (incorporated by</w:t>
            </w:r>
          </w:p>
        </w:tc>
      </w:tr>
      <w:tr>
        <w:trPr>
          <w:trHeight w:val="230"/>
        </w:trPr>
        <w:tc>
          <w:tcPr>
            <w:tcW w:w="780" w:type="dxa"/>
            <w:vAlign w:val="bottom"/>
          </w:tcPr>
          <w:p>
            <w:pPr>
              <w:spacing w:after="0"/>
              <w:rPr>
                <w:sz w:val="20"/>
                <w:szCs w:val="20"/>
                <w:color w:val="auto"/>
              </w:rPr>
            </w:pPr>
          </w:p>
        </w:tc>
        <w:tc>
          <w:tcPr>
            <w:tcW w:w="10680" w:type="dxa"/>
            <w:vAlign w:val="bottom"/>
          </w:tcPr>
          <w:p>
            <w:pPr>
              <w:ind w:left="860"/>
              <w:spacing w:after="0"/>
              <w:rPr>
                <w:sz w:val="20"/>
                <w:szCs w:val="20"/>
                <w:color w:val="auto"/>
              </w:rPr>
            </w:pPr>
            <w:r>
              <w:rPr>
                <w:rFonts w:ascii="Arial" w:cs="Arial" w:eastAsia="Arial" w:hAnsi="Arial"/>
                <w:sz w:val="18"/>
                <w:szCs w:val="18"/>
                <w:color w:val="auto"/>
              </w:rPr>
              <w:t>reference to Exhibit 4.1 to the Current Report on Form 8-K filed September 4, 2009).</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4.10</w:t>
            </w:r>
          </w:p>
        </w:tc>
        <w:tc>
          <w:tcPr>
            <w:tcW w:w="10680" w:type="dxa"/>
            <w:vAlign w:val="bottom"/>
          </w:tcPr>
          <w:p>
            <w:pPr>
              <w:ind w:left="440"/>
              <w:spacing w:after="0"/>
              <w:rPr>
                <w:sz w:val="20"/>
                <w:szCs w:val="20"/>
                <w:color w:val="auto"/>
              </w:rPr>
            </w:pPr>
            <w:r>
              <w:rPr>
                <w:rFonts w:ascii="Arial" w:cs="Arial" w:eastAsia="Arial" w:hAnsi="Arial"/>
                <w:sz w:val="18"/>
                <w:szCs w:val="18"/>
                <w:color w:val="auto"/>
                <w:w w:val="95"/>
              </w:rPr>
              <w:t>—   Eighteenth Supplemental Indenture (3.95% Senior Notes due 2015) dated July 14, 2010 among Plains All American Pipeline, L.P.,</w:t>
            </w:r>
          </w:p>
        </w:tc>
      </w:tr>
      <w:tr>
        <w:trPr>
          <w:trHeight w:val="216"/>
        </w:trPr>
        <w:tc>
          <w:tcPr>
            <w:tcW w:w="780" w:type="dxa"/>
            <w:vAlign w:val="bottom"/>
          </w:tcPr>
          <w:p>
            <w:pPr>
              <w:spacing w:after="0"/>
              <w:rPr>
                <w:sz w:val="18"/>
                <w:szCs w:val="18"/>
                <w:color w:val="auto"/>
              </w:rPr>
            </w:pPr>
          </w:p>
        </w:tc>
        <w:tc>
          <w:tcPr>
            <w:tcW w:w="10680" w:type="dxa"/>
            <w:vAlign w:val="bottom"/>
          </w:tcPr>
          <w:p>
            <w:pPr>
              <w:ind w:left="860"/>
              <w:spacing w:after="0"/>
              <w:rPr>
                <w:sz w:val="20"/>
                <w:szCs w:val="20"/>
                <w:color w:val="auto"/>
              </w:rPr>
            </w:pPr>
            <w:r>
              <w:rPr>
                <w:rFonts w:ascii="Arial" w:cs="Arial" w:eastAsia="Arial" w:hAnsi="Arial"/>
                <w:sz w:val="18"/>
                <w:szCs w:val="18"/>
                <w:color w:val="auto"/>
                <w:w w:val="97"/>
              </w:rPr>
              <w:t>PAA Finance Corp., the Subsidiary Guarantors named therein and U.S. Bank National Association, as trustee (incorporated by</w:t>
            </w:r>
          </w:p>
        </w:tc>
      </w:tr>
      <w:tr>
        <w:trPr>
          <w:trHeight w:val="230"/>
        </w:trPr>
        <w:tc>
          <w:tcPr>
            <w:tcW w:w="780" w:type="dxa"/>
            <w:vAlign w:val="bottom"/>
          </w:tcPr>
          <w:p>
            <w:pPr>
              <w:spacing w:after="0"/>
              <w:rPr>
                <w:sz w:val="20"/>
                <w:szCs w:val="20"/>
                <w:color w:val="auto"/>
              </w:rPr>
            </w:pPr>
          </w:p>
        </w:tc>
        <w:tc>
          <w:tcPr>
            <w:tcW w:w="10680" w:type="dxa"/>
            <w:vAlign w:val="bottom"/>
          </w:tcPr>
          <w:p>
            <w:pPr>
              <w:ind w:left="860"/>
              <w:spacing w:after="0"/>
              <w:rPr>
                <w:sz w:val="20"/>
                <w:szCs w:val="20"/>
                <w:color w:val="auto"/>
              </w:rPr>
            </w:pPr>
            <w:r>
              <w:rPr>
                <w:rFonts w:ascii="Arial" w:cs="Arial" w:eastAsia="Arial" w:hAnsi="Arial"/>
                <w:sz w:val="18"/>
                <w:szCs w:val="18"/>
                <w:color w:val="auto"/>
              </w:rPr>
              <w:t>reference to Exhibit 4.1 to the Current Report on Form 8-K filed July 13, 2010).</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4.11</w:t>
            </w:r>
          </w:p>
        </w:tc>
        <w:tc>
          <w:tcPr>
            <w:tcW w:w="10680" w:type="dxa"/>
            <w:vAlign w:val="bottom"/>
          </w:tcPr>
          <w:p>
            <w:pPr>
              <w:ind w:left="440"/>
              <w:spacing w:after="0"/>
              <w:rPr>
                <w:sz w:val="20"/>
                <w:szCs w:val="20"/>
                <w:color w:val="auto"/>
              </w:rPr>
            </w:pPr>
            <w:r>
              <w:rPr>
                <w:rFonts w:ascii="Arial" w:cs="Arial" w:eastAsia="Arial" w:hAnsi="Arial"/>
                <w:sz w:val="18"/>
                <w:szCs w:val="18"/>
                <w:color w:val="auto"/>
                <w:w w:val="92"/>
              </w:rPr>
              <w:t>—   Nineteenth Supplemental Indenture (5.00% Senior Notes due 2021) dated January 14, 2011 among Plains All American Pipeline, L.P.,</w:t>
            </w:r>
          </w:p>
        </w:tc>
      </w:tr>
      <w:tr>
        <w:trPr>
          <w:trHeight w:val="216"/>
        </w:trPr>
        <w:tc>
          <w:tcPr>
            <w:tcW w:w="780" w:type="dxa"/>
            <w:vAlign w:val="bottom"/>
          </w:tcPr>
          <w:p>
            <w:pPr>
              <w:spacing w:after="0"/>
              <w:rPr>
                <w:sz w:val="18"/>
                <w:szCs w:val="18"/>
                <w:color w:val="auto"/>
              </w:rPr>
            </w:pPr>
          </w:p>
        </w:tc>
        <w:tc>
          <w:tcPr>
            <w:tcW w:w="10680" w:type="dxa"/>
            <w:vAlign w:val="bottom"/>
          </w:tcPr>
          <w:p>
            <w:pPr>
              <w:ind w:left="860"/>
              <w:spacing w:after="0"/>
              <w:rPr>
                <w:sz w:val="20"/>
                <w:szCs w:val="20"/>
                <w:color w:val="auto"/>
              </w:rPr>
            </w:pPr>
            <w:r>
              <w:rPr>
                <w:rFonts w:ascii="Arial" w:cs="Arial" w:eastAsia="Arial" w:hAnsi="Arial"/>
                <w:sz w:val="18"/>
                <w:szCs w:val="18"/>
                <w:color w:val="auto"/>
                <w:w w:val="97"/>
              </w:rPr>
              <w:t>PAA Finance Corp., the Subsidiary Guarantors named therein and U.S. Bank National Association, as trustee (incorporated by</w:t>
            </w:r>
          </w:p>
        </w:tc>
      </w:tr>
      <w:tr>
        <w:trPr>
          <w:trHeight w:val="230"/>
        </w:trPr>
        <w:tc>
          <w:tcPr>
            <w:tcW w:w="780" w:type="dxa"/>
            <w:vAlign w:val="bottom"/>
          </w:tcPr>
          <w:p>
            <w:pPr>
              <w:spacing w:after="0"/>
              <w:rPr>
                <w:sz w:val="20"/>
                <w:szCs w:val="20"/>
                <w:color w:val="auto"/>
              </w:rPr>
            </w:pPr>
          </w:p>
        </w:tc>
        <w:tc>
          <w:tcPr>
            <w:tcW w:w="10680" w:type="dxa"/>
            <w:vAlign w:val="bottom"/>
          </w:tcPr>
          <w:p>
            <w:pPr>
              <w:ind w:left="860"/>
              <w:spacing w:after="0"/>
              <w:rPr>
                <w:sz w:val="20"/>
                <w:szCs w:val="20"/>
                <w:color w:val="auto"/>
              </w:rPr>
            </w:pPr>
            <w:r>
              <w:rPr>
                <w:rFonts w:ascii="Arial" w:cs="Arial" w:eastAsia="Arial" w:hAnsi="Arial"/>
                <w:sz w:val="18"/>
                <w:szCs w:val="18"/>
                <w:color w:val="auto"/>
              </w:rPr>
              <w:t>reference to Exhibit 4.1 to the Current Report on Form 8-K filed January 11, 2011).</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4.12</w:t>
            </w:r>
          </w:p>
        </w:tc>
        <w:tc>
          <w:tcPr>
            <w:tcW w:w="10680" w:type="dxa"/>
            <w:vAlign w:val="bottom"/>
          </w:tcPr>
          <w:p>
            <w:pPr>
              <w:ind w:left="440"/>
              <w:spacing w:after="0"/>
              <w:rPr>
                <w:sz w:val="20"/>
                <w:szCs w:val="20"/>
                <w:color w:val="auto"/>
              </w:rPr>
            </w:pPr>
            <w:r>
              <w:rPr>
                <w:rFonts w:ascii="Arial" w:cs="Arial" w:eastAsia="Arial" w:hAnsi="Arial"/>
                <w:sz w:val="18"/>
                <w:szCs w:val="18"/>
                <w:color w:val="auto"/>
                <w:w w:val="94"/>
              </w:rPr>
              <w:t>—   Twentieth Supplemental Indenture (3.65% Senior Notes due 2022) dated March 22, 2012 among Plains All American Pipeline, L.P.,</w:t>
            </w:r>
          </w:p>
        </w:tc>
      </w:tr>
      <w:tr>
        <w:trPr>
          <w:trHeight w:val="216"/>
        </w:trPr>
        <w:tc>
          <w:tcPr>
            <w:tcW w:w="780" w:type="dxa"/>
            <w:vAlign w:val="bottom"/>
          </w:tcPr>
          <w:p>
            <w:pPr>
              <w:spacing w:after="0"/>
              <w:rPr>
                <w:sz w:val="18"/>
                <w:szCs w:val="18"/>
                <w:color w:val="auto"/>
              </w:rPr>
            </w:pPr>
          </w:p>
        </w:tc>
        <w:tc>
          <w:tcPr>
            <w:tcW w:w="10680" w:type="dxa"/>
            <w:vAlign w:val="bottom"/>
          </w:tcPr>
          <w:p>
            <w:pPr>
              <w:ind w:left="860"/>
              <w:spacing w:after="0"/>
              <w:rPr>
                <w:sz w:val="20"/>
                <w:szCs w:val="20"/>
                <w:color w:val="auto"/>
              </w:rPr>
            </w:pPr>
            <w:r>
              <w:rPr>
                <w:rFonts w:ascii="Arial" w:cs="Arial" w:eastAsia="Arial" w:hAnsi="Arial"/>
                <w:sz w:val="18"/>
                <w:szCs w:val="18"/>
                <w:color w:val="auto"/>
                <w:w w:val="93"/>
              </w:rPr>
              <w:t>PAA Finance Corp and U.S. Bank National Association, as trustee (incorporated by reference to Exhibit 4.1 to the Current Report on</w:t>
            </w:r>
          </w:p>
        </w:tc>
      </w:tr>
      <w:tr>
        <w:trPr>
          <w:trHeight w:val="230"/>
        </w:trPr>
        <w:tc>
          <w:tcPr>
            <w:tcW w:w="780" w:type="dxa"/>
            <w:vAlign w:val="bottom"/>
          </w:tcPr>
          <w:p>
            <w:pPr>
              <w:spacing w:after="0"/>
              <w:rPr>
                <w:sz w:val="20"/>
                <w:szCs w:val="20"/>
                <w:color w:val="auto"/>
              </w:rPr>
            </w:pPr>
          </w:p>
        </w:tc>
        <w:tc>
          <w:tcPr>
            <w:tcW w:w="10680" w:type="dxa"/>
            <w:vAlign w:val="bottom"/>
          </w:tcPr>
          <w:p>
            <w:pPr>
              <w:ind w:left="860"/>
              <w:spacing w:after="0"/>
              <w:rPr>
                <w:sz w:val="20"/>
                <w:szCs w:val="20"/>
                <w:color w:val="auto"/>
              </w:rPr>
            </w:pPr>
            <w:r>
              <w:rPr>
                <w:rFonts w:ascii="Arial" w:cs="Arial" w:eastAsia="Arial" w:hAnsi="Arial"/>
                <w:sz w:val="18"/>
                <w:szCs w:val="18"/>
                <w:color w:val="auto"/>
              </w:rPr>
              <w:t>Form 8-K filed March 26, 2012).</w:t>
            </w:r>
          </w:p>
        </w:tc>
      </w:tr>
      <w:tr>
        <w:trPr>
          <w:trHeight w:val="375"/>
        </w:trPr>
        <w:tc>
          <w:tcPr>
            <w:tcW w:w="780" w:type="dxa"/>
            <w:vAlign w:val="bottom"/>
            <w:tcBorders>
              <w:bottom w:val="single" w:sz="8" w:color="010101"/>
            </w:tcBorders>
          </w:tcPr>
          <w:p>
            <w:pPr>
              <w:spacing w:after="0"/>
              <w:rPr>
                <w:sz w:val="24"/>
                <w:szCs w:val="24"/>
                <w:color w:val="auto"/>
              </w:rPr>
            </w:pPr>
          </w:p>
        </w:tc>
        <w:tc>
          <w:tcPr>
            <w:tcW w:w="106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220" w:right="80" w:hanging="1633"/>
        <w:spacing w:after="0" w:line="264" w:lineRule="auto"/>
        <w:tabs>
          <w:tab w:leader="none" w:pos="120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 Twenty-First Supplemental Indenture (5.15% Senior Notes due 2042) dated March 22, 2012 among Plains All American Pipeline, L.P., PAA Finance Corp and U.S. Bank National Association, as trustee (incorporated by reference to Exhibit 4.3 to the Current Report on Form 8-K filed March 26, 2012).</w:t>
      </w:r>
    </w:p>
    <w:p>
      <w:pPr>
        <w:spacing w:after="0" w:line="181" w:lineRule="exact"/>
        <w:rPr>
          <w:sz w:val="20"/>
          <w:szCs w:val="20"/>
          <w:color w:val="auto"/>
        </w:rPr>
      </w:pPr>
    </w:p>
    <w:p>
      <w:pPr>
        <w:ind w:left="1220" w:right="80" w:hanging="1633"/>
        <w:spacing w:after="0" w:line="258" w:lineRule="auto"/>
        <w:tabs>
          <w:tab w:leader="none" w:pos="120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 Twenty-Second Supplemental Indenture (2.85% Senior Notes due 2023) dated December 10, 2012, by and among Plains All American Pipeline, L.P., PAA Finance Corp., and U.S. Bank National Association, as trustee</w:t>
      </w:r>
    </w:p>
    <w:p>
      <w:pPr>
        <w:spacing w:after="0" w:line="1"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(incorporated by reference to Exhibit 4.1 to the Current Report on Form 8-K filed December 12, 2012).</w:t>
      </w:r>
    </w:p>
    <w:p>
      <w:pPr>
        <w:spacing w:after="0" w:line="211" w:lineRule="exact"/>
        <w:rPr>
          <w:sz w:val="20"/>
          <w:szCs w:val="20"/>
          <w:color w:val="auto"/>
        </w:rPr>
      </w:pPr>
    </w:p>
    <w:p>
      <w:pPr>
        <w:ind w:left="1220" w:right="220" w:hanging="1633"/>
        <w:spacing w:after="0" w:line="264" w:lineRule="auto"/>
        <w:tabs>
          <w:tab w:leader="none" w:pos="120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 Twenty-Third Supplemental Indenture (4.30% Senior Notes due 2043) dated December 10, 2012, by and among Plains All American Pipeline, L.P., PAA Finance Corp., and U.S. Bank National Association, as trustee (incorporated by reference to Exhibit 4.3 to the Current Report on Form 8-K filed December 12, 2012).</w:t>
      </w:r>
    </w:p>
    <w:p>
      <w:pPr>
        <w:spacing w:after="0" w:line="181" w:lineRule="exact"/>
        <w:rPr>
          <w:sz w:val="20"/>
          <w:szCs w:val="20"/>
          <w:color w:val="auto"/>
        </w:rPr>
      </w:pPr>
    </w:p>
    <w:p>
      <w:pPr>
        <w:ind w:left="1220" w:right="360" w:hanging="1633"/>
        <w:spacing w:after="0" w:line="264" w:lineRule="auto"/>
        <w:tabs>
          <w:tab w:leader="none" w:pos="120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color w:val="auto"/>
        </w:rPr>
        <w:t>— Twenty-Fourth Supplemental Indenture (3.85% Senior Notes due 2023) dated August 15, 2013, by and among Plains All American Pipeline, L.P., PAA Finance Corp., and U.S. Bank National Association, as trustee (incorporated by reference to Exhibit 4.1 to the Current Report on Form 8-K filed August 15, 2013).</w:t>
      </w:r>
    </w:p>
    <w:p>
      <w:pPr>
        <w:spacing w:after="0" w:line="181" w:lineRule="exact"/>
        <w:rPr>
          <w:sz w:val="20"/>
          <w:szCs w:val="20"/>
          <w:color w:val="auto"/>
        </w:rPr>
      </w:pPr>
    </w:p>
    <w:p>
      <w:pPr>
        <w:ind w:left="1220" w:right="460" w:hanging="1633"/>
        <w:spacing w:after="0" w:line="264" w:lineRule="auto"/>
        <w:tabs>
          <w:tab w:leader="none" w:pos="120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8"/>
          <w:szCs w:val="18"/>
          <w:color w:val="auto"/>
        </w:rPr>
        <w:t>— Twenty-Fifth Supplemental Indenture (4.70% Senior Notes due 2044) dated April 23, 2014, by and among Plains All American Pipeline, L.P., PAA Finance Corp., and U.S. Bank National Association, as trustee (incorporated by reference to Exhibit 4.1 to the Current Report on Form 8-K filed April 29, 2014).</w:t>
      </w:r>
    </w:p>
    <w:p>
      <w:pPr>
        <w:spacing w:after="0" w:line="181" w:lineRule="exact"/>
        <w:rPr>
          <w:sz w:val="20"/>
          <w:szCs w:val="20"/>
          <w:color w:val="auto"/>
        </w:rPr>
      </w:pPr>
    </w:p>
    <w:p>
      <w:pPr>
        <w:spacing w:after="0"/>
        <w:tabs>
          <w:tab w:leader="none" w:pos="1200" w:val="left"/>
          <w:tab w:leader="none" w:pos="1620" w:val="left"/>
        </w:tabs>
        <w:rPr>
          <w:sz w:val="20"/>
          <w:szCs w:val="20"/>
          <w:color w:val="auto"/>
        </w:rPr>
      </w:pPr>
      <w:r>
        <w:rPr>
          <w:rFonts w:ascii="Arial" w:cs="Arial" w:eastAsia="Arial" w:hAnsi="Arial"/>
          <w:sz w:val="18"/>
          <w:szCs w:val="18"/>
          <w:color w:val="auto"/>
        </w:rPr>
        <w:t>12.1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Computation of Ratio of Earnings to Fixed Charges</w:t>
      </w:r>
    </w:p>
    <w:p>
      <w:pPr>
        <w:spacing w:after="0" w:line="225" w:lineRule="exact"/>
        <w:rPr>
          <w:sz w:val="20"/>
          <w:szCs w:val="20"/>
          <w:color w:val="auto"/>
        </w:rPr>
      </w:pPr>
    </w:p>
    <w:p>
      <w:pPr>
        <w:spacing w:after="0"/>
        <w:tabs>
          <w:tab w:leader="none" w:pos="1200" w:val="left"/>
          <w:tab w:leader="none" w:pos="1620" w:val="left"/>
        </w:tabs>
        <w:rPr>
          <w:sz w:val="20"/>
          <w:szCs w:val="20"/>
          <w:color w:val="auto"/>
        </w:rPr>
      </w:pPr>
      <w:r>
        <w:rPr>
          <w:rFonts w:ascii="Arial" w:cs="Arial" w:eastAsia="Arial" w:hAnsi="Arial"/>
          <w:sz w:val="18"/>
          <w:szCs w:val="18"/>
          <w:color w:val="auto"/>
        </w:rPr>
        <w:t>31.1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Certification of Principal Executive Officer pursuant to Exchange Act Rules 13a-14(a) and 15d-14(a).</w:t>
      </w:r>
    </w:p>
    <w:p>
      <w:pPr>
        <w:sectPr>
          <w:pgSz w:w="11900" w:h="16838" w:orient="portrait"/>
          <w:cols w:equalWidth="0" w:num="1">
            <w:col w:w="11460"/>
          </w:cols>
          <w:pgMar w:left="240" w:top="125" w:right="199" w:bottom="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w w:val="91"/>
              </w:rPr>
              <w:t>31.2</w:t>
            </w: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7940" w:type="dxa"/>
            <w:vAlign w:val="bottom"/>
          </w:tcPr>
          <w:p>
            <w:pPr>
              <w:ind w:left="220"/>
              <w:spacing w:after="0"/>
              <w:rPr>
                <w:sz w:val="20"/>
                <w:szCs w:val="20"/>
                <w:color w:val="auto"/>
              </w:rPr>
            </w:pPr>
            <w:r>
              <w:rPr>
                <w:rFonts w:ascii="Arial" w:cs="Arial" w:eastAsia="Arial" w:hAnsi="Arial"/>
                <w:sz w:val="18"/>
                <w:szCs w:val="18"/>
                <w:color w:val="auto"/>
                <w:w w:val="93"/>
              </w:rPr>
              <w:t>—   Certification of Principal Financial Officer pursuant to Exchange Act Rules 13a-14(a) and 15d-14(a).</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32.1</w:t>
            </w: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7940" w:type="dxa"/>
            <w:vAlign w:val="bottom"/>
          </w:tcPr>
          <w:p>
            <w:pPr>
              <w:ind w:left="220"/>
              <w:spacing w:after="0"/>
              <w:rPr>
                <w:sz w:val="20"/>
                <w:szCs w:val="20"/>
                <w:color w:val="auto"/>
              </w:rPr>
            </w:pPr>
            <w:r>
              <w:rPr>
                <w:rFonts w:ascii="Arial" w:cs="Arial" w:eastAsia="Arial" w:hAnsi="Arial"/>
                <w:sz w:val="18"/>
                <w:szCs w:val="18"/>
                <w:color w:val="auto"/>
              </w:rPr>
              <w:t>—   Certification of Principal Executive Officer pursuant to 18 U.S.C. 1350</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32.2</w:t>
            </w: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7940" w:type="dxa"/>
            <w:vAlign w:val="bottom"/>
          </w:tcPr>
          <w:p>
            <w:pPr>
              <w:ind w:left="220"/>
              <w:spacing w:after="0"/>
              <w:rPr>
                <w:sz w:val="20"/>
                <w:szCs w:val="20"/>
                <w:color w:val="auto"/>
              </w:rPr>
            </w:pPr>
            <w:r>
              <w:rPr>
                <w:rFonts w:ascii="Arial" w:cs="Arial" w:eastAsia="Arial" w:hAnsi="Arial"/>
                <w:sz w:val="18"/>
                <w:szCs w:val="18"/>
                <w:color w:val="auto"/>
              </w:rPr>
              <w:t>—   Certification of Principal Financial Officer pursuant to 18 U.S.C. 1350</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940" w:type="dxa"/>
            <w:vAlign w:val="bottom"/>
          </w:tcPr>
          <w:p>
            <w:pPr>
              <w:ind w:left="220"/>
              <w:spacing w:after="0"/>
              <w:rPr>
                <w:sz w:val="20"/>
                <w:szCs w:val="20"/>
                <w:color w:val="auto"/>
              </w:rPr>
            </w:pPr>
            <w:r>
              <w:rPr>
                <w:rFonts w:ascii="Arial" w:cs="Arial" w:eastAsia="Arial" w:hAnsi="Arial"/>
                <w:sz w:val="18"/>
                <w:szCs w:val="18"/>
                <w:color w:val="auto"/>
              </w:rPr>
              <w:t>—   XBRL Instance Document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940" w:type="dxa"/>
            <w:vAlign w:val="bottom"/>
          </w:tcPr>
          <w:p>
            <w:pPr>
              <w:ind w:left="220"/>
              <w:spacing w:after="0"/>
              <w:rPr>
                <w:sz w:val="20"/>
                <w:szCs w:val="20"/>
                <w:color w:val="auto"/>
              </w:rPr>
            </w:pPr>
            <w:r>
              <w:rPr>
                <w:rFonts w:ascii="Arial" w:cs="Arial" w:eastAsia="Arial" w:hAnsi="Arial"/>
                <w:sz w:val="18"/>
                <w:szCs w:val="18"/>
                <w:color w:val="auto"/>
              </w:rPr>
              <w:t>—   XBRL Taxonomy Extension Schema Document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940" w:type="dxa"/>
            <w:vAlign w:val="bottom"/>
          </w:tcPr>
          <w:p>
            <w:pPr>
              <w:ind w:left="22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940" w:type="dxa"/>
            <w:vAlign w:val="bottom"/>
          </w:tcPr>
          <w:p>
            <w:pPr>
              <w:ind w:left="220"/>
              <w:spacing w:after="0"/>
              <w:rPr>
                <w:sz w:val="20"/>
                <w:szCs w:val="20"/>
                <w:color w:val="auto"/>
              </w:rPr>
            </w:pPr>
            <w:r>
              <w:rPr>
                <w:rFonts w:ascii="Arial" w:cs="Arial" w:eastAsia="Arial" w:hAnsi="Arial"/>
                <w:sz w:val="18"/>
                <w:szCs w:val="18"/>
                <w:color w:val="auto"/>
              </w:rPr>
              <w:t>—   XBRL Taxonomy Extension Definition Linkbase Document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940" w:type="dxa"/>
            <w:vAlign w:val="bottom"/>
          </w:tcPr>
          <w:p>
            <w:pPr>
              <w:ind w:left="220"/>
              <w:spacing w:after="0"/>
              <w:rPr>
                <w:sz w:val="20"/>
                <w:szCs w:val="20"/>
                <w:color w:val="auto"/>
              </w:rPr>
            </w:pPr>
            <w:r>
              <w:rPr>
                <w:rFonts w:ascii="Arial" w:cs="Arial" w:eastAsia="Arial" w:hAnsi="Arial"/>
                <w:sz w:val="18"/>
                <w:szCs w:val="18"/>
                <w:color w:val="auto"/>
              </w:rPr>
              <w:t>—   XBRL Taxonomy Extension Label Linkbase Document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940" w:type="dxa"/>
            <w:vAlign w:val="bottom"/>
          </w:tcPr>
          <w:p>
            <w:pPr>
              <w:ind w:left="220"/>
              <w:spacing w:after="0"/>
              <w:rPr>
                <w:sz w:val="20"/>
                <w:szCs w:val="20"/>
                <w:color w:val="auto"/>
              </w:rPr>
            </w:pPr>
            <w:r>
              <w:rPr>
                <w:rFonts w:ascii="Arial" w:cs="Arial" w:eastAsia="Arial" w:hAnsi="Arial"/>
                <w:sz w:val="18"/>
                <w:szCs w:val="18"/>
                <w:color w:val="auto"/>
              </w:rPr>
              <w:t>—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EARNINGS </w:t>
            </w:r>
            <w:r>
              <w:rPr>
                <w:rFonts w:ascii="Arial" w:cs="Arial" w:eastAsia="Arial" w:hAnsi="Arial"/>
                <w:sz w:val="22"/>
                <w:szCs w:val="22"/>
                <w:b w:val="1"/>
                <w:bCs w:val="1"/>
                <w:color w:val="auto"/>
                <w:vertAlign w:val="superscript"/>
              </w:rPr>
              <w:t>(1)</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ind w:left="160"/>
              <w:spacing w:after="0" w:line="201" w:lineRule="exact"/>
              <w:rPr>
                <w:sz w:val="20"/>
                <w:szCs w:val="20"/>
                <w:color w:val="auto"/>
              </w:rPr>
            </w:pPr>
            <w:r>
              <w:rPr>
                <w:rFonts w:ascii="Arial" w:cs="Arial" w:eastAsia="Arial" w:hAnsi="Arial"/>
                <w:sz w:val="18"/>
                <w:szCs w:val="18"/>
                <w:color w:val="auto"/>
              </w:rPr>
              <w:t>Pre-tax income from continuing operations before noncontrolling</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interest and income from equity investees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698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1,426</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1,143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1,026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Fixed charges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add: Distributed income of equity investees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Amortization of capitalized interest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less: Capitalized interest</w:t>
            </w:r>
          </w:p>
        </w:tc>
        <w:tc>
          <w:tcPr>
            <w:tcW w:w="1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Earnings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3"/>
                <w:szCs w:val="23"/>
                <w:b w:val="1"/>
                <w:bCs w:val="1"/>
                <w:color w:val="auto"/>
                <w:vertAlign w:val="superscript"/>
              </w:rPr>
              <w:t>(1)</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Interest expensed and capitalized </w:t>
            </w:r>
            <w:r>
              <w:rPr>
                <w:rFonts w:ascii="Arial" w:cs="Arial" w:eastAsia="Arial" w:hAnsi="Arial"/>
                <w:sz w:val="23"/>
                <w:szCs w:val="23"/>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371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298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281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expense</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Portion of rent expense related to interest (33.33%)</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3"/>
                <w:szCs w:val="23"/>
                <w:b w:val="1"/>
                <w:bCs w:val="1"/>
                <w:color w:val="auto"/>
                <w:vertAlign w:val="superscript"/>
              </w:rPr>
              <w:t>(3)</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4.35x</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4.41x</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4.03x</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4.13x</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2.57x</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0" w:hanging="332"/>
        <w:spacing w:after="0" w:line="254" w:lineRule="auto"/>
        <w:tabs>
          <w:tab w:leader="none" w:pos="328" w:val="left"/>
        </w:tabs>
        <w:numPr>
          <w:ilvl w:val="0"/>
          <w:numId w:val="41"/>
        </w:numPr>
        <w:rPr>
          <w:rFonts w:ascii="Arial" w:cs="Arial" w:eastAsia="Arial" w:hAnsi="Arial"/>
          <w:sz w:val="22"/>
          <w:szCs w:val="22"/>
          <w:color w:val="auto"/>
          <w:vertAlign w:val="superscript"/>
        </w:rPr>
      </w:pPr>
      <w:r>
        <w:rPr>
          <w:rFonts w:ascii="Arial" w:cs="Arial" w:eastAsia="Arial" w:hAnsi="Arial"/>
          <w:sz w:val="17"/>
          <w:szCs w:val="17"/>
          <w:color w:val="auto"/>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192" w:lineRule="exact"/>
        <w:rPr>
          <w:rFonts w:ascii="Arial" w:cs="Arial" w:eastAsia="Arial" w:hAnsi="Arial"/>
          <w:sz w:val="22"/>
          <w:szCs w:val="22"/>
          <w:color w:val="auto"/>
          <w:vertAlign w:val="superscript"/>
        </w:rPr>
      </w:pPr>
    </w:p>
    <w:p>
      <w:pPr>
        <w:ind w:left="340" w:right="200" w:hanging="332"/>
        <w:spacing w:after="0" w:line="238" w:lineRule="auto"/>
        <w:tabs>
          <w:tab w:leader="none" w:pos="328" w:val="left"/>
        </w:tabs>
        <w:numPr>
          <w:ilvl w:val="0"/>
          <w:numId w:val="41"/>
        </w:numPr>
        <w:rPr>
          <w:rFonts w:ascii="Arial" w:cs="Arial" w:eastAsia="Arial" w:hAnsi="Arial"/>
          <w:sz w:val="22"/>
          <w:szCs w:val="22"/>
          <w:color w:val="auto"/>
          <w:vertAlign w:val="superscript"/>
        </w:rPr>
      </w:pPr>
      <w:r>
        <w:rPr>
          <w:rFonts w:ascii="Arial" w:cs="Arial" w:eastAsia="Arial" w:hAnsi="Arial"/>
          <w:sz w:val="17"/>
          <w:szCs w:val="17"/>
          <w:color w:val="auto"/>
        </w:rPr>
        <w:t>Includes interest costs attributable to borrowings for hedged inventory purchases of $7 million for the six months ended June 30, 2014 and $30 million, $12 million, $20 million, $17 million and $11 million for the years ended December 31, 2013, 2012, 2011, 2010 and 2009, respectively.</w:t>
      </w:r>
    </w:p>
    <w:p>
      <w:pPr>
        <w:spacing w:after="0" w:line="169"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Ratios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100" w:firstLine="656"/>
        <w:spacing w:after="0" w:line="264" w:lineRule="auto"/>
        <w:tabs>
          <w:tab w:leader="none" w:pos="1294"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08" w:lineRule="auto"/>
        <w:tabs>
          <w:tab w:leader="none" w:pos="1307" w:val="left"/>
        </w:tabs>
        <w:numPr>
          <w:ilvl w:val="0"/>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380" w:firstLine="656"/>
        <w:spacing w:after="0" w:line="264" w:lineRule="auto"/>
        <w:tabs>
          <w:tab w:leader="none" w:pos="13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640" w:firstLine="656"/>
        <w:spacing w:after="0" w:line="308" w:lineRule="auto"/>
        <w:tabs>
          <w:tab w:leader="none" w:pos="1294" w:val="left"/>
        </w:tabs>
        <w:numPr>
          <w:ilvl w:val="0"/>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20" w:firstLine="656"/>
        <w:spacing w:after="0" w:line="277" w:lineRule="auto"/>
        <w:tabs>
          <w:tab w:leader="none" w:pos="13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100" w:firstLine="656"/>
        <w:spacing w:after="0" w:line="264" w:lineRule="auto"/>
        <w:tabs>
          <w:tab w:leader="none" w:pos="1294"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04"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08" w:lineRule="auto"/>
        <w:tabs>
          <w:tab w:leader="none" w:pos="1307" w:val="left"/>
        </w:tabs>
        <w:numPr>
          <w:ilvl w:val="0"/>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380" w:firstLine="656"/>
        <w:spacing w:after="0" w:line="264" w:lineRule="auto"/>
        <w:tabs>
          <w:tab w:leader="none" w:pos="1304"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640" w:firstLine="656"/>
        <w:spacing w:after="0" w:line="308" w:lineRule="auto"/>
        <w:tabs>
          <w:tab w:leader="none" w:pos="1294" w:val="left"/>
        </w:tabs>
        <w:numPr>
          <w:ilvl w:val="0"/>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20" w:firstLine="656"/>
        <w:spacing w:after="0" w:line="277" w:lineRule="auto"/>
        <w:tabs>
          <w:tab w:leader="none" w:pos="130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934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All American Pipeline, L.P. (the “Company”), hereby certify that:</w:t>
      </w:r>
    </w:p>
    <w:p>
      <w:pPr>
        <w:spacing w:after="0" w:line="225" w:lineRule="exact"/>
        <w:rPr>
          <w:sz w:val="20"/>
          <w:szCs w:val="20"/>
          <w:color w:val="auto"/>
        </w:rPr>
      </w:pPr>
    </w:p>
    <w:p>
      <w:pPr>
        <w:ind w:right="120" w:firstLine="656"/>
        <w:spacing w:after="0" w:line="264" w:lineRule="auto"/>
        <w:tabs>
          <w:tab w:leader="none" w:pos="131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2014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40" w:hanging="684"/>
        <w:spacing w:after="0"/>
        <w:tabs>
          <w:tab w:leader="none" w:pos="1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6277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 August 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ind w:right="80" w:firstLine="656"/>
        <w:spacing w:after="0" w:line="264" w:lineRule="auto"/>
        <w:tabs>
          <w:tab w:leader="none" w:pos="135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2014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August 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x"/>
      <w:numFmt w:val="bullet"/>
      <w:start w:val="1"/>
    </w:lvl>
  </w:abstractNum>
  <w:abstractNum w:abstractNumId="1">
    <w:nsid w:val="189A769B"/>
    <w:multiLevelType w:val="hybridMultilevel"/>
    <w:lvl w:ilvl="0">
      <w:lvlJc w:val="left"/>
      <w:lvlText w:val="o"/>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3"/>
    </w:lvl>
  </w:abstractNum>
  <w:abstractNum w:abstractNumId="4">
    <w:nsid w:val="2CA88611"/>
    <w:multiLevelType w:val="hybridMultilevel"/>
    <w:lvl w:ilvl="0">
      <w:lvlJc w:val="left"/>
      <w:lvlText w:val="(%1)"/>
      <w:numFmt w:val="lowerRoman"/>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2"/>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2"/>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2"/>
    </w:lvl>
    <w:lvl w:ilvl="1">
      <w:lvlJc w:val="left"/>
      <w:lvlText w:val="(%2)"/>
      <w:numFmt w:val="decimal"/>
      <w:start w:val="3"/>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lowerRoman"/>
      <w:start w:val="4"/>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decimal"/>
      <w:start w:val="5"/>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4"/>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decimal"/>
      <w:start w:val="5"/>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5"/>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lowerRoman"/>
      <w:start w:val="1"/>
    </w:lvl>
  </w:abstractNum>
  <w:abstractNum w:abstractNumId="50">
    <w:nsid w:val="1BA026F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2020-01-28T05:36:06Z</dcterms:created>
  <dcterms:modified xsi:type="dcterms:W3CDTF">2020-01-28T05:36:06Z</dcterms:modified>
</cp:coreProperties>
</file>