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542969d424b5.htm"/>
        <w:bookmarkStart w:id="1" w:name="ksd542969d424b5"/>
        <w:bookmarkEnd w:id="0"/>
        <w:bookmarkEnd w:id="1"/>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Filed pursuant to Rule 424(b)(5) </w:t>
        <w:br/>
        <w:t xml:space="preserve">Registration No. 333-184135 </w:t>
      </w:r>
    </w:p>
    <w:p>
      <w:pPr>
        <w:pStyle w:val="TextBody"/>
        <w:spacing w:before="0" w:after="0"/>
        <w:rPr>
          <w:rFonts w:ascii="Times New Roman" w:hAnsi="Times New Roman"/>
          <w:b/>
          <w:sz w:val="20"/>
        </w:rPr>
      </w:pPr>
      <w:r>
        <w:rPr>
          <w:rFonts w:ascii="Times New Roman" w:hAnsi="Times New Roman"/>
          <w:b/>
          <w:sz w:val="20"/>
        </w:rPr>
        <w:t xml:space="preserve">PROSPECTUS SUPPLEMENT </w:t>
      </w:r>
    </w:p>
    <w:p>
      <w:pPr>
        <w:pStyle w:val="TextBody"/>
        <w:spacing w:before="0" w:after="0"/>
        <w:rPr>
          <w:rFonts w:ascii="Times New Roman" w:hAnsi="Times New Roman"/>
          <w:b/>
          <w:sz w:val="20"/>
        </w:rPr>
      </w:pPr>
      <w:r>
        <w:rPr>
          <w:rFonts w:ascii="Times New Roman" w:hAnsi="Times New Roman"/>
          <w:b/>
          <w:sz w:val="20"/>
        </w:rPr>
        <w:t xml:space="preserve">(TO PROSPECTUS DATED OCTOBER 23, 2012) </w:t>
      </w:r>
    </w:p>
    <w:p>
      <w:pPr>
        <w:pStyle w:val="TextBody"/>
        <w:spacing w:before="0" w:after="0"/>
        <w:rPr/>
      </w:pPr>
      <w:r>
        <w:rPr/>
        <w:t> </w:t>
      </w:r>
    </w:p>
    <w:p>
      <w:pPr>
        <w:pStyle w:val="TextBody"/>
        <w:spacing w:before="0" w:after="0"/>
        <w:jc w:val="center"/>
        <w:rPr/>
      </w:pPr>
      <w:r>
        <w:rPr/>
        <w:drawing>
          <wp:inline distT="0" distB="0" distL="0" distR="0">
            <wp:extent cx="18859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609600"/>
                    </a:xfrm>
                    <a:prstGeom prst="rect">
                      <a:avLst/>
                    </a:prstGeom>
                  </pic:spPr>
                </pic:pic>
              </a:graphicData>
            </a:graphic>
          </wp:inline>
        </w:drawing>
      </w:r>
      <w:r>
        <w:rPr/>
        <w:t xml:space="preserve"> </w:t>
      </w:r>
    </w:p>
    <w:p>
      <w:pPr>
        <w:pStyle w:val="TextBody"/>
        <w:spacing w:before="360" w:after="0"/>
        <w:jc w:val="center"/>
        <w:rPr>
          <w:rFonts w:ascii="Times New Roman" w:hAnsi="Times New Roman"/>
          <w:b/>
          <w:sz w:val="36"/>
        </w:rPr>
      </w:pPr>
      <w:r>
        <w:rPr>
          <w:rFonts w:ascii="Times New Roman" w:hAnsi="Times New Roman"/>
          <w:b/>
          <w:sz w:val="36"/>
        </w:rPr>
        <w:t xml:space="preserve">Plains All American Pipeline, L.P. </w:t>
      </w:r>
    </w:p>
    <w:p>
      <w:pPr>
        <w:pStyle w:val="TextBody"/>
        <w:spacing w:before="360" w:after="0"/>
        <w:jc w:val="center"/>
        <w:rPr>
          <w:rFonts w:ascii="Times New Roman" w:hAnsi="Times New Roman"/>
          <w:b/>
          <w:sz w:val="28"/>
        </w:rPr>
      </w:pPr>
      <w:r>
        <w:rPr>
          <w:rFonts w:ascii="Times New Roman" w:hAnsi="Times New Roman"/>
          <w:b/>
          <w:sz w:val="28"/>
        </w:rPr>
        <w:t xml:space="preserve">Common Units </w:t>
      </w:r>
    </w:p>
    <w:p>
      <w:pPr>
        <w:pStyle w:val="TextBody"/>
        <w:spacing w:before="0" w:after="0"/>
        <w:jc w:val="center"/>
        <w:rPr>
          <w:rFonts w:ascii="Times New Roman" w:hAnsi="Times New Roman"/>
          <w:b/>
          <w:sz w:val="28"/>
        </w:rPr>
      </w:pPr>
      <w:r>
        <w:rPr>
          <w:rFonts w:ascii="Times New Roman" w:hAnsi="Times New Roman"/>
          <w:b/>
          <w:sz w:val="28"/>
        </w:rPr>
        <w:t xml:space="preserve">Representing Limited Partner Interests </w:t>
      </w:r>
    </w:p>
    <w:p>
      <w:pPr>
        <w:pStyle w:val="TextBody"/>
        <w:spacing w:before="0" w:after="0"/>
        <w:jc w:val="center"/>
        <w:rPr>
          <w:rFonts w:ascii="Times New Roman" w:hAnsi="Times New Roman"/>
          <w:b/>
          <w:sz w:val="28"/>
        </w:rPr>
      </w:pPr>
      <w:r>
        <w:rPr>
          <w:rFonts w:ascii="Times New Roman" w:hAnsi="Times New Roman"/>
          <w:b/>
          <w:sz w:val="28"/>
        </w:rPr>
        <w:t xml:space="preserve">Having an Aggregate Offering Price of Up to </w:t>
      </w:r>
    </w:p>
    <w:p>
      <w:pPr>
        <w:pStyle w:val="TextBody"/>
        <w:spacing w:before="0" w:after="0"/>
        <w:jc w:val="center"/>
        <w:rPr>
          <w:rFonts w:ascii="Times New Roman" w:hAnsi="Times New Roman"/>
          <w:b/>
          <w:sz w:val="28"/>
        </w:rPr>
      </w:pPr>
      <w:r>
        <w:rPr>
          <w:rFonts w:ascii="Times New Roman" w:hAnsi="Times New Roman"/>
          <w:b/>
          <w:sz w:val="28"/>
        </w:rPr>
        <w:t xml:space="preserve">$750,000,000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60" w:after="0"/>
        <w:rPr>
          <w:rFonts w:ascii="Times New Roman" w:hAnsi="Times New Roman"/>
          <w:sz w:val="20"/>
        </w:rPr>
      </w:pPr>
      <w:r>
        <w:rPr>
          <w:rFonts w:ascii="Times New Roman" w:hAnsi="Times New Roman"/>
          <w:sz w:val="20"/>
        </w:rPr>
        <w:t xml:space="preserve">This prospectus supplement and the accompanying base prospectus relate to the issuance and sale from time to time of common units representing limited partner interests in Plains All American Pipeline, L.P. having an aggregate offering price of up to $750,000,000 through one or more of our sales agents. These sales, if any, will be made pursuant to the terms of the equity distribution agreement dated May 28, 2013 between us and the sales agents, which has been filed as an exhibit to a Current Report on Form 8-K that we filed with the Securities and Exchange Commission. </w:t>
      </w:r>
    </w:p>
    <w:p>
      <w:pPr>
        <w:pStyle w:val="TextBody"/>
        <w:spacing w:before="180" w:after="0"/>
        <w:rPr>
          <w:rFonts w:ascii="Times New Roman" w:hAnsi="Times New Roman"/>
          <w:sz w:val="20"/>
        </w:rPr>
      </w:pPr>
      <w:r>
        <w:rPr>
          <w:rFonts w:ascii="Times New Roman" w:hAnsi="Times New Roman"/>
          <w:sz w:val="20"/>
        </w:rPr>
        <w:t xml:space="preserve">Under the terms of the equity distribution agreement, we also may sell common units to any sales agent as principal for its own account at a price agreed upon at the time of the sale. If we sell common units to any such sales agent as principal, we will enter into a separate terms agreement with such sales agent and we will describe that agreement in a separate prospectus supplement or pricing supplement. </w:t>
      </w:r>
    </w:p>
    <w:p>
      <w:pPr>
        <w:pStyle w:val="TextBody"/>
        <w:spacing w:before="180" w:after="0"/>
        <w:rPr>
          <w:rFonts w:ascii="Times New Roman" w:hAnsi="Times New Roman"/>
          <w:sz w:val="20"/>
        </w:rPr>
      </w:pPr>
      <w:r>
        <w:rPr>
          <w:rFonts w:ascii="Times New Roman" w:hAnsi="Times New Roman"/>
          <w:sz w:val="20"/>
        </w:rPr>
        <w:t xml:space="preserve">Our common units trade on the New York Stock Exchange (the NYSE) under the symbol PAA. On May 24, 2013, the last reported sale price of our common units on the NYSE was $58.30 per unit. Sales of common units under this prospectus supplement, if any, will be made by means of ordinary brokers transactions through the facilities of the NYSE at market prices, in block transactions or as otherwise agreed between us and one or more of the sales agents. </w:t>
      </w:r>
    </w:p>
    <w:p>
      <w:pPr>
        <w:pStyle w:val="TextBody"/>
        <w:spacing w:before="180" w:after="0"/>
        <w:rPr/>
      </w:pPr>
      <w:r>
        <w:rPr>
          <w:rFonts w:ascii="Times New Roman" w:hAnsi="Times New Roman"/>
          <w:b/>
          <w:sz w:val="20"/>
        </w:rPr>
        <w:t>Investing in our common units involves risks. Limited partnerships are inherently different from corporations. You should carefully consider the risks relating to investing in our common units and each of the risk factors described under </w:t>
      </w:r>
      <w:hyperlink w:anchor="supprom542969_4">
        <w:r>
          <w:rPr>
            <w:rStyle w:val="InternetLink"/>
            <w:rFonts w:ascii="Times New Roman" w:hAnsi="Times New Roman"/>
            <w:b/>
            <w:sz w:val="20"/>
          </w:rPr>
          <w:t>Risk Factors</w:t>
        </w:r>
      </w:hyperlink>
      <w:r>
        <w:rPr>
          <w:rFonts w:ascii="Times New Roman" w:hAnsi="Times New Roman"/>
          <w:b/>
          <w:sz w:val="20"/>
        </w:rPr>
        <w:t xml:space="preserve"> on page S-4 of this prospectus supplement before you make an investment in our securities.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90" w:after="0"/>
        <w:rPr>
          <w:rFonts w:ascii="Times New Roman" w:hAnsi="Times New Roman"/>
          <w:sz w:val="20"/>
        </w:rPr>
      </w:pPr>
      <w:r>
        <w:rPr>
          <w:rFonts w:ascii="Times New Roman" w:hAnsi="Times New Roman"/>
          <w:sz w:val="20"/>
        </w:rPr>
        <w:t xml:space="preserve">The compensation of the sales agents for sales of units shall be at a fixed commission rate of up to 2.0% of the gross sales price per common unit, depending upon the number of common units sold. The net proceeds from any sales under this prospectus supplement will be used as described under Use of Proceeds in this prospectus supplement. </w:t>
      </w:r>
    </w:p>
    <w:p>
      <w:pPr>
        <w:pStyle w:val="TextBody"/>
        <w:spacing w:before="180" w:after="0"/>
        <w:rPr>
          <w:rFonts w:ascii="Times New Roman" w:hAnsi="Times New Roman"/>
          <w:sz w:val="20"/>
        </w:rPr>
      </w:pPr>
      <w:r>
        <w:rPr>
          <w:rFonts w:ascii="Times New Roman" w:hAnsi="Times New Roman"/>
          <w:sz w:val="20"/>
        </w:rPr>
        <w:t xml:space="preserve">Neither the Securities and Exchange Commission nor any state securities commission has approved or disapproved these securities or determined if this prospectus supplement or the accompanying base prospectus is truthful or complete. Any representation to the contrary is a criminal offense.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37"/>
        <w:gridCol w:w="120"/>
        <w:gridCol w:w="1924"/>
        <w:gridCol w:w="99"/>
        <w:gridCol w:w="2157"/>
        <w:gridCol w:w="120"/>
        <w:gridCol w:w="1157"/>
        <w:gridCol w:w="120"/>
        <w:gridCol w:w="2171"/>
      </w:tblGrid>
      <w:tr>
        <w:trPr/>
        <w:tc>
          <w:tcPr>
            <w:tcW w:w="23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924"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215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71" w:type="dxa"/>
            <w:tcBorders/>
            <w:shd w:fill="auto" w:val="clear"/>
            <w:vAlign w:val="center"/>
          </w:tcPr>
          <w:p>
            <w:pPr>
              <w:pStyle w:val="TableContents"/>
              <w:spacing w:before="0" w:after="283"/>
              <w:rPr>
                <w:sz w:val="4"/>
                <w:szCs w:val="4"/>
              </w:rPr>
            </w:pPr>
            <w:r>
              <w:rPr>
                <w:sz w:val="4"/>
                <w:szCs w:val="4"/>
              </w:rPr>
            </w:r>
          </w:p>
        </w:tc>
      </w:tr>
      <w:tr>
        <w:trPr/>
        <w:tc>
          <w:tcPr>
            <w:tcW w:w="233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Citigroup</w:t>
            </w:r>
          </w:p>
        </w:tc>
        <w:tc>
          <w:tcPr>
            <w:tcW w:w="120" w:type="dxa"/>
            <w:tcBorders/>
            <w:shd w:fill="auto" w:val="clear"/>
            <w:vAlign w:val="bottom"/>
          </w:tcPr>
          <w:p>
            <w:pPr>
              <w:pStyle w:val="TableContents"/>
              <w:spacing w:before="0" w:after="283"/>
              <w:rPr/>
            </w:pPr>
            <w:r>
              <w:rPr/>
              <w:t>  </w:t>
            </w:r>
          </w:p>
        </w:tc>
        <w:tc>
          <w:tcPr>
            <w:tcW w:w="192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Barclays</w:t>
            </w:r>
          </w:p>
        </w:tc>
        <w:tc>
          <w:tcPr>
            <w:tcW w:w="99" w:type="dxa"/>
            <w:tcBorders/>
            <w:shd w:fill="auto" w:val="clear"/>
            <w:vAlign w:val="bottom"/>
          </w:tcPr>
          <w:p>
            <w:pPr>
              <w:pStyle w:val="TableContents"/>
              <w:spacing w:before="0" w:after="283"/>
              <w:rPr/>
            </w:pPr>
            <w:r>
              <w:rPr/>
              <w:t> </w:t>
            </w:r>
          </w:p>
        </w:tc>
        <w:tc>
          <w:tcPr>
            <w:tcW w:w="215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BMO Capital Markets</w:t>
            </w:r>
          </w:p>
        </w:tc>
        <w:tc>
          <w:tcPr>
            <w:tcW w:w="120"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15"/>
              <w:jc w:val="center"/>
              <w:rPr>
                <w:rFonts w:ascii="Times New Roman" w:hAnsi="Times New Roman"/>
                <w:b/>
                <w:sz w:val="20"/>
              </w:rPr>
            </w:pPr>
            <w:r>
              <w:rPr>
                <w:rFonts w:ascii="Times New Roman" w:hAnsi="Times New Roman"/>
                <w:b/>
                <w:sz w:val="20"/>
              </w:rPr>
              <w:t>J.P. Morgan</w:t>
            </w:r>
          </w:p>
        </w:tc>
        <w:tc>
          <w:tcPr>
            <w:tcW w:w="120" w:type="dxa"/>
            <w:tcBorders/>
            <w:shd w:fill="auto" w:val="clear"/>
            <w:vAlign w:val="bottom"/>
          </w:tcPr>
          <w:p>
            <w:pPr>
              <w:pStyle w:val="TableContents"/>
              <w:spacing w:before="0" w:after="283"/>
              <w:rPr/>
            </w:pPr>
            <w:r>
              <w:rPr/>
              <w:t>  </w:t>
            </w:r>
          </w:p>
        </w:tc>
        <w:tc>
          <w:tcPr>
            <w:tcW w:w="2171" w:type="dxa"/>
            <w:tcBorders/>
            <w:shd w:fill="auto" w:val="clear"/>
            <w:vAlign w:val="bottom"/>
          </w:tcPr>
          <w:p>
            <w:pPr>
              <w:pStyle w:val="TableContents"/>
              <w:spacing w:before="0" w:after="15"/>
              <w:jc w:val="center"/>
              <w:rPr>
                <w:rFonts w:ascii="Times New Roman" w:hAnsi="Times New Roman"/>
                <w:b/>
                <w:sz w:val="20"/>
              </w:rPr>
            </w:pPr>
            <w:r>
              <w:rPr>
                <w:rFonts w:ascii="Times New Roman" w:hAnsi="Times New Roman"/>
                <w:b/>
                <w:sz w:val="20"/>
              </w:rPr>
              <w:t>BofA Merrill Lynch</w:t>
            </w:r>
          </w:p>
        </w:tc>
      </w:tr>
    </w:tbl>
    <w:tbl>
      <w:tblPr>
        <w:tblW w:w="5000" w:type="pct"/>
        <w:jc w:val="center"/>
        <w:tblInd w:w="0" w:type="dxa"/>
        <w:tblCellMar>
          <w:top w:w="0" w:type="dxa"/>
          <w:left w:w="0" w:type="dxa"/>
          <w:bottom w:w="0" w:type="dxa"/>
          <w:right w:w="0" w:type="dxa"/>
        </w:tblCellMar>
      </w:tblPr>
      <w:tblGrid>
        <w:gridCol w:w="2380"/>
        <w:gridCol w:w="120"/>
        <w:gridCol w:w="2250"/>
        <w:gridCol w:w="120"/>
        <w:gridCol w:w="1513"/>
        <w:gridCol w:w="120"/>
        <w:gridCol w:w="1540"/>
        <w:gridCol w:w="120"/>
        <w:gridCol w:w="2042"/>
      </w:tblGrid>
      <w:tr>
        <w:trPr/>
        <w:tc>
          <w:tcPr>
            <w:tcW w:w="23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42" w:type="dxa"/>
            <w:tcBorders/>
            <w:shd w:fill="auto" w:val="clear"/>
            <w:vAlign w:val="center"/>
          </w:tcPr>
          <w:p>
            <w:pPr>
              <w:pStyle w:val="TableContents"/>
              <w:spacing w:before="0" w:after="283"/>
              <w:rPr>
                <w:sz w:val="4"/>
                <w:szCs w:val="4"/>
              </w:rPr>
            </w:pPr>
            <w:r>
              <w:rPr>
                <w:sz w:val="4"/>
                <w:szCs w:val="4"/>
              </w:rPr>
            </w:r>
          </w:p>
        </w:tc>
      </w:tr>
      <w:tr>
        <w:trPr>
          <w:trHeight w:val="195" w:hRule="atLeast"/>
        </w:trPr>
        <w:tc>
          <w:tcPr>
            <w:tcW w:w="2380" w:type="dxa"/>
            <w:tcBorders/>
            <w:shd w:fill="auto" w:val="clear"/>
            <w:vAlign w:val="center"/>
          </w:tcPr>
          <w:p>
            <w:pPr>
              <w:pStyle w:val="TableContents"/>
              <w:spacing w:before="0" w:after="283"/>
              <w:rPr>
                <w:sz w:val="4"/>
                <w:szCs w:val="4"/>
              </w:rPr>
            </w:pPr>
            <w:r>
              <w:rPr>
                <w:sz w:val="4"/>
                <w:szCs w:val="4"/>
              </w:rPr>
            </w:r>
          </w:p>
        </w:tc>
        <w:tc>
          <w:tcPr>
            <w:tcW w:w="2370" w:type="dxa"/>
            <w:gridSpan w:val="2"/>
            <w:tcBorders/>
            <w:shd w:fill="auto" w:val="clear"/>
            <w:vAlign w:val="center"/>
          </w:tcPr>
          <w:p>
            <w:pPr>
              <w:pStyle w:val="TableContents"/>
              <w:spacing w:before="0" w:after="283"/>
              <w:rPr>
                <w:sz w:val="4"/>
                <w:szCs w:val="4"/>
              </w:rPr>
            </w:pPr>
            <w:r>
              <w:rPr>
                <w:sz w:val="4"/>
                <w:szCs w:val="4"/>
              </w:rPr>
            </w:r>
          </w:p>
        </w:tc>
        <w:tc>
          <w:tcPr>
            <w:tcW w:w="1633" w:type="dxa"/>
            <w:gridSpan w:val="2"/>
            <w:tcBorders/>
            <w:shd w:fill="auto" w:val="clear"/>
            <w:vAlign w:val="center"/>
          </w:tcPr>
          <w:p>
            <w:pPr>
              <w:pStyle w:val="TableContents"/>
              <w:spacing w:before="0" w:after="283"/>
              <w:rPr>
                <w:sz w:val="4"/>
                <w:szCs w:val="4"/>
              </w:rPr>
            </w:pPr>
            <w:r>
              <w:rPr>
                <w:sz w:val="4"/>
                <w:szCs w:val="4"/>
              </w:rPr>
            </w:r>
          </w:p>
        </w:tc>
        <w:tc>
          <w:tcPr>
            <w:tcW w:w="1660" w:type="dxa"/>
            <w:gridSpan w:val="2"/>
            <w:tcBorders/>
            <w:shd w:fill="auto" w:val="clear"/>
            <w:vAlign w:val="center"/>
          </w:tcPr>
          <w:p>
            <w:pPr>
              <w:pStyle w:val="TableContents"/>
              <w:spacing w:before="0" w:after="283"/>
              <w:rPr>
                <w:sz w:val="4"/>
                <w:szCs w:val="4"/>
              </w:rPr>
            </w:pPr>
            <w:r>
              <w:rPr>
                <w:sz w:val="4"/>
                <w:szCs w:val="4"/>
              </w:rPr>
            </w:r>
          </w:p>
        </w:tc>
        <w:tc>
          <w:tcPr>
            <w:tcW w:w="2162" w:type="dxa"/>
            <w:gridSpan w:val="2"/>
            <w:tcBorders/>
            <w:shd w:fill="auto" w:val="clear"/>
            <w:vAlign w:val="center"/>
          </w:tcPr>
          <w:p>
            <w:pPr>
              <w:pStyle w:val="TableContents"/>
              <w:spacing w:before="0" w:after="283"/>
              <w:rPr>
                <w:sz w:val="4"/>
                <w:szCs w:val="4"/>
              </w:rPr>
            </w:pPr>
            <w:r>
              <w:rPr>
                <w:sz w:val="4"/>
                <w:szCs w:val="4"/>
              </w:rPr>
            </w:r>
          </w:p>
        </w:tc>
      </w:tr>
      <w:tr>
        <w:trPr/>
        <w:tc>
          <w:tcPr>
            <w:tcW w:w="238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Mitsubishi UFJ Securities</w:t>
            </w:r>
          </w:p>
        </w:tc>
        <w:tc>
          <w:tcPr>
            <w:tcW w:w="120" w:type="dxa"/>
            <w:tcBorders/>
            <w:shd w:fill="auto" w:val="clear"/>
            <w:vAlign w:val="bottom"/>
          </w:tcPr>
          <w:p>
            <w:pPr>
              <w:pStyle w:val="TableContents"/>
              <w:spacing w:before="0" w:after="283"/>
              <w:rPr/>
            </w:pPr>
            <w:r>
              <w:rPr/>
              <w:t>  </w:t>
            </w:r>
          </w:p>
        </w:tc>
        <w:tc>
          <w:tcPr>
            <w:tcW w:w="225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Mizuho Securities</w:t>
            </w:r>
          </w:p>
        </w:tc>
        <w:tc>
          <w:tcPr>
            <w:tcW w:w="120" w:type="dxa"/>
            <w:tcBorders/>
            <w:shd w:fill="auto" w:val="clear"/>
            <w:vAlign w:val="bottom"/>
          </w:tcPr>
          <w:p>
            <w:pPr>
              <w:pStyle w:val="TableContents"/>
              <w:spacing w:before="0" w:after="283"/>
              <w:rPr/>
            </w:pPr>
            <w:r>
              <w:rPr/>
              <w:t>  </w:t>
            </w:r>
          </w:p>
        </w:tc>
        <w:tc>
          <w:tcPr>
            <w:tcW w:w="151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Morgan Stanley</w:t>
            </w:r>
          </w:p>
        </w:tc>
        <w:tc>
          <w:tcPr>
            <w:tcW w:w="120" w:type="dxa"/>
            <w:tcBorders/>
            <w:shd w:fill="auto" w:val="clear"/>
            <w:vAlign w:val="bottom"/>
          </w:tcPr>
          <w:p>
            <w:pPr>
              <w:pStyle w:val="TableContents"/>
              <w:spacing w:before="0" w:after="283"/>
              <w:rPr/>
            </w:pPr>
            <w:r>
              <w:rPr/>
              <w:t>  </w:t>
            </w:r>
          </w:p>
        </w:tc>
        <w:tc>
          <w:tcPr>
            <w:tcW w:w="154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Raymond James</w:t>
            </w:r>
          </w:p>
        </w:tc>
        <w:tc>
          <w:tcPr>
            <w:tcW w:w="120"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RBC Capital Markets</w:t>
            </w:r>
          </w:p>
        </w:tc>
      </w:tr>
    </w:tbl>
    <w:tbl>
      <w:tblPr>
        <w:tblW w:w="5000" w:type="pct"/>
        <w:jc w:val="center"/>
        <w:tblInd w:w="0" w:type="dxa"/>
        <w:tblCellMar>
          <w:top w:w="0" w:type="dxa"/>
          <w:left w:w="0" w:type="dxa"/>
          <w:bottom w:w="0" w:type="dxa"/>
          <w:right w:w="0" w:type="dxa"/>
        </w:tblCellMar>
      </w:tblPr>
      <w:tblGrid>
        <w:gridCol w:w="2332"/>
        <w:gridCol w:w="120"/>
        <w:gridCol w:w="2875"/>
        <w:gridCol w:w="120"/>
        <w:gridCol w:w="2537"/>
        <w:gridCol w:w="92"/>
        <w:gridCol w:w="2129"/>
      </w:tblGrid>
      <w:tr>
        <w:trPr/>
        <w:tc>
          <w:tcPr>
            <w:tcW w:w="23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37"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2129" w:type="dxa"/>
            <w:tcBorders/>
            <w:shd w:fill="auto" w:val="clear"/>
            <w:vAlign w:val="center"/>
          </w:tcPr>
          <w:p>
            <w:pPr>
              <w:pStyle w:val="TableContents"/>
              <w:spacing w:before="0" w:after="283"/>
              <w:rPr>
                <w:sz w:val="4"/>
                <w:szCs w:val="4"/>
              </w:rPr>
            </w:pPr>
            <w:r>
              <w:rPr>
                <w:sz w:val="4"/>
                <w:szCs w:val="4"/>
              </w:rPr>
            </w:r>
          </w:p>
        </w:tc>
      </w:tr>
      <w:tr>
        <w:trPr>
          <w:trHeight w:val="195" w:hRule="atLeast"/>
        </w:trPr>
        <w:tc>
          <w:tcPr>
            <w:tcW w:w="2332" w:type="dxa"/>
            <w:tcBorders/>
            <w:shd w:fill="auto" w:val="clear"/>
            <w:vAlign w:val="center"/>
          </w:tcPr>
          <w:p>
            <w:pPr>
              <w:pStyle w:val="TableContents"/>
              <w:spacing w:before="0" w:after="283"/>
              <w:rPr>
                <w:sz w:val="4"/>
                <w:szCs w:val="4"/>
              </w:rPr>
            </w:pPr>
            <w:r>
              <w:rPr>
                <w:sz w:val="4"/>
                <w:szCs w:val="4"/>
              </w:rPr>
            </w:r>
          </w:p>
        </w:tc>
        <w:tc>
          <w:tcPr>
            <w:tcW w:w="2995" w:type="dxa"/>
            <w:gridSpan w:val="2"/>
            <w:tcBorders/>
            <w:shd w:fill="auto" w:val="clear"/>
            <w:vAlign w:val="center"/>
          </w:tcPr>
          <w:p>
            <w:pPr>
              <w:pStyle w:val="TableContents"/>
              <w:spacing w:before="0" w:after="283"/>
              <w:rPr>
                <w:sz w:val="4"/>
                <w:szCs w:val="4"/>
              </w:rPr>
            </w:pPr>
            <w:r>
              <w:rPr>
                <w:sz w:val="4"/>
                <w:szCs w:val="4"/>
              </w:rPr>
            </w:r>
          </w:p>
        </w:tc>
        <w:tc>
          <w:tcPr>
            <w:tcW w:w="2657" w:type="dxa"/>
            <w:gridSpan w:val="2"/>
            <w:tcBorders/>
            <w:shd w:fill="auto" w:val="clear"/>
            <w:vAlign w:val="center"/>
          </w:tcPr>
          <w:p>
            <w:pPr>
              <w:pStyle w:val="TableContents"/>
              <w:spacing w:before="0" w:after="283"/>
              <w:rPr>
                <w:sz w:val="4"/>
                <w:szCs w:val="4"/>
              </w:rPr>
            </w:pPr>
            <w:r>
              <w:rPr>
                <w:sz w:val="4"/>
                <w:szCs w:val="4"/>
              </w:rPr>
            </w:r>
          </w:p>
        </w:tc>
        <w:tc>
          <w:tcPr>
            <w:tcW w:w="2221" w:type="dxa"/>
            <w:gridSpan w:val="2"/>
            <w:tcBorders/>
            <w:shd w:fill="auto" w:val="clear"/>
            <w:vAlign w:val="center"/>
          </w:tcPr>
          <w:p>
            <w:pPr>
              <w:pStyle w:val="TableContents"/>
              <w:spacing w:before="0" w:after="283"/>
              <w:rPr>
                <w:sz w:val="4"/>
                <w:szCs w:val="4"/>
              </w:rPr>
            </w:pPr>
            <w:r>
              <w:rPr>
                <w:sz w:val="4"/>
                <w:szCs w:val="4"/>
              </w:rPr>
            </w:r>
          </w:p>
        </w:tc>
      </w:tr>
      <w:tr>
        <w:trPr/>
        <w:tc>
          <w:tcPr>
            <w:tcW w:w="2332" w:type="dxa"/>
            <w:tcBorders/>
            <w:shd w:fill="auto" w:val="clear"/>
            <w:vAlign w:val="bottom"/>
          </w:tcPr>
          <w:p>
            <w:pPr>
              <w:pStyle w:val="TableContents"/>
              <w:spacing w:before="0" w:after="15"/>
              <w:jc w:val="center"/>
              <w:rPr>
                <w:rFonts w:ascii="Times New Roman" w:hAnsi="Times New Roman"/>
                <w:b/>
                <w:sz w:val="20"/>
              </w:rPr>
            </w:pPr>
            <w:r>
              <w:rPr>
                <w:rFonts w:ascii="Times New Roman" w:hAnsi="Times New Roman"/>
                <w:b/>
                <w:sz w:val="20"/>
              </w:rPr>
              <w:t>SOCIETE GENERALE</w:t>
            </w:r>
          </w:p>
        </w:tc>
        <w:tc>
          <w:tcPr>
            <w:tcW w:w="120" w:type="dxa"/>
            <w:tcBorders/>
            <w:shd w:fill="auto" w:val="clear"/>
            <w:vAlign w:val="bottom"/>
          </w:tcPr>
          <w:p>
            <w:pPr>
              <w:pStyle w:val="TableContents"/>
              <w:spacing w:before="0" w:after="283"/>
              <w:rPr/>
            </w:pPr>
            <w:r>
              <w:rPr/>
              <w:t>  </w:t>
            </w:r>
          </w:p>
        </w:tc>
        <w:tc>
          <w:tcPr>
            <w:tcW w:w="2875" w:type="dxa"/>
            <w:tcBorders/>
            <w:shd w:fill="auto" w:val="clear"/>
            <w:vAlign w:val="bottom"/>
          </w:tcPr>
          <w:p>
            <w:pPr>
              <w:pStyle w:val="TableContents"/>
              <w:spacing w:before="0" w:after="15"/>
              <w:jc w:val="center"/>
              <w:rPr/>
            </w:pPr>
            <w:r>
              <w:rPr/>
              <w:t>  </w:t>
            </w:r>
            <w:r>
              <w:rPr>
                <w:rFonts w:ascii="Times New Roman" w:hAnsi="Times New Roman"/>
                <w:b/>
                <w:sz w:val="20"/>
              </w:rPr>
              <w:t>SunTrust Robinson Humphrey</w:t>
            </w:r>
          </w:p>
        </w:tc>
        <w:tc>
          <w:tcPr>
            <w:tcW w:w="120" w:type="dxa"/>
            <w:tcBorders/>
            <w:shd w:fill="auto" w:val="clear"/>
            <w:vAlign w:val="bottom"/>
          </w:tcPr>
          <w:p>
            <w:pPr>
              <w:pStyle w:val="TableContents"/>
              <w:spacing w:before="0" w:after="283"/>
              <w:rPr/>
            </w:pPr>
            <w:r>
              <w:rPr/>
              <w:t>  </w:t>
            </w:r>
          </w:p>
        </w:tc>
        <w:tc>
          <w:tcPr>
            <w:tcW w:w="2537" w:type="dxa"/>
            <w:tcBorders/>
            <w:shd w:fill="auto" w:val="clear"/>
            <w:vAlign w:val="bottom"/>
          </w:tcPr>
          <w:p>
            <w:pPr>
              <w:pStyle w:val="TableContents"/>
              <w:spacing w:before="0" w:after="15"/>
              <w:jc w:val="center"/>
              <w:rPr/>
            </w:pPr>
            <w:r>
              <w:rPr/>
              <w:t>  </w:t>
            </w:r>
            <w:r>
              <w:rPr>
                <w:rFonts w:ascii="Times New Roman" w:hAnsi="Times New Roman"/>
                <w:b/>
                <w:sz w:val="20"/>
              </w:rPr>
              <w:t>UBS Investment Bank</w:t>
            </w:r>
          </w:p>
        </w:tc>
        <w:tc>
          <w:tcPr>
            <w:tcW w:w="92" w:type="dxa"/>
            <w:tcBorders/>
            <w:shd w:fill="auto" w:val="clear"/>
            <w:vAlign w:val="bottom"/>
          </w:tcPr>
          <w:p>
            <w:pPr>
              <w:pStyle w:val="TableContents"/>
              <w:spacing w:before="0" w:after="283"/>
              <w:rPr/>
            </w:pPr>
            <w:r>
              <w:rPr/>
              <w:t> </w:t>
            </w:r>
          </w:p>
        </w:tc>
        <w:tc>
          <w:tcPr>
            <w:tcW w:w="2129" w:type="dxa"/>
            <w:tcBorders/>
            <w:shd w:fill="auto" w:val="clear"/>
            <w:vAlign w:val="bottom"/>
          </w:tcPr>
          <w:p>
            <w:pPr>
              <w:pStyle w:val="TableContents"/>
              <w:spacing w:before="0" w:after="15"/>
              <w:jc w:val="center"/>
              <w:rPr>
                <w:rFonts w:ascii="Times New Roman" w:hAnsi="Times New Roman"/>
                <w:b/>
                <w:sz w:val="20"/>
              </w:rPr>
            </w:pPr>
            <w:r>
              <w:rPr>
                <w:rFonts w:ascii="Times New Roman" w:hAnsi="Times New Roman"/>
                <w:b/>
                <w:sz w:val="20"/>
              </w:rPr>
              <w:t>Wells Fargo Securities</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before="0" w:after="30"/>
        <w:rPr/>
      </w:pPr>
      <w:r>
        <w:rPr/>
        <w:t> </w:t>
      </w:r>
    </w:p>
    <w:p>
      <w:pPr>
        <w:pStyle w:val="TextBody"/>
        <w:spacing w:before="180" w:after="0"/>
        <w:jc w:val="center"/>
        <w:rPr>
          <w:rFonts w:ascii="Times New Roman" w:hAnsi="Times New Roman"/>
          <w:sz w:val="20"/>
        </w:rPr>
      </w:pPr>
      <w:r>
        <w:rPr>
          <w:rFonts w:ascii="Times New Roman" w:hAnsi="Times New Roman"/>
          <w:sz w:val="20"/>
        </w:rPr>
        <w:t xml:space="preserve">May 28, 2013 </w:t>
      </w:r>
    </w:p>
    <w:p>
      <w:pPr>
        <w:pStyle w:val="TextBody"/>
        <w:spacing w:before="0" w:after="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364"/>
        <w:gridCol w:w="250"/>
        <w:gridCol w:w="60"/>
        <w:gridCol w:w="408"/>
        <w:gridCol w:w="123"/>
      </w:tblGrid>
      <w:tr>
        <w:trPr/>
        <w:tc>
          <w:tcPr>
            <w:tcW w:w="936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364"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68" w:type="dxa"/>
            <w:gridSpan w:val="2"/>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Page</w:t>
            </w:r>
          </w:p>
        </w:tc>
        <w:tc>
          <w:tcPr>
            <w:tcW w:w="123" w:type="dxa"/>
            <w:tcBorders/>
            <w:shd w:fill="auto" w:val="clear"/>
            <w:vAlign w:val="bottom"/>
          </w:tcPr>
          <w:p>
            <w:pPr>
              <w:pStyle w:val="TableContents"/>
              <w:spacing w:before="0" w:after="283"/>
              <w:rPr/>
            </w:pPr>
            <w:r>
              <w:rPr/>
              <w:t> </w:t>
            </w:r>
          </w:p>
        </w:tc>
      </w:tr>
      <w:tr>
        <w:trPr>
          <w:trHeight w:val="120" w:hRule="atLeast"/>
        </w:trPr>
        <w:tc>
          <w:tcPr>
            <w:tcW w:w="9364" w:type="dxa"/>
            <w:tcBorders/>
            <w:shd w:fill="auto" w:val="clear"/>
            <w:vAlign w:val="center"/>
          </w:tcPr>
          <w:p>
            <w:pPr>
              <w:pStyle w:val="TableContents"/>
              <w:spacing w:before="0" w:after="283"/>
              <w:rPr>
                <w:sz w:val="4"/>
                <w:szCs w:val="4"/>
              </w:rPr>
            </w:pPr>
            <w:r>
              <w:rPr>
                <w:sz w:val="4"/>
                <w:szCs w:val="4"/>
              </w:rPr>
            </w:r>
          </w:p>
        </w:tc>
        <w:tc>
          <w:tcPr>
            <w:tcW w:w="841" w:type="dxa"/>
            <w:gridSpan w:val="4"/>
            <w:tcBorders/>
            <w:shd w:fill="auto" w:val="clear"/>
            <w:vAlign w:val="center"/>
          </w:tcPr>
          <w:p>
            <w:pPr>
              <w:pStyle w:val="TableContents"/>
              <w:spacing w:before="0" w:after="283"/>
              <w:rPr>
                <w:sz w:val="4"/>
                <w:szCs w:val="4"/>
              </w:rPr>
            </w:pPr>
            <w:r>
              <w:rPr>
                <w:sz w:val="4"/>
                <w:szCs w:val="4"/>
              </w:rPr>
            </w:r>
          </w:p>
        </w:tc>
      </w:tr>
      <w:tr>
        <w:trPr/>
        <w:tc>
          <w:tcPr>
            <w:tcW w:w="9364" w:type="dxa"/>
            <w:tcBorders/>
            <w:shd w:fill="auto" w:val="clear"/>
          </w:tcPr>
          <w:p>
            <w:pPr>
              <w:pStyle w:val="TableContents"/>
              <w:spacing w:before="0" w:after="283"/>
              <w:rPr>
                <w:rFonts w:ascii="Times New Roman" w:hAnsi="Times New Roman"/>
                <w:b/>
                <w:sz w:val="20"/>
              </w:rPr>
            </w:pPr>
            <w:r>
              <w:rPr>
                <w:rFonts w:ascii="Times New Roman" w:hAnsi="Times New Roman"/>
                <w:b/>
                <w:sz w:val="20"/>
              </w:rPr>
              <w:t>Prospectus Supplement</w:t>
            </w:r>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9364" w:type="dxa"/>
            <w:tcBorders/>
            <w:shd w:fill="auto" w:val="clear"/>
            <w:vAlign w:val="center"/>
          </w:tcPr>
          <w:p>
            <w:pPr>
              <w:pStyle w:val="TableContents"/>
              <w:spacing w:before="0" w:after="283"/>
              <w:rPr>
                <w:sz w:val="4"/>
                <w:szCs w:val="4"/>
              </w:rPr>
            </w:pPr>
            <w:r>
              <w:rPr>
                <w:sz w:val="4"/>
                <w:szCs w:val="4"/>
              </w:rPr>
            </w:r>
          </w:p>
        </w:tc>
        <w:tc>
          <w:tcPr>
            <w:tcW w:w="841" w:type="dxa"/>
            <w:gridSpan w:val="4"/>
            <w:tcBorders/>
            <w:shd w:fill="auto" w:val="clear"/>
            <w:vAlign w:val="center"/>
          </w:tcPr>
          <w:p>
            <w:pPr>
              <w:pStyle w:val="TableContents"/>
              <w:spacing w:before="0" w:after="283"/>
              <w:rPr>
                <w:sz w:val="4"/>
                <w:szCs w:val="4"/>
              </w:rPr>
            </w:pPr>
            <w:r>
              <w:rPr>
                <w:sz w:val="4"/>
                <w:szCs w:val="4"/>
              </w:rPr>
            </w:r>
          </w:p>
        </w:tc>
      </w:tr>
      <w:tr>
        <w:trPr/>
        <w:tc>
          <w:tcPr>
            <w:tcW w:w="9364" w:type="dxa"/>
            <w:tcBorders/>
            <w:shd w:fill="auto" w:val="clear"/>
            <w:vAlign w:val="bottom"/>
          </w:tcPr>
          <w:p>
            <w:pPr>
              <w:pStyle w:val="TableContents"/>
              <w:spacing w:before="0" w:after="283"/>
              <w:rPr/>
            </w:pPr>
            <w:hyperlink w:anchor="supprom542969_1">
              <w:r>
                <w:rPr>
                  <w:rStyle w:val="InternetLink"/>
                  <w:rFonts w:ascii="Times New Roman" w:hAnsi="Times New Roman"/>
                  <w:sz w:val="20"/>
                </w:rPr>
                <w:t>Important Notice About Information in this Prospectus Supplement and the Accompanying</w:t>
                <w:br/>
                <w:t>Base Prospectus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vAlign w:val="bottom"/>
          </w:tcPr>
          <w:p>
            <w:pPr>
              <w:pStyle w:val="TableContents"/>
              <w:spacing w:before="0" w:after="283"/>
              <w:rPr/>
            </w:pPr>
            <w:hyperlink w:anchor="supprom542969_2">
              <w:r>
                <w:rPr>
                  <w:rStyle w:val="InternetLink"/>
                  <w:rFonts w:ascii="Times New Roman" w:hAnsi="Times New Roman"/>
                  <w:sz w:val="20"/>
                </w:rPr>
                <w:t>Cautionary Note Regarding Forward-Looking Statements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S-iii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vAlign w:val="bottom"/>
          </w:tcPr>
          <w:p>
            <w:pPr>
              <w:pStyle w:val="TableContents"/>
              <w:spacing w:before="0" w:after="283"/>
              <w:rPr/>
            </w:pPr>
            <w:hyperlink w:anchor="supprom542969_3">
              <w:r>
                <w:rPr>
                  <w:rStyle w:val="InternetLink"/>
                  <w:rFonts w:ascii="Times New Roman" w:hAnsi="Times New Roman"/>
                  <w:sz w:val="20"/>
                </w:rPr>
                <w:t>Summary</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vAlign w:val="bottom"/>
          </w:tcPr>
          <w:p>
            <w:pPr>
              <w:pStyle w:val="TableContents"/>
              <w:spacing w:before="0" w:after="283"/>
              <w:rPr/>
            </w:pPr>
            <w:hyperlink w:anchor="supprom542969_4">
              <w:r>
                <w:rPr>
                  <w:rStyle w:val="InternetLink"/>
                  <w:rFonts w:ascii="Times New Roman" w:hAnsi="Times New Roman"/>
                  <w:sz w:val="20"/>
                </w:rPr>
                <w:t>Risk Factors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S-4</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vAlign w:val="bottom"/>
          </w:tcPr>
          <w:p>
            <w:pPr>
              <w:pStyle w:val="TableContents"/>
              <w:spacing w:before="0" w:after="283"/>
              <w:rPr/>
            </w:pPr>
            <w:hyperlink w:anchor="supprom542969_5">
              <w:r>
                <w:rPr>
                  <w:rStyle w:val="InternetLink"/>
                  <w:rFonts w:ascii="Times New Roman" w:hAnsi="Times New Roman"/>
                  <w:sz w:val="20"/>
                </w:rPr>
                <w:t>Use of Proceeds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S-5</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vAlign w:val="bottom"/>
          </w:tcPr>
          <w:p>
            <w:pPr>
              <w:pStyle w:val="TableContents"/>
              <w:spacing w:before="0" w:after="283"/>
              <w:rPr/>
            </w:pPr>
            <w:hyperlink w:anchor="supprom542969_6">
              <w:r>
                <w:rPr>
                  <w:rStyle w:val="InternetLink"/>
                  <w:rFonts w:ascii="Times New Roman" w:hAnsi="Times New Roman"/>
                  <w:sz w:val="20"/>
                </w:rPr>
                <w:t>Material U.S. Federal Income Tax Consequences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S-6</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vAlign w:val="bottom"/>
          </w:tcPr>
          <w:p>
            <w:pPr>
              <w:pStyle w:val="TableContents"/>
              <w:spacing w:before="0" w:after="283"/>
              <w:rPr/>
            </w:pPr>
            <w:hyperlink w:anchor="supprom542969_7">
              <w:r>
                <w:rPr>
                  <w:rStyle w:val="InternetLink"/>
                  <w:rFonts w:ascii="Times New Roman" w:hAnsi="Times New Roman"/>
                  <w:sz w:val="20"/>
                </w:rPr>
                <w:t>Plan of Distribution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S-7</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vAlign w:val="bottom"/>
          </w:tcPr>
          <w:p>
            <w:pPr>
              <w:pStyle w:val="TableContents"/>
              <w:spacing w:before="0" w:after="283"/>
              <w:rPr/>
            </w:pPr>
            <w:hyperlink w:anchor="supprom542969_8">
              <w:r>
                <w:rPr>
                  <w:rStyle w:val="InternetLink"/>
                  <w:rFonts w:ascii="Times New Roman" w:hAnsi="Times New Roman"/>
                  <w:sz w:val="20"/>
                </w:rPr>
                <w:t>Legal Matters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vAlign w:val="bottom"/>
          </w:tcPr>
          <w:p>
            <w:pPr>
              <w:pStyle w:val="TableContents"/>
              <w:spacing w:before="0" w:after="283"/>
              <w:rPr/>
            </w:pPr>
            <w:hyperlink w:anchor="supprom542969_9">
              <w:r>
                <w:rPr>
                  <w:rStyle w:val="InternetLink"/>
                  <w:rFonts w:ascii="Times New Roman" w:hAnsi="Times New Roman"/>
                  <w:sz w:val="20"/>
                </w:rPr>
                <w:t>Experts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vAlign w:val="bottom"/>
          </w:tcPr>
          <w:p>
            <w:pPr>
              <w:pStyle w:val="TableContents"/>
              <w:spacing w:before="0" w:after="283"/>
              <w:rPr/>
            </w:pPr>
            <w:hyperlink w:anchor="supprom542969_10">
              <w:r>
                <w:rPr>
                  <w:rStyle w:val="InternetLink"/>
                  <w:rFonts w:ascii="Times New Roman" w:hAnsi="Times New Roman"/>
                  <w:sz w:val="20"/>
                </w:rPr>
                <w:t>Where You Can Find More Information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S-12</w:t>
            </w:r>
          </w:p>
        </w:tc>
        <w:tc>
          <w:tcPr>
            <w:tcW w:w="123" w:type="dxa"/>
            <w:tcBorders/>
            <w:shd w:fill="auto" w:val="clear"/>
            <w:vAlign w:val="bottom"/>
          </w:tcPr>
          <w:p>
            <w:pPr>
              <w:pStyle w:val="TableContents"/>
              <w:spacing w:before="0" w:after="283"/>
              <w:rPr/>
            </w:pPr>
            <w:r>
              <w:rPr/>
              <w:t>  </w:t>
            </w:r>
          </w:p>
        </w:tc>
      </w:tr>
      <w:tr>
        <w:trPr>
          <w:trHeight w:val="360" w:hRule="atLeast"/>
        </w:trPr>
        <w:tc>
          <w:tcPr>
            <w:tcW w:w="9364" w:type="dxa"/>
            <w:tcBorders/>
            <w:shd w:fill="auto" w:val="clear"/>
            <w:vAlign w:val="center"/>
          </w:tcPr>
          <w:p>
            <w:pPr>
              <w:pStyle w:val="TableContents"/>
              <w:spacing w:before="0" w:after="283"/>
              <w:rPr>
                <w:sz w:val="4"/>
                <w:szCs w:val="4"/>
              </w:rPr>
            </w:pPr>
            <w:r>
              <w:rPr>
                <w:sz w:val="4"/>
                <w:szCs w:val="4"/>
              </w:rPr>
            </w:r>
          </w:p>
        </w:tc>
        <w:tc>
          <w:tcPr>
            <w:tcW w:w="841" w:type="dxa"/>
            <w:gridSpan w:val="4"/>
            <w:tcBorders/>
            <w:shd w:fill="auto" w:val="clear"/>
            <w:vAlign w:val="center"/>
          </w:tcPr>
          <w:p>
            <w:pPr>
              <w:pStyle w:val="TableContents"/>
              <w:spacing w:before="0" w:after="283"/>
              <w:rPr>
                <w:sz w:val="4"/>
                <w:szCs w:val="4"/>
              </w:rPr>
            </w:pPr>
            <w:r>
              <w:rPr>
                <w:sz w:val="4"/>
                <w:szCs w:val="4"/>
              </w:rPr>
            </w:r>
          </w:p>
        </w:tc>
      </w:tr>
      <w:tr>
        <w:trPr/>
        <w:tc>
          <w:tcPr>
            <w:tcW w:w="9364" w:type="dxa"/>
            <w:tcBorders/>
            <w:shd w:fill="auto" w:val="clear"/>
          </w:tcPr>
          <w:p>
            <w:pPr>
              <w:pStyle w:val="TableContents"/>
              <w:spacing w:before="0" w:after="283"/>
              <w:rPr>
                <w:rFonts w:ascii="Times New Roman" w:hAnsi="Times New Roman"/>
                <w:b/>
                <w:sz w:val="20"/>
              </w:rPr>
            </w:pPr>
            <w:r>
              <w:rPr>
                <w:rFonts w:ascii="Times New Roman" w:hAnsi="Times New Roman"/>
                <w:b/>
                <w:sz w:val="20"/>
              </w:rPr>
              <w:t>Prospectus</w:t>
            </w:r>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9364" w:type="dxa"/>
            <w:tcBorders/>
            <w:shd w:fill="auto" w:val="clear"/>
            <w:vAlign w:val="center"/>
          </w:tcPr>
          <w:p>
            <w:pPr>
              <w:pStyle w:val="TableContents"/>
              <w:spacing w:before="0" w:after="283"/>
              <w:rPr>
                <w:sz w:val="4"/>
                <w:szCs w:val="4"/>
              </w:rPr>
            </w:pPr>
            <w:r>
              <w:rPr>
                <w:sz w:val="4"/>
                <w:szCs w:val="4"/>
              </w:rPr>
            </w:r>
          </w:p>
        </w:tc>
        <w:tc>
          <w:tcPr>
            <w:tcW w:w="841" w:type="dxa"/>
            <w:gridSpan w:val="4"/>
            <w:tcBorders/>
            <w:shd w:fill="auto" w:val="clear"/>
            <w:vAlign w:val="center"/>
          </w:tcPr>
          <w:p>
            <w:pPr>
              <w:pStyle w:val="TableContents"/>
              <w:spacing w:before="0" w:after="283"/>
              <w:rPr>
                <w:sz w:val="4"/>
                <w:szCs w:val="4"/>
              </w:rPr>
            </w:pPr>
            <w:r>
              <w:rPr>
                <w:sz w:val="4"/>
                <w:szCs w:val="4"/>
              </w:rPr>
            </w:r>
          </w:p>
        </w:tc>
      </w:tr>
      <w:tr>
        <w:trPr/>
        <w:tc>
          <w:tcPr>
            <w:tcW w:w="9364" w:type="dxa"/>
            <w:tcBorders/>
            <w:shd w:fill="auto" w:val="clear"/>
          </w:tcPr>
          <w:p>
            <w:pPr>
              <w:pStyle w:val="TableContents"/>
              <w:spacing w:before="0" w:after="283"/>
              <w:rPr/>
            </w:pPr>
            <w:hyperlink w:anchor="toc542969_1">
              <w:r>
                <w:rPr>
                  <w:rStyle w:val="InternetLink"/>
                  <w:rFonts w:ascii="Times New Roman" w:hAnsi="Times New Roman"/>
                  <w:sz w:val="20"/>
                </w:rPr>
                <w:t>About this Prospectus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2">
              <w:r>
                <w:rPr>
                  <w:rStyle w:val="InternetLink"/>
                  <w:rFonts w:ascii="Times New Roman" w:hAnsi="Times New Roman"/>
                  <w:sz w:val="20"/>
                </w:rPr>
                <w:t>Where You Can Find More Information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3">
              <w:r>
                <w:rPr>
                  <w:rStyle w:val="InternetLink"/>
                  <w:rFonts w:ascii="Times New Roman" w:hAnsi="Times New Roman"/>
                  <w:sz w:val="20"/>
                </w:rPr>
                <w:t>Forward-Looking Statements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iv</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4">
              <w:r>
                <w:rPr>
                  <w:rStyle w:val="InternetLink"/>
                  <w:rFonts w:ascii="Times New Roman" w:hAnsi="Times New Roman"/>
                  <w:sz w:val="20"/>
                </w:rPr>
                <w:t>Who We Are</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5">
              <w:r>
                <w:rPr>
                  <w:rStyle w:val="InternetLink"/>
                  <w:rFonts w:ascii="Times New Roman" w:hAnsi="Times New Roman"/>
                  <w:sz w:val="20"/>
                </w:rPr>
                <w:t>Risk Factors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6">
              <w:r>
                <w:rPr>
                  <w:rStyle w:val="InternetLink"/>
                  <w:rFonts w:ascii="Times New Roman" w:hAnsi="Times New Roman"/>
                  <w:sz w:val="20"/>
                </w:rPr>
                <w:t>Use of Proceeds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7">
              <w:r>
                <w:rPr>
                  <w:rStyle w:val="InternetLink"/>
                  <w:rFonts w:ascii="Times New Roman" w:hAnsi="Times New Roman"/>
                  <w:sz w:val="20"/>
                </w:rPr>
                <w:t>Ratio of Earnings to Fixed Charges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8">
              <w:r>
                <w:rPr>
                  <w:rStyle w:val="InternetLink"/>
                  <w:rFonts w:ascii="Times New Roman" w:hAnsi="Times New Roman"/>
                  <w:sz w:val="20"/>
                </w:rPr>
                <w:t>Description of Our Debt Securities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9">
              <w:r>
                <w:rPr>
                  <w:rStyle w:val="InternetLink"/>
                  <w:rFonts w:ascii="Times New Roman" w:hAnsi="Times New Roman"/>
                  <w:sz w:val="20"/>
                </w:rPr>
                <w:t>Description of Our Common Units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10">
              <w:r>
                <w:rPr>
                  <w:rStyle w:val="InternetLink"/>
                  <w:rFonts w:ascii="Times New Roman" w:hAnsi="Times New Roman"/>
                  <w:sz w:val="20"/>
                </w:rPr>
                <w:t>Cash Distribution Policy</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11">
              <w:r>
                <w:rPr>
                  <w:rStyle w:val="InternetLink"/>
                  <w:rFonts w:ascii="Times New Roman" w:hAnsi="Times New Roman"/>
                  <w:sz w:val="20"/>
                </w:rPr>
                <w:t>Description of Our Partnership Agreement</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12">
              <w:r>
                <w:rPr>
                  <w:rStyle w:val="InternetLink"/>
                  <w:rFonts w:ascii="Times New Roman" w:hAnsi="Times New Roman"/>
                  <w:sz w:val="20"/>
                </w:rPr>
                <w:t>Material Income Tax Consequences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13">
              <w:r>
                <w:rPr>
                  <w:rStyle w:val="InternetLink"/>
                  <w:rFonts w:ascii="Times New Roman" w:hAnsi="Times New Roman"/>
                  <w:sz w:val="20"/>
                </w:rPr>
                <w:t>Plan of Distribution</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14">
              <w:r>
                <w:rPr>
                  <w:rStyle w:val="InternetLink"/>
                  <w:rFonts w:ascii="Times New Roman" w:hAnsi="Times New Roman"/>
                  <w:sz w:val="20"/>
                </w:rPr>
                <w:t>Legal Matters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9364" w:type="dxa"/>
            <w:tcBorders/>
            <w:shd w:fill="auto" w:val="clear"/>
          </w:tcPr>
          <w:p>
            <w:pPr>
              <w:pStyle w:val="TableContents"/>
              <w:spacing w:before="0" w:after="283"/>
              <w:rPr/>
            </w:pPr>
            <w:hyperlink w:anchor="toc542969_15">
              <w:r>
                <w:rPr>
                  <w:rStyle w:val="InternetLink"/>
                  <w:rFonts w:ascii="Times New Roman" w:hAnsi="Times New Roman"/>
                  <w:sz w:val="20"/>
                </w:rPr>
                <w:t>Experts</w:t>
              </w:r>
            </w:hyperlink>
          </w:p>
        </w:tc>
        <w:tc>
          <w:tcPr>
            <w:tcW w:w="2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supprom542969_1"/>
      <w:bookmarkEnd w:id="3"/>
      <w:r>
        <w:rPr>
          <w:rFonts w:ascii="Times New Roman" w:hAnsi="Times New Roman"/>
          <w:b/>
          <w:sz w:val="20"/>
        </w:rPr>
        <w:t xml:space="preserve">IMPORTANT NOTICE ABOUT INFORMATION IN THIS </w:t>
      </w:r>
    </w:p>
    <w:p>
      <w:pPr>
        <w:pStyle w:val="TextBody"/>
        <w:spacing w:before="0" w:after="0"/>
        <w:jc w:val="center"/>
        <w:rPr>
          <w:rFonts w:ascii="Times New Roman" w:hAnsi="Times New Roman"/>
          <w:b/>
          <w:sz w:val="20"/>
        </w:rPr>
      </w:pPr>
      <w:r>
        <w:rPr>
          <w:rFonts w:ascii="Times New Roman" w:hAnsi="Times New Roman"/>
          <w:b/>
          <w:sz w:val="20"/>
        </w:rPr>
        <w:t xml:space="preserve">PROSPECTUS SUPPLEMENT AND THE ACCOMPANYING BASE PROSPECTUS </w:t>
      </w:r>
    </w:p>
    <w:p>
      <w:pPr>
        <w:pStyle w:val="TextBody"/>
        <w:spacing w:before="180" w:after="0"/>
        <w:rPr>
          <w:rFonts w:ascii="Times New Roman" w:hAnsi="Times New Roman"/>
          <w:sz w:val="20"/>
        </w:rPr>
      </w:pPr>
      <w:r>
        <w:rPr>
          <w:rFonts w:ascii="Times New Roman" w:hAnsi="Times New Roman"/>
          <w:sz w:val="20"/>
        </w:rPr>
        <w:t xml:space="preserve">We are providing information to you about this offering of our common units in two separate documents that are bound together: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 </w:t>
      </w:r>
    </w:p>
    <w:p>
      <w:pPr>
        <w:pStyle w:val="TextBody"/>
        <w:spacing w:before="180" w:after="0"/>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and the accompanying base prospectus. Neither we nor any of the sales agents have authorized anyone to provide you with additional or different information. If anyone provides you with different or inconsistent information, you should not rely on it.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 </w:t>
      </w:r>
    </w:p>
    <w:p>
      <w:pPr>
        <w:pStyle w:val="TextBody"/>
        <w:spacing w:before="180" w:after="0"/>
        <w:rPr>
          <w:rFonts w:ascii="Times New Roman" w:hAnsi="Times New Roman"/>
          <w:sz w:val="20"/>
        </w:rPr>
      </w:pPr>
      <w:r>
        <w:rPr>
          <w:rFonts w:ascii="Times New Roman" w:hAnsi="Times New Roman"/>
          <w:sz w:val="20"/>
        </w:rPr>
        <w:t xml:space="preserve">We are not making an offer to sell our common units in any jurisdiction where the offer is not permitted. </w:t>
      </w:r>
    </w:p>
    <w:p>
      <w:pPr>
        <w:pStyle w:val="TextBody"/>
        <w:spacing w:before="180" w:after="0"/>
        <w:rPr>
          <w:rFonts w:ascii="Times New Roman" w:hAnsi="Times New Roman"/>
          <w:sz w:val="20"/>
        </w:rPr>
      </w:pPr>
      <w:r>
        <w:rPr>
          <w:rFonts w:ascii="Times New Roman" w:hAnsi="Times New Roman"/>
          <w:sz w:val="20"/>
        </w:rPr>
        <w:t xml:space="preserve">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 </w:t>
      </w:r>
    </w:p>
    <w:p>
      <w:pPr>
        <w:pStyle w:val="TextBody"/>
        <w:spacing w:before="180" w:after="0"/>
        <w:rPr>
          <w:rFonts w:ascii="Times New Roman" w:hAnsi="Times New Roman"/>
          <w:sz w:val="20"/>
        </w:rPr>
      </w:pPr>
      <w:r>
        <w:rPr>
          <w:rFonts w:ascii="Times New Roman" w:hAnsi="Times New Roman"/>
          <w:sz w:val="20"/>
        </w:rPr>
        <w:t xml:space="preserve">None of Plains All American Pipeline, L.P., the sales agents or any of their respective representatives is making any representation to you regarding the legality of an investment in our common units by you under applicable laws. You should consult with your own advisors as to legal, tax, business, financial and related aspects of an investment in the common units.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supprom542969_2"/>
      <w:bookmarkEnd w:id="4"/>
      <w:r>
        <w:rPr>
          <w:rFonts w:ascii="Times New Roman" w:hAnsi="Times New Roman"/>
          <w:b/>
          <w:sz w:val="20"/>
        </w:rPr>
        <w:t xml:space="preserve">CAUTIONARY NOTE REGARDING 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or delays in implementing or capitalizing,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occurrence of a natural disaster, catastrophe, terrorist attack or other event, including attacks on our electronic and computer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tightened capital markets or other factors that increase our cost of capital or limit our access to capital;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declines in the volume of crude oil, refined product and NGL shipped, processed, purchased, stored, fractionated and/or gathered at or through the use of our facilities, whether due to declines in production from existing oil and gas reserves, failure to or slowdown in the development of additional oil and gas reserves or other factors;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non-utilization of our assets and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0"/>
        <w:gridCol w:w="93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0"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our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sz w:val="20"/>
              </w:rPr>
            </w:pPr>
            <w:r>
              <w:rPr>
                <w:rFonts w:ascii="WINGDINGS" w:hAnsi="WINGDINGS"/>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on page S-4 of this prospectus supplement and in Item 1A. Risk Factors in our Annual Report on Form 10-K for the fiscal year ended December 31, 2012 (File No. 001-14569), which is incorporated in this prospectus supplement by reference, for information regarding risks you should consider before investing in our common units.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supprom542969_3"/>
      <w:bookmarkEnd w:id="5"/>
      <w:r>
        <w:rPr>
          <w:rFonts w:ascii="Times New Roman" w:hAnsi="Times New Roman"/>
          <w:b/>
          <w:sz w:val="20"/>
        </w:rPr>
        <w:t xml:space="preserve">SUMMARY </w:t>
      </w:r>
    </w:p>
    <w:p>
      <w:pPr>
        <w:pStyle w:val="TextBody"/>
        <w:spacing w:before="180" w:after="0"/>
        <w:rPr>
          <w:rFonts w:ascii="Times New Roman" w:hAnsi="Times New Roman"/>
          <w:i/>
          <w:sz w:val="20"/>
        </w:rPr>
      </w:pPr>
      <w:r>
        <w:rPr>
          <w:rFonts w:ascii="Times New Roman" w:hAnsi="Times New Roman"/>
          <w:i/>
          <w:sz w:val="20"/>
        </w:rPr>
        <w:t xml:space="preserve">This summary highlights information included or incorporated by reference in this prospectus supplement. It does not contain all of the information that you should consider before investing in the common units. You should read carefully the entire prospectus supplement, the accompanying base prospectus, the documents incorporated by reference herein and therein and the other documents to which we refer herein and therein for a more complete understanding of this offering. </w:t>
      </w:r>
    </w:p>
    <w:p>
      <w:pPr>
        <w:pStyle w:val="TextBody"/>
        <w:spacing w:before="180" w:after="0"/>
        <w:rPr>
          <w:rFonts w:ascii="Times New Roman" w:hAnsi="Times New Roman"/>
          <w:i/>
          <w:sz w:val="20"/>
        </w:rPr>
      </w:pPr>
      <w:r>
        <w:rPr>
          <w:rFonts w:ascii="Times New Roman" w:hAnsi="Times New Roman"/>
          <w:i/>
          <w:sz w:val="20"/>
        </w:rPr>
        <w:t xml:space="preserve">Please read Risk Factors on page S-4 of this prospectus supplement and in our Annual Report on Form 10-K for the fiscal year ended December 31, 2012, which is incorporated by reference herein, for information regarding risks you should consider before investing in our common units. </w:t>
      </w:r>
    </w:p>
    <w:p>
      <w:pPr>
        <w:pStyle w:val="TextBody"/>
        <w:spacing w:before="180" w:after="0"/>
        <w:rPr>
          <w:rFonts w:ascii="Times New Roman" w:hAnsi="Times New Roman"/>
          <w:i/>
          <w:sz w:val="20"/>
        </w:rPr>
      </w:pPr>
      <w:r>
        <w:rPr>
          <w:rFonts w:ascii="Times New Roman" w:hAnsi="Times New Roman"/>
          <w:i/>
          <w:sz w:val="20"/>
        </w:rPr>
        <w:t xml:space="preserve">For purposes of this prospectus supplement and the accompanying base prospectus, unless the context clearly indicates otherwise, references to PAA, the Partnership, we, us, our and similar terms refer to Plains All American Pipeline, L.P. and its subsidiaries. With respect to the cover page and in the section entitled Summary  The Offering, we, our and us refer only to Plains All American Pipeline, L.P. and not to any of its subsidiaries. References to our general partner, as the context requires, include any or all of PAA GP LLC, Plains AAP, L.P. and Plains All American GP LLC. </w:t>
      </w:r>
    </w:p>
    <w:p>
      <w:pPr>
        <w:pStyle w:val="TextBody"/>
        <w:spacing w:before="180" w:after="0"/>
        <w:jc w:val="center"/>
        <w:rPr>
          <w:rFonts w:ascii="Times New Roman" w:hAnsi="Times New Roman"/>
          <w:b/>
          <w:sz w:val="20"/>
        </w:rPr>
      </w:pPr>
      <w:r>
        <w:rPr>
          <w:rFonts w:ascii="Times New Roman" w:hAnsi="Times New Roman"/>
          <w:b/>
          <w:sz w:val="20"/>
        </w:rPr>
        <w:t xml:space="preserve">The Partnership </w:t>
      </w:r>
    </w:p>
    <w:p>
      <w:pPr>
        <w:pStyle w:val="TextBody"/>
        <w:spacing w:before="180" w:after="0"/>
        <w:rPr>
          <w:rFonts w:ascii="Times New Roman" w:hAnsi="Times New Roman"/>
          <w:b/>
          <w:sz w:val="20"/>
        </w:rPr>
      </w:pPr>
      <w:r>
        <w:rPr>
          <w:rFonts w:ascii="Times New Roman" w:hAnsi="Times New Roman"/>
          <w:b/>
          <w:sz w:val="20"/>
        </w:rPr>
        <w:t xml:space="preserve">Overview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September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commonly referred to as liquefied petroleum gas (LPG). </w:t>
      </w:r>
    </w:p>
    <w:p>
      <w:pPr>
        <w:pStyle w:val="TextBody"/>
        <w:spacing w:before="180" w:after="0"/>
        <w:rPr>
          <w:rFonts w:ascii="Times New Roman" w:hAnsi="Times New Roman"/>
          <w:sz w:val="20"/>
        </w:rPr>
      </w:pPr>
      <w:r>
        <w:rPr>
          <w:rFonts w:ascii="Times New Roman" w:hAnsi="Times New Roman"/>
          <w:sz w:val="20"/>
        </w:rPr>
        <w:t xml:space="preserve">We also own and operate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which holds a 2% general partner interest in PNG and all of its incentive distribution rights. We also currently own an approximate 61% limited partner interest in PNG. </w:t>
      </w:r>
    </w:p>
    <w:p>
      <w:pPr>
        <w:pStyle w:val="TextBody"/>
        <w:spacing w:before="180" w:after="0"/>
        <w:rPr>
          <w:rFonts w:ascii="Times New Roman" w:hAnsi="Times New Roman"/>
          <w:sz w:val="20"/>
        </w:rPr>
      </w:pPr>
      <w:r>
        <w:rPr>
          <w:rFonts w:ascii="Times New Roman" w:hAnsi="Times New Roman"/>
          <w:sz w:val="20"/>
        </w:rPr>
        <w:t xml:space="preserve">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transportation, facilities and supply and logistics. </w:t>
      </w:r>
    </w:p>
    <w:p>
      <w:pPr>
        <w:pStyle w:val="TextBody"/>
        <w:spacing w:before="180" w:after="0"/>
        <w:rPr>
          <w:rFonts w:ascii="Times New Roman" w:hAnsi="Times New Roman"/>
          <w:b/>
          <w:sz w:val="20"/>
        </w:rPr>
      </w:pPr>
      <w:r>
        <w:rPr>
          <w:rFonts w:ascii="Times New Roman" w:hAnsi="Times New Roman"/>
          <w:b/>
          <w:sz w:val="20"/>
        </w:rPr>
        <w:t xml:space="preserve">Ongoing Acquisition Activities </w:t>
      </w:r>
    </w:p>
    <w:p>
      <w:pPr>
        <w:pStyle w:val="TextBody"/>
        <w:spacing w:before="180" w:after="0"/>
        <w:rPr>
          <w:rFonts w:ascii="Times New Roman" w:hAnsi="Times New Roman"/>
          <w:sz w:val="20"/>
        </w:rPr>
      </w:pPr>
      <w:r>
        <w:rPr>
          <w:rFonts w:ascii="Times New Roman" w:hAnsi="Times New Roman"/>
          <w:sz w:val="20"/>
        </w:rPr>
        <w:t xml:space="preserve">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w:t>
      </w:r>
    </w:p>
    <w:p>
      <w:pPr>
        <w:pStyle w:val="TextBody"/>
        <w:spacing w:before="0" w:after="0"/>
        <w:rPr>
          <w:rFonts w:ascii="Times New Roman" w:hAnsi="Times New Roman"/>
          <w:sz w:val="20"/>
        </w:rPr>
      </w:pPr>
      <w:r>
        <w:rPr>
          <w:rFonts w:ascii="Times New Roman" w:hAnsi="Times New Roman"/>
          <w:sz w:val="20"/>
        </w:rPr>
        <w:t xml:space="preserve">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 </w:t>
      </w:r>
    </w:p>
    <w:p>
      <w:pPr>
        <w:pStyle w:val="TextBody"/>
        <w:spacing w:before="180" w:after="0"/>
        <w:rPr>
          <w:rFonts w:ascii="Times New Roman" w:hAnsi="Times New Roman"/>
          <w:b/>
          <w:sz w:val="20"/>
        </w:rPr>
      </w:pPr>
      <w:r>
        <w:rPr>
          <w:rFonts w:ascii="Times New Roman" w:hAnsi="Times New Roman"/>
          <w:b/>
          <w:sz w:val="20"/>
        </w:rPr>
        <w:t xml:space="preserve">Our Principal Executive Offices </w:t>
      </w:r>
    </w:p>
    <w:p>
      <w:pPr>
        <w:pStyle w:val="TextBody"/>
        <w:spacing w:before="180" w:after="0"/>
        <w:rPr>
          <w:rFonts w:ascii="Times New Roman" w:hAnsi="Times New Roman"/>
          <w:sz w:val="20"/>
        </w:rPr>
      </w:pPr>
      <w:r>
        <w:rPr>
          <w:rFonts w:ascii="Times New Roman" w:hAnsi="Times New Roman"/>
          <w:sz w:val="20"/>
        </w:rPr>
        <w:t xml:space="preserve">Our executive offices are located at 333 Clay Street, Suite 1600, Houston, Texas 77002. Our telephone number is (713) 646-4100. We maintain a website at </w:t>
      </w:r>
      <w:r>
        <w:rPr>
          <w:rFonts w:ascii="Times New Roman" w:hAnsi="Times New Roman"/>
          <w:i/>
          <w:sz w:val="20"/>
        </w:rPr>
        <w:t>www.paalp.com</w:t>
      </w:r>
      <w:r>
        <w:rPr>
          <w:rFonts w:ascii="Times New Roman" w:hAnsi="Times New Roman"/>
          <w:sz w:val="20"/>
        </w:rPr>
        <w:t xml:space="preserve"> that provides information about our business and operations. Information contained on or available through our website is not incorporated into or otherwise a part of this prospectus supplement or the accompanying base prospectus. </w:t>
      </w:r>
    </w:p>
    <w:p>
      <w:pPr>
        <w:pStyle w:val="TextBody"/>
        <w:spacing w:before="180" w:after="0"/>
        <w:rPr>
          <w:rFonts w:ascii="Times New Roman" w:hAnsi="Times New Roman"/>
          <w:b/>
          <w:sz w:val="20"/>
        </w:rPr>
      </w:pPr>
      <w:r>
        <w:rPr>
          <w:rFonts w:ascii="Times New Roman" w:hAnsi="Times New Roman"/>
          <w:b/>
          <w:sz w:val="20"/>
        </w:rPr>
        <w:t xml:space="preserve">Additional Information </w:t>
      </w:r>
    </w:p>
    <w:p>
      <w:pPr>
        <w:pStyle w:val="TextBody"/>
        <w:spacing w:before="180" w:after="0"/>
        <w:rPr>
          <w:rFonts w:ascii="Times New Roman" w:hAnsi="Times New Roman"/>
          <w:sz w:val="20"/>
        </w:rPr>
      </w:pPr>
      <w:r>
        <w:rPr>
          <w:rFonts w:ascii="Times New Roman" w:hAnsi="Times New Roman"/>
          <w:sz w:val="20"/>
        </w:rPr>
        <w:t xml:space="preserve">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2012 and our Quarterly Report on Form 10-Q for the quarterly period ended March 31, 2013, each of which is incorporated by reference herein.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The Offering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84"/>
        <w:gridCol w:w="6021"/>
      </w:tblGrid>
      <w:tr>
        <w:trPr/>
        <w:tc>
          <w:tcPr>
            <w:tcW w:w="4184"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Common Units Offered </w:t>
            </w:r>
          </w:p>
        </w:tc>
        <w:tc>
          <w:tcPr>
            <w:tcW w:w="6021"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Common units having an aggregate offering price of up to $750,000,000.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83"/>
        <w:gridCol w:w="6022"/>
      </w:tblGrid>
      <w:tr>
        <w:trPr/>
        <w:tc>
          <w:tcPr>
            <w:tcW w:w="4183"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Use of Proceeds </w:t>
            </w:r>
          </w:p>
        </w:tc>
        <w:tc>
          <w:tcPr>
            <w:tcW w:w="6022"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We intend to use the net proceeds from this offering, including our general partners proportionate capital contribution, after deducting the sales agents commissions and our offering expenses, for general partnership purposes, which may include, among other things, repayment of indebtedness, acquisitions, capital expenditures and additions to working capital. Amounts repaid under our credit facilities may be reborrowed to fund our ongoing capital program, potential future acquisitions or for general partnership purposes. Please read Use of Proceeds.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81"/>
        <w:gridCol w:w="6024"/>
      </w:tblGrid>
      <w:tr>
        <w:trPr/>
        <w:tc>
          <w:tcPr>
            <w:tcW w:w="4181"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Exchange Listing </w:t>
            </w:r>
          </w:p>
        </w:tc>
        <w:tc>
          <w:tcPr>
            <w:tcW w:w="6024"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Our common units are traded on the NYSE under the symbol PAA.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84"/>
        <w:gridCol w:w="6021"/>
      </w:tblGrid>
      <w:tr>
        <w:trPr/>
        <w:tc>
          <w:tcPr>
            <w:tcW w:w="4184"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Conflicts of Interest </w:t>
            </w:r>
          </w:p>
        </w:tc>
        <w:tc>
          <w:tcPr>
            <w:tcW w:w="6021"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Affiliates of certain of the sales agents are lenders under our credit facilities. To the extent we use proceeds from this offering to repay indebtedness under our credit facilities, such affiliates may receive proceeds from this offering. Please read Plan of Distribution in this prospectus supplement for further information.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82"/>
        <w:gridCol w:w="6023"/>
      </w:tblGrid>
      <w:tr>
        <w:trPr/>
        <w:tc>
          <w:tcPr>
            <w:tcW w:w="4182"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Risk Factors </w:t>
            </w:r>
          </w:p>
        </w:tc>
        <w:tc>
          <w:tcPr>
            <w:tcW w:w="6023"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There are risks associated with this offering and our business. You should consider carefully the risk factors on page S-4 of this prospectus supplement and the other risks identified in the documents incorporated by reference herein before making a decision to purchase common units in this offering.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supprom542969_4"/>
      <w:bookmarkEnd w:id="6"/>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common units involves risk. You should carefully consider the risk factors set forth in Item 1A. Risk Factors of our Annual Report on Form 10-K for the fiscal year ended December 31, 2012, together with all of the other information included in, or incorporated by reference into, this prospectus supplement and the accompanying base prospectus, when evaluating an investment in our common units. If any of these risks were to occur, our business, financial condition or results of operations could be materially adversely affected. In that case, the trading price of our common units could decline and you could lose all or part of your investment.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supprom542969_5"/>
      <w:bookmarkEnd w:id="7"/>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We intend to use the net proceeds of this offering, including our general partners proportionate capital contribution, after deducting the sales agents commissions and our offering expenses, for general partnership purposes, which may include, among other things, repayment of indebtedness, acquisitions, capital expenditures and additions to working capital. Amounts repaid under our credit facilities may be reborrowed to fund our ongoing capital program, potential future acquisitions or for general partnership purposes. </w:t>
      </w:r>
    </w:p>
    <w:p>
      <w:pPr>
        <w:pStyle w:val="TextBody"/>
        <w:spacing w:before="180" w:after="0"/>
        <w:rPr>
          <w:rFonts w:ascii="Times New Roman" w:hAnsi="Times New Roman"/>
          <w:sz w:val="20"/>
        </w:rPr>
      </w:pPr>
      <w:r>
        <w:rPr>
          <w:rFonts w:ascii="Times New Roman" w:hAnsi="Times New Roman"/>
          <w:sz w:val="20"/>
        </w:rPr>
        <w:t xml:space="preserve">Affiliates of certain of the sales agents are lenders under our credit facilities. To the extent we use proceeds from this offering to repay indebtedness under our credit facilities, such affiliates may receive proceeds from this offering. Please read Plan of Distribution in this prospectus supplement for further information. </w:t>
      </w:r>
    </w:p>
    <w:p>
      <w:pPr>
        <w:pStyle w:val="TextBody"/>
        <w:spacing w:before="180" w:after="0"/>
        <w:rPr>
          <w:rFonts w:ascii="Times New Roman" w:hAnsi="Times New Roman"/>
          <w:sz w:val="20"/>
        </w:rPr>
      </w:pPr>
      <w:r>
        <w:rPr>
          <w:rFonts w:ascii="Times New Roman" w:hAnsi="Times New Roman"/>
          <w:sz w:val="20"/>
        </w:rPr>
        <w:t xml:space="preserve">At May 24, 2013, we had approximately $599.3 million of borrowings outstanding under our PAA hedged inventory facility, with a weighted average interest rate of approximately 1.29%. Substantially all of the borrowings were used for working capital requirements. At May 24, 2013, there were no outstanding borrowings under our PAA revolving credit facility.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upprom542969_6"/>
      <w:bookmarkEnd w:id="8"/>
      <w:r>
        <w:rPr>
          <w:rFonts w:ascii="Times New Roman" w:hAnsi="Times New Roman"/>
          <w:b/>
          <w:sz w:val="20"/>
        </w:rPr>
        <w:t xml:space="preserve">MATERIAL U.S. FEDERAL INCOME TAX CONSEQUENCES </w:t>
      </w:r>
    </w:p>
    <w:p>
      <w:pPr>
        <w:pStyle w:val="TextBody"/>
        <w:spacing w:before="180" w:after="0"/>
        <w:rPr>
          <w:rFonts w:ascii="Times New Roman" w:hAnsi="Times New Roman"/>
          <w:sz w:val="20"/>
        </w:rPr>
      </w:pPr>
      <w:r>
        <w:rPr>
          <w:rFonts w:ascii="Times New Roman" w:hAnsi="Times New Roman"/>
          <w:sz w:val="20"/>
        </w:rPr>
        <w:t xml:space="preserve">The tax consequences to you of an investment in our common units will depend in part on your own tax circumstances. Although this section updates and adds information related to certain tax considerations, it should be read in conjunction with the risk factors included under the caption Tax Risks to Common Unitholders in our most recent Annual Report on Form 10-K, and with Material Income Tax Consequences in the accompanying base prospectus, which provides a discussion of the principal federal income tax consequences associated with our operations and the purchase, ownership and disposition of our common units. The following discussion is limited as described under the caption Material Income Tax Consequences in the accompanying base prospectus. </w:t>
      </w:r>
    </w:p>
    <w:p>
      <w:pPr>
        <w:pStyle w:val="TextBody"/>
        <w:spacing w:before="180" w:after="0"/>
        <w:rPr>
          <w:rFonts w:ascii="Times New Roman" w:hAnsi="Times New Roman"/>
          <w:sz w:val="20"/>
        </w:rPr>
      </w:pPr>
      <w:r>
        <w:rPr>
          <w:rFonts w:ascii="Times New Roman" w:hAnsi="Times New Roman"/>
          <w:sz w:val="20"/>
        </w:rPr>
        <w:t xml:space="preserve">All prospective unitholders are encouraged to consult with their own tax advisors about the federal, state, local and foreign tax consequences particular to their own circumstances. In particular, ownership of common units by tax-exempt entities, including employee benefit plans and IRAs, and non-U.S. investors raises issues unique to such persons. The relevant rules are complex, and the discussions herein and in the accompanying base prospectus do not address tax considerations applicable to tax-exempt entities and non-U.S. investors, except as specifically set forth in the accompanying base prospectus. Please read Material Income Tax Consequences  Tax-Exempt Organizations and Other Investors in the accompanying base prospectus. </w:t>
      </w:r>
    </w:p>
    <w:p>
      <w:pPr>
        <w:pStyle w:val="TextBody"/>
        <w:spacing w:before="180" w:after="0"/>
        <w:rPr>
          <w:rFonts w:ascii="Times New Roman" w:hAnsi="Times New Roman"/>
          <w:b/>
          <w:sz w:val="20"/>
        </w:rPr>
      </w:pPr>
      <w:r>
        <w:rPr>
          <w:rFonts w:ascii="Times New Roman" w:hAnsi="Times New Roman"/>
          <w:b/>
          <w:sz w:val="20"/>
        </w:rPr>
        <w:t xml:space="preserve">Tax Rates </w:t>
      </w:r>
    </w:p>
    <w:p>
      <w:pPr>
        <w:pStyle w:val="TextBody"/>
        <w:spacing w:before="180" w:after="0"/>
        <w:rPr>
          <w:rFonts w:ascii="Times New Roman" w:hAnsi="Times New Roman"/>
          <w:sz w:val="20"/>
        </w:rPr>
      </w:pPr>
      <w:r>
        <w:rPr>
          <w:rFonts w:ascii="Times New Roman" w:hAnsi="Times New Roman"/>
          <w:sz w:val="20"/>
        </w:rPr>
        <w:t xml:space="preserve">Beginning January 1, 2013, the highest marginal U.S.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 </w:t>
      </w:r>
    </w:p>
    <w:p>
      <w:pPr>
        <w:pStyle w:val="TextBody"/>
        <w:spacing w:before="180" w:after="0"/>
        <w:rPr>
          <w:rFonts w:ascii="Times New Roman" w:hAnsi="Times New Roman"/>
          <w:sz w:val="20"/>
        </w:rPr>
      </w:pPr>
      <w:r>
        <w:rPr>
          <w:rFonts w:ascii="Times New Roman" w:hAnsi="Times New Roman"/>
          <w:sz w:val="20"/>
        </w:rPr>
        <w:t xml:space="preserve">In addition, a 3.8% Medicare tax on certain net investment income earned by individuals, estates, and trusts applies for taxable years beginning after December 31, 2012.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prom542969_7"/>
      <w:bookmarkEnd w:id="9"/>
      <w:r>
        <w:rPr>
          <w:rFonts w:ascii="Times New Roman" w:hAnsi="Times New Roman"/>
          <w:b/>
          <w:sz w:val="20"/>
        </w:rPr>
        <w:t xml:space="preserve">PLAN OF DISTRIBUTION </w:t>
      </w:r>
    </w:p>
    <w:p>
      <w:pPr>
        <w:pStyle w:val="TextBody"/>
        <w:spacing w:before="180" w:after="0"/>
        <w:rPr>
          <w:rFonts w:ascii="Times New Roman" w:hAnsi="Times New Roman"/>
          <w:sz w:val="20"/>
        </w:rPr>
      </w:pPr>
      <w:r>
        <w:rPr>
          <w:rFonts w:ascii="Times New Roman" w:hAnsi="Times New Roman"/>
          <w:sz w:val="20"/>
        </w:rPr>
        <w:t xml:space="preserve">We have entered into an equity distribution agreement with Citigroup Global Markets Inc., Barclays Capital Inc., BMO Capital Markets Corp., J.P. Morgan Securities LLC, Merrill Lynch, Pierce, Fenner &amp; Smith Incorporated, Mitsubishi UFJ Securities (USA), Inc., Mizuho Securities USA Inc., Morgan Stanley &amp; Co. LLC, Raymond James &amp; Associates, Inc., RBC Capital Markets, LLC, SG Americas Securities, LLC, SunTrust Robinson Humphrey, Inc., UBS Securities LLC and Wells Fargo Securities, LLC as sales agents, under which we are permitted to offer and sell common units having an aggregate offering price of up to $750,000,000 from time to time. We have filed the equity distribution agreement as an exhibit to a Current Report on Form 8-K, which is incorporated by reference in this prospectus supplement. The sales, if any, of common units made under the equity distribution agreement will be made by means of ordinary brokers transactions on the New York Stock Exchange at market prices, in block transactions, or as otherwise as agreed upon by one or more of the sales agents and us. The sales agents will not engage in any transactions that stabilize the price of our common units. </w:t>
      </w:r>
    </w:p>
    <w:p>
      <w:pPr>
        <w:pStyle w:val="TextBody"/>
        <w:spacing w:before="180" w:after="0"/>
        <w:rPr>
          <w:rFonts w:ascii="Times New Roman" w:hAnsi="Times New Roman"/>
          <w:sz w:val="20"/>
        </w:rPr>
      </w:pPr>
      <w:r>
        <w:rPr>
          <w:rFonts w:ascii="Times New Roman" w:hAnsi="Times New Roman"/>
          <w:sz w:val="20"/>
        </w:rPr>
        <w:t xml:space="preserve">Under the terms of the equity distribution agreement, we also may sell common units to one or more of our sales agents as principal for its own account at a price agreed upon at the time of sale. If we sell common units to one or more of our sales agents as principal, we will enter into a separate agreement with the sales agent and we will describe this agreement in a separate prospectus supplement or pricing supplement. </w:t>
      </w:r>
    </w:p>
    <w:p>
      <w:pPr>
        <w:pStyle w:val="TextBody"/>
        <w:spacing w:before="180" w:after="0"/>
        <w:rPr>
          <w:rFonts w:ascii="Times New Roman" w:hAnsi="Times New Roman"/>
          <w:sz w:val="20"/>
        </w:rPr>
      </w:pPr>
      <w:r>
        <w:rPr>
          <w:rFonts w:ascii="Times New Roman" w:hAnsi="Times New Roman"/>
          <w:sz w:val="20"/>
        </w:rPr>
        <w:t xml:space="preserve">We will designate the maximum amount of common units to be sold through the sales agents on a daily basis or otherwise as we and the sales agents agree and the minimum price per common unit at which such common units may be sold. Subject to the terms and conditions of the equity distribution agreement, the sales agents will use their reasonable efforts to sell on our behalf all of the designated common units. We may instruct the sales agents not to sell any common units if the sales cannot be effected at or above the price designated by us in any such instruction. We or the sales agents may suspend the offering of common units at any time and from time to time by notifying the other party. </w:t>
      </w:r>
    </w:p>
    <w:p>
      <w:pPr>
        <w:pStyle w:val="TextBody"/>
        <w:spacing w:before="180" w:after="0"/>
        <w:rPr>
          <w:rFonts w:ascii="Times New Roman" w:hAnsi="Times New Roman"/>
          <w:sz w:val="20"/>
        </w:rPr>
      </w:pPr>
      <w:r>
        <w:rPr>
          <w:rFonts w:ascii="Times New Roman" w:hAnsi="Times New Roman"/>
          <w:sz w:val="20"/>
        </w:rPr>
        <w:t xml:space="preserve">The sales agents will provide to us written confirmation following the close of trading on the New York Stock Exchange each day in which common units are sold under the equity distribution agreement. Each confirmation will include the number of common units sold on that day, the gross sales proceeds and the net proceeds to us (after regulatory transaction fees, if any, but before other expenses). We will report at least quarterly the number of common units sold through the sales agents under the equity distribution agreement, the net proceeds to us (before expenses) and the commissions of the sales agents in connection with the sales of the common units. </w:t>
      </w:r>
    </w:p>
    <w:p>
      <w:pPr>
        <w:pStyle w:val="TextBody"/>
        <w:spacing w:before="180" w:after="0"/>
        <w:rPr>
          <w:rFonts w:ascii="Times New Roman" w:hAnsi="Times New Roman"/>
          <w:sz w:val="20"/>
        </w:rPr>
      </w:pPr>
      <w:r>
        <w:rPr>
          <w:rFonts w:ascii="Times New Roman" w:hAnsi="Times New Roman"/>
          <w:sz w:val="20"/>
        </w:rPr>
        <w:t xml:space="preserve">We will pay each sales agent a commission of up to 2% of the gross sales price per common unit sold through it as our agent under the equity distribution agreement. We have agreed to reimburse the sales agents for certain of their expenses. </w:t>
      </w:r>
    </w:p>
    <w:p>
      <w:pPr>
        <w:pStyle w:val="TextBody"/>
        <w:spacing w:before="180" w:after="0"/>
        <w:rPr>
          <w:rFonts w:ascii="Times New Roman" w:hAnsi="Times New Roman"/>
          <w:sz w:val="20"/>
        </w:rPr>
      </w:pPr>
      <w:r>
        <w:rPr>
          <w:rFonts w:ascii="Times New Roman" w:hAnsi="Times New Roman"/>
          <w:sz w:val="20"/>
        </w:rPr>
        <w:t xml:space="preserve">Settlement for sales of common units will occur on the third business day following the date on which any sales were made in return for payment of the net proceeds to us. There is no arrangement for funds to be received in an escrow, trust or similar arrangement. </w:t>
      </w:r>
    </w:p>
    <w:p>
      <w:pPr>
        <w:pStyle w:val="TextBody"/>
        <w:spacing w:before="180" w:after="0"/>
        <w:rPr>
          <w:rFonts w:ascii="Times New Roman" w:hAnsi="Times New Roman"/>
          <w:sz w:val="20"/>
        </w:rPr>
      </w:pPr>
      <w:r>
        <w:rPr>
          <w:rFonts w:ascii="Times New Roman" w:hAnsi="Times New Roman"/>
          <w:sz w:val="20"/>
        </w:rPr>
        <w:t xml:space="preserve">If we or any of the sales agents have reason to believe that our common units are no longer an actively-traded security as defined under Rule 101(c)(l) of Regulation M under the Securities Exchange Act of 1934, as amended, that party will promptly notify the others and sales of common units pursuant to the equity distribution agreement or any terms agreement will be suspended until in our collective judgment Rule 101(c)(1) or another exemptive provision has been satisfied. </w:t>
      </w:r>
    </w:p>
    <w:p>
      <w:pPr>
        <w:pStyle w:val="TextBody"/>
        <w:spacing w:before="180" w:after="0"/>
        <w:rPr>
          <w:rFonts w:ascii="Times New Roman" w:hAnsi="Times New Roman"/>
          <w:sz w:val="20"/>
        </w:rPr>
      </w:pPr>
      <w:r>
        <w:rPr>
          <w:rFonts w:ascii="Times New Roman" w:hAnsi="Times New Roman"/>
          <w:sz w:val="20"/>
        </w:rPr>
        <w:t xml:space="preserve">The offering of common units pursuant to the equity distribution agreement will terminate upon the earlier of (1) the sale of all common units subject to the equity distribution agreement or (2) the termination of the equity distribution agreement by us or by the sales agents.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connection with the sale of the common units on our behalf, each of the sales agents will be deemed to be an underwriter within the meaning of the Securities Act of 1933, as amended (Securities Act), and the compensation paid to the sales agents may be deemed to be underwriting commissions or discounts. We have agreed to provide indemnification and contribution to the sales agents against certain liabilities, including civil liabilities under the Securities Act. </w:t>
      </w:r>
    </w:p>
    <w:p>
      <w:pPr>
        <w:pStyle w:val="TextBody"/>
        <w:spacing w:before="180" w:after="0"/>
        <w:rPr>
          <w:rFonts w:ascii="Times New Roman" w:hAnsi="Times New Roman"/>
          <w:b/>
          <w:sz w:val="20"/>
        </w:rPr>
      </w:pPr>
      <w:r>
        <w:rPr>
          <w:rFonts w:ascii="Times New Roman" w:hAnsi="Times New Roman"/>
          <w:b/>
          <w:sz w:val="20"/>
        </w:rPr>
        <w:t xml:space="preserve">Conflicts of Interest </w:t>
      </w:r>
    </w:p>
    <w:p>
      <w:pPr>
        <w:pStyle w:val="TextBody"/>
        <w:spacing w:before="180" w:after="0"/>
        <w:rPr>
          <w:rFonts w:ascii="Times New Roman" w:hAnsi="Times New Roman"/>
          <w:sz w:val="20"/>
        </w:rPr>
      </w:pPr>
      <w:r>
        <w:rPr>
          <w:rFonts w:ascii="Times New Roman" w:hAnsi="Times New Roman"/>
          <w:sz w:val="20"/>
        </w:rPr>
        <w:t xml:space="preserve">The sales agents and/or affiliates of each of the sales agents have, from time to time, performed, and may in the future perform, various financial advisory and commercial and investment banking services for us and our affiliates, for which they have received and in the future will receive customary compensation and expense reimbursement. The sales agents and/or affiliates of certain of the sales agents are lenders under our credit facilities. To the extent we use proceeds from this offering to repay indebtedness under our credit facilities, such affiliates may receive proceeds from this offering. </w:t>
      </w:r>
    </w:p>
    <w:p>
      <w:pPr>
        <w:pStyle w:val="TextBody"/>
        <w:spacing w:before="180" w:after="0"/>
        <w:rPr>
          <w:rFonts w:ascii="Times New Roman" w:hAnsi="Times New Roman"/>
          <w:b/>
          <w:sz w:val="20"/>
        </w:rPr>
      </w:pPr>
      <w:r>
        <w:rPr>
          <w:rFonts w:ascii="Times New Roman" w:hAnsi="Times New Roman"/>
          <w:b/>
          <w:sz w:val="20"/>
        </w:rPr>
        <w:t xml:space="preserve">FINRA </w:t>
      </w:r>
    </w:p>
    <w:p>
      <w:pPr>
        <w:pStyle w:val="TextBody"/>
        <w:spacing w:before="180" w:after="0"/>
        <w:rPr>
          <w:rFonts w:ascii="Times New Roman" w:hAnsi="Times New Roman"/>
          <w:sz w:val="20"/>
        </w:rPr>
      </w:pPr>
      <w:r>
        <w:rPr>
          <w:rFonts w:ascii="Times New Roman" w:hAnsi="Times New Roman"/>
          <w:sz w:val="20"/>
        </w:rPr>
        <w:t xml:space="preserve">In compliance with the guidelines of the Financial Industry Regulatory Authority, Inc., or FINRA, the maximum discount or commission to be received by any FINRA member or independent broker-dealer may not exceed 8% of the aggregate offering price of the common units offered pursuant to this prospectus supplement. Because FINRA views the common units offered hereby as interests in a direct participation program, this offering is being made in compliance with Rule 2310 of the FINRA Rules. </w:t>
      </w:r>
    </w:p>
    <w:p>
      <w:pPr>
        <w:pStyle w:val="TextBody"/>
        <w:spacing w:before="180" w:after="0"/>
        <w:rPr>
          <w:rFonts w:ascii="Times New Roman" w:hAnsi="Times New Roman"/>
          <w:b/>
          <w:sz w:val="20"/>
        </w:rPr>
      </w:pPr>
      <w:r>
        <w:rPr>
          <w:rFonts w:ascii="Times New Roman" w:hAnsi="Times New Roman"/>
          <w:b/>
          <w:sz w:val="20"/>
        </w:rPr>
        <w:t xml:space="preserve">Selling Restrictions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the EEA </w:t>
      </w:r>
    </w:p>
    <w:p>
      <w:pPr>
        <w:pStyle w:val="TextBody"/>
        <w:spacing w:before="180" w:after="0"/>
        <w:rPr>
          <w:rFonts w:ascii="Times New Roman" w:hAnsi="Times New Roman"/>
          <w:sz w:val="20"/>
        </w:rPr>
      </w:pPr>
      <w:r>
        <w:rPr>
          <w:rFonts w:ascii="Times New Roman" w:hAnsi="Times New Roman"/>
          <w:sz w:val="20"/>
        </w:rPr>
        <w:t xml:space="preserve">In relation to each member state of the European Economic Area that has implemented the Prospectus Directive (each, a relevant member state), other than Germany, with effect from and including the date on which the Prospectus Directive is implemented in that relevant member state (the relevant implementation date), an offer of securities described in this prospectus may not be made to the public in that relevant member state other than: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any legal entity which is a qualified investor as defined in the Prospectus Directive;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any other circumstances falling within Article 3(2) of the Prospectus Directive; </w:t>
            </w:r>
          </w:p>
        </w:tc>
      </w:tr>
    </w:tbl>
    <w:p>
      <w:pPr>
        <w:pStyle w:val="TextBody"/>
        <w:spacing w:before="180" w:after="0"/>
        <w:rPr>
          <w:rFonts w:ascii="Times New Roman" w:hAnsi="Times New Roman"/>
          <w:sz w:val="20"/>
        </w:rPr>
      </w:pPr>
      <w:r>
        <w:rPr>
          <w:rFonts w:ascii="Times New Roman" w:hAnsi="Times New Roman"/>
          <w:sz w:val="20"/>
        </w:rPr>
        <w:t xml:space="preserve">provided that no such offer of securities shall require us or any underwriter to publish a prospectus pursuant to Article 3 of the Prospectus Directive. </w:t>
      </w:r>
    </w:p>
    <w:p>
      <w:pPr>
        <w:pStyle w:val="TextBody"/>
        <w:spacing w:before="180" w:after="0"/>
        <w:rPr>
          <w:rFonts w:ascii="Times New Roman" w:hAnsi="Times New Roman"/>
          <w:sz w:val="20"/>
        </w:rPr>
      </w:pPr>
      <w:r>
        <w:rPr>
          <w:rFonts w:ascii="Times New Roman" w:hAnsi="Times New Roman"/>
          <w:sz w:val="20"/>
        </w:rPr>
        <w:t xml:space="preserve">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the United Kingdom </w:t>
      </w:r>
    </w:p>
    <w:p>
      <w:pPr>
        <w:pStyle w:val="TextBody"/>
        <w:spacing w:before="180" w:after="0"/>
        <w:rPr>
          <w:rFonts w:ascii="Times New Roman" w:hAnsi="Times New Roman"/>
          <w:sz w:val="20"/>
        </w:rPr>
      </w:pPr>
      <w:r>
        <w:rPr>
          <w:rFonts w:ascii="Times New Roman" w:hAnsi="Times New Roman"/>
          <w:sz w:val="20"/>
        </w:rPr>
        <w:t xml:space="preserve">Our partnership may constitute a collective investment scheme as defined by section 235 of the Financial Services and Markets Act 2000 (FSMA) that is not a recognised collective investment scheme for the purposes of FSMA (CIS) and that has not been authorised or otherwise approved. As an unregulated scheme, it cannot be marketed in the United Kingdom to the general public, except in accordance with FSMA. This prospectus is only being distributed in the United Kingdom to, and is only directed 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our partnership is a CIS and is marketed by a person who is an authorised person under FSMA, (a) investment professionals falling within Article 14(5) of the Financial Services and Markets Act 2000 (Promotion of Collective Investment Schemes) (Exemptions) Order 2001, as amended (the CIS Promotion Order) or (b) high net worth companies and other persons falling within Article 22(2)(a) to (d) of the CIS Promotion Order;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otherwise, if marketed by a person who is not an authorised person under FSMA, (a) persons who fall within Article 19(5) of the Financial Services and Markets Act 2000 (Financial Promotion) Order 2005, as amended (the Financial Promotion Order) or (b) Article 49(2)(a) to (d) of the Financial Promotion Order;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both cases (1) and (2) to any other person to whom it may otherwise lawfully be made (all such persons together being referred to as relevant persons). </w:t>
            </w:r>
          </w:p>
        </w:tc>
      </w:tr>
    </w:tbl>
    <w:p>
      <w:pPr>
        <w:pStyle w:val="TextBody"/>
        <w:spacing w:before="180" w:after="0"/>
        <w:rPr>
          <w:rFonts w:ascii="Times New Roman" w:hAnsi="Times New Roman"/>
          <w:sz w:val="20"/>
        </w:rPr>
      </w:pPr>
      <w:r>
        <w:rPr>
          <w:rFonts w:ascii="Times New Roman" w:hAnsi="Times New Roman"/>
          <w:sz w:val="20"/>
        </w:rPr>
        <w:t xml:space="preserve">Our partnerships common units are only available to, and any invitation, offer or agreement to subscribe, purchase or otherwise acquire such common units will be engaged in only with, relevant persons. Any person who is not a relevant person should not act or rely on this document or any of its contents. </w:t>
      </w:r>
    </w:p>
    <w:p>
      <w:pPr>
        <w:pStyle w:val="TextBody"/>
        <w:spacing w:before="180" w:after="0"/>
        <w:rPr>
          <w:rFonts w:ascii="Times New Roman" w:hAnsi="Times New Roman"/>
          <w:sz w:val="20"/>
        </w:rPr>
      </w:pPr>
      <w:r>
        <w:rPr>
          <w:rFonts w:ascii="Times New Roman" w:hAnsi="Times New Roman"/>
          <w:sz w:val="20"/>
        </w:rPr>
        <w:t xml:space="preserve">An invitation or inducement to engage in investment activity (within the meaning of Section 21 of FSMA) in connection with the issue or sale of any common units which are the subject of the offering contemplated by this prospectus will only be communicated or caused to be communicated in circumstances in which Section 21(1) of FSMA does not apply to our partnership.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Switzerland </w:t>
      </w:r>
    </w:p>
    <w:p>
      <w:pPr>
        <w:pStyle w:val="TextBody"/>
        <w:spacing w:before="180" w:after="0"/>
        <w:rPr>
          <w:rFonts w:ascii="Times New Roman" w:hAnsi="Times New Roman"/>
          <w:sz w:val="20"/>
        </w:rPr>
      </w:pPr>
      <w:r>
        <w:rPr>
          <w:rFonts w:ascii="Times New Roman" w:hAnsi="Times New Roman"/>
          <w:sz w:val="20"/>
        </w:rPr>
        <w:t xml:space="preserve">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 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 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Germany </w:t>
      </w:r>
    </w:p>
    <w:p>
      <w:pPr>
        <w:pStyle w:val="TextBody"/>
        <w:spacing w:before="180" w:after="0"/>
        <w:rPr>
          <w:rFonts w:ascii="Times New Roman" w:hAnsi="Times New Roman"/>
          <w:sz w:val="20"/>
        </w:rPr>
      </w:pPr>
      <w:r>
        <w:rPr>
          <w:rFonts w:ascii="Times New Roman" w:hAnsi="Times New Roman"/>
          <w:sz w:val="20"/>
        </w:rPr>
        <w:t>This document has not been prepared in accordance with the requirements for a securities or sales prospectus under the German Securities Prospectus Act (</w:t>
      </w:r>
      <w:r>
        <w:rPr>
          <w:rFonts w:ascii="Times New Roman" w:hAnsi="Times New Roman"/>
          <w:i/>
          <w:sz w:val="20"/>
        </w:rPr>
        <w:t>Wertpapierprospektgesetz</w:t>
      </w:r>
      <w:r>
        <w:rPr>
          <w:rFonts w:ascii="Times New Roman" w:hAnsi="Times New Roman"/>
          <w:sz w:val="20"/>
        </w:rPr>
        <w:t xml:space="preserve">), the Capital Investment 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i/>
          <w:sz w:val="20"/>
        </w:rPr>
        <w:t>Vermögensanlagengesetz</w:t>
      </w:r>
      <w:r>
        <w:rPr>
          <w:rFonts w:ascii="Times New Roman" w:hAnsi="Times New Roman"/>
          <w:sz w:val="20"/>
        </w:rPr>
        <w:t>), or the German Investment Act (</w:t>
      </w:r>
      <w:r>
        <w:rPr>
          <w:rFonts w:ascii="Times New Roman" w:hAnsi="Times New Roman"/>
          <w:i/>
          <w:sz w:val="20"/>
        </w:rPr>
        <w:t>Investmentgesetz</w:t>
      </w:r>
      <w:r>
        <w:rPr>
          <w:rFonts w:ascii="Times New Roman" w:hAnsi="Times New Roman"/>
          <w:sz w:val="20"/>
        </w:rPr>
        <w:t>). Neither the German Federal Financial Services Supervisory Authority (</w:t>
      </w:r>
      <w:r>
        <w:rPr>
          <w:rFonts w:ascii="Times New Roman" w:hAnsi="Times New Roman"/>
          <w:i/>
          <w:sz w:val="20"/>
        </w:rPr>
        <w:t>Bundesanstalt für Finanzdienstleistungsaufsicht</w:t>
      </w:r>
      <w:r>
        <w:rPr>
          <w:rFonts w:ascii="Times New Roman" w:hAnsi="Times New Roman"/>
          <w:sz w:val="20"/>
        </w:rPr>
        <w:t xml:space="preserve">  BaFin) nor any other German authority has been notified of the intention to distribute our common units in Germany. Consequently, our common units may not be distributed in Germany by way of public offering, public advertisement or in any similar manner and this document and any other document relating to the offering, as well as information or statements contained therein, may not be supplied to the public in Germany or used in connection with any offer for subscription of our common units to the public in Germany or any other means of public marketing. Our common units are being offered and sold in Germany only to qualified investors which are referred to in Section 3, paragraph 2 no. 1, in connection with Section 2, no. 6, of the German Securities Prospectus Act, Section 2 no. 4 of the German Capital Investment Act, and in Section 2 paragraph 11 sentence 2 no. 1 of the German Investment Act. This document is strictly for use of the person who has received it. It may not be forwarded to other persons or published in Germany. </w:t>
      </w:r>
    </w:p>
    <w:p>
      <w:pPr>
        <w:pStyle w:val="TextBody"/>
        <w:spacing w:before="180" w:after="0"/>
        <w:rPr>
          <w:rFonts w:ascii="Times New Roman" w:hAnsi="Times New Roman"/>
          <w:sz w:val="20"/>
        </w:rPr>
      </w:pPr>
      <w:r>
        <w:rPr>
          <w:rFonts w:ascii="Times New Roman" w:hAnsi="Times New Roman"/>
          <w:sz w:val="20"/>
        </w:rPr>
        <w:t xml:space="preserve">The offering does not constitute an offer to sell or the solicitation of an offer to buy our common units in any circumstances in which such offer or solicitation is unlawful. </w:t>
      </w:r>
    </w:p>
    <w:p>
      <w:pPr>
        <w:pStyle w:val="TextBody"/>
        <w:spacing w:before="180" w:after="0"/>
        <w:rPr>
          <w:rFonts w:ascii="Times New Roman" w:hAnsi="Times New Roman"/>
          <w:b/>
          <w:i/>
          <w:sz w:val="20"/>
        </w:rPr>
      </w:pPr>
      <w:r>
        <w:rPr>
          <w:rFonts w:ascii="Times New Roman" w:hAnsi="Times New Roman"/>
          <w:b/>
          <w:i/>
          <w:sz w:val="20"/>
        </w:rPr>
        <w:t xml:space="preserve">Notice to Prospective Investors in the Netherlands </w:t>
      </w:r>
    </w:p>
    <w:p>
      <w:pPr>
        <w:pStyle w:val="TextBody"/>
        <w:spacing w:before="180" w:after="0"/>
        <w:rPr>
          <w:rFonts w:ascii="Times New Roman" w:hAnsi="Times New Roman"/>
          <w:sz w:val="20"/>
        </w:rPr>
      </w:pPr>
      <w:r>
        <w:rPr>
          <w:rFonts w:ascii="Times New Roman" w:hAnsi="Times New Roman"/>
          <w:sz w:val="20"/>
        </w:rPr>
        <w:t>Our common units may not be offered or sold, directly or indirectly, in the Netherlands, other than to qualified investors (</w:t>
      </w:r>
      <w:r>
        <w:rPr>
          <w:rFonts w:ascii="Times New Roman" w:hAnsi="Times New Roman"/>
          <w:i/>
          <w:sz w:val="20"/>
        </w:rPr>
        <w:t>gekwalificeerde beleggers</w:t>
      </w:r>
      <w:r>
        <w:rPr>
          <w:rFonts w:ascii="Times New Roman" w:hAnsi="Times New Roman"/>
          <w:sz w:val="20"/>
        </w:rPr>
        <w:t>) within the meaning of Article 1:1 of the Dutch Financial Supervision Act (</w:t>
      </w:r>
      <w:r>
        <w:rPr>
          <w:rFonts w:ascii="Times New Roman" w:hAnsi="Times New Roman"/>
          <w:i/>
          <w:sz w:val="20"/>
        </w:rPr>
        <w:t>Wet op het financieel toezicht)</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prom542969_8"/>
      <w:bookmarkEnd w:id="10"/>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common units offered in this prospectus supplement will be passed upon for us by Vinson &amp; Elkins L.L.P., Houston, Texas. Certain legal matters will be passed upon for the sales agents by Baker Botts L.L.P., Houston, Texas. </w:t>
      </w:r>
    </w:p>
    <w:p>
      <w:pPr>
        <w:pStyle w:val="TextBody"/>
        <w:spacing w:before="360" w:after="0"/>
        <w:jc w:val="center"/>
        <w:rPr>
          <w:rFonts w:ascii="Times New Roman" w:hAnsi="Times New Roman"/>
          <w:b/>
          <w:sz w:val="20"/>
        </w:rPr>
      </w:pPr>
      <w:bookmarkStart w:id="11" w:name="supprom542969_9"/>
      <w:bookmarkEnd w:id="11"/>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December 31, 2012, have been incorporated in reliance on the report of PricewaterhouseCoopers LLP, an independent registered public accounting firm, given on the authority of said firm as experts in auditing and accounting.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supprom542969_10"/>
      <w:bookmarkEnd w:id="12"/>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Securities Exchange Act of 1934 (excluding any information furnished and not filed pursuant to any Current Report on Form 8-K) until the offering and sale of the common units contemplated by this prospectus supplement are complete: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fiscal year ended December 31,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 on Form 10-Q for the quarterly period ended March 31, 2013;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February 22, 2013 (grant of phantom units to named executive officers). </w:t>
            </w:r>
          </w:p>
        </w:tc>
      </w:tr>
    </w:tbl>
    <w:p>
      <w:pPr>
        <w:pStyle w:val="TextBody"/>
        <w:spacing w:before="180" w:after="0"/>
        <w:rPr>
          <w:rFonts w:ascii="Times New Roman" w:hAnsi="Times New Roman"/>
          <w:sz w:val="20"/>
        </w:rPr>
      </w:pPr>
      <w:r>
        <w:rPr>
          <w:rFonts w:ascii="Times New Roman" w:hAnsi="Times New Roman"/>
          <w:sz w:val="20"/>
        </w:rPr>
        <w:t xml:space="preserve">You may request a copy of these filings (other than any exhibits unless specifically incorporated by reference into this prospectus supplement and the accompanying base prospectus) at no cost by making written or telephone requests for copies to: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180" w:after="0"/>
        <w:rPr>
          <w:rFonts w:ascii="Times New Roman" w:hAnsi="Times New Roman"/>
          <w:sz w:val="20"/>
        </w:rPr>
      </w:pPr>
      <w:r>
        <w:rPr>
          <w:rFonts w:ascii="Times New Roman" w:hAnsi="Times New Roman"/>
          <w:sz w:val="20"/>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Times New Roman" w:hAnsi="Times New Roman"/>
          <w:i/>
          <w:sz w:val="20"/>
        </w:rPr>
        <w:t>www.sec.gov</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We have not, and the sales agents have not, authorized anyone else to provide you with any information. You should not assume that the information incorporated by reference or provided in this prospectus supplement or the accompanying base prospectus is accurate as of any date other than its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PROSPECTUS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48"/>
        </w:rPr>
      </w:pPr>
      <w:r>
        <w:rPr>
          <w:rFonts w:ascii="Times New Roman" w:hAnsi="Times New Roman"/>
          <w:b/>
          <w:sz w:val="48"/>
        </w:rPr>
        <w:t xml:space="preserve">PAA FINANCE CORP. </w:t>
      </w:r>
    </w:p>
    <w:p>
      <w:pPr>
        <w:pStyle w:val="TextBody"/>
        <w:spacing w:before="180" w:after="0"/>
        <w:jc w:val="center"/>
        <w:rPr>
          <w:rFonts w:ascii="Times New Roman" w:hAnsi="Times New Roman"/>
          <w:b/>
          <w:sz w:val="36"/>
        </w:rPr>
      </w:pPr>
      <w:r>
        <w:rPr>
          <w:rFonts w:ascii="Times New Roman" w:hAnsi="Times New Roman"/>
          <w:b/>
          <w:sz w:val="36"/>
        </w:rPr>
        <w:t xml:space="preserve">Common Units </w:t>
      </w:r>
    </w:p>
    <w:p>
      <w:pPr>
        <w:pStyle w:val="TextBody"/>
        <w:spacing w:before="0" w:after="0"/>
        <w:jc w:val="center"/>
        <w:rPr>
          <w:rFonts w:ascii="Times New Roman" w:hAnsi="Times New Roman"/>
          <w:b/>
          <w:sz w:val="36"/>
        </w:rPr>
      </w:pPr>
      <w:r>
        <w:rPr>
          <w:rFonts w:ascii="Times New Roman" w:hAnsi="Times New Roman"/>
          <w:b/>
          <w:sz w:val="36"/>
        </w:rPr>
        <w:t xml:space="preserve">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180" w:after="0"/>
        <w:rPr/>
      </w:pPr>
      <w:r>
        <w:rPr>
          <w:rFonts w:ascii="Times New Roman" w:hAnsi="Times New Roman"/>
          <w:b/>
          <w:sz w:val="24"/>
        </w:rPr>
        <w:t>Investing in our common units and the debt securities involves risks. Limited partnerships are inherently different from corporations. You should carefully consider the risk factors described under </w:t>
      </w:r>
      <w:hyperlink w:anchor="toc542969_5">
        <w:r>
          <w:rPr>
            <w:rStyle w:val="InternetLink"/>
            <w:rFonts w:ascii="Times New Roman" w:hAnsi="Times New Roman"/>
            <w:b/>
            <w:sz w:val="24"/>
          </w:rPr>
          <w:t>Risk Factors</w:t>
        </w:r>
      </w:hyperlink>
      <w:r>
        <w:rPr>
          <w:rFonts w:ascii="Times New Roman" w:hAnsi="Times New Roman"/>
          <w:b/>
          <w:sz w:val="24"/>
        </w:rPr>
        <w:t xml:space="preserve"> beginning on page 2 of this prospectus before you make an investment in our securities. </w:t>
      </w:r>
    </w:p>
    <w:p>
      <w:pPr>
        <w:pStyle w:val="TextBody"/>
        <w:spacing w:before="180" w:after="0"/>
        <w:rPr>
          <w:rFonts w:ascii="Times New Roman" w:hAnsi="Times New Roman"/>
          <w:sz w:val="20"/>
        </w:rPr>
      </w:pPr>
      <w:r>
        <w:rPr>
          <w:rFonts w:ascii="Times New Roman" w:hAnsi="Times New Roman"/>
          <w:sz w:val="20"/>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18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180" w:after="0"/>
        <w:jc w:val="center"/>
        <w:rPr>
          <w:rFonts w:ascii="Times New Roman" w:hAnsi="Times New Roman"/>
          <w:b/>
          <w:sz w:val="20"/>
        </w:rPr>
      </w:pPr>
      <w:r>
        <w:rPr>
          <w:rFonts w:ascii="Times New Roman" w:hAnsi="Times New Roman"/>
          <w:b/>
          <w:sz w:val="20"/>
        </w:rPr>
        <w:t xml:space="preserve">The date of this prospectus is October 23,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2"/>
        <w:gridCol w:w="255"/>
        <w:gridCol w:w="60"/>
        <w:gridCol w:w="235"/>
        <w:gridCol w:w="123"/>
      </w:tblGrid>
      <w:tr>
        <w:trPr/>
        <w:tc>
          <w:tcPr>
            <w:tcW w:w="9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32" w:type="dxa"/>
            <w:tcBorders/>
            <w:shd w:fill="auto" w:val="clear"/>
          </w:tcPr>
          <w:p>
            <w:pPr>
              <w:pStyle w:val="TableContents"/>
              <w:spacing w:before="0" w:after="283"/>
              <w:rPr/>
            </w:pPr>
            <w:hyperlink w:anchor="toc542969_1">
              <w:r>
                <w:rPr>
                  <w:rStyle w:val="InternetLink"/>
                  <w:rFonts w:ascii="Times New Roman" w:hAnsi="Times New Roman"/>
                  <w:sz w:val="20"/>
                </w:rPr>
                <w:t>About This Prospectus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2">
              <w:r>
                <w:rPr>
                  <w:rStyle w:val="InternetLink"/>
                  <w:rFonts w:ascii="Times New Roman" w:hAnsi="Times New Roman"/>
                  <w:sz w:val="20"/>
                </w:rPr>
                <w:t>Where You Can Find More Information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3">
              <w:r>
                <w:rPr>
                  <w:rStyle w:val="InternetLink"/>
                  <w:rFonts w:ascii="Times New Roman" w:hAnsi="Times New Roman"/>
                  <w:sz w:val="20"/>
                </w:rPr>
                <w:t>Forward-Looking Statements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iv</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4">
              <w:r>
                <w:rPr>
                  <w:rStyle w:val="InternetLink"/>
                  <w:rFonts w:ascii="Times New Roman" w:hAnsi="Times New Roman"/>
                  <w:sz w:val="20"/>
                </w:rPr>
                <w:t>Who We Are</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5">
              <w:r>
                <w:rPr>
                  <w:rStyle w:val="InternetLink"/>
                  <w:rFonts w:ascii="Times New Roman" w:hAnsi="Times New Roman"/>
                  <w:sz w:val="20"/>
                </w:rPr>
                <w:t>Risk Factors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6">
              <w:r>
                <w:rPr>
                  <w:rStyle w:val="InternetLink"/>
                  <w:rFonts w:ascii="Times New Roman" w:hAnsi="Times New Roman"/>
                  <w:sz w:val="20"/>
                </w:rPr>
                <w:t>Use of Proceeds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7">
              <w:r>
                <w:rPr>
                  <w:rStyle w:val="InternetLink"/>
                  <w:rFonts w:ascii="Times New Roman" w:hAnsi="Times New Roman"/>
                  <w:sz w:val="20"/>
                </w:rPr>
                <w:t>Ratio of Earnings to Fixed Charges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8">
              <w:r>
                <w:rPr>
                  <w:rStyle w:val="InternetLink"/>
                  <w:rFonts w:ascii="Times New Roman" w:hAnsi="Times New Roman"/>
                  <w:sz w:val="20"/>
                </w:rPr>
                <w:t>Description of Our Debt Securities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9">
              <w:r>
                <w:rPr>
                  <w:rStyle w:val="InternetLink"/>
                  <w:rFonts w:ascii="Times New Roman" w:hAnsi="Times New Roman"/>
                  <w:sz w:val="20"/>
                </w:rPr>
                <w:t>Description of Our Common Units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10">
              <w:r>
                <w:rPr>
                  <w:rStyle w:val="InternetLink"/>
                  <w:rFonts w:ascii="Times New Roman" w:hAnsi="Times New Roman"/>
                  <w:sz w:val="20"/>
                </w:rPr>
                <w:t>Cash Distribution Policy</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11">
              <w:r>
                <w:rPr>
                  <w:rStyle w:val="InternetLink"/>
                  <w:rFonts w:ascii="Times New Roman" w:hAnsi="Times New Roman"/>
                  <w:sz w:val="20"/>
                </w:rPr>
                <w:t>Description of Our Partnership Agreement</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12">
              <w:r>
                <w:rPr>
                  <w:rStyle w:val="InternetLink"/>
                  <w:rFonts w:ascii="Times New Roman" w:hAnsi="Times New Roman"/>
                  <w:sz w:val="20"/>
                </w:rPr>
                <w:t>Material U.S. Federal Income Tax Consequences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13">
              <w:r>
                <w:rPr>
                  <w:rStyle w:val="InternetLink"/>
                  <w:rFonts w:ascii="Times New Roman" w:hAnsi="Times New Roman"/>
                  <w:sz w:val="20"/>
                </w:rPr>
                <w:t>Plan of Distribution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14">
              <w:r>
                <w:rPr>
                  <w:rStyle w:val="InternetLink"/>
                  <w:rFonts w:ascii="Times New Roman" w:hAnsi="Times New Roman"/>
                  <w:sz w:val="20"/>
                </w:rPr>
                <w:t>Legal Matters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542969_15">
              <w:r>
                <w:rPr>
                  <w:rStyle w:val="InternetLink"/>
                  <w:rFonts w:ascii="Times New Roman" w:hAnsi="Times New Roman"/>
                  <w:sz w:val="20"/>
                </w:rPr>
                <w:t>Experts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b/>
          <w:sz w:val="20"/>
        </w:rPr>
      </w:pPr>
      <w:r>
        <w:rPr>
          <w:rFonts w:ascii="Times New Roman" w:hAnsi="Times New Roman"/>
          <w:b/>
          <w:sz w:val="20"/>
        </w:rPr>
        <w:t xml:space="preserve">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spacing w:before="180" w:after="0"/>
        <w:rPr>
          <w:rFonts w:ascii="Times New Roman" w:hAnsi="Times New Roman"/>
          <w:b/>
          <w:sz w:val="20"/>
        </w:rPr>
      </w:pPr>
      <w:r>
        <w:rPr>
          <w:rFonts w:ascii="Times New Roman" w:hAnsi="Times New Roman"/>
          <w:b/>
          <w:sz w:val="20"/>
        </w:rPr>
        <w:t xml:space="preserve">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 </w:t>
      </w:r>
    </w:p>
    <w:p>
      <w:pPr>
        <w:pStyle w:val="TextBody"/>
        <w:spacing w:before="360" w:after="0"/>
        <w:jc w:val="center"/>
        <w:rPr>
          <w:rFonts w:ascii="Times New Roman" w:hAnsi="Times New Roman"/>
          <w:b/>
          <w:sz w:val="20"/>
        </w:rPr>
      </w:pPr>
      <w:bookmarkStart w:id="13" w:name="toc542969_1"/>
      <w:bookmarkEnd w:id="13"/>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oc542969_2"/>
      <w:bookmarkEnd w:id="14"/>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80" w:after="0"/>
        <w:rPr>
          <w:rFonts w:ascii="Times New Roman" w:hAnsi="Times New Roman"/>
          <w:sz w:val="20"/>
        </w:rPr>
      </w:pPr>
      <w:r>
        <w:rPr>
          <w:rFonts w:ascii="Times New Roman" w:hAnsi="Times New Roman"/>
          <w:sz w:val="20"/>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Times New Roman" w:hAnsi="Times New Roman"/>
          <w:i/>
          <w:sz w:val="20"/>
        </w:rPr>
        <w:t>www.sec.gov</w:t>
      </w:r>
      <w:r>
        <w:rPr>
          <w:rFonts w:ascii="Times New Roman" w:hAnsi="Times New Roman"/>
          <w:sz w:val="20"/>
        </w:rPr>
        <w:t xml:space="preserve">. We also make available free of charge on our website, at </w:t>
      </w:r>
      <w:r>
        <w:rPr>
          <w:rFonts w:ascii="Times New Roman" w:hAnsi="Times New Roman"/>
          <w:i/>
          <w:sz w:val="20"/>
        </w:rPr>
        <w:t>www.paalp.com</w:t>
      </w:r>
      <w:r>
        <w:rPr>
          <w:rFonts w:ascii="Times New Roman" w:hAnsi="Times New Roman"/>
          <w:sz w:val="20"/>
        </w:rPr>
        <w:t xml:space="preserve">,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fiscal year ended December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quarterly periods ended March 31, 2012 and June 30,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19, 2012 (document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26,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5, 2012 (completion of acquisition of BP Canada Energy Company; amendment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17, 2012 (announcement to withdraw offer to acquire SemGroup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9,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23, 2012 (amendment and restatement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8-K/A filed with the SEC on May 29, 2012 (financial statements and unaudited pro forma financial information related to the acquisition of BP Canada Energy Company);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3, 2012 (amendments to the senior secured hedged inventory facility and senior unsecured revolving credit facility);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13,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27, 2012 (unaudited pro forma financial information related to the acquisition of BP Canada Energy Company);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units contained in our Form 8-A/A dated November 3, 1998 and any subsequent amendment thereto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oc542969_3"/>
      <w:bookmarkEnd w:id="15"/>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or delays in implementing or capitalizing,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oc542969_4"/>
      <w:bookmarkEnd w:id="16"/>
      <w:r>
        <w:rPr>
          <w:rFonts w:ascii="Times New Roman" w:hAnsi="Times New Roman"/>
          <w:b/>
          <w:sz w:val="20"/>
        </w:rPr>
        <w:t xml:space="preserve">Who We Are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 </w:t>
      </w:r>
    </w:p>
    <w:p>
      <w:pPr>
        <w:pStyle w:val="TextBody"/>
        <w:spacing w:before="180" w:after="0"/>
        <w:rPr>
          <w:rFonts w:ascii="Times New Roman" w:hAnsi="Times New Roman"/>
          <w:sz w:val="20"/>
        </w:rPr>
      </w:pPr>
      <w:r>
        <w:rPr>
          <w:rFonts w:ascii="Times New Roman" w:hAnsi="Times New Roman"/>
          <w:sz w:val="20"/>
        </w:rPr>
        <w:t xml:space="preserve">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 </w:t>
      </w:r>
    </w:p>
    <w:p>
      <w:pPr>
        <w:pStyle w:val="TextBody"/>
        <w:spacing w:before="180" w:after="0"/>
        <w:rPr>
          <w:rFonts w:ascii="Times New Roman" w:hAnsi="Times New Roman"/>
          <w:sz w:val="20"/>
        </w:rPr>
      </w:pPr>
      <w:r>
        <w:rPr>
          <w:rFonts w:ascii="Times New Roman" w:hAnsi="Times New Roman"/>
          <w:sz w:val="20"/>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270" w:after="0"/>
        <w:rPr>
          <w:rFonts w:ascii="Times New Roman" w:hAnsi="Times New Roman"/>
          <w:b/>
          <w:sz w:val="20"/>
        </w:rPr>
      </w:pPr>
      <w:r>
        <w:rPr>
          <w:rFonts w:ascii="Times New Roman" w:hAnsi="Times New Roman"/>
          <w:b/>
          <w:sz w:val="20"/>
        </w:rPr>
        <w:t xml:space="preserve">Recent Developments </w:t>
      </w:r>
    </w:p>
    <w:p>
      <w:pPr>
        <w:pStyle w:val="TextBody"/>
        <w:spacing w:before="90" w:after="0"/>
        <w:rPr>
          <w:rFonts w:ascii="Times New Roman" w:hAnsi="Times New Roman"/>
          <w:b/>
          <w:i/>
          <w:sz w:val="20"/>
        </w:rPr>
      </w:pPr>
      <w:r>
        <w:rPr>
          <w:rFonts w:ascii="Times New Roman" w:hAnsi="Times New Roman"/>
          <w:b/>
          <w:i/>
          <w:sz w:val="20"/>
        </w:rPr>
        <w:t xml:space="preserve">Two-for-One Unit Split </w:t>
      </w:r>
    </w:p>
    <w:p>
      <w:pPr>
        <w:pStyle w:val="TextBody"/>
        <w:spacing w:before="90" w:after="0"/>
        <w:rPr>
          <w:rFonts w:ascii="Times New Roman" w:hAnsi="Times New Roman"/>
          <w:sz w:val="20"/>
        </w:rPr>
      </w:pPr>
      <w:r>
        <w:rPr>
          <w:rFonts w:ascii="Times New Roman" w:hAnsi="Times New Roman"/>
          <w:sz w:val="20"/>
        </w:rPr>
        <w:t xml:space="preserve">On August 16, 2012, we announced a two-for-one split of our common units. The two-for-one split will be effected on October 1, 2012, by a distribution of one additional common unit for each common unit outstanding and held by unitholders of record at the close of business on September 17, 2012. The effect of the two-for-one split was to double the number of all outstanding units and to reduce by half the minimum quarterly per unit distribution and the targeted distribution levels. The effect of this unit split has been retroactively applied to our relevant per unit information as shown in the tables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005"/>
        <w:gridCol w:w="198"/>
        <w:gridCol w:w="125"/>
        <w:gridCol w:w="590"/>
        <w:gridCol w:w="120"/>
        <w:gridCol w:w="198"/>
        <w:gridCol w:w="125"/>
        <w:gridCol w:w="590"/>
        <w:gridCol w:w="119"/>
        <w:gridCol w:w="198"/>
        <w:gridCol w:w="125"/>
        <w:gridCol w:w="590"/>
        <w:gridCol w:w="120"/>
        <w:gridCol w:w="198"/>
        <w:gridCol w:w="125"/>
        <w:gridCol w:w="590"/>
        <w:gridCol w:w="120"/>
        <w:gridCol w:w="198"/>
        <w:gridCol w:w="124"/>
        <w:gridCol w:w="590"/>
        <w:gridCol w:w="120"/>
        <w:gridCol w:w="198"/>
        <w:gridCol w:w="125"/>
        <w:gridCol w:w="590"/>
        <w:gridCol w:w="124"/>
      </w:tblGrid>
      <w:tr>
        <w:trPr/>
        <w:tc>
          <w:tcPr>
            <w:tcW w:w="400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400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74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March 31,</w:t>
            </w:r>
          </w:p>
        </w:tc>
        <w:tc>
          <w:tcPr>
            <w:tcW w:w="1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74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June 30,</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74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br/>
              <w:t>June 30,</w:t>
            </w:r>
          </w:p>
        </w:tc>
        <w:tc>
          <w:tcPr>
            <w:tcW w:w="124" w:type="dxa"/>
            <w:tcBorders/>
            <w:shd w:fill="auto" w:val="clear"/>
            <w:vAlign w:val="bottom"/>
          </w:tcPr>
          <w:p>
            <w:pPr>
              <w:pStyle w:val="TableContents"/>
              <w:spacing w:before="0" w:after="283"/>
              <w:rPr/>
            </w:pPr>
            <w:r>
              <w:rPr/>
              <w:t> </w:t>
            </w:r>
          </w:p>
        </w:tc>
      </w:tr>
      <w:tr>
        <w:trPr/>
        <w:tc>
          <w:tcPr>
            <w:tcW w:w="400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4" w:type="dxa"/>
            <w:tcBorders/>
            <w:shd w:fill="auto" w:val="clear"/>
            <w:vAlign w:val="bottom"/>
          </w:tcPr>
          <w:p>
            <w:pPr>
              <w:pStyle w:val="TableContents"/>
              <w:spacing w:before="0" w:after="283"/>
              <w:rPr/>
            </w:pPr>
            <w:r>
              <w:rPr/>
              <w:t> </w:t>
            </w:r>
          </w:p>
        </w:tc>
      </w:tr>
      <w:tr>
        <w:trPr/>
        <w:tc>
          <w:tcPr>
            <w:tcW w:w="4005" w:type="dxa"/>
            <w:tcBorders/>
            <w:shd w:fill="CCEEFF" w:val="clear"/>
          </w:tcPr>
          <w:p>
            <w:pPr>
              <w:pStyle w:val="TableContents"/>
              <w:spacing w:before="0" w:after="283"/>
              <w:rPr>
                <w:rFonts w:ascii="Times New Roman" w:hAnsi="Times New Roman"/>
                <w:b/>
                <w:sz w:val="20"/>
              </w:rPr>
            </w:pPr>
            <w:r>
              <w:rPr>
                <w:rFonts w:ascii="Times New Roman" w:hAnsi="Times New Roman"/>
                <w:b/>
                <w:sz w:val="20"/>
              </w:rPr>
              <w:t>Per unit data (giving effect to unit split):</w:t>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4005"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income per limited partner unit</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0.52</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0.45</w:t>
            </w:r>
          </w:p>
        </w:tc>
        <w:tc>
          <w:tcPr>
            <w:tcW w:w="1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0.93</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0.57</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124" w:type="dxa"/>
            <w:tcBorders/>
            <w:shd w:fill="auto" w:val="clear"/>
            <w:vAlign w:val="bottom"/>
          </w:tcPr>
          <w:p>
            <w:pPr>
              <w:pStyle w:val="TableContents"/>
              <w:spacing w:before="0" w:after="283"/>
              <w:rPr/>
            </w:pPr>
            <w:r>
              <w:rPr/>
              <w:t>  </w:t>
            </w:r>
          </w:p>
        </w:tc>
      </w:tr>
      <w:tr>
        <w:trPr/>
        <w:tc>
          <w:tcPr>
            <w:tcW w:w="4005"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income per limited partner unit</w:t>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0.51</w:t>
            </w:r>
          </w:p>
        </w:tc>
        <w:tc>
          <w:tcPr>
            <w:tcW w:w="12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0.45</w:t>
            </w:r>
          </w:p>
        </w:tc>
        <w:tc>
          <w:tcPr>
            <w:tcW w:w="1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0.93</w:t>
            </w:r>
          </w:p>
        </w:tc>
        <w:tc>
          <w:tcPr>
            <w:tcW w:w="12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0.57</w:t>
            </w:r>
          </w:p>
        </w:tc>
        <w:tc>
          <w:tcPr>
            <w:tcW w:w="12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2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124" w:type="dxa"/>
            <w:tcBorders/>
            <w:shd w:fill="CCEEFF" w:val="clear"/>
            <w:vAlign w:val="bottom"/>
          </w:tcPr>
          <w:p>
            <w:pPr>
              <w:pStyle w:val="TableContents"/>
              <w:spacing w:before="0" w:after="283"/>
              <w:rPr/>
            </w:pPr>
            <w:r>
              <w:rPr/>
              <w:t>  </w:t>
            </w:r>
          </w:p>
        </w:tc>
      </w:tr>
      <w:tr>
        <w:trPr/>
        <w:tc>
          <w:tcPr>
            <w:tcW w:w="4005" w:type="dxa"/>
            <w:tcBorders/>
            <w:shd w:fill="auto" w:val="clear"/>
          </w:tcPr>
          <w:p>
            <w:pPr>
              <w:pStyle w:val="TableContents"/>
              <w:spacing w:before="0" w:after="283"/>
              <w:rPr>
                <w:rFonts w:ascii="Times New Roman" w:hAnsi="Times New Roman"/>
                <w:sz w:val="20"/>
              </w:rPr>
            </w:pPr>
            <w:r>
              <w:rPr>
                <w:rFonts w:ascii="Times New Roman" w:hAnsi="Times New Roman"/>
                <w:sz w:val="20"/>
              </w:rPr>
              <w:t>Declared distributions per limited partner unit(1)</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0.5125</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0.4788</w:t>
            </w:r>
          </w:p>
        </w:tc>
        <w:tc>
          <w:tcPr>
            <w:tcW w:w="1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0.5225</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0.4850</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1.0350</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0.9638</w:t>
            </w:r>
          </w:p>
        </w:tc>
        <w:tc>
          <w:tcPr>
            <w:tcW w:w="124"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24"/>
        <w:gridCol w:w="276"/>
        <w:gridCol w:w="125"/>
        <w:gridCol w:w="594"/>
        <w:gridCol w:w="120"/>
        <w:gridCol w:w="276"/>
        <w:gridCol w:w="125"/>
        <w:gridCol w:w="594"/>
        <w:gridCol w:w="120"/>
        <w:gridCol w:w="276"/>
        <w:gridCol w:w="125"/>
        <w:gridCol w:w="593"/>
        <w:gridCol w:w="120"/>
        <w:gridCol w:w="276"/>
        <w:gridCol w:w="125"/>
        <w:gridCol w:w="594"/>
        <w:gridCol w:w="120"/>
        <w:gridCol w:w="276"/>
        <w:gridCol w:w="125"/>
        <w:gridCol w:w="594"/>
        <w:gridCol w:w="127"/>
      </w:tblGrid>
      <w:tr>
        <w:trPr/>
        <w:tc>
          <w:tcPr>
            <w:tcW w:w="462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62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5178"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27" w:type="dxa"/>
            <w:tcBorders/>
            <w:shd w:fill="auto" w:val="clear"/>
            <w:vAlign w:val="bottom"/>
          </w:tcPr>
          <w:p>
            <w:pPr>
              <w:pStyle w:val="TableContents"/>
              <w:spacing w:before="0" w:after="283"/>
              <w:rPr/>
            </w:pPr>
            <w:r>
              <w:rPr/>
              <w:t> </w:t>
            </w:r>
          </w:p>
        </w:tc>
      </w:tr>
      <w:tr>
        <w:trPr/>
        <w:tc>
          <w:tcPr>
            <w:tcW w:w="462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7" w:type="dxa"/>
            <w:tcBorders/>
            <w:shd w:fill="auto" w:val="clear"/>
            <w:vAlign w:val="bottom"/>
          </w:tcPr>
          <w:p>
            <w:pPr>
              <w:pStyle w:val="TableContents"/>
              <w:spacing w:before="0" w:after="283"/>
              <w:rPr/>
            </w:pPr>
            <w:r>
              <w:rPr/>
              <w:t> </w:t>
            </w:r>
          </w:p>
        </w:tc>
      </w:tr>
      <w:tr>
        <w:trPr/>
        <w:tc>
          <w:tcPr>
            <w:tcW w:w="4624" w:type="dxa"/>
            <w:tcBorders/>
            <w:shd w:fill="CCEEFF" w:val="clear"/>
          </w:tcPr>
          <w:p>
            <w:pPr>
              <w:pStyle w:val="TableContents"/>
              <w:spacing w:before="0" w:after="283"/>
              <w:rPr>
                <w:rFonts w:ascii="Times New Roman" w:hAnsi="Times New Roman"/>
                <w:b/>
                <w:sz w:val="20"/>
              </w:rPr>
            </w:pPr>
            <w:r>
              <w:rPr>
                <w:rFonts w:ascii="Times New Roman" w:hAnsi="Times New Roman"/>
                <w:b/>
                <w:sz w:val="20"/>
              </w:rPr>
              <w:t>Per unit data (giving effect to unit split):</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4624"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income per limited partner unit</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7" w:type="dxa"/>
            <w:tcBorders/>
            <w:shd w:fill="auto" w:val="clear"/>
            <w:vAlign w:val="bottom"/>
          </w:tcPr>
          <w:p>
            <w:pPr>
              <w:pStyle w:val="TableContents"/>
              <w:spacing w:before="0" w:after="283"/>
              <w:rPr/>
            </w:pPr>
            <w:r>
              <w:rPr/>
              <w:t>  </w:t>
            </w:r>
          </w:p>
        </w:tc>
      </w:tr>
      <w:tr>
        <w:trPr/>
        <w:tc>
          <w:tcPr>
            <w:tcW w:w="4624"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income per limited partner unit</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7" w:type="dxa"/>
            <w:tcBorders/>
            <w:shd w:fill="CCEEFF" w:val="clear"/>
            <w:vAlign w:val="bottom"/>
          </w:tcPr>
          <w:p>
            <w:pPr>
              <w:pStyle w:val="TableContents"/>
              <w:spacing w:before="0" w:after="283"/>
              <w:rPr/>
            </w:pPr>
            <w:r>
              <w:rPr/>
              <w:t>  </w:t>
            </w:r>
          </w:p>
        </w:tc>
      </w:tr>
      <w:tr>
        <w:trPr/>
        <w:tc>
          <w:tcPr>
            <w:tcW w:w="4624" w:type="dxa"/>
            <w:tcBorders/>
            <w:shd w:fill="auto" w:val="clear"/>
          </w:tcPr>
          <w:p>
            <w:pPr>
              <w:pStyle w:val="TableContents"/>
              <w:spacing w:before="0" w:after="283"/>
              <w:rPr>
                <w:rFonts w:ascii="Times New Roman" w:hAnsi="Times New Roman"/>
                <w:sz w:val="20"/>
              </w:rPr>
            </w:pPr>
            <w:r>
              <w:rPr>
                <w:rFonts w:ascii="Times New Roman" w:hAnsi="Times New Roman"/>
                <w:sz w:val="20"/>
              </w:rPr>
              <w:t>Declared distributions per limited partner unit(1)</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1.9525</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1.8775</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1.8113</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1.7475</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1.6413</w:t>
            </w:r>
          </w:p>
        </w:tc>
        <w:tc>
          <w:tcPr>
            <w:tcW w:w="127" w:type="dxa"/>
            <w:tcBorders/>
            <w:shd w:fill="auto"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general partner is entitled, directly or indirectly, to receive 2% proportional distributions, and also incentive distributions if the amount we distribute with respect to any quarter exceeds levels specified in our partnership agreement. </w:t>
            </w:r>
          </w:p>
        </w:tc>
      </w:tr>
    </w:tbl>
    <w:p>
      <w:pPr>
        <w:pStyle w:val="TextBody"/>
        <w:spacing w:before="270" w:after="0"/>
        <w:rPr>
          <w:rFonts w:ascii="Times New Roman" w:hAnsi="Times New Roman"/>
          <w:b/>
          <w:sz w:val="20"/>
        </w:rPr>
      </w:pPr>
      <w:r>
        <w:rPr>
          <w:rFonts w:ascii="Times New Roman" w:hAnsi="Times New Roman"/>
          <w:b/>
          <w:sz w:val="20"/>
        </w:rPr>
        <w:t xml:space="preserve">Executive Offices </w:t>
      </w:r>
    </w:p>
    <w:p>
      <w:pPr>
        <w:pStyle w:val="TextBody"/>
        <w:spacing w:before="90" w:after="0"/>
        <w:rPr>
          <w:rFonts w:ascii="Times New Roman" w:hAnsi="Times New Roman"/>
          <w:sz w:val="20"/>
        </w:rPr>
      </w:pPr>
      <w:r>
        <w:rPr>
          <w:rFonts w:ascii="Times New Roman" w:hAnsi="Times New Roman"/>
          <w:sz w:val="20"/>
        </w:rPr>
        <w:t xml:space="preserve">Our executive offices are located at 333 Clay Street, Suite 1600, Houston, Texas 77002 and our telephone number is (713) 646-4100. </w:t>
      </w:r>
    </w:p>
    <w:p>
      <w:pPr>
        <w:pStyle w:val="TextBody"/>
        <w:spacing w:before="270" w:after="0"/>
        <w:rPr>
          <w:rFonts w:ascii="Times New Roman" w:hAnsi="Times New Roman"/>
          <w:b/>
          <w:sz w:val="20"/>
        </w:rPr>
      </w:pPr>
      <w:r>
        <w:rPr>
          <w:rFonts w:ascii="Times New Roman" w:hAnsi="Times New Roman"/>
          <w:b/>
          <w:sz w:val="20"/>
        </w:rPr>
        <w:t xml:space="preserve">Additional Information </w:t>
      </w:r>
    </w:p>
    <w:p>
      <w:pPr>
        <w:pStyle w:val="TextBody"/>
        <w:spacing w:before="90" w:after="0"/>
        <w:rPr>
          <w:rFonts w:ascii="Times New Roman" w:hAnsi="Times New Roman"/>
          <w:sz w:val="20"/>
        </w:rPr>
      </w:pPr>
      <w:r>
        <w:rPr>
          <w:rFonts w:ascii="Times New Roman" w:hAnsi="Times New Roman"/>
          <w:sz w:val="20"/>
        </w:rPr>
        <w:t xml:space="preserve">For additional information as to our business, properties and financial condition please refer to the documents cited in Where You Can Find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oc542969_5"/>
      <w:bookmarkEnd w:id="17"/>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toc542969_6"/>
      <w:bookmarkEnd w:id="18"/>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 </w:t>
      </w:r>
    </w:p>
    <w:p>
      <w:pPr>
        <w:pStyle w:val="TextBody"/>
        <w:spacing w:before="180" w:after="0"/>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a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toc542969_7"/>
      <w:bookmarkEnd w:id="19"/>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63"/>
        <w:gridCol w:w="222"/>
        <w:gridCol w:w="60"/>
        <w:gridCol w:w="487"/>
        <w:gridCol w:w="120"/>
        <w:gridCol w:w="222"/>
        <w:gridCol w:w="60"/>
        <w:gridCol w:w="487"/>
        <w:gridCol w:w="120"/>
        <w:gridCol w:w="222"/>
        <w:gridCol w:w="60"/>
        <w:gridCol w:w="487"/>
        <w:gridCol w:w="119"/>
        <w:gridCol w:w="222"/>
        <w:gridCol w:w="60"/>
        <w:gridCol w:w="487"/>
        <w:gridCol w:w="120"/>
        <w:gridCol w:w="222"/>
        <w:gridCol w:w="60"/>
        <w:gridCol w:w="487"/>
        <w:gridCol w:w="120"/>
        <w:gridCol w:w="222"/>
        <w:gridCol w:w="60"/>
        <w:gridCol w:w="487"/>
        <w:gridCol w:w="129"/>
      </w:tblGrid>
      <w:tr>
        <w:trPr/>
        <w:tc>
          <w:tcPr>
            <w:tcW w:w="486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w:t>
              <w:br/>
              <w:t>Months</w:t>
              <w:br/>
              <w:t>Ended</w:t>
              <w:br/>
              <w:t>June 30,</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10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29" w:type="dxa"/>
            <w:tcBorders/>
            <w:shd w:fill="auto"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9" w:type="dxa"/>
            <w:tcBorders/>
            <w:shd w:fill="auto" w:val="clear"/>
            <w:vAlign w:val="bottom"/>
          </w:tcPr>
          <w:p>
            <w:pPr>
              <w:pStyle w:val="TableContents"/>
              <w:spacing w:before="0" w:after="283"/>
              <w:rPr/>
            </w:pPr>
            <w:r>
              <w:rPr/>
              <w:t> </w:t>
            </w:r>
          </w:p>
        </w:tc>
      </w:tr>
      <w:tr>
        <w:trPr/>
        <w:tc>
          <w:tcPr>
            <w:tcW w:w="4863"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 (1)</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2.57x</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2.45x</w:t>
            </w:r>
          </w:p>
        </w:tc>
        <w:tc>
          <w:tcPr>
            <w:tcW w:w="129" w:type="dxa"/>
            <w:tcBorders/>
            <w:shd w:fill="CCEEFF"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hedged inventory purchases of $6 million for the six months ended June 30, 2012 and $20 million, $17 million, $11 million, $21 million and $44 million for the years ended December 31, 2011, 2010, 2009, 2008 and 2007,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toc542969_8"/>
      <w:bookmarkEnd w:id="20"/>
      <w:r>
        <w:rPr>
          <w:rFonts w:ascii="Times New Roman" w:hAnsi="Times New Roman"/>
          <w:b/>
          <w:sz w:val="20"/>
        </w:rPr>
        <w:t xml:space="preserve">Description of Our Debt Securities </w:t>
      </w:r>
    </w:p>
    <w:p>
      <w:pPr>
        <w:pStyle w:val="TextBody"/>
        <w:spacing w:before="27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debt securities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direct general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senior debt securities or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issued under separate indentures (which may be existing indentures) among Plains All American Pipeline, PAA Finance and U.S. Bank National Association, as successor Trustee. </w:t>
            </w:r>
          </w:p>
        </w:tc>
      </w:tr>
    </w:tbl>
    <w:p>
      <w:pPr>
        <w:pStyle w:val="TextBody"/>
        <w:spacing w:before="180" w:after="0"/>
        <w:rPr>
          <w:rFonts w:ascii="Times New Roman" w:hAnsi="Times New Roman"/>
          <w:sz w:val="20"/>
        </w:rPr>
      </w:pPr>
      <w:r>
        <w:rPr>
          <w:rFonts w:ascii="Times New Roman" w:hAnsi="Times New Roman"/>
          <w:sz w:val="20"/>
        </w:rPr>
        <w:t xml:space="preserve">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80" w:after="0"/>
        <w:rPr>
          <w:rFonts w:ascii="Times New Roman" w:hAnsi="Times New Roman"/>
          <w:sz w:val="20"/>
        </w:rPr>
      </w:pPr>
      <w:r>
        <w:rPr>
          <w:rFonts w:ascii="Times New Roman" w:hAnsi="Times New Roman"/>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Specific Terms of Each Series of Debt Securities in the Prospectus Supplement </w:t>
      </w:r>
    </w:p>
    <w:p>
      <w:pPr>
        <w:pStyle w:val="TextBody"/>
        <w:spacing w:before="90" w:after="0"/>
        <w:rPr>
          <w:rFonts w:ascii="Times New Roman" w:hAnsi="Times New Roman"/>
          <w:sz w:val="20"/>
        </w:rPr>
      </w:pPr>
      <w:r>
        <w:rPr>
          <w:rFonts w:ascii="Times New Roman" w:hAnsi="Times New Roman"/>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PAA Finance will be a co-issuer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or subordinated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assets, if any, that are pledged as security for the payment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we will issue the debt securities in individual certificates to each holder in registered form, or in the form of temporary or permanent global securities held by a depository on behalf of 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prices at which we will issue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that will be payable if the maturity of the debt securities is accelerated;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 in which the debt securities will be payable, if not U.S. dollars;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conversion or exchange provisions;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changes to or additional events of default or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w:t>
            </w:r>
          </w:p>
        </w:tc>
      </w:tr>
    </w:tbl>
    <w:p>
      <w:pPr>
        <w:pStyle w:val="TextBody"/>
        <w:spacing w:before="180" w:after="0"/>
        <w:rPr>
          <w:rFonts w:ascii="Times New Roman" w:hAnsi="Times New Roman"/>
          <w:sz w:val="20"/>
        </w:rPr>
      </w:pPr>
      <w:r>
        <w:rPr>
          <w:rFonts w:ascii="Times New Roman" w:hAnsi="Times New Roman"/>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70" w:after="0"/>
        <w:rPr>
          <w:rFonts w:ascii="Times New Roman" w:hAnsi="Times New Roman"/>
          <w:b/>
          <w:sz w:val="20"/>
        </w:rPr>
      </w:pPr>
      <w:r>
        <w:rPr>
          <w:rFonts w:ascii="Times New Roman" w:hAnsi="Times New Roman"/>
          <w:b/>
          <w:sz w:val="20"/>
        </w:rPr>
        <w:t xml:space="preserve">Possible Future Guarantees </w:t>
      </w:r>
    </w:p>
    <w:p>
      <w:pPr>
        <w:pStyle w:val="TextBody"/>
        <w:spacing w:before="90" w:after="0"/>
        <w:rPr>
          <w:rFonts w:ascii="Times New Roman" w:hAnsi="Times New Roman"/>
          <w:sz w:val="20"/>
        </w:rPr>
      </w:pPr>
      <w:r>
        <w:rPr>
          <w:rFonts w:ascii="Times New Roman" w:hAnsi="Times New Roman"/>
          <w:sz w:val="20"/>
        </w:rPr>
        <w:t xml:space="preserve">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 </w:t>
      </w:r>
    </w:p>
    <w:p>
      <w:pPr>
        <w:pStyle w:val="TextBody"/>
        <w:spacing w:before="180" w:after="0"/>
        <w:rPr>
          <w:rFonts w:ascii="Times New Roman" w:hAnsi="Times New Roman"/>
          <w:sz w:val="20"/>
        </w:rPr>
      </w:pPr>
      <w:r>
        <w:rPr>
          <w:rFonts w:ascii="Times New Roman" w:hAnsi="Times New Roman"/>
          <w:sz w:val="20"/>
        </w:rPr>
        <w:t xml:space="preserve">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 </w:t>
      </w:r>
    </w:p>
    <w:p>
      <w:pPr>
        <w:pStyle w:val="TextBody"/>
        <w:spacing w:before="180" w:after="0"/>
        <w:rPr>
          <w:rFonts w:ascii="Times New Roman" w:hAnsi="Times New Roman"/>
          <w:sz w:val="20"/>
        </w:rPr>
      </w:pPr>
      <w:r>
        <w:rPr>
          <w:rFonts w:ascii="Times New Roman" w:hAnsi="Times New Roman"/>
          <w:sz w:val="20"/>
        </w:rPr>
        <w:t xml:space="preserve">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 </w:t>
      </w:r>
    </w:p>
    <w:p>
      <w:pPr>
        <w:pStyle w:val="TextBody"/>
        <w:spacing w:before="270" w:after="0"/>
        <w:rPr>
          <w:rFonts w:ascii="Times New Roman" w:hAnsi="Times New Roman"/>
          <w:b/>
          <w:sz w:val="20"/>
        </w:rPr>
      </w:pPr>
      <w:r>
        <w:rPr>
          <w:rFonts w:ascii="Times New Roman" w:hAnsi="Times New Roman"/>
          <w:b/>
          <w:sz w:val="20"/>
        </w:rPr>
        <w:t xml:space="preserve">Consolidation, Merger or Asset Sale </w:t>
      </w:r>
    </w:p>
    <w:p>
      <w:pPr>
        <w:pStyle w:val="TextBody"/>
        <w:spacing w:before="90" w:after="0"/>
        <w:rPr>
          <w:rFonts w:ascii="Times New Roman" w:hAnsi="Times New Roman"/>
          <w:sz w:val="20"/>
        </w:rPr>
      </w:pPr>
      <w:r>
        <w:rPr>
          <w:rFonts w:ascii="Times New Roman" w:hAnsi="Times New Roman"/>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80" w:after="0"/>
        <w:rPr>
          <w:rFonts w:ascii="Times New Roman" w:hAnsi="Times New Roman"/>
          <w:sz w:val="20"/>
        </w:rPr>
      </w:pPr>
      <w:r>
        <w:rPr>
          <w:rFonts w:ascii="Times New Roman" w:hAnsi="Times New Roman"/>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assume the issuers obligations under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under  Events of Default and Remedies below) may exist.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70" w:after="0"/>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90" w:after="0"/>
        <w:rPr>
          <w:rFonts w:ascii="Times New Roman" w:hAnsi="Times New Roman"/>
          <w:sz w:val="20"/>
        </w:rPr>
      </w:pPr>
      <w:r>
        <w:rPr>
          <w:rFonts w:ascii="Times New Roman" w:hAnsi="Times New Roman"/>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70" w:after="0"/>
        <w:rPr>
          <w:rFonts w:ascii="Times New Roman" w:hAnsi="Times New Roman"/>
          <w:b/>
          <w:sz w:val="20"/>
        </w:rPr>
      </w:pPr>
      <w:r>
        <w:rPr>
          <w:rFonts w:ascii="Times New Roman" w:hAnsi="Times New Roman"/>
          <w:b/>
          <w:sz w:val="20"/>
        </w:rPr>
        <w:t xml:space="preserve">Modification of Indentures </w:t>
      </w:r>
    </w:p>
    <w:p>
      <w:pPr>
        <w:pStyle w:val="TextBody"/>
        <w:spacing w:before="90" w:after="0"/>
        <w:rPr>
          <w:rFonts w:ascii="Times New Roman" w:hAnsi="Times New Roman"/>
          <w:sz w:val="20"/>
        </w:rPr>
      </w:pPr>
      <w:r>
        <w:rPr>
          <w:rFonts w:ascii="Times New Roman" w:hAnsi="Times New Roman"/>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debt securities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provisions with respect to the redemption of the debt securities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under the indenture, release any security that may have been granted with respect to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debt security payable in currency other than that stated in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make any change in the subordination provisions that adversely affects the rights of any holder under those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debt securities to receive payments of principal of or premium, if any, or interest on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debt security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may supplement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of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an issuers or any guarantors obligations to holders of debt securities in the case of a merger or consolidation or disposition of all or substantially all of such issuers or guarantors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Indebtedness of Plains All American Pipeline;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any guarantors pursuant to the terms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and/or any guarantees. </w:t>
            </w:r>
          </w:p>
        </w:tc>
      </w:tr>
    </w:tbl>
    <w:p>
      <w:pPr>
        <w:pStyle w:val="TextBody"/>
        <w:spacing w:before="270" w:after="0"/>
        <w:rPr>
          <w:rFonts w:ascii="Times New Roman" w:hAnsi="Times New Roman"/>
          <w:b/>
          <w:sz w:val="20"/>
        </w:rPr>
      </w:pPr>
      <w:r>
        <w:rPr>
          <w:rFonts w:ascii="Times New Roman" w:hAnsi="Times New Roman"/>
          <w:b/>
          <w:sz w:val="20"/>
        </w:rPr>
        <w:t xml:space="preserve">Events of Default and Remedies </w:t>
      </w:r>
    </w:p>
    <w:p>
      <w:pPr>
        <w:pStyle w:val="TextBody"/>
        <w:spacing w:before="90" w:after="0"/>
        <w:rPr>
          <w:rFonts w:ascii="Times New Roman" w:hAnsi="Times New Roman"/>
          <w:sz w:val="20"/>
        </w:rPr>
      </w:pPr>
      <w:r>
        <w:rPr>
          <w:rFonts w:ascii="Times New Roman" w:hAnsi="Times New Roman"/>
          <w:sz w:val="20"/>
        </w:rPr>
        <w:t xml:space="preserve">Event of Default, when used in an indenture, will mean any of the following with respect to the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the principal of or any premium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within 60 days of the due date, interest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any sinking fund payment with respect to any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on the part of the issuers to comply with the covenant described under  Consolidation, Merger or Asset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other covenant in the indenture that continues for 30 days after written notice is given to the issuers;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an issuer;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Event of Default provided under the terms of the debt securities of that series. </w:t>
            </w:r>
          </w:p>
        </w:tc>
      </w:tr>
    </w:tbl>
    <w:p>
      <w:pPr>
        <w:pStyle w:val="TextBody"/>
        <w:spacing w:before="180" w:after="0"/>
        <w:rPr>
          <w:rFonts w:ascii="Times New Roman" w:hAnsi="Times New Roman"/>
          <w:sz w:val="20"/>
        </w:rPr>
      </w:pPr>
      <w:r>
        <w:rPr>
          <w:rFonts w:ascii="Times New Roman" w:hAnsi="Times New Roman"/>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80" w:after="0"/>
        <w:rPr>
          <w:rFonts w:ascii="Times New Roman" w:hAnsi="Times New Roman"/>
          <w:sz w:val="20"/>
        </w:rPr>
      </w:pPr>
      <w:r>
        <w:rPr>
          <w:rFonts w:ascii="Times New Roman" w:hAnsi="Times New Roman"/>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subject to certain conditions, the holders of a majority in the aggregate principal amount of the debt securities of that series can rescind the declaration. </w:t>
      </w:r>
    </w:p>
    <w:p>
      <w:pPr>
        <w:pStyle w:val="TextBody"/>
        <w:spacing w:before="180" w:after="0"/>
        <w:rPr>
          <w:rFonts w:ascii="Times New Roman" w:hAnsi="Times New Roman"/>
          <w:sz w:val="20"/>
        </w:rPr>
      </w:pPr>
      <w:r>
        <w:rPr>
          <w:rFonts w:ascii="Times New Roman" w:hAnsi="Times New Roman"/>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70" w:after="0"/>
        <w:rPr>
          <w:rFonts w:ascii="Times New Roman" w:hAnsi="Times New Roman"/>
          <w:b/>
          <w:sz w:val="20"/>
        </w:rPr>
      </w:pPr>
      <w:r>
        <w:rPr>
          <w:rFonts w:ascii="Times New Roman" w:hAnsi="Times New Roman"/>
          <w:b/>
          <w:sz w:val="20"/>
        </w:rPr>
        <w:t xml:space="preserve">No Limit on Amount of Debt Securities </w:t>
      </w:r>
    </w:p>
    <w:p>
      <w:pPr>
        <w:pStyle w:val="TextBody"/>
        <w:spacing w:before="90" w:after="0"/>
        <w:rPr>
          <w:rFonts w:ascii="Times New Roman" w:hAnsi="Times New Roman"/>
          <w:sz w:val="20"/>
        </w:rPr>
      </w:pPr>
      <w:r>
        <w:rPr>
          <w:rFonts w:ascii="Times New Roman" w:hAnsi="Times New Roman"/>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70" w:after="0"/>
        <w:rPr>
          <w:rFonts w:ascii="Times New Roman" w:hAnsi="Times New Roman"/>
          <w:b/>
          <w:sz w:val="20"/>
        </w:rPr>
      </w:pPr>
      <w:r>
        <w:rPr>
          <w:rFonts w:ascii="Times New Roman" w:hAnsi="Times New Roman"/>
          <w:b/>
          <w:sz w:val="20"/>
        </w:rPr>
        <w:t xml:space="preserve">Registration of Notes </w:t>
      </w:r>
    </w:p>
    <w:p>
      <w:pPr>
        <w:pStyle w:val="TextBody"/>
        <w:spacing w:before="90" w:after="0"/>
        <w:rPr>
          <w:rFonts w:ascii="Times New Roman" w:hAnsi="Times New Roman"/>
          <w:sz w:val="20"/>
        </w:rPr>
      </w:pPr>
      <w:r>
        <w:rPr>
          <w:rFonts w:ascii="Times New Roman" w:hAnsi="Times New Roman"/>
          <w:sz w:val="20"/>
        </w:rPr>
        <w:t xml:space="preserve">We will issue debt securities of a series only in registered form, without coupons,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Minimum Denominations </w:t>
      </w:r>
    </w:p>
    <w:p>
      <w:pPr>
        <w:pStyle w:val="TextBody"/>
        <w:spacing w:before="90" w:after="0"/>
        <w:rPr>
          <w:rFonts w:ascii="Times New Roman" w:hAnsi="Times New Roman"/>
          <w:sz w:val="20"/>
        </w:rPr>
      </w:pPr>
      <w:r>
        <w:rPr>
          <w:rFonts w:ascii="Times New Roman" w:hAnsi="Times New Roman"/>
          <w:sz w:val="20"/>
        </w:rPr>
        <w:t xml:space="preserve">Unless the prospectus supplement states otherwise, the debt securities will be issued only in principal amounts of $1,000 each or integral multiples of $1,000. </w:t>
      </w:r>
    </w:p>
    <w:p>
      <w:pPr>
        <w:pStyle w:val="TextBody"/>
        <w:spacing w:before="270" w:after="0"/>
        <w:rPr>
          <w:rFonts w:ascii="Times New Roman" w:hAnsi="Times New Roman"/>
          <w:b/>
          <w:sz w:val="20"/>
        </w:rPr>
      </w:pPr>
      <w:r>
        <w:rPr>
          <w:rFonts w:ascii="Times New Roman" w:hAnsi="Times New Roman"/>
          <w:b/>
          <w:sz w:val="20"/>
        </w:rPr>
        <w:t xml:space="preserve">No Personal Liability </w:t>
      </w:r>
    </w:p>
    <w:p>
      <w:pPr>
        <w:pStyle w:val="TextBody"/>
        <w:spacing w:before="90" w:after="0"/>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70" w:after="0"/>
        <w:rPr>
          <w:rFonts w:ascii="Times New Roman" w:hAnsi="Times New Roman"/>
          <w:b/>
          <w:sz w:val="20"/>
        </w:rPr>
      </w:pPr>
      <w:r>
        <w:rPr>
          <w:rFonts w:ascii="Times New Roman" w:hAnsi="Times New Roman"/>
          <w:b/>
          <w:sz w:val="20"/>
        </w:rPr>
        <w:t xml:space="preserve">Payment and Transfer </w:t>
      </w:r>
    </w:p>
    <w:p>
      <w:pPr>
        <w:pStyle w:val="TextBody"/>
        <w:spacing w:before="90" w:after="0"/>
        <w:rPr>
          <w:rFonts w:ascii="Times New Roman" w:hAnsi="Times New Roman"/>
          <w:sz w:val="20"/>
        </w:rPr>
      </w:pPr>
      <w:r>
        <w:rPr>
          <w:rFonts w:ascii="Times New Roman" w:hAnsi="Times New Roman"/>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80" w:after="0"/>
        <w:rPr>
          <w:rFonts w:ascii="Times New Roman" w:hAnsi="Times New Roman"/>
          <w:sz w:val="20"/>
        </w:rPr>
      </w:pPr>
      <w:r>
        <w:rPr>
          <w:rFonts w:ascii="Times New Roman" w:hAnsi="Times New Roman"/>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80" w:after="0"/>
        <w:rPr>
          <w:rFonts w:ascii="Times New Roman" w:hAnsi="Times New Roman"/>
          <w:sz w:val="20"/>
        </w:rPr>
      </w:pPr>
      <w:r>
        <w:rPr>
          <w:rFonts w:ascii="Times New Roman" w:hAnsi="Times New Roman"/>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Exchange, Registration and Transfer </w:t>
      </w:r>
    </w:p>
    <w:p>
      <w:pPr>
        <w:pStyle w:val="TextBody"/>
        <w:spacing w:before="90" w:after="0"/>
        <w:rPr>
          <w:rFonts w:ascii="Times New Roman" w:hAnsi="Times New Roman"/>
          <w:sz w:val="20"/>
        </w:rPr>
      </w:pPr>
      <w:r>
        <w:rPr>
          <w:rFonts w:ascii="Times New Roman" w:hAnsi="Times New Roman"/>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270" w:after="0"/>
        <w:rPr>
          <w:rFonts w:ascii="Times New Roman" w:hAnsi="Times New Roman"/>
          <w:sz w:val="20"/>
        </w:rPr>
      </w:pPr>
      <w:r>
        <w:rPr>
          <w:rFonts w:ascii="Times New Roman" w:hAnsi="Times New Roman"/>
          <w:sz w:val="20"/>
        </w:rPr>
        <w:t xml:space="preserve">We will not be required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register the transfer of or exchange any debt security called for redemption or repurchase, except the unredeemed portion of any debt security we are redeeming or repurchasing in part. </w:t>
            </w:r>
          </w:p>
        </w:tc>
      </w:tr>
    </w:tbl>
    <w:p>
      <w:pPr>
        <w:pStyle w:val="TextBody"/>
        <w:spacing w:before="270" w:after="0"/>
        <w:rPr>
          <w:rFonts w:ascii="Times New Roman" w:hAnsi="Times New Roman"/>
          <w:b/>
          <w:sz w:val="20"/>
        </w:rPr>
      </w:pPr>
      <w:r>
        <w:rPr>
          <w:rFonts w:ascii="Times New Roman" w:hAnsi="Times New Roman"/>
          <w:b/>
          <w:sz w:val="20"/>
        </w:rPr>
        <w:t xml:space="preserve">Provisions Relating only to the Senior Debt Securities </w:t>
      </w:r>
    </w:p>
    <w:p>
      <w:pPr>
        <w:pStyle w:val="TextBody"/>
        <w:spacing w:before="90" w:after="0"/>
        <w:rPr>
          <w:rFonts w:ascii="Times New Roman" w:hAnsi="Times New Roman"/>
          <w:sz w:val="20"/>
        </w:rPr>
      </w:pPr>
      <w:r>
        <w:rPr>
          <w:rFonts w:ascii="Times New Roman" w:hAnsi="Times New Roman"/>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70" w:after="0"/>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spacing w:before="90" w:after="0"/>
        <w:rPr>
          <w:rFonts w:ascii="Times New Roman" w:hAnsi="Times New Roman"/>
          <w:b/>
          <w:i/>
          <w:sz w:val="20"/>
        </w:rPr>
      </w:pPr>
      <w:r>
        <w:rPr>
          <w:rFonts w:ascii="Times New Roman" w:hAnsi="Times New Roman"/>
          <w:b/>
          <w:i/>
          <w:sz w:val="20"/>
        </w:rPr>
        <w:t xml:space="preserve">Subordinated Debt Securities Subordinated to Senior Indebtedness </w:t>
      </w:r>
    </w:p>
    <w:p>
      <w:pPr>
        <w:pStyle w:val="TextBody"/>
        <w:spacing w:before="90" w:after="0"/>
        <w:rPr>
          <w:rFonts w:ascii="Times New Roman" w:hAnsi="Times New Roman"/>
          <w:sz w:val="20"/>
        </w:rPr>
      </w:pPr>
      <w:r>
        <w:rPr>
          <w:rFonts w:ascii="Times New Roman" w:hAnsi="Times New Roman"/>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70" w:after="0"/>
        <w:rPr>
          <w:rFonts w:ascii="Times New Roman" w:hAnsi="Times New Roman"/>
          <w:b/>
          <w:i/>
          <w:sz w:val="20"/>
        </w:rPr>
      </w:pPr>
      <w:r>
        <w:rPr>
          <w:rFonts w:ascii="Times New Roman" w:hAnsi="Times New Roman"/>
          <w:b/>
          <w:i/>
          <w:sz w:val="20"/>
        </w:rPr>
        <w:t xml:space="preserve">Payment Blockages </w:t>
      </w:r>
    </w:p>
    <w:p>
      <w:pPr>
        <w:pStyle w:val="TextBody"/>
        <w:spacing w:before="90" w:after="0"/>
        <w:rPr>
          <w:rFonts w:ascii="Times New Roman" w:hAnsi="Times New Roman"/>
          <w:sz w:val="20"/>
        </w:rPr>
      </w:pPr>
      <w:r>
        <w:rPr>
          <w:rFonts w:ascii="Times New Roman" w:hAnsi="Times New Roman"/>
          <w:sz w:val="20"/>
        </w:rPr>
        <w:t xml:space="preserve">The subordinated indenture will provide that no payment of principal, interest and any premium on the subordinated debt securities may be made in the event: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our property is involved in any voluntary or involuntary liquidation or bankruptcy;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70" w:after="0"/>
        <w:rPr>
          <w:rFonts w:ascii="Times New Roman" w:hAnsi="Times New Roman"/>
          <w:b/>
          <w:i/>
          <w:sz w:val="20"/>
        </w:rPr>
      </w:pPr>
      <w:r>
        <w:rPr>
          <w:rFonts w:ascii="Times New Roman" w:hAnsi="Times New Roman"/>
          <w:b/>
          <w:i/>
          <w:sz w:val="20"/>
        </w:rPr>
        <w:t xml:space="preserve">No Limitation on Amount of Senior Debt </w:t>
      </w:r>
    </w:p>
    <w:p>
      <w:pPr>
        <w:pStyle w:val="TextBody"/>
        <w:spacing w:before="90" w:after="0"/>
        <w:rPr>
          <w:rFonts w:ascii="Times New Roman" w:hAnsi="Times New Roman"/>
          <w:sz w:val="20"/>
        </w:rPr>
      </w:pPr>
      <w:r>
        <w:rPr>
          <w:rFonts w:ascii="Times New Roman" w:hAnsi="Times New Roman"/>
          <w:sz w:val="20"/>
        </w:rPr>
        <w:t xml:space="preserve">The subordinated indenture will not limit the amount of Senior Indebtedness that Plains All American Pipeline may incur, unless otherwise indicated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Book Entry, Delivery and Form </w:t>
      </w:r>
    </w:p>
    <w:p>
      <w:pPr>
        <w:pStyle w:val="TextBody"/>
        <w:spacing w:before="90" w:after="0"/>
        <w:rPr>
          <w:rFonts w:ascii="Times New Roman" w:hAnsi="Times New Roman"/>
          <w:sz w:val="20"/>
        </w:rPr>
      </w:pPr>
      <w:r>
        <w:rPr>
          <w:rFonts w:ascii="Times New Roman" w:hAnsi="Times New Roman"/>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80" w:after="0"/>
        <w:rPr>
          <w:rFonts w:ascii="Times New Roman" w:hAnsi="Times New Roman"/>
          <w:sz w:val="20"/>
        </w:rPr>
      </w:pPr>
      <w:r>
        <w:rPr>
          <w:rFonts w:ascii="Times New Roman" w:hAnsi="Times New Roman"/>
          <w:sz w:val="20"/>
        </w:rPr>
        <w:t xml:space="preserve">Beneficial interests in global debt securities will be shown on, and transfers of global debt securities will be made only through, records maintained by DTC and its participants. </w:t>
      </w:r>
    </w:p>
    <w:p>
      <w:pPr>
        <w:pStyle w:val="TextBody"/>
        <w:spacing w:before="180" w:after="0"/>
        <w:rPr>
          <w:rFonts w:ascii="Times New Roman" w:hAnsi="Times New Roman"/>
          <w:sz w:val="20"/>
        </w:rPr>
      </w:pPr>
      <w:r>
        <w:rPr>
          <w:rFonts w:ascii="Times New Roman" w:hAnsi="Times New Roman"/>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80" w:after="0"/>
        <w:rPr>
          <w:rFonts w:ascii="Times New Roman" w:hAnsi="Times New Roman"/>
          <w:sz w:val="20"/>
        </w:rPr>
      </w:pPr>
      <w:r>
        <w:rPr>
          <w:rFonts w:ascii="Times New Roman" w:hAnsi="Times New Roman"/>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80" w:after="0"/>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Inc. and the Financial Industry Regulatory Authority (FINRA). </w:t>
      </w:r>
    </w:p>
    <w:p>
      <w:pPr>
        <w:pStyle w:val="TextBody"/>
        <w:spacing w:before="180" w:after="0"/>
        <w:rPr>
          <w:rFonts w:ascii="Times New Roman" w:hAnsi="Times New Roman"/>
          <w:sz w:val="20"/>
        </w:rPr>
      </w:pPr>
      <w:r>
        <w:rPr>
          <w:rFonts w:ascii="Times New Roman" w:hAnsi="Times New Roman"/>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80" w:after="0"/>
        <w:rPr>
          <w:rFonts w:ascii="Times New Roman" w:hAnsi="Times New Roman"/>
          <w:sz w:val="20"/>
        </w:rPr>
      </w:pPr>
      <w:r>
        <w:rPr>
          <w:rFonts w:ascii="Times New Roman" w:hAnsi="Times New Roman"/>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80" w:after="0"/>
        <w:rPr>
          <w:rFonts w:ascii="Times New Roman" w:hAnsi="Times New Roman"/>
          <w:sz w:val="20"/>
        </w:rPr>
      </w:pPr>
      <w:r>
        <w:rPr>
          <w:rFonts w:ascii="Times New Roman" w:hAnsi="Times New Roman"/>
          <w:sz w:val="20"/>
        </w:rPr>
        <w:t xml:space="preserve">Debt securities represented by a global debt security will be exchangeable for certificated debt securities with the same terms in authorized denominations only if: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DTC notifies us that it is unwilling or unable to continue as depositary or if DTC ceases to be a clearing agency registered under applicable law and in either event a successor depositary is not appointed by us within 90 days;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determine not to require all of the debt securities of a series to be represented by a global debt security.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Satisfaction and Discharge; Defeasance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180" w:after="0"/>
        <w:rPr>
          <w:rFonts w:ascii="Times New Roman" w:hAnsi="Times New Roman"/>
          <w:sz w:val="20"/>
        </w:rPr>
      </w:pPr>
      <w:r>
        <w:rPr>
          <w:rFonts w:ascii="Times New Roman" w:hAnsi="Times New Roman"/>
          <w:sz w:val="20"/>
        </w:rPr>
        <w:t xml:space="preserve">(a) either: </w:t>
      </w:r>
    </w:p>
    <w:p>
      <w:pPr>
        <w:pStyle w:val="TextBody"/>
        <w:spacing w:before="90" w:after="0"/>
        <w:rPr>
          <w:rFonts w:ascii="Times New Roman" w:hAnsi="Times New Roman"/>
          <w:sz w:val="20"/>
        </w:rPr>
      </w:pPr>
      <w:r>
        <w:rPr>
          <w:rFonts w:ascii="Times New Roman" w:hAnsi="Times New Roman"/>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90" w:after="0"/>
        <w:rPr>
          <w:rFonts w:ascii="Times New Roman" w:hAnsi="Times New Roman"/>
          <w:sz w:val="20"/>
        </w:rPr>
      </w:pPr>
      <w:r>
        <w:rPr>
          <w:rFonts w:ascii="Times New Roman" w:hAnsi="Times New Roman"/>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90" w:after="0"/>
        <w:rPr>
          <w:rFonts w:ascii="Times New Roman" w:hAnsi="Times New Roman"/>
          <w:sz w:val="20"/>
        </w:rPr>
      </w:pPr>
      <w:r>
        <w:rPr>
          <w:rFonts w:ascii="Times New Roman" w:hAnsi="Times New Roman"/>
          <w:sz w:val="20"/>
        </w:rPr>
        <w:t xml:space="preserve">(b) we have paid or caused to be paid all other sums payable by us under the indenture; and </w:t>
      </w:r>
    </w:p>
    <w:p>
      <w:pPr>
        <w:pStyle w:val="TextBody"/>
        <w:spacing w:before="180" w:after="0"/>
        <w:rPr>
          <w:rFonts w:ascii="Times New Roman" w:hAnsi="Times New Roman"/>
          <w:sz w:val="20"/>
        </w:rPr>
      </w:pPr>
      <w:r>
        <w:rPr>
          <w:rFonts w:ascii="Times New Roman" w:hAnsi="Times New Roman"/>
          <w:sz w:val="20"/>
        </w:rPr>
        <w:t xml:space="preserve">(c) we have delivered an officers certificate and an opinion of counsel to the Trustee stating that all conditions precedent to satisfaction and discharge have been satisfied. </w:t>
      </w:r>
    </w:p>
    <w:p>
      <w:pPr>
        <w:pStyle w:val="TextBody"/>
        <w:spacing w:before="180" w:after="0"/>
        <w:rPr>
          <w:rFonts w:ascii="Times New Roman" w:hAnsi="Times New Roman"/>
          <w:sz w:val="20"/>
        </w:rPr>
      </w:pPr>
      <w:r>
        <w:rPr>
          <w:rFonts w:ascii="Times New Roman" w:hAnsi="Times New Roman"/>
          <w:sz w:val="20"/>
        </w:rPr>
        <w:t xml:space="preserve">The debt securities of a particular series will be subject to legal or covenant defeasance to the extent, and upon the terms and conditions, set forth in the prospectus supplement.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70" w:after="0"/>
        <w:rPr>
          <w:rFonts w:ascii="Times New Roman" w:hAnsi="Times New Roman"/>
          <w:b/>
          <w:i/>
          <w:sz w:val="20"/>
        </w:rPr>
      </w:pPr>
      <w:r>
        <w:rPr>
          <w:rFonts w:ascii="Times New Roman" w:hAnsi="Times New Roman"/>
          <w:b/>
          <w:i/>
          <w:sz w:val="20"/>
        </w:rPr>
        <w:t xml:space="preserve">Resignation or Removal of Trustee </w:t>
      </w:r>
    </w:p>
    <w:p>
      <w:pPr>
        <w:pStyle w:val="TextBody"/>
        <w:spacing w:before="90" w:after="0"/>
        <w:rPr>
          <w:rFonts w:ascii="Times New Roman" w:hAnsi="Times New Roman"/>
          <w:sz w:val="20"/>
        </w:rPr>
      </w:pPr>
      <w:r>
        <w:rPr>
          <w:rFonts w:ascii="Times New Roman" w:hAnsi="Times New Roman"/>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80" w:after="0"/>
        <w:rPr>
          <w:rFonts w:ascii="Times New Roman" w:hAnsi="Times New Roman"/>
          <w:sz w:val="20"/>
        </w:rPr>
      </w:pPr>
      <w:r>
        <w:rPr>
          <w:rFonts w:ascii="Times New Roman" w:hAnsi="Times New Roman"/>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270" w:after="0"/>
        <w:rPr>
          <w:rFonts w:ascii="Times New Roman" w:hAnsi="Times New Roman"/>
          <w:b/>
          <w:i/>
          <w:sz w:val="20"/>
        </w:rPr>
      </w:pPr>
      <w:r>
        <w:rPr>
          <w:rFonts w:ascii="Times New Roman" w:hAnsi="Times New Roman"/>
          <w:b/>
          <w:i/>
          <w:sz w:val="20"/>
        </w:rPr>
        <w:t xml:space="preserve">Limitations on Trustee if it is a Creditor </w:t>
      </w:r>
    </w:p>
    <w:p>
      <w:pPr>
        <w:pStyle w:val="TextBody"/>
        <w:spacing w:before="90" w:after="0"/>
        <w:rPr>
          <w:rFonts w:ascii="Times New Roman" w:hAnsi="Times New Roman"/>
          <w:sz w:val="20"/>
        </w:rPr>
      </w:pPr>
      <w:r>
        <w:rPr>
          <w:rFonts w:ascii="Times New Roman" w:hAnsi="Times New Roman"/>
          <w:sz w:val="20"/>
        </w:rPr>
        <w:t xml:space="preserve">Each indenture will limit the right of the Trustee thereunder, in the event that it becomes a creditor of an issuer or any guarantor, to obtain payment of claims in certain cases, or to realize on certain property received in respect of any such claim as security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Certificates and Opinions to be Furnished to Trustee </w:t>
      </w:r>
    </w:p>
    <w:p>
      <w:pPr>
        <w:pStyle w:val="TextBody"/>
        <w:spacing w:before="90" w:after="0"/>
        <w:rPr>
          <w:rFonts w:ascii="Times New Roman" w:hAnsi="Times New Roman"/>
          <w:sz w:val="20"/>
        </w:rPr>
      </w:pPr>
      <w:r>
        <w:rPr>
          <w:rFonts w:ascii="Times New Roman" w:hAnsi="Times New Roman"/>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Each indenture and all of the debt securities will be governed by the laws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toc542969_9"/>
      <w:bookmarkEnd w:id="21"/>
      <w:r>
        <w:rPr>
          <w:rFonts w:ascii="Times New Roman" w:hAnsi="Times New Roman"/>
          <w:b/>
          <w:sz w:val="20"/>
        </w:rPr>
        <w:t xml:space="preserve">Description of Our Common Units </w:t>
      </w:r>
    </w:p>
    <w:p>
      <w:pPr>
        <w:pStyle w:val="TextBody"/>
        <w:spacing w:before="180" w:after="0"/>
        <w:rPr>
          <w:rFonts w:ascii="Times New Roman" w:hAnsi="Times New Roman"/>
          <w:sz w:val="20"/>
        </w:rPr>
      </w:pPr>
      <w:r>
        <w:rPr>
          <w:rFonts w:ascii="Times New Roman" w:hAnsi="Times New Roman"/>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80" w:after="0"/>
        <w:rPr>
          <w:rFonts w:ascii="Times New Roman" w:hAnsi="Times New Roman"/>
          <w:sz w:val="20"/>
        </w:rPr>
      </w:pPr>
      <w:r>
        <w:rPr>
          <w:rFonts w:ascii="Times New Roman" w:hAnsi="Times New Roman"/>
          <w:sz w:val="20"/>
        </w:rPr>
        <w:t xml:space="preserve">Our outstanding common units are listed on the NYSE under the symbol PAA. Any additional common units we issue will also be listed on the NYSE. </w:t>
      </w:r>
    </w:p>
    <w:p>
      <w:pPr>
        <w:pStyle w:val="TextBody"/>
        <w:spacing w:before="180" w:after="0"/>
        <w:rPr>
          <w:rFonts w:ascii="Times New Roman" w:hAnsi="Times New Roman"/>
          <w:sz w:val="20"/>
        </w:rPr>
      </w:pPr>
      <w:r>
        <w:rPr>
          <w:rFonts w:ascii="Times New Roman" w:hAnsi="Times New Roman"/>
          <w:sz w:val="20"/>
        </w:rPr>
        <w:t xml:space="preserve">The transfer agent and registrar for our common units is American Stock Transfer &amp; Trust Company. </w:t>
      </w:r>
    </w:p>
    <w:p>
      <w:pPr>
        <w:pStyle w:val="TextBody"/>
        <w:spacing w:before="270" w:after="0"/>
        <w:rPr>
          <w:rFonts w:ascii="Times New Roman" w:hAnsi="Times New Roman"/>
          <w:b/>
          <w:sz w:val="20"/>
        </w:rPr>
      </w:pPr>
      <w:r>
        <w:rPr>
          <w:rFonts w:ascii="Times New Roman" w:hAnsi="Times New Roman"/>
          <w:b/>
          <w:sz w:val="20"/>
        </w:rPr>
        <w:t xml:space="preserve">Meetings/Voting </w:t>
      </w:r>
    </w:p>
    <w:p>
      <w:pPr>
        <w:pStyle w:val="TextBody"/>
        <w:spacing w:before="90" w:after="0"/>
        <w:rPr>
          <w:rFonts w:ascii="Times New Roman" w:hAnsi="Times New Roman"/>
          <w:sz w:val="20"/>
        </w:rPr>
      </w:pPr>
      <w:r>
        <w:rPr>
          <w:rFonts w:ascii="Times New Roman" w:hAnsi="Times New Roman"/>
          <w:sz w:val="20"/>
        </w:rPr>
        <w:t xml:space="preserve">Each holder of common units is entitled to one vote for each common unit on all matters submitted to a vote of the unitholders. </w:t>
      </w:r>
    </w:p>
    <w:p>
      <w:pPr>
        <w:pStyle w:val="TextBody"/>
        <w:spacing w:before="270" w:after="0"/>
        <w:rPr>
          <w:rFonts w:ascii="Times New Roman" w:hAnsi="Times New Roman"/>
          <w:b/>
          <w:sz w:val="20"/>
        </w:rPr>
      </w:pPr>
      <w:r>
        <w:rPr>
          <w:rFonts w:ascii="Times New Roman" w:hAnsi="Times New Roman"/>
          <w:b/>
          <w:sz w:val="20"/>
        </w:rPr>
        <w:t xml:space="preserve">Status as Limited Partner or Assignee </w:t>
      </w:r>
    </w:p>
    <w:p>
      <w:pPr>
        <w:pStyle w:val="TextBody"/>
        <w:spacing w:before="90" w:after="0"/>
        <w:rPr>
          <w:rFonts w:ascii="Times New Roman" w:hAnsi="Times New Roman"/>
          <w:sz w:val="20"/>
        </w:rPr>
      </w:pPr>
      <w:r>
        <w:rPr>
          <w:rFonts w:ascii="Times New Roman" w:hAnsi="Times New Roman"/>
          <w:sz w:val="20"/>
        </w:rPr>
        <w:t xml:space="preserve">Except as described below under  Limited Liability, the common units will be fully paid, and unitholders will not be required to make additional capital contributions to us. </w:t>
      </w:r>
    </w:p>
    <w:p>
      <w:pPr>
        <w:pStyle w:val="TextBody"/>
        <w:spacing w:before="180" w:after="0"/>
        <w:rPr>
          <w:rFonts w:ascii="Times New Roman" w:hAnsi="Times New Roman"/>
          <w:sz w:val="20"/>
        </w:rPr>
      </w:pPr>
      <w:r>
        <w:rPr>
          <w:rFonts w:ascii="Times New Roman" w:hAnsi="Times New Roman"/>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80" w:after="0"/>
        <w:rPr>
          <w:rFonts w:ascii="Times New Roman" w:hAnsi="Times New Roman"/>
          <w:sz w:val="20"/>
        </w:rPr>
      </w:pPr>
      <w:r>
        <w:rPr>
          <w:rFonts w:ascii="Times New Roman" w:hAnsi="Times New Roman"/>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70" w:after="0"/>
        <w:rPr>
          <w:rFonts w:ascii="Times New Roman" w:hAnsi="Times New Roman"/>
          <w:b/>
          <w:sz w:val="20"/>
        </w:rPr>
      </w:pPr>
      <w:r>
        <w:rPr>
          <w:rFonts w:ascii="Times New Roman" w:hAnsi="Times New Roman"/>
          <w:b/>
          <w:sz w:val="20"/>
        </w:rPr>
        <w:t xml:space="preserve">Limited Liability </w:t>
      </w:r>
    </w:p>
    <w:p>
      <w:pPr>
        <w:pStyle w:val="TextBody"/>
        <w:spacing w:before="90" w:after="0"/>
        <w:rPr>
          <w:rFonts w:ascii="Times New Roman" w:hAnsi="Times New Roman"/>
          <w:sz w:val="20"/>
        </w:rPr>
      </w:pPr>
      <w:r>
        <w:rPr>
          <w:rFonts w:ascii="Times New Roman" w:hAnsi="Times New Roman"/>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80" w:after="0"/>
        <w:rPr>
          <w:rFonts w:ascii="Times New Roman" w:hAnsi="Times New Roman"/>
          <w:sz w:val="20"/>
        </w:rPr>
      </w:pPr>
      <w:r>
        <w:rPr>
          <w:rFonts w:ascii="Times New Roman" w:hAnsi="Times New Roman"/>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Reports and Records </w:t>
      </w:r>
    </w:p>
    <w:p>
      <w:pPr>
        <w:pStyle w:val="TextBody"/>
        <w:spacing w:before="90" w:after="0"/>
        <w:rPr>
          <w:rFonts w:ascii="Times New Roman" w:hAnsi="Times New Roman"/>
          <w:sz w:val="20"/>
        </w:rPr>
      </w:pPr>
      <w:r>
        <w:rPr>
          <w:rFonts w:ascii="Times New Roman" w:hAnsi="Times New Roman"/>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80" w:after="0"/>
        <w:rPr>
          <w:rFonts w:ascii="Times New Roman" w:hAnsi="Times New Roman"/>
          <w:sz w:val="20"/>
        </w:rPr>
      </w:pPr>
      <w:r>
        <w:rPr>
          <w:rFonts w:ascii="Times New Roman" w:hAnsi="Times New Roman"/>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80" w:after="0"/>
        <w:rPr>
          <w:rFonts w:ascii="Times New Roman" w:hAnsi="Times New Roman"/>
          <w:sz w:val="20"/>
        </w:rPr>
      </w:pPr>
      <w:r>
        <w:rPr>
          <w:rFonts w:ascii="Times New Roman" w:hAnsi="Times New Roman"/>
          <w:sz w:val="20"/>
        </w:rPr>
        <w:t xml:space="preserve">A limited partner can, for a purpose reasonably related to the limited partners interest as a limited partner, upon reasonable demand and at his own expense, have furnished to him: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current list of the name and last known address of each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our tax returns;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as to the amount of cash and a description and statement of the agreed value of any other property or services, contributed or to be contributed by each partner and the date on which each became a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copies of our partnership agreement, our certificate of limited partnership, amendments to either of them and powers of attorney which have been executed under our partnership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regarding the status of our business and financial condition;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regarding our affairs as is just and reasonable. </w:t>
            </w:r>
          </w:p>
        </w:tc>
      </w:tr>
    </w:tbl>
    <w:p>
      <w:pPr>
        <w:pStyle w:val="TextBody"/>
        <w:spacing w:before="180" w:after="0"/>
        <w:rPr>
          <w:rFonts w:ascii="Times New Roman" w:hAnsi="Times New Roman"/>
          <w:sz w:val="20"/>
        </w:rPr>
      </w:pPr>
      <w:r>
        <w:rPr>
          <w:rFonts w:ascii="Times New Roman" w:hAnsi="Times New Roman"/>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toc542969_10"/>
      <w:bookmarkEnd w:id="22"/>
      <w:r>
        <w:rPr>
          <w:rFonts w:ascii="Times New Roman" w:hAnsi="Times New Roman"/>
          <w:b/>
          <w:sz w:val="20"/>
        </w:rPr>
        <w:t xml:space="preserve">Cash Distribution Policy </w:t>
      </w:r>
    </w:p>
    <w:p>
      <w:pPr>
        <w:pStyle w:val="TextBody"/>
        <w:spacing w:before="270" w:after="0"/>
        <w:rPr>
          <w:rFonts w:ascii="Times New Roman" w:hAnsi="Times New Roman"/>
          <w:b/>
          <w:sz w:val="20"/>
        </w:rPr>
      </w:pPr>
      <w:r>
        <w:rPr>
          <w:rFonts w:ascii="Times New Roman" w:hAnsi="Times New Roman"/>
          <w:b/>
          <w:sz w:val="20"/>
        </w:rPr>
        <w:t xml:space="preserve">Distributions of Available Cash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will distribute to our unitholders, on a quarterly basis, all of our available cash in the manner described below. </w:t>
      </w:r>
    </w:p>
    <w:p>
      <w:pPr>
        <w:pStyle w:val="TextBody"/>
        <w:spacing w:before="180" w:after="0"/>
        <w:rPr>
          <w:rFonts w:ascii="Times New Roman" w:hAnsi="Times New Roman"/>
          <w:sz w:val="20"/>
        </w:rPr>
      </w:pPr>
      <w:r>
        <w:rPr>
          <w:rFonts w:ascii="Times New Roman" w:hAnsi="Times New Roman"/>
          <w:i/>
          <w:sz w:val="20"/>
        </w:rPr>
        <w:t>Definition of Available Cash</w:t>
      </w:r>
      <w:r>
        <w:rPr>
          <w:rFonts w:ascii="Times New Roman" w:hAnsi="Times New Roman"/>
          <w:sz w:val="20"/>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for the proper conduct of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applicable law or any partnership debt instrument or other agreement;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funds for distributions to unitholders and the general partner in respect of any one or more of the next four quarters. </w:t>
            </w:r>
          </w:p>
        </w:tc>
      </w:tr>
    </w:tbl>
    <w:p>
      <w:pPr>
        <w:pStyle w:val="TextBody"/>
        <w:spacing w:before="270" w:after="0"/>
        <w:rPr>
          <w:rFonts w:ascii="Times New Roman" w:hAnsi="Times New Roman"/>
          <w:b/>
          <w:sz w:val="20"/>
        </w:rPr>
      </w:pPr>
      <w:r>
        <w:rPr>
          <w:rFonts w:ascii="Times New Roman" w:hAnsi="Times New Roman"/>
          <w:b/>
          <w:sz w:val="20"/>
        </w:rPr>
        <w:t xml:space="preserve">Operating Surplus and Capital Surplus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80" w:after="0"/>
        <w:rPr>
          <w:rFonts w:ascii="Times New Roman" w:hAnsi="Times New Roman"/>
          <w:sz w:val="20"/>
        </w:rPr>
      </w:pPr>
      <w:r>
        <w:rPr>
          <w:rFonts w:ascii="Times New Roman" w:hAnsi="Times New Roman"/>
          <w:i/>
          <w:sz w:val="20"/>
        </w:rPr>
        <w:t>Definition of Operating Surplus</w:t>
      </w:r>
      <w:r>
        <w:rPr>
          <w:rFonts w:ascii="Times New Roman" w:hAnsi="Times New Roman"/>
          <w:sz w:val="20"/>
        </w:rPr>
        <w:t xml:space="preserve">.  Operating surplus refers generally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cash balances on the closing date of our initial public offering;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million;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cash receipts from operations, excluding cash that is capital surplus; 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80" w:after="0"/>
        <w:rPr>
          <w:rFonts w:ascii="Times New Roman" w:hAnsi="Times New Roman"/>
          <w:sz w:val="20"/>
        </w:rPr>
      </w:pPr>
      <w:r>
        <w:rPr>
          <w:rFonts w:ascii="Times New Roman" w:hAnsi="Times New Roman"/>
          <w:i/>
          <w:sz w:val="20"/>
        </w:rPr>
        <w:t>Definition of Capital Surplus</w:t>
      </w:r>
      <w:r>
        <w:rPr>
          <w:rFonts w:ascii="Times New Roman" w:hAnsi="Times New Roman"/>
          <w:sz w:val="20"/>
        </w:rPr>
        <w:t xml:space="preserve">.  Capital surplus will generally be generated only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debt and equity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80" w:after="0"/>
        <w:rPr>
          <w:rFonts w:ascii="Times New Roman" w:hAnsi="Times New Roman"/>
          <w:sz w:val="20"/>
        </w:rPr>
      </w:pPr>
      <w:r>
        <w:rPr>
          <w:rFonts w:ascii="Times New Roman" w:hAnsi="Times New Roman"/>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The incentive distribution rights represent the right to receive an increasing percentage of quarterly distributions of available cash from operating surplus after the minimum quarterly distribution and the target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pacing w:before="270" w:after="0"/>
        <w:rPr>
          <w:rFonts w:ascii="Times New Roman" w:hAnsi="Times New Roman"/>
          <w:b/>
          <w:sz w:val="20"/>
        </w:rPr>
      </w:pPr>
      <w:r>
        <w:rPr>
          <w:rFonts w:ascii="Times New Roman" w:hAnsi="Times New Roman"/>
          <w:b/>
          <w:sz w:val="20"/>
        </w:rPr>
        <w:t xml:space="preserve">Effect of Issuance of Additional Units </w:t>
      </w:r>
    </w:p>
    <w:p>
      <w:pPr>
        <w:pStyle w:val="TextBody"/>
        <w:spacing w:before="90" w:after="0"/>
        <w:rPr>
          <w:rFonts w:ascii="Times New Roman" w:hAnsi="Times New Roman"/>
          <w:sz w:val="20"/>
        </w:rPr>
      </w:pPr>
      <w:r>
        <w:rPr>
          <w:rFonts w:ascii="Times New Roman" w:hAnsi="Times New Roman"/>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80" w:after="0"/>
        <w:rPr>
          <w:rFonts w:ascii="Times New Roman" w:hAnsi="Times New Roman"/>
          <w:sz w:val="20"/>
        </w:rPr>
      </w:pPr>
      <w:r>
        <w:rPr>
          <w:rFonts w:ascii="Times New Roman" w:hAnsi="Times New Roman"/>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70" w:after="0"/>
        <w:rPr>
          <w:rFonts w:ascii="Times New Roman" w:hAnsi="Times New Roman"/>
          <w:b/>
          <w:sz w:val="20"/>
        </w:rPr>
      </w:pPr>
      <w:r>
        <w:rPr>
          <w:rFonts w:ascii="Times New Roman" w:hAnsi="Times New Roman"/>
          <w:b/>
          <w:sz w:val="20"/>
        </w:rPr>
        <w:t xml:space="preserve">Quarterly Distributions of Available Cash </w:t>
      </w:r>
    </w:p>
    <w:p>
      <w:pPr>
        <w:pStyle w:val="TextBody"/>
        <w:spacing w:before="90" w:after="0"/>
        <w:rPr>
          <w:rFonts w:ascii="Times New Roman" w:hAnsi="Times New Roman"/>
          <w:sz w:val="20"/>
        </w:rPr>
      </w:pPr>
      <w:r>
        <w:rPr>
          <w:rFonts w:ascii="Times New Roman" w:hAnsi="Times New Roman"/>
          <w:sz w:val="20"/>
        </w:rPr>
        <w:t xml:space="preserve">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70" w:after="0"/>
        <w:rPr>
          <w:rFonts w:ascii="Times New Roman" w:hAnsi="Times New Roman"/>
          <w:b/>
          <w:sz w:val="20"/>
        </w:rPr>
      </w:pPr>
      <w:r>
        <w:rPr>
          <w:rFonts w:ascii="Times New Roman" w:hAnsi="Times New Roman"/>
          <w:b/>
          <w:sz w:val="20"/>
        </w:rPr>
        <w:t xml:space="preserve">Distributions From Operating Surplus </w:t>
      </w:r>
    </w:p>
    <w:p>
      <w:pPr>
        <w:pStyle w:val="TextBody"/>
        <w:spacing w:before="90" w:after="0"/>
        <w:rPr>
          <w:rFonts w:ascii="Times New Roman" w:hAnsi="Times New Roman"/>
          <w:sz w:val="20"/>
        </w:rPr>
      </w:pPr>
      <w:r>
        <w:rPr>
          <w:rFonts w:ascii="Times New Roman" w:hAnsi="Times New Roman"/>
          <w:sz w:val="20"/>
        </w:rPr>
        <w:t xml:space="preserve">We will make distributions of available cash from operating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98% to all unitholders, pro rata, and 2% to the general partner, until we distribute for each unit an amount equal to the minimum quarterly distribution for that quarter;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Thereafter</w:t>
            </w:r>
            <w:r>
              <w:rPr>
                <w:rFonts w:ascii="Times New Roman" w:hAnsi="Times New Roman"/>
                <w:sz w:val="20"/>
              </w:rPr>
              <w:t xml:space="preserve">, in the manner described in  Incentive Distribution Rights below. </w:t>
            </w:r>
          </w:p>
        </w:tc>
      </w:tr>
    </w:tbl>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85% to all unitholders, pro rata, and 15% to the general partner, until each unitholder receives a total of $0.495 for that quarter for each outstanding unit (the first target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75% to all unitholders, pro rata, and 25% to the general partner, until each unitholder receives a total of $0.675 for that quarter for each outstanding unit (the second target distribution);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Thereafter</w:t>
            </w:r>
            <w:r>
              <w:rPr>
                <w:rFonts w:ascii="Times New Roman" w:hAnsi="Times New Roman"/>
                <w:sz w:val="20"/>
              </w:rPr>
              <w:t xml:space="preserve">, 50% to all unitholders, pro rata, and 50% to the general partner. </w:t>
            </w:r>
          </w:p>
        </w:tc>
      </w:tr>
    </w:tbl>
    <w:p>
      <w:pPr>
        <w:pStyle w:val="TextBody"/>
        <w:spacing w:before="180" w:after="0"/>
        <w:rPr>
          <w:rFonts w:ascii="Times New Roman" w:hAnsi="Times New Roman"/>
          <w:sz w:val="20"/>
        </w:rPr>
      </w:pPr>
      <w:r>
        <w:rPr>
          <w:rFonts w:ascii="Times New Roman" w:hAnsi="Times New Roman"/>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Adjustments to Incentive Distribution Rights </w:t>
      </w:r>
    </w:p>
    <w:p>
      <w:pPr>
        <w:pStyle w:val="TextBody"/>
        <w:spacing w:before="90" w:after="0"/>
        <w:rPr>
          <w:rFonts w:ascii="Times New Roman" w:hAnsi="Times New Roman"/>
          <w:sz w:val="20"/>
        </w:rPr>
      </w:pPr>
      <w:r>
        <w:rPr>
          <w:rFonts w:ascii="Times New Roman" w:hAnsi="Times New Roman"/>
          <w:sz w:val="20"/>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180" w:after="0"/>
        <w:rPr>
          <w:rFonts w:ascii="Times New Roman" w:hAnsi="Times New Roman"/>
          <w:sz w:val="20"/>
        </w:rPr>
      </w:pPr>
      <w:r>
        <w:rPr>
          <w:rFonts w:ascii="Times New Roman" w:hAnsi="Times New Roman"/>
          <w:sz w:val="20"/>
        </w:rPr>
        <w:t xml:space="preserve">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 </w:t>
      </w:r>
    </w:p>
    <w:p>
      <w:pPr>
        <w:pStyle w:val="TextBody"/>
        <w:spacing w:before="270" w:after="0"/>
        <w:rPr>
          <w:rFonts w:ascii="Times New Roman" w:hAnsi="Times New Roman"/>
          <w:b/>
          <w:sz w:val="20"/>
        </w:rPr>
      </w:pPr>
      <w:r>
        <w:rPr>
          <w:rFonts w:ascii="Times New Roman" w:hAnsi="Times New Roman"/>
          <w:b/>
          <w:sz w:val="20"/>
        </w:rPr>
        <w:t xml:space="preserve">Distributions from Capital Surplus </w:t>
      </w:r>
    </w:p>
    <w:p>
      <w:pPr>
        <w:pStyle w:val="TextBody"/>
        <w:spacing w:before="90" w:after="0"/>
        <w:rPr>
          <w:rFonts w:ascii="Times New Roman" w:hAnsi="Times New Roman"/>
          <w:sz w:val="20"/>
        </w:rPr>
      </w:pPr>
      <w:r>
        <w:rPr>
          <w:rFonts w:ascii="Times New Roman" w:hAnsi="Times New Roman"/>
          <w:i/>
          <w:sz w:val="20"/>
        </w:rPr>
        <w:t>How Distributions from Capital Surplus Will Be Made</w:t>
      </w:r>
      <w:r>
        <w:rPr>
          <w:rFonts w:ascii="Times New Roman" w:hAnsi="Times New Roman"/>
          <w:sz w:val="20"/>
        </w:rPr>
        <w:t xml:space="preserve">.  We will make distributions of available cash from capital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98% to all unitholders, pro rata, and 2% to the general partner, until we distribute, for each common unit issued in this offering, available cash from capital surplus in an aggregate amount per common unit equal to the initial public offering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Thereafter</w:t>
            </w:r>
            <w:r>
              <w:rPr>
                <w:rFonts w:ascii="Times New Roman" w:hAnsi="Times New Roman"/>
                <w:sz w:val="20"/>
              </w:rPr>
              <w:t xml:space="preserve">, we will make all distributions of available cash from capital surplus as if they were from operating surplus. </w:t>
            </w:r>
          </w:p>
        </w:tc>
      </w:tr>
    </w:tbl>
    <w:p>
      <w:pPr>
        <w:pStyle w:val="TextBody"/>
        <w:spacing w:before="180" w:after="0"/>
        <w:rPr>
          <w:rFonts w:ascii="Times New Roman" w:hAnsi="Times New Roman"/>
          <w:sz w:val="20"/>
        </w:rPr>
      </w:pPr>
      <w:r>
        <w:rPr>
          <w:rFonts w:ascii="Times New Roman" w:hAnsi="Times New Roman"/>
          <w:i/>
          <w:sz w:val="20"/>
        </w:rPr>
        <w:t>Effect of a Distribution from Capital Surplus</w:t>
      </w:r>
      <w:r>
        <w:rPr>
          <w:rFonts w:ascii="Times New Roman" w:hAnsi="Times New Roman"/>
          <w:sz w:val="20"/>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80" w:after="0"/>
        <w:rPr>
          <w:rFonts w:ascii="Times New Roman" w:hAnsi="Times New Roman"/>
          <w:sz w:val="20"/>
        </w:rPr>
      </w:pPr>
      <w:r>
        <w:rPr>
          <w:rFonts w:ascii="Times New Roman" w:hAnsi="Times New Roman"/>
          <w:i/>
          <w:sz w:val="20"/>
        </w:rPr>
        <w:t>When Payback Occurs</w:t>
      </w:r>
      <w:r>
        <w:rPr>
          <w:rFonts w:ascii="Times New Roman" w:hAnsi="Times New Roman"/>
          <w:sz w:val="20"/>
        </w:rPr>
        <w:t xml:space="preserve">.  When payback of the reduced initial unit price has occurred, i.e., when the unrecovered capital of the common units is zero, then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and the target distribution levels will be reduced to zero for subsequent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distributions of available cash will be treated as operating surplus;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will be entitled to receive 50% of distributions of available cash in its capacities as general partner and as holder of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Distributions of available cash from capital surplus will not reduce the minimum quarterly distribution or target distribution levels for the quarter in which they are distributed. </w:t>
      </w:r>
    </w:p>
    <w:p>
      <w:pPr>
        <w:pStyle w:val="TextBody"/>
        <w:spacing w:before="270" w:after="0"/>
        <w:rPr>
          <w:rFonts w:ascii="Times New Roman" w:hAnsi="Times New Roman"/>
          <w:b/>
          <w:sz w:val="20"/>
        </w:rPr>
      </w:pPr>
      <w:r>
        <w:rPr>
          <w:rFonts w:ascii="Times New Roman" w:hAnsi="Times New Roman"/>
          <w:b/>
          <w:sz w:val="20"/>
        </w:rPr>
        <w:t xml:space="preserve">Adjustment to the Minimum Quarterly Distribution and Target Distribution Levels </w:t>
      </w:r>
    </w:p>
    <w:p>
      <w:pPr>
        <w:pStyle w:val="TextBody"/>
        <w:spacing w:before="90" w:after="0"/>
        <w:rPr>
          <w:rFonts w:ascii="Times New Roman" w:hAnsi="Times New Roman"/>
          <w:sz w:val="20"/>
        </w:rPr>
      </w:pPr>
      <w:r>
        <w:rPr>
          <w:rFonts w:ascii="Times New Roman" w:hAnsi="Times New Roman"/>
          <w:i/>
          <w:sz w:val="20"/>
        </w:rPr>
        <w:t>How We Adjust the Minimum Quarterly Distribution and Target Distribution Levels</w:t>
      </w:r>
      <w:r>
        <w:rPr>
          <w:rFonts w:ascii="Times New Roman" w:hAnsi="Times New Roman"/>
          <w:sz w:val="20"/>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target distribution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unrecovered capital;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amounts calculated on a per unit basis.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80" w:after="0"/>
        <w:rPr>
          <w:rFonts w:ascii="Times New Roman" w:hAnsi="Times New Roman"/>
          <w:sz w:val="20"/>
        </w:rPr>
      </w:pPr>
      <w:r>
        <w:rPr>
          <w:rFonts w:ascii="Times New Roman" w:hAnsi="Times New Roman"/>
          <w:i/>
          <w:sz w:val="20"/>
        </w:rPr>
        <w:t>If We Became Subject to Taxation</w:t>
      </w:r>
      <w:r>
        <w:rPr>
          <w:rFonts w:ascii="Times New Roman" w:hAnsi="Times New Roman"/>
          <w:sz w:val="20"/>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80" w:after="0"/>
        <w:rPr>
          <w:rFonts w:ascii="Times New Roman" w:hAnsi="Times New Roman"/>
          <w:sz w:val="20"/>
        </w:rPr>
      </w:pPr>
      <w:r>
        <w:rPr>
          <w:rFonts w:ascii="Times New Roman" w:hAnsi="Times New Roman"/>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70" w:after="0"/>
        <w:rPr>
          <w:rFonts w:ascii="Times New Roman" w:hAnsi="Times New Roman"/>
          <w:b/>
          <w:sz w:val="20"/>
        </w:rPr>
      </w:pPr>
      <w:r>
        <w:rPr>
          <w:rFonts w:ascii="Times New Roman" w:hAnsi="Times New Roman"/>
          <w:b/>
          <w:sz w:val="20"/>
        </w:rPr>
        <w:t xml:space="preserve">Distribution of Cash Upon Liquidation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80" w:after="0"/>
        <w:rPr>
          <w:rFonts w:ascii="Times New Roman" w:hAnsi="Times New Roman"/>
          <w:sz w:val="20"/>
        </w:rPr>
      </w:pPr>
      <w:r>
        <w:rPr>
          <w:rFonts w:ascii="Times New Roman" w:hAnsi="Times New Roman"/>
          <w:i/>
          <w:sz w:val="20"/>
        </w:rPr>
        <w:t>Manner of Adjustment</w:t>
      </w:r>
      <w:r>
        <w:rPr>
          <w:rFonts w:ascii="Times New Roman" w:hAnsi="Times New Roman"/>
          <w:sz w:val="20"/>
        </w:rPr>
        <w:t xml:space="preserve">.  If we liquidate, we would allocate any loss to the general partner and each unitholder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98% to the holders of common units who have positive balances in their capital accounts in proportion to those positive balances and 2% to the general partner, until the capital accounts of the common unitholders have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Thereafter</w:t>
            </w:r>
            <w:r>
              <w:rPr>
                <w:rFonts w:ascii="Times New Roman" w:hAnsi="Times New Roman"/>
                <w:sz w:val="20"/>
              </w:rPr>
              <w:t xml:space="preserve">, 100% to the general partner. </w:t>
            </w:r>
          </w:p>
        </w:tc>
      </w:tr>
    </w:tbl>
    <w:p>
      <w:pPr>
        <w:pStyle w:val="TextBody"/>
        <w:spacing w:before="180" w:after="0"/>
        <w:rPr>
          <w:rFonts w:ascii="Times New Roman" w:hAnsi="Times New Roman"/>
          <w:sz w:val="20"/>
        </w:rPr>
      </w:pPr>
      <w:r>
        <w:rPr>
          <w:rFonts w:ascii="Times New Roman" w:hAnsi="Times New Roman"/>
          <w:i/>
          <w:sz w:val="20"/>
        </w:rPr>
        <w:t>Interim Adjustments to Capital Accounts</w:t>
      </w:r>
      <w:r>
        <w:rPr>
          <w:rFonts w:ascii="Times New Roman" w:hAnsi="Times New Roman"/>
          <w:sz w:val="20"/>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toc542969_11"/>
      <w:bookmarkEnd w:id="23"/>
      <w:r>
        <w:rPr>
          <w:rFonts w:ascii="Times New Roman" w:hAnsi="Times New Roman"/>
          <w:b/>
          <w:sz w:val="20"/>
        </w:rPr>
        <w:t xml:space="preserve">Description of Our Partnership Agreement </w:t>
      </w:r>
    </w:p>
    <w:p>
      <w:pPr>
        <w:pStyle w:val="TextBody"/>
        <w:spacing w:before="180" w:after="0"/>
        <w:rPr>
          <w:rFonts w:ascii="Times New Roman" w:hAnsi="Times New Roman"/>
          <w:sz w:val="20"/>
        </w:rPr>
      </w:pPr>
      <w:r>
        <w:rPr>
          <w:rFonts w:ascii="Times New Roman" w:hAnsi="Times New Roman"/>
          <w:sz w:val="20"/>
        </w:rPr>
        <w:t xml:space="preserve">The following is a summary of the material provisions of our partnership agreement. The following provisions of our partnership agreement are summarized elsewhere in this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of our available cash are described under Cash Distribution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allocations of taxable income and other tax matters are described under Material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rights of holders of common units are described under Description of Our Common Units. </w:t>
            </w:r>
          </w:p>
        </w:tc>
      </w:tr>
    </w:tbl>
    <w:p>
      <w:pPr>
        <w:pStyle w:val="TextBody"/>
        <w:spacing w:before="270" w:after="0"/>
        <w:rPr>
          <w:rFonts w:ascii="Times New Roman" w:hAnsi="Times New Roman"/>
          <w:b/>
          <w:sz w:val="20"/>
        </w:rPr>
      </w:pPr>
      <w:r>
        <w:rPr>
          <w:rFonts w:ascii="Times New Roman" w:hAnsi="Times New Roman"/>
          <w:b/>
          <w:sz w:val="20"/>
        </w:rPr>
        <w:t xml:space="preserve">Purpose </w:t>
      </w:r>
    </w:p>
    <w:p>
      <w:pPr>
        <w:pStyle w:val="TextBody"/>
        <w:spacing w:before="90" w:after="0"/>
        <w:rPr>
          <w:rFonts w:ascii="Times New Roman" w:hAnsi="Times New Roman"/>
          <w:sz w:val="20"/>
        </w:rPr>
      </w:pPr>
      <w:r>
        <w:rPr>
          <w:rFonts w:ascii="Times New Roman" w:hAnsi="Times New Roman"/>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70" w:after="0"/>
        <w:rPr>
          <w:rFonts w:ascii="Times New Roman" w:hAnsi="Times New Roman"/>
          <w:b/>
          <w:sz w:val="20"/>
        </w:rPr>
      </w:pPr>
      <w:r>
        <w:rPr>
          <w:rFonts w:ascii="Times New Roman" w:hAnsi="Times New Roman"/>
          <w:b/>
          <w:sz w:val="20"/>
        </w:rPr>
        <w:t xml:space="preserve">Power of Attorney </w:t>
      </w:r>
    </w:p>
    <w:p>
      <w:pPr>
        <w:pStyle w:val="TextBody"/>
        <w:spacing w:before="90" w:after="0"/>
        <w:rPr>
          <w:rFonts w:ascii="Times New Roman" w:hAnsi="Times New Roman"/>
          <w:sz w:val="20"/>
        </w:rPr>
      </w:pPr>
      <w:r>
        <w:rPr>
          <w:rFonts w:ascii="Times New Roman" w:hAnsi="Times New Roman"/>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Reimbursements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70" w:after="0"/>
        <w:rPr>
          <w:rFonts w:ascii="Times New Roman" w:hAnsi="Times New Roman"/>
          <w:b/>
          <w:sz w:val="20"/>
        </w:rPr>
      </w:pPr>
      <w:r>
        <w:rPr>
          <w:rFonts w:ascii="Times New Roman" w:hAnsi="Times New Roman"/>
          <w:b/>
          <w:sz w:val="20"/>
        </w:rPr>
        <w:t xml:space="preserve">Issuance of Additional Securities </w:t>
      </w:r>
    </w:p>
    <w:p>
      <w:pPr>
        <w:pStyle w:val="TextBody"/>
        <w:spacing w:before="90" w:after="0"/>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80" w:after="0"/>
        <w:rPr>
          <w:rFonts w:ascii="Times New Roman" w:hAnsi="Times New Roman"/>
          <w:sz w:val="20"/>
        </w:rPr>
      </w:pPr>
      <w:r>
        <w:rPr>
          <w:rFonts w:ascii="Times New Roman" w:hAnsi="Times New Roman"/>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80" w:after="0"/>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80" w:after="0"/>
        <w:rPr>
          <w:rFonts w:ascii="Times New Roman" w:hAnsi="Times New Roman"/>
          <w:sz w:val="20"/>
        </w:rPr>
      </w:pPr>
      <w:r>
        <w:rPr>
          <w:rFonts w:ascii="Times New Roman" w:hAnsi="Times New Roman"/>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their percentage interests in us that existed immediately prior to the issuance. The holders of common units will not have preemptive rights to acquire additional common units or other partnership interests in us. </w:t>
      </w:r>
    </w:p>
    <w:p>
      <w:pPr>
        <w:pStyle w:val="TextBody"/>
        <w:spacing w:before="270" w:after="0"/>
        <w:rPr>
          <w:rFonts w:ascii="Times New Roman" w:hAnsi="Times New Roman"/>
          <w:b/>
          <w:sz w:val="20"/>
        </w:rPr>
      </w:pPr>
      <w:r>
        <w:rPr>
          <w:rFonts w:ascii="Times New Roman" w:hAnsi="Times New Roman"/>
          <w:b/>
          <w:sz w:val="20"/>
        </w:rPr>
        <w:t xml:space="preserve">Amendments to Our Partnership Agreement </w:t>
      </w:r>
    </w:p>
    <w:p>
      <w:pPr>
        <w:pStyle w:val="TextBody"/>
        <w:spacing w:before="90" w:after="0"/>
        <w:rPr>
          <w:rFonts w:ascii="Times New Roman" w:hAnsi="Times New Roman"/>
          <w:sz w:val="20"/>
        </w:rPr>
      </w:pPr>
      <w:r>
        <w:rPr>
          <w:rFonts w:ascii="Times New Roman" w:hAnsi="Times New Roman"/>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70" w:after="0"/>
        <w:rPr>
          <w:rFonts w:ascii="Times New Roman" w:hAnsi="Times New Roman"/>
          <w:b/>
          <w:sz w:val="20"/>
        </w:rPr>
      </w:pPr>
      <w:r>
        <w:rPr>
          <w:rFonts w:ascii="Times New Roman" w:hAnsi="Times New Roman"/>
          <w:b/>
          <w:sz w:val="20"/>
        </w:rPr>
        <w:t xml:space="preserve">Withdrawal or Removal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80" w:after="0"/>
        <w:rPr>
          <w:rFonts w:ascii="Times New Roman" w:hAnsi="Times New Roman"/>
          <w:sz w:val="20"/>
        </w:rPr>
      </w:pPr>
      <w:r>
        <w:rPr>
          <w:rFonts w:ascii="Times New Roman" w:hAnsi="Times New Roman"/>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80" w:after="0"/>
        <w:rPr>
          <w:rFonts w:ascii="Times New Roman" w:hAnsi="Times New Roman"/>
          <w:sz w:val="20"/>
        </w:rPr>
      </w:pPr>
      <w:r>
        <w:rPr>
          <w:rFonts w:ascii="Times New Roman" w:hAnsi="Times New Roman"/>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80" w:after="0"/>
        <w:rPr>
          <w:rFonts w:ascii="Times New Roman" w:hAnsi="Times New Roman"/>
          <w:sz w:val="20"/>
        </w:rPr>
      </w:pPr>
      <w:r>
        <w:rPr>
          <w:rFonts w:ascii="Times New Roman" w:hAnsi="Times New Roman"/>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80" w:after="0"/>
        <w:rPr>
          <w:rFonts w:ascii="Times New Roman" w:hAnsi="Times New Roman"/>
          <w:sz w:val="20"/>
        </w:rPr>
      </w:pPr>
      <w:r>
        <w:rPr>
          <w:rFonts w:ascii="Times New Roman" w:hAnsi="Times New Roman"/>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70" w:after="0"/>
        <w:rPr>
          <w:rFonts w:ascii="Times New Roman" w:hAnsi="Times New Roman"/>
          <w:b/>
          <w:sz w:val="20"/>
        </w:rPr>
      </w:pPr>
      <w:r>
        <w:rPr>
          <w:rFonts w:ascii="Times New Roman" w:hAnsi="Times New Roman"/>
          <w:b/>
          <w:sz w:val="20"/>
        </w:rPr>
        <w:t xml:space="preserve">Liquidation and Distribution of Proceeds </w:t>
      </w:r>
    </w:p>
    <w:p>
      <w:pPr>
        <w:pStyle w:val="TextBody"/>
        <w:spacing w:before="90" w:after="0"/>
        <w:rPr>
          <w:rFonts w:ascii="Times New Roman" w:hAnsi="Times New Roman"/>
          <w:sz w:val="20"/>
        </w:rPr>
      </w:pPr>
      <w:r>
        <w:rPr>
          <w:rFonts w:ascii="Times New Roman" w:hAnsi="Times New Roman"/>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towards the payment of all of our creditors and the creation of a reserve for contingent liabilities;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then, to all partners in accordance with the positive balance in the respective capital accounts.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270" w:after="0"/>
        <w:rPr>
          <w:rFonts w:ascii="Times New Roman" w:hAnsi="Times New Roman"/>
          <w:b/>
          <w:sz w:val="20"/>
        </w:rPr>
      </w:pPr>
      <w:r>
        <w:rPr>
          <w:rFonts w:ascii="Times New Roman" w:hAnsi="Times New Roman"/>
          <w:b/>
          <w:sz w:val="20"/>
        </w:rPr>
        <w:t xml:space="preserve">Change of Management Provisions </w:t>
      </w:r>
    </w:p>
    <w:p>
      <w:pPr>
        <w:pStyle w:val="TextBody"/>
        <w:spacing w:before="90" w:after="0"/>
        <w:rPr>
          <w:rFonts w:ascii="Times New Roman" w:hAnsi="Times New Roman"/>
          <w:sz w:val="20"/>
        </w:rPr>
      </w:pPr>
      <w:r>
        <w:rPr>
          <w:rFonts w:ascii="Times New Roman" w:hAnsi="Times New Roman"/>
          <w:sz w:val="20"/>
        </w:rPr>
        <w:t xml:space="preserve">Our partnership agreement contains the following specific provisions that are intended to discourage a person or group from attempting to remove our general partner or otherwise change management: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if a person acquires 20% or more of any class of units then outstanding other than from our general partner or its affiliates, the units owned by such person cannot be voted on any matter;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70" w:after="0"/>
        <w:rPr>
          <w:rFonts w:ascii="Times New Roman" w:hAnsi="Times New Roman"/>
          <w:b/>
          <w:sz w:val="20"/>
        </w:rPr>
      </w:pPr>
      <w:r>
        <w:rPr>
          <w:rFonts w:ascii="Times New Roman" w:hAnsi="Times New Roman"/>
          <w:b/>
          <w:sz w:val="20"/>
        </w:rPr>
        <w:t xml:space="preserve">Limited Call Right </w:t>
      </w:r>
    </w:p>
    <w:p>
      <w:pPr>
        <w:pStyle w:val="TextBody"/>
        <w:spacing w:before="90" w:after="0"/>
        <w:rPr>
          <w:rFonts w:ascii="Times New Roman" w:hAnsi="Times New Roman"/>
          <w:sz w:val="20"/>
        </w:rPr>
      </w:pPr>
      <w:r>
        <w:rPr>
          <w:rFonts w:ascii="Times New Roman" w:hAnsi="Times New Roman"/>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80" w:after="0"/>
        <w:rPr>
          <w:rFonts w:ascii="Times New Roman" w:hAnsi="Times New Roman"/>
          <w:sz w:val="20"/>
        </w:rPr>
      </w:pPr>
      <w:r>
        <w:rPr>
          <w:rFonts w:ascii="Times New Roman" w:hAnsi="Times New Roman"/>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Registration Rights </w:t>
      </w:r>
    </w:p>
    <w:p>
      <w:pPr>
        <w:pStyle w:val="TextBody"/>
        <w:spacing w:before="90" w:after="0"/>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toc542969_12"/>
      <w:bookmarkEnd w:id="24"/>
      <w:r>
        <w:rPr>
          <w:rFonts w:ascii="Times New Roman" w:hAnsi="Times New Roman"/>
          <w:b/>
          <w:sz w:val="20"/>
        </w:rPr>
        <w:t xml:space="preserve">Material U.S. Federal Income Tax Consequences </w:t>
      </w:r>
    </w:p>
    <w:p>
      <w:pPr>
        <w:pStyle w:val="TextBody"/>
        <w:spacing w:before="180" w:after="0"/>
        <w:rPr>
          <w:rFonts w:ascii="Times New Roman" w:hAnsi="Times New Roman"/>
          <w:sz w:val="20"/>
        </w:rPr>
      </w:pPr>
      <w:r>
        <w:rPr>
          <w:rFonts w:ascii="Times New Roman" w:hAnsi="Times New Roman"/>
          <w:sz w:val="20"/>
        </w:rPr>
        <w:t xml:space="preserve">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 </w:t>
      </w:r>
    </w:p>
    <w:p>
      <w:pPr>
        <w:pStyle w:val="TextBody"/>
        <w:spacing w:before="180" w:after="0"/>
        <w:rPr>
          <w:rFonts w:ascii="Times New Roman" w:hAnsi="Times New Roman"/>
          <w:sz w:val="20"/>
        </w:rPr>
      </w:pPr>
      <w:r>
        <w:rPr>
          <w:rFonts w:ascii="Times New Roman" w:hAnsi="Times New Roman"/>
          <w:sz w:val="20"/>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Times New Roman" w:hAnsi="Times New Roman"/>
          <w:b/>
          <w:i/>
          <w:sz w:val="20"/>
        </w:rPr>
        <w:t>Accordingly, we encourage each unitholder to consult the unitholders own tax advisor in analyzing the federal, state, local and non-U.S. tax consequences particular to that unitholder resulting from ownership or disposition of units.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spacing w:before="180" w:after="0"/>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 </w:t>
      </w:r>
    </w:p>
    <w:p>
      <w:pPr>
        <w:pStyle w:val="TextBody"/>
        <w:spacing w:before="270" w:after="0"/>
        <w:rPr>
          <w:rFonts w:ascii="Times New Roman" w:hAnsi="Times New Roman"/>
          <w:b/>
          <w:i/>
          <w:sz w:val="20"/>
        </w:rPr>
      </w:pPr>
      <w:r>
        <w:rPr>
          <w:rFonts w:ascii="Times New Roman" w:hAnsi="Times New Roman"/>
          <w:b/>
          <w:i/>
          <w:sz w:val="20"/>
        </w:rPr>
        <w:t xml:space="preserve">Taxation of the Partnership </w:t>
      </w:r>
    </w:p>
    <w:p>
      <w:pPr>
        <w:pStyle w:val="TextBody"/>
        <w:spacing w:before="90" w:after="0"/>
        <w:rPr>
          <w:rFonts w:ascii="Times New Roman" w:hAnsi="Times New Roman"/>
          <w:b/>
          <w:i/>
          <w:sz w:val="20"/>
        </w:rPr>
      </w:pPr>
      <w:r>
        <w:rPr>
          <w:rFonts w:ascii="Times New Roman" w:hAnsi="Times New Roman"/>
          <w:b/>
          <w:i/>
          <w:sz w:val="20"/>
        </w:rPr>
        <w:t xml:space="preserve">Partnership Status </w:t>
      </w:r>
    </w:p>
    <w:p>
      <w:pPr>
        <w:pStyle w:val="TextBody"/>
        <w:spacing w:before="90" w:after="0"/>
        <w:rPr>
          <w:rFonts w:ascii="Times New Roman" w:hAnsi="Times New Roman"/>
          <w:sz w:val="20"/>
        </w:rPr>
      </w:pPr>
      <w:r>
        <w:rPr>
          <w:rFonts w:ascii="Times New Roman" w:hAnsi="Times New Roman"/>
          <w:sz w:val="20"/>
        </w:rPr>
        <w:t xml:space="preserve">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Section 7704 of the Code generally provides that publicly-traded partnerships will be treated as corporations for federal income tax purposes. However, if 90% or more of a partnerships gross income for every taxable year 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 </w:t>
      </w:r>
    </w:p>
    <w:p>
      <w:pPr>
        <w:pStyle w:val="TextBody"/>
        <w:spacing w:before="180" w:after="0"/>
        <w:rPr>
          <w:rFonts w:ascii="Times New Roman" w:hAnsi="Times New Roman"/>
          <w:sz w:val="20"/>
        </w:rPr>
      </w:pPr>
      <w:r>
        <w:rPr>
          <w:rFonts w:ascii="Times New Roman" w:hAnsi="Times New Roman"/>
          <w:sz w:val="20"/>
        </w:rPr>
        <w:t xml:space="preserve">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 </w:t>
      </w:r>
    </w:p>
    <w:p>
      <w:pPr>
        <w:pStyle w:val="TextBody"/>
        <w:spacing w:before="180" w:after="0"/>
        <w:rPr>
          <w:rFonts w:ascii="Times New Roman" w:hAnsi="Times New Roman"/>
          <w:sz w:val="20"/>
        </w:rPr>
      </w:pPr>
      <w:r>
        <w:rPr>
          <w:rFonts w:ascii="Times New Roman" w:hAnsi="Times New Roman"/>
          <w:sz w:val="20"/>
        </w:rPr>
        <w:t xml:space="preserve">(a) Neither we nor any of our partnership or limited liability company subsidiaries has elected to be treated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(b) For each taxable year since and including the year of our initial public offering, more than 90% of our gross income has been and will be income of a character that Vinson &amp; Elkins L.L.P. has opined is qualifying income within the meaning of Section 7704(d) of the Code; and </w:t>
      </w:r>
    </w:p>
    <w:p>
      <w:pPr>
        <w:pStyle w:val="TextBody"/>
        <w:spacing w:before="180" w:after="0"/>
        <w:rPr>
          <w:rFonts w:ascii="Times New Roman" w:hAnsi="Times New Roman"/>
          <w:sz w:val="20"/>
        </w:rPr>
      </w:pPr>
      <w:r>
        <w:rPr>
          <w:rFonts w:ascii="Times New Roman" w:hAnsi="Times New Roman"/>
          <w:sz w:val="20"/>
        </w:rPr>
        <w:t xml:space="preserve">(c) 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p>
      <w:pPr>
        <w:pStyle w:val="TextBody"/>
        <w:spacing w:before="180" w:after="0"/>
        <w:rPr>
          <w:rFonts w:ascii="Times New Roman" w:hAnsi="Times New Roman"/>
          <w:sz w:val="20"/>
        </w:rPr>
      </w:pPr>
      <w:r>
        <w:rPr>
          <w:rFonts w:ascii="Times New Roman" w:hAnsi="Times New Roman"/>
          <w:sz w:val="20"/>
        </w:rPr>
        <w:t xml:space="preserve">We believe that these representations are true and will be true in the future. </w:t>
      </w:r>
    </w:p>
    <w:p>
      <w:pPr>
        <w:pStyle w:val="TextBody"/>
        <w:spacing w:before="180" w:after="0"/>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 </w:t>
      </w:r>
    </w:p>
    <w:p>
      <w:pPr>
        <w:pStyle w:val="TextBody"/>
        <w:spacing w:before="180" w:after="0"/>
        <w:rPr>
          <w:rFonts w:ascii="Times New Roman" w:hAnsi="Times New Roman"/>
          <w:sz w:val="20"/>
        </w:rPr>
      </w:pPr>
      <w:r>
        <w:rPr>
          <w:rFonts w:ascii="Times New Roman" w:hAnsi="Times New Roman"/>
          <w:sz w:val="20"/>
        </w:rPr>
        <w:t xml:space="preserve">The remainder of this discussion is based on Vinson &amp; Elkins L.L.P.s opinion that we will be treated as a partnership for federal income tax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Tax Consequences of Unit Ownership </w:t>
      </w:r>
    </w:p>
    <w:p>
      <w:pPr>
        <w:pStyle w:val="TextBody"/>
        <w:spacing w:before="90" w:after="0"/>
        <w:rPr>
          <w:rFonts w:ascii="Times New Roman" w:hAnsi="Times New Roman"/>
          <w:b/>
          <w:i/>
          <w:sz w:val="20"/>
        </w:rPr>
      </w:pPr>
      <w:r>
        <w:rPr>
          <w:rFonts w:ascii="Times New Roman" w:hAnsi="Times New Roman"/>
          <w:b/>
          <w:i/>
          <w:sz w:val="20"/>
        </w:rPr>
        <w:t xml:space="preserve">Limited Partner Status </w:t>
      </w:r>
    </w:p>
    <w:p>
      <w:pPr>
        <w:pStyle w:val="TextBody"/>
        <w:spacing w:before="90" w:after="0"/>
        <w:rPr>
          <w:rFonts w:ascii="Times New Roman" w:hAnsi="Times New Roman"/>
          <w:sz w:val="20"/>
        </w:rPr>
      </w:pPr>
      <w:r>
        <w:rPr>
          <w:rFonts w:ascii="Times New Roman" w:hAnsi="Times New Roman"/>
          <w:sz w:val="20"/>
        </w:rPr>
        <w:t xml:space="preserve">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assignees who have executed and delivered transfer applications, and are awaiting admission as limited partners,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80" w:after="0"/>
        <w:rPr>
          <w:rFonts w:ascii="Times New Roman" w:hAnsi="Times New Roman"/>
          <w:sz w:val="20"/>
        </w:rPr>
      </w:pPr>
      <w:r>
        <w:rPr>
          <w:rFonts w:ascii="Times New Roman" w:hAnsi="Times New Roman"/>
          <w:sz w:val="20"/>
        </w:rPr>
        <w:t xml:space="preserve">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80" w:after="0"/>
        <w:rPr>
          <w:rFonts w:ascii="Times New Roman" w:hAnsi="Times New Roman"/>
          <w:sz w:val="20"/>
        </w:rPr>
      </w:pPr>
      <w:r>
        <w:rPr>
          <w:rFonts w:ascii="Times New Roman" w:hAnsi="Times New Roman"/>
          <w:sz w:val="20"/>
        </w:rPr>
        <w:t xml:space="preserve">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 </w:t>
      </w:r>
    </w:p>
    <w:p>
      <w:pPr>
        <w:pStyle w:val="TextBody"/>
        <w:spacing w:before="270" w:after="0"/>
        <w:rPr>
          <w:rFonts w:ascii="Times New Roman" w:hAnsi="Times New Roman"/>
          <w:b/>
          <w:i/>
          <w:sz w:val="20"/>
        </w:rPr>
      </w:pPr>
      <w:r>
        <w:rPr>
          <w:rFonts w:ascii="Times New Roman" w:hAnsi="Times New Roman"/>
          <w:b/>
          <w:i/>
          <w:sz w:val="20"/>
        </w:rPr>
        <w:t xml:space="preserve">Flow-Through of Taxable Income </w:t>
      </w:r>
    </w:p>
    <w:p>
      <w:pPr>
        <w:pStyle w:val="TextBody"/>
        <w:spacing w:before="90" w:after="0"/>
        <w:rPr>
          <w:rFonts w:ascii="Times New Roman" w:hAnsi="Times New Roman"/>
          <w:sz w:val="20"/>
        </w:rPr>
      </w:pPr>
      <w:r>
        <w:rPr>
          <w:rFonts w:ascii="Times New Roman" w:hAnsi="Times New Roman"/>
          <w:sz w:val="20"/>
        </w:rPr>
        <w:t xml:space="preserve">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 </w:t>
      </w:r>
    </w:p>
    <w:p>
      <w:pPr>
        <w:pStyle w:val="TextBody"/>
        <w:spacing w:before="270" w:after="0"/>
        <w:rPr>
          <w:rFonts w:ascii="Times New Roman" w:hAnsi="Times New Roman"/>
          <w:b/>
          <w:i/>
          <w:sz w:val="20"/>
        </w:rPr>
      </w:pPr>
      <w:r>
        <w:rPr>
          <w:rFonts w:ascii="Times New Roman" w:hAnsi="Times New Roman"/>
          <w:b/>
          <w:i/>
          <w:sz w:val="20"/>
        </w:rPr>
        <w:t xml:space="preserve">Basis of Units </w:t>
      </w:r>
    </w:p>
    <w:p>
      <w:pPr>
        <w:pStyle w:val="TextBody"/>
        <w:spacing w:before="90" w:after="0"/>
        <w:rPr>
          <w:rFonts w:ascii="Times New Roman" w:hAnsi="Times New Roman"/>
          <w:sz w:val="20"/>
        </w:rPr>
      </w:pPr>
      <w:r>
        <w:rPr>
          <w:rFonts w:ascii="Times New Roman" w:hAnsi="Times New Roman"/>
          <w:sz w:val="20"/>
        </w:rPr>
        <w:t xml:space="preserve">A unitholders tax basis in its units initially will be the amount paid for those units plus the unitholders share of our liabilities. That basis generally will be (i) increased by the unitholders share of our income and any increases in such unitholders share of our liabilities, and (ii) decreased, but not below zero, by the amount of all distributions, the unitholders share of our losses, and any decreases in its share of our liabilities. </w:t>
      </w:r>
    </w:p>
    <w:p>
      <w:pPr>
        <w:pStyle w:val="TextBody"/>
        <w:spacing w:before="270" w:after="0"/>
        <w:rPr>
          <w:rFonts w:ascii="Times New Roman" w:hAnsi="Times New Roman"/>
          <w:b/>
          <w:i/>
          <w:sz w:val="20"/>
        </w:rPr>
      </w:pPr>
      <w:r>
        <w:rPr>
          <w:rFonts w:ascii="Times New Roman" w:hAnsi="Times New Roman"/>
          <w:b/>
          <w:i/>
          <w:sz w:val="20"/>
        </w:rPr>
        <w:t xml:space="preserve">Treatment of Distributions </w:t>
      </w:r>
    </w:p>
    <w:p>
      <w:pPr>
        <w:pStyle w:val="TextBody"/>
        <w:spacing w:before="90" w:after="0"/>
        <w:rPr>
          <w:rFonts w:ascii="Times New Roman" w:hAnsi="Times New Roman"/>
          <w:sz w:val="20"/>
        </w:rPr>
      </w:pPr>
      <w:r>
        <w:rPr>
          <w:rFonts w:ascii="Times New Roman" w:hAnsi="Times New Roman"/>
          <w:sz w:val="20"/>
        </w:rPr>
        <w:t xml:space="preserve">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Any reduction in a unitholders share of our liabilities will be treated as a distribution by us of cash to that unitholder. A decrease in a unitholders percentage interest in us because of our issuance of additional units may 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 </w:t>
      </w:r>
    </w:p>
    <w:p>
      <w:pPr>
        <w:pStyle w:val="TextBody"/>
        <w:spacing w:before="180" w:after="0"/>
        <w:rPr>
          <w:rFonts w:ascii="Times New Roman" w:hAnsi="Times New Roman"/>
          <w:sz w:val="20"/>
        </w:rPr>
      </w:pPr>
      <w:r>
        <w:rPr>
          <w:rFonts w:ascii="Times New Roman" w:hAnsi="Times New Roman"/>
          <w:sz w:val="20"/>
        </w:rPr>
        <w:t xml:space="preserve">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 </w:t>
      </w:r>
    </w:p>
    <w:p>
      <w:pPr>
        <w:pStyle w:val="TextBody"/>
        <w:spacing w:before="270" w:after="0"/>
        <w:rPr>
          <w:rFonts w:ascii="Times New Roman" w:hAnsi="Times New Roman"/>
          <w:b/>
          <w:i/>
          <w:sz w:val="20"/>
        </w:rPr>
      </w:pPr>
      <w:r>
        <w:rPr>
          <w:rFonts w:ascii="Times New Roman" w:hAnsi="Times New Roman"/>
          <w:b/>
          <w:i/>
          <w:sz w:val="20"/>
        </w:rPr>
        <w:t xml:space="preserve">Limitations on Deductibility of Losses </w:t>
      </w:r>
    </w:p>
    <w:p>
      <w:pPr>
        <w:pStyle w:val="TextBody"/>
        <w:spacing w:before="90" w:after="0"/>
        <w:rPr>
          <w:rFonts w:ascii="Times New Roman" w:hAnsi="Times New Roman"/>
          <w:sz w:val="20"/>
        </w:rPr>
      </w:pPr>
      <w:r>
        <w:rPr>
          <w:rFonts w:ascii="Times New Roman" w:hAnsi="Times New Roman"/>
          <w:sz w:val="20"/>
        </w:rPr>
        <w:t xml:space="preserve">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spacing w:before="180" w:after="0"/>
        <w:rPr>
          <w:rFonts w:ascii="Times New Roman" w:hAnsi="Times New Roman"/>
          <w:sz w:val="20"/>
        </w:rPr>
      </w:pPr>
      <w:r>
        <w:rPr>
          <w:rFonts w:ascii="Times New Roman" w:hAnsi="Times New Roman"/>
          <w:sz w:val="20"/>
        </w:rPr>
        <w:t xml:space="preserve">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w:t>
      </w:r>
    </w:p>
    <w:p>
      <w:pPr>
        <w:pStyle w:val="TextBody"/>
        <w:spacing w:before="180" w:after="0"/>
        <w:rPr>
          <w:rFonts w:ascii="Times New Roman" w:hAnsi="Times New Roman"/>
          <w:sz w:val="20"/>
        </w:rPr>
      </w:pPr>
      <w:r>
        <w:rPr>
          <w:rFonts w:ascii="Times New Roman" w:hAnsi="Times New Roman"/>
          <w:sz w:val="20"/>
        </w:rPr>
        <w:t xml:space="preserve">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 </w:t>
      </w:r>
    </w:p>
    <w:p>
      <w:pPr>
        <w:pStyle w:val="TextBody"/>
        <w:spacing w:before="270" w:after="0"/>
        <w:rPr>
          <w:rFonts w:ascii="Times New Roman" w:hAnsi="Times New Roman"/>
          <w:b/>
          <w:i/>
          <w:sz w:val="20"/>
        </w:rPr>
      </w:pPr>
      <w:r>
        <w:rPr>
          <w:rFonts w:ascii="Times New Roman" w:hAnsi="Times New Roman"/>
          <w:b/>
          <w:i/>
          <w:sz w:val="20"/>
        </w:rPr>
        <w:t xml:space="preserve">Limitations on Interest Deductions </w:t>
      </w:r>
    </w:p>
    <w:p>
      <w:pPr>
        <w:pStyle w:val="TextBody"/>
        <w:spacing w:before="90" w:after="0"/>
        <w:rPr>
          <w:rFonts w:ascii="Times New Roman" w:hAnsi="Times New Roman"/>
          <w:sz w:val="20"/>
        </w:rPr>
      </w:pPr>
      <w:r>
        <w:rPr>
          <w:rFonts w:ascii="Times New Roman" w:hAnsi="Times New Roman"/>
          <w:sz w:val="20"/>
        </w:rPr>
        <w:t xml:space="preserve">The deductibility of a non-corporate taxpayers investment interest expense generally is limited to the amount of that taxpayers net investment income. Investment interest expense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indebtedness allocable to property held for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expense allocated against portfolio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allocable against portfolio income. </w:t>
            </w:r>
          </w:p>
        </w:tc>
      </w:tr>
    </w:tbl>
    <w:p>
      <w:pPr>
        <w:pStyle w:val="TextBody"/>
        <w:spacing w:before="180" w:after="0"/>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 </w:t>
      </w:r>
    </w:p>
    <w:p>
      <w:pPr>
        <w:pStyle w:val="TextBody"/>
        <w:spacing w:before="270" w:after="0"/>
        <w:rPr>
          <w:rFonts w:ascii="Times New Roman" w:hAnsi="Times New Roman"/>
          <w:b/>
          <w:i/>
          <w:sz w:val="20"/>
        </w:rPr>
      </w:pPr>
      <w:r>
        <w:rPr>
          <w:rFonts w:ascii="Times New Roman" w:hAnsi="Times New Roman"/>
          <w:b/>
          <w:i/>
          <w:sz w:val="20"/>
        </w:rPr>
        <w:t xml:space="preserve">Entity-Level Collections of Unitholder Taxes </w:t>
      </w:r>
    </w:p>
    <w:p>
      <w:pPr>
        <w:pStyle w:val="TextBody"/>
        <w:spacing w:before="90" w:after="0"/>
        <w:rPr>
          <w:rFonts w:ascii="Times New Roman" w:hAnsi="Times New Roman"/>
          <w:sz w:val="20"/>
        </w:rPr>
      </w:pPr>
      <w:r>
        <w:rPr>
          <w:rFonts w:ascii="Times New Roman" w:hAnsi="Times New Roman"/>
          <w:sz w:val="20"/>
        </w:rPr>
        <w:t xml:space="preserve">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 </w:t>
      </w:r>
    </w:p>
    <w:p>
      <w:pPr>
        <w:pStyle w:val="TextBody"/>
        <w:spacing w:before="270" w:after="0"/>
        <w:rPr>
          <w:rFonts w:ascii="Times New Roman" w:hAnsi="Times New Roman"/>
          <w:b/>
          <w:i/>
          <w:sz w:val="20"/>
        </w:rPr>
      </w:pPr>
      <w:r>
        <w:rPr>
          <w:rFonts w:ascii="Times New Roman" w:hAnsi="Times New Roman"/>
          <w:b/>
          <w:i/>
          <w:sz w:val="20"/>
        </w:rPr>
        <w:t xml:space="preserve">Allocation of Income, Gain, Loss and Deduction </w:t>
      </w:r>
    </w:p>
    <w:p>
      <w:pPr>
        <w:pStyle w:val="TextBody"/>
        <w:spacing w:before="90" w:after="0"/>
        <w:rPr>
          <w:rFonts w:ascii="Times New Roman" w:hAnsi="Times New Roman"/>
          <w:sz w:val="20"/>
        </w:rPr>
      </w:pPr>
      <w:r>
        <w:rPr>
          <w:rFonts w:ascii="Times New Roman" w:hAnsi="Times New Roman"/>
          <w:sz w:val="20"/>
        </w:rPr>
        <w:t xml:space="preserve">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 </w:t>
      </w:r>
    </w:p>
    <w:p>
      <w:pPr>
        <w:pStyle w:val="TextBody"/>
        <w:spacing w:before="180" w:after="0"/>
        <w:rPr>
          <w:rFonts w:ascii="Times New Roman" w:hAnsi="Times New Roman"/>
          <w:sz w:val="20"/>
        </w:rPr>
      </w:pPr>
      <w:r>
        <w:rPr>
          <w:rFonts w:ascii="Times New Roman" w:hAnsi="Times New Roman"/>
          <w:sz w:val="20"/>
        </w:rPr>
        <w:t xml:space="preserve">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 </w:t>
      </w:r>
    </w:p>
    <w:p>
      <w:pPr>
        <w:pStyle w:val="TextBody"/>
        <w:spacing w:before="270" w:after="0"/>
        <w:rPr>
          <w:rFonts w:ascii="Times New Roman" w:hAnsi="Times New Roman"/>
          <w:b/>
          <w:i/>
          <w:sz w:val="20"/>
        </w:rPr>
      </w:pPr>
      <w:r>
        <w:rPr>
          <w:rFonts w:ascii="Times New Roman" w:hAnsi="Times New Roman"/>
          <w:b/>
          <w:i/>
          <w:sz w:val="20"/>
        </w:rPr>
        <w:t xml:space="preserve">Treatment of Securities Loans </w:t>
      </w:r>
    </w:p>
    <w:p>
      <w:pPr>
        <w:pStyle w:val="TextBody"/>
        <w:spacing w:before="90" w:after="0"/>
        <w:rPr>
          <w:rFonts w:ascii="Times New Roman" w:hAnsi="Times New Roman"/>
          <w:sz w:val="20"/>
        </w:rPr>
      </w:pPr>
      <w:r>
        <w:rPr>
          <w:rFonts w:ascii="Times New Roman" w:hAnsi="Times New Roman"/>
          <w:sz w:val="20"/>
        </w:rPr>
        <w:t xml:space="preserve">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disposition. As a result, during this period (i) any of our income, gain, loss or deduction allocated to those units would not be reportable by the lending unitholder, and (ii) any cash distributions received by the unitholder as to those units may be treated as ordinary income. </w:t>
      </w:r>
    </w:p>
    <w:p>
      <w:pPr>
        <w:pStyle w:val="TextBody"/>
        <w:spacing w:before="180" w:after="0"/>
        <w:rPr>
          <w:rFonts w:ascii="Times New Roman" w:hAnsi="Times New Roman"/>
          <w:sz w:val="20"/>
        </w:rPr>
      </w:pPr>
      <w:r>
        <w:rPr>
          <w:rFonts w:ascii="Times New Roman" w:hAnsi="Times New Roman"/>
          <w:sz w:val="20"/>
        </w:rPr>
        <w:t xml:space="preserve">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 </w:t>
      </w:r>
    </w:p>
    <w:p>
      <w:pPr>
        <w:pStyle w:val="TextBody"/>
        <w:spacing w:before="270" w:after="0"/>
        <w:rPr>
          <w:rFonts w:ascii="Times New Roman" w:hAnsi="Times New Roman"/>
          <w:b/>
          <w:i/>
          <w:sz w:val="20"/>
        </w:rPr>
      </w:pPr>
      <w:r>
        <w:rPr>
          <w:rFonts w:ascii="Times New Roman" w:hAnsi="Times New Roman"/>
          <w:b/>
          <w:i/>
          <w:sz w:val="20"/>
        </w:rPr>
        <w:t xml:space="preserve">Tax Rates </w:t>
      </w:r>
    </w:p>
    <w:p>
      <w:pPr>
        <w:pStyle w:val="TextBody"/>
        <w:spacing w:before="90" w:after="0"/>
        <w:rPr>
          <w:rFonts w:ascii="Times New Roman" w:hAnsi="Times New Roman"/>
          <w:sz w:val="20"/>
        </w:rPr>
      </w:pPr>
      <w:r>
        <w:rPr>
          <w:rFonts w:ascii="Times New Roman" w:hAnsi="Times New Roman"/>
          <w:sz w:val="20"/>
        </w:rPr>
        <w:t xml:space="preserve">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 </w:t>
      </w:r>
    </w:p>
    <w:p>
      <w:pPr>
        <w:pStyle w:val="TextBody"/>
        <w:spacing w:before="180" w:after="0"/>
        <w:rPr>
          <w:rFonts w:ascii="Times New Roman" w:hAnsi="Times New Roman"/>
          <w:sz w:val="20"/>
        </w:rPr>
      </w:pPr>
      <w:r>
        <w:rPr>
          <w:rFonts w:ascii="Times New Roman" w:hAnsi="Times New Roman"/>
          <w:sz w:val="20"/>
        </w:rPr>
        <w:t xml:space="preserve">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spacing w:before="270" w:after="0"/>
        <w:rPr>
          <w:rFonts w:ascii="Times New Roman" w:hAnsi="Times New Roman"/>
          <w:b/>
          <w:i/>
          <w:sz w:val="20"/>
        </w:rPr>
      </w:pPr>
      <w:r>
        <w:rPr>
          <w:rFonts w:ascii="Times New Roman" w:hAnsi="Times New Roman"/>
          <w:b/>
          <w:i/>
          <w:sz w:val="20"/>
        </w:rPr>
        <w:t xml:space="preserve">Section 754 Election </w:t>
      </w:r>
    </w:p>
    <w:p>
      <w:pPr>
        <w:pStyle w:val="TextBody"/>
        <w:spacing w:before="90" w:after="0"/>
        <w:rPr>
          <w:rFonts w:ascii="Times New Roman" w:hAnsi="Times New Roman"/>
          <w:sz w:val="20"/>
        </w:rPr>
      </w:pPr>
      <w:r>
        <w:rPr>
          <w:rFonts w:ascii="Times New Roman" w:hAnsi="Times New Roman"/>
          <w:sz w:val="20"/>
        </w:rPr>
        <w:t xml:space="preserve">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 </w:t>
      </w:r>
    </w:p>
    <w:p>
      <w:pPr>
        <w:pStyle w:val="TextBody"/>
        <w:spacing w:before="180" w:after="0"/>
        <w:rPr>
          <w:rFonts w:ascii="Times New Roman" w:hAnsi="Times New Roman"/>
          <w:sz w:val="20"/>
        </w:rPr>
      </w:pPr>
      <w:r>
        <w:rPr>
          <w:rFonts w:ascii="Times New Roman" w:hAnsi="Times New Roman"/>
          <w:sz w:val="20"/>
        </w:rPr>
        <w:t xml:space="preserve">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 </w:t>
      </w:r>
    </w:p>
    <w:p>
      <w:pPr>
        <w:pStyle w:val="TextBody"/>
        <w:spacing w:before="180" w:after="0"/>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 </w:t>
      </w:r>
    </w:p>
    <w:p>
      <w:pPr>
        <w:pStyle w:val="TextBody"/>
        <w:spacing w:before="270" w:after="0"/>
        <w:rPr>
          <w:rFonts w:ascii="Times New Roman" w:hAnsi="Times New Roman"/>
          <w:b/>
          <w:i/>
          <w:sz w:val="20"/>
        </w:rPr>
      </w:pPr>
      <w:r>
        <w:rPr>
          <w:rFonts w:ascii="Times New Roman" w:hAnsi="Times New Roman"/>
          <w:b/>
          <w:i/>
          <w:sz w:val="20"/>
        </w:rPr>
        <w:t xml:space="preserve">Tax Treatment of Operations </w:t>
      </w:r>
    </w:p>
    <w:p>
      <w:pPr>
        <w:pStyle w:val="TextBody"/>
        <w:spacing w:before="90" w:after="0"/>
        <w:rPr>
          <w:rFonts w:ascii="Times New Roman" w:hAnsi="Times New Roman"/>
          <w:b/>
          <w:i/>
          <w:sz w:val="20"/>
        </w:rPr>
      </w:pPr>
      <w:r>
        <w:rPr>
          <w:rFonts w:ascii="Times New Roman" w:hAnsi="Times New Roman"/>
          <w:b/>
          <w:i/>
          <w:sz w:val="20"/>
        </w:rPr>
        <w:t xml:space="preserve">Accounting Method and Taxable Year </w:t>
      </w:r>
    </w:p>
    <w:p>
      <w:pPr>
        <w:pStyle w:val="TextBody"/>
        <w:spacing w:before="90" w:after="0"/>
        <w:rPr>
          <w:rFonts w:ascii="Times New Roman" w:hAnsi="Times New Roman"/>
          <w:sz w:val="20"/>
        </w:rPr>
      </w:pPr>
      <w:r>
        <w:rPr>
          <w:rFonts w:ascii="Times New Roman" w:hAnsi="Times New Roman"/>
          <w:sz w:val="20"/>
        </w:rPr>
        <w:t xml:space="preserve">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 </w:t>
      </w:r>
    </w:p>
    <w:p>
      <w:pPr>
        <w:pStyle w:val="TextBody"/>
        <w:spacing w:before="270" w:after="0"/>
        <w:rPr>
          <w:rFonts w:ascii="Times New Roman" w:hAnsi="Times New Roman"/>
          <w:b/>
          <w:i/>
          <w:sz w:val="20"/>
        </w:rPr>
      </w:pPr>
      <w:r>
        <w:rPr>
          <w:rFonts w:ascii="Times New Roman" w:hAnsi="Times New Roman"/>
          <w:b/>
          <w:i/>
          <w:sz w:val="20"/>
        </w:rPr>
        <w:t xml:space="preserve">Tax Basis, Depreciation and Amortization </w:t>
      </w:r>
    </w:p>
    <w:p>
      <w:pPr>
        <w:pStyle w:val="TextBody"/>
        <w:spacing w:before="90" w:after="0"/>
        <w:rPr>
          <w:rFonts w:ascii="Times New Roman" w:hAnsi="Times New Roman"/>
          <w:sz w:val="20"/>
        </w:rPr>
      </w:pPr>
      <w:r>
        <w:rPr>
          <w:rFonts w:ascii="Times New Roman" w:hAnsi="Times New Roman"/>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 </w:t>
      </w:r>
    </w:p>
    <w:p>
      <w:pPr>
        <w:pStyle w:val="TextBody"/>
        <w:spacing w:before="180" w:after="0"/>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 </w:t>
      </w:r>
    </w:p>
    <w:p>
      <w:pPr>
        <w:pStyle w:val="TextBody"/>
        <w:spacing w:before="180" w:after="0"/>
        <w:rPr>
          <w:rFonts w:ascii="Times New Roman" w:hAnsi="Times New Roman"/>
          <w:sz w:val="20"/>
        </w:rPr>
      </w:pPr>
      <w:r>
        <w:rPr>
          <w:rFonts w:ascii="Times New Roman" w:hAnsi="Times New Roman"/>
          <w:sz w:val="20"/>
        </w:rPr>
        <w:t xml:space="preserve">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270" w:after="0"/>
        <w:rPr>
          <w:rFonts w:ascii="Times New Roman" w:hAnsi="Times New Roman"/>
          <w:b/>
          <w:i/>
          <w:sz w:val="20"/>
        </w:rPr>
      </w:pPr>
      <w:r>
        <w:rPr>
          <w:rFonts w:ascii="Times New Roman" w:hAnsi="Times New Roman"/>
          <w:b/>
          <w:i/>
          <w:sz w:val="20"/>
        </w:rPr>
        <w:t xml:space="preserve">Valuation and Tax Basis of Our Properties </w:t>
      </w:r>
    </w:p>
    <w:p>
      <w:pPr>
        <w:pStyle w:val="TextBody"/>
        <w:spacing w:before="90" w:after="0"/>
        <w:rPr>
          <w:rFonts w:ascii="Times New Roman" w:hAnsi="Times New Roman"/>
          <w:sz w:val="20"/>
        </w:rPr>
      </w:pPr>
      <w:r>
        <w:rPr>
          <w:rFonts w:ascii="Times New Roman" w:hAnsi="Times New Roman"/>
          <w:sz w:val="20"/>
        </w:rPr>
        <w:t xml:space="preserve">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Disposition of Units </w:t>
      </w:r>
    </w:p>
    <w:p>
      <w:pPr>
        <w:pStyle w:val="TextBody"/>
        <w:spacing w:before="90" w:after="0"/>
        <w:rPr>
          <w:rFonts w:ascii="Times New Roman" w:hAnsi="Times New Roman"/>
          <w:b/>
          <w:i/>
          <w:sz w:val="20"/>
        </w:rPr>
      </w:pPr>
      <w:r>
        <w:rPr>
          <w:rFonts w:ascii="Times New Roman" w:hAnsi="Times New Roman"/>
          <w:b/>
          <w:i/>
          <w:sz w:val="20"/>
        </w:rPr>
        <w:t xml:space="preserve">Recognition of Gain or Loss </w:t>
      </w:r>
    </w:p>
    <w:p>
      <w:pPr>
        <w:pStyle w:val="TextBody"/>
        <w:spacing w:before="90" w:after="0"/>
        <w:rPr>
          <w:rFonts w:ascii="Times New Roman" w:hAnsi="Times New Roman"/>
          <w:sz w:val="20"/>
        </w:rPr>
      </w:pPr>
      <w:r>
        <w:rPr>
          <w:rFonts w:ascii="Times New Roman" w:hAnsi="Times New Roman"/>
          <w:sz w:val="20"/>
        </w:rPr>
        <w:t xml:space="preserve">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 </w:t>
      </w:r>
    </w:p>
    <w:p>
      <w:pPr>
        <w:pStyle w:val="TextBody"/>
        <w:spacing w:before="180" w:after="0"/>
        <w:rPr>
          <w:rFonts w:ascii="Times New Roman" w:hAnsi="Times New Roman"/>
          <w:sz w:val="20"/>
        </w:rPr>
      </w:pPr>
      <w:r>
        <w:rPr>
          <w:rFonts w:ascii="Times New Roman" w:hAnsi="Times New Roman"/>
          <w:sz w:val="20"/>
        </w:rPr>
        <w:t xml:space="preserve">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 </w:t>
      </w:r>
    </w:p>
    <w:p>
      <w:pPr>
        <w:pStyle w:val="TextBody"/>
        <w:spacing w:before="180" w:after="0"/>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 </w:t>
      </w:r>
    </w:p>
    <w:p>
      <w:pPr>
        <w:pStyle w:val="TextBody"/>
        <w:spacing w:before="180" w:after="0"/>
        <w:rPr>
          <w:rFonts w:ascii="Times New Roman" w:hAnsi="Times New Roman"/>
          <w:sz w:val="20"/>
        </w:rPr>
      </w:pPr>
      <w:r>
        <w:rPr>
          <w:rFonts w:ascii="Times New Roman" w:hAnsi="Times New Roman"/>
          <w:sz w:val="20"/>
        </w:rPr>
        <w:t xml:space="preserve">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 </w:t>
      </w:r>
    </w:p>
    <w:p>
      <w:pPr>
        <w:pStyle w:val="TextBody"/>
        <w:spacing w:before="180" w:after="0"/>
        <w:rPr>
          <w:rFonts w:ascii="Times New Roman" w:hAnsi="Times New Roman"/>
          <w:sz w:val="20"/>
        </w:rPr>
      </w:pPr>
      <w:r>
        <w:rPr>
          <w:rFonts w:ascii="Times New Roman" w:hAnsi="Times New Roman"/>
          <w:sz w:val="20"/>
        </w:rPr>
        <w:t xml:space="preserve">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short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spacing w:before="180" w:after="0"/>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Allocations Between Transferors and Transferee </w:t>
      </w:r>
    </w:p>
    <w:p>
      <w:pPr>
        <w:pStyle w:val="TextBody"/>
        <w:spacing w:before="90" w:after="0"/>
        <w:rPr>
          <w:rFonts w:ascii="Times New Roman" w:hAnsi="Times New Roman"/>
          <w:sz w:val="20"/>
        </w:rPr>
      </w:pPr>
      <w:r>
        <w:rPr>
          <w:rFonts w:ascii="Times New Roman" w:hAnsi="Times New Roman"/>
          <w:sz w:val="20"/>
        </w:rPr>
        <w:t xml:space="preserve">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 </w:t>
      </w:r>
    </w:p>
    <w:p>
      <w:pPr>
        <w:pStyle w:val="TextBody"/>
        <w:spacing w:before="180" w:after="0"/>
        <w:rPr>
          <w:rFonts w:ascii="Times New Roman" w:hAnsi="Times New Roman"/>
          <w:sz w:val="20"/>
        </w:rPr>
      </w:pPr>
      <w:r>
        <w:rPr>
          <w:rFonts w:ascii="Times New Roman" w:hAnsi="Times New Roman"/>
          <w:sz w:val="20"/>
        </w:rPr>
        <w:t xml:space="preserve">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 </w:t>
      </w:r>
    </w:p>
    <w:p>
      <w:pPr>
        <w:pStyle w:val="TextBody"/>
        <w:spacing w:before="180" w:after="0"/>
        <w:rPr>
          <w:rFonts w:ascii="Times New Roman" w:hAnsi="Times New Roman"/>
          <w:sz w:val="20"/>
        </w:rPr>
      </w:pPr>
      <w:r>
        <w:rPr>
          <w:rFonts w:ascii="Times New Roman" w:hAnsi="Times New Roman"/>
          <w:sz w:val="20"/>
        </w:rPr>
        <w:t xml:space="preserve">A unitholder who disposes of units prior to the record date set for a cash distribution for that quarter will be allocated items of our income, gain, loss and deduction attributable to the month of disposition but will not be entitled to receive a cash distribution for that period. </w:t>
      </w:r>
    </w:p>
    <w:p>
      <w:pPr>
        <w:pStyle w:val="TextBody"/>
        <w:spacing w:before="270" w:after="0"/>
        <w:rPr>
          <w:rFonts w:ascii="Times New Roman" w:hAnsi="Times New Roman"/>
          <w:b/>
          <w:i/>
          <w:sz w:val="20"/>
        </w:rPr>
      </w:pPr>
      <w:r>
        <w:rPr>
          <w:rFonts w:ascii="Times New Roman" w:hAnsi="Times New Roman"/>
          <w:b/>
          <w:i/>
          <w:sz w:val="20"/>
        </w:rPr>
        <w:t xml:space="preserve">Notification Requirements </w:t>
      </w:r>
    </w:p>
    <w:p>
      <w:pPr>
        <w:pStyle w:val="TextBody"/>
        <w:spacing w:before="90" w:after="0"/>
        <w:rPr>
          <w:rFonts w:ascii="Times New Roman" w:hAnsi="Times New Roman"/>
          <w:sz w:val="20"/>
        </w:rPr>
      </w:pPr>
      <w:r>
        <w:rPr>
          <w:rFonts w:ascii="Times New Roman" w:hAnsi="Times New Roman"/>
          <w:sz w:val="20"/>
        </w:rPr>
        <w:t xml:space="preserve">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 </w:t>
      </w:r>
    </w:p>
    <w:p>
      <w:pPr>
        <w:pStyle w:val="TextBody"/>
        <w:spacing w:before="270" w:after="0"/>
        <w:rPr>
          <w:rFonts w:ascii="Times New Roman" w:hAnsi="Times New Roman"/>
          <w:b/>
          <w:i/>
          <w:sz w:val="20"/>
        </w:rPr>
      </w:pPr>
      <w:r>
        <w:rPr>
          <w:rFonts w:ascii="Times New Roman" w:hAnsi="Times New Roman"/>
          <w:b/>
          <w:i/>
          <w:sz w:val="20"/>
        </w:rPr>
        <w:t xml:space="preserve">Constructive Termination </w:t>
      </w:r>
    </w:p>
    <w:p>
      <w:pPr>
        <w:pStyle w:val="TextBody"/>
        <w:spacing w:before="90" w:after="0"/>
        <w:rPr>
          <w:rFonts w:ascii="Times New Roman" w:hAnsi="Times New Roman"/>
          <w:sz w:val="20"/>
        </w:rPr>
      </w:pPr>
      <w:r>
        <w:rPr>
          <w:rFonts w:ascii="Times New Roman" w:hAnsi="Times New Roman"/>
          <w:sz w:val="20"/>
        </w:rPr>
        <w:t xml:space="preserve">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 </w:t>
      </w:r>
    </w:p>
    <w:p>
      <w:pPr>
        <w:pStyle w:val="TextBody"/>
        <w:spacing w:before="180" w:after="0"/>
        <w:rPr>
          <w:rFonts w:ascii="Times New Roman" w:hAnsi="Times New Roman"/>
          <w:sz w:val="20"/>
        </w:rPr>
      </w:pPr>
      <w:r>
        <w:rPr>
          <w:rFonts w:ascii="Times New Roman" w:hAnsi="Times New Roman"/>
          <w:sz w:val="20"/>
        </w:rPr>
        <w:t xml:space="preserve">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Moreover, a termination may either accelerate the application of, or subject us to, any tax legislation enacted before the termination that would not otherwise have been applied to us as a continuing as opposed to a terminating partnership. </w:t>
      </w:r>
    </w:p>
    <w:p>
      <w:pPr>
        <w:pStyle w:val="TextBody"/>
        <w:spacing w:before="270" w:after="0"/>
        <w:rPr>
          <w:rFonts w:ascii="Times New Roman" w:hAnsi="Times New Roman"/>
          <w:b/>
          <w:i/>
          <w:sz w:val="20"/>
        </w:rPr>
      </w:pPr>
      <w:r>
        <w:rPr>
          <w:rFonts w:ascii="Times New Roman" w:hAnsi="Times New Roman"/>
          <w:b/>
          <w:i/>
          <w:sz w:val="20"/>
        </w:rPr>
        <w:t xml:space="preserve">Uniformity of Units </w:t>
      </w:r>
    </w:p>
    <w:p>
      <w:pPr>
        <w:pStyle w:val="TextBody"/>
        <w:spacing w:before="90" w:after="0"/>
        <w:rPr>
          <w:rFonts w:ascii="Times New Roman" w:hAnsi="Times New Roman"/>
          <w:sz w:val="20"/>
        </w:rPr>
      </w:pPr>
      <w:r>
        <w:rPr>
          <w:rFonts w:ascii="Times New Roman" w:hAnsi="Times New Roman"/>
          <w:sz w:val="20"/>
        </w:rPr>
        <w:t xml:space="preserve">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 </w:t>
      </w:r>
    </w:p>
    <w:p>
      <w:pPr>
        <w:pStyle w:val="TextBody"/>
        <w:spacing w:before="180" w:after="0"/>
        <w:rPr>
          <w:rFonts w:ascii="Times New Roman" w:hAnsi="Times New Roman"/>
          <w:sz w:val="20"/>
        </w:rPr>
      </w:pPr>
      <w:r>
        <w:rPr>
          <w:rFonts w:ascii="Times New Roman" w:hAnsi="Times New Roman"/>
          <w:sz w:val="20"/>
        </w:rPr>
        <w:t xml:space="preserve">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 </w:t>
      </w:r>
    </w:p>
    <w:p>
      <w:pPr>
        <w:pStyle w:val="TextBody"/>
        <w:spacing w:before="180" w:after="0"/>
        <w:rPr>
          <w:rFonts w:ascii="Times New Roman" w:hAnsi="Times New Roman"/>
          <w:sz w:val="20"/>
        </w:rPr>
      </w:pPr>
      <w:r>
        <w:rPr>
          <w:rFonts w:ascii="Times New Roman" w:hAnsi="Times New Roman"/>
          <w:sz w:val="20"/>
        </w:rPr>
        <w:t xml:space="preserve">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 </w:t>
      </w:r>
    </w:p>
    <w:p>
      <w:pPr>
        <w:pStyle w:val="TextBody"/>
        <w:spacing w:before="270" w:after="0"/>
        <w:rPr>
          <w:rFonts w:ascii="Times New Roman" w:hAnsi="Times New Roman"/>
          <w:b/>
          <w:i/>
          <w:sz w:val="20"/>
        </w:rPr>
      </w:pPr>
      <w:r>
        <w:rPr>
          <w:rFonts w:ascii="Times New Roman" w:hAnsi="Times New Roman"/>
          <w:b/>
          <w:i/>
          <w:sz w:val="20"/>
        </w:rPr>
        <w:t xml:space="preserve">Tax-Exempt Organizations and Other Investors </w:t>
      </w:r>
    </w:p>
    <w:p>
      <w:pPr>
        <w:pStyle w:val="TextBody"/>
        <w:spacing w:before="90" w:after="0"/>
        <w:rPr>
          <w:rFonts w:ascii="Times New Roman" w:hAnsi="Times New Roman"/>
          <w:sz w:val="20"/>
        </w:rPr>
      </w:pPr>
      <w:r>
        <w:rPr>
          <w:rFonts w:ascii="Times New Roman" w:hAnsi="Times New Roman"/>
          <w:sz w:val="20"/>
        </w:rPr>
        <w:t xml:space="preserve">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w:t>
      </w:r>
    </w:p>
    <w:p>
      <w:pPr>
        <w:pStyle w:val="TextBody"/>
        <w:spacing w:before="180" w:after="0"/>
        <w:rPr>
          <w:rFonts w:ascii="Times New Roman" w:hAnsi="Times New Roman"/>
          <w:sz w:val="20"/>
        </w:rPr>
      </w:pPr>
      <w:r>
        <w:rPr>
          <w:rFonts w:ascii="Times New Roman" w:hAnsi="Times New Roman"/>
          <w:sz w:val="20"/>
        </w:rPr>
        <w:t xml:space="preserve">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 </w:t>
      </w:r>
    </w:p>
    <w:p>
      <w:pPr>
        <w:pStyle w:val="TextBody"/>
        <w:spacing w:before="180" w:after="0"/>
        <w:rPr>
          <w:rFonts w:ascii="Times New Roman" w:hAnsi="Times New Roman"/>
          <w:sz w:val="20"/>
        </w:rPr>
      </w:pPr>
      <w:r>
        <w:rPr>
          <w:rFonts w:ascii="Times New Roman" w:hAnsi="Times New Roman"/>
          <w:sz w:val="20"/>
        </w:rPr>
        <w:t xml:space="preserve">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 </w:t>
      </w:r>
    </w:p>
    <w:p>
      <w:pPr>
        <w:pStyle w:val="TextBody"/>
        <w:spacing w:before="270" w:after="0"/>
        <w:rPr>
          <w:rFonts w:ascii="Times New Roman" w:hAnsi="Times New Roman"/>
          <w:b/>
          <w:i/>
          <w:sz w:val="20"/>
        </w:rPr>
      </w:pPr>
      <w:r>
        <w:rPr>
          <w:rFonts w:ascii="Times New Roman" w:hAnsi="Times New Roman"/>
          <w:b/>
          <w:i/>
          <w:sz w:val="20"/>
        </w:rPr>
        <w:t xml:space="preserve">Administrative Matters </w:t>
      </w:r>
    </w:p>
    <w:p>
      <w:pPr>
        <w:pStyle w:val="TextBody"/>
        <w:spacing w:before="90" w:after="0"/>
        <w:rPr>
          <w:rFonts w:ascii="Times New Roman" w:hAnsi="Times New Roman"/>
          <w:b/>
          <w:i/>
          <w:sz w:val="20"/>
        </w:rPr>
      </w:pPr>
      <w:r>
        <w:rPr>
          <w:rFonts w:ascii="Times New Roman" w:hAnsi="Times New Roman"/>
          <w:b/>
          <w:i/>
          <w:sz w:val="20"/>
        </w:rPr>
        <w:t xml:space="preserve">Information Returns and Audit Procedures </w:t>
      </w:r>
    </w:p>
    <w:p>
      <w:pPr>
        <w:pStyle w:val="TextBody"/>
        <w:spacing w:before="90" w:after="0"/>
        <w:rPr>
          <w:rFonts w:ascii="Times New Roman" w:hAnsi="Times New Roman"/>
          <w:sz w:val="20"/>
        </w:rPr>
      </w:pPr>
      <w:r>
        <w:rPr>
          <w:rFonts w:ascii="Times New Roman" w:hAnsi="Times New Roman"/>
          <w:sz w:val="20"/>
        </w:rPr>
        <w:t xml:space="preserve">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 </w:t>
      </w:r>
    </w:p>
    <w:p>
      <w:pPr>
        <w:pStyle w:val="TextBody"/>
        <w:spacing w:before="180" w:after="0"/>
        <w:rPr>
          <w:rFonts w:ascii="Times New Roman" w:hAnsi="Times New Roman"/>
          <w:sz w:val="20"/>
        </w:rPr>
      </w:pPr>
      <w:r>
        <w:rPr>
          <w:rFonts w:ascii="Times New Roman" w:hAnsi="Times New Roman"/>
          <w:sz w:val="20"/>
        </w:rPr>
        <w:t xml:space="preserve">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 </w:t>
      </w:r>
    </w:p>
    <w:p>
      <w:pPr>
        <w:pStyle w:val="TextBody"/>
        <w:spacing w:before="180" w:after="0"/>
        <w:rPr>
          <w:rFonts w:ascii="Times New Roman" w:hAnsi="Times New Roman"/>
          <w:sz w:val="20"/>
        </w:rPr>
      </w:pPr>
      <w:r>
        <w:rPr>
          <w:rFonts w:ascii="Times New Roman" w:hAnsi="Times New Roman"/>
          <w:sz w:val="20"/>
        </w:rPr>
        <w:t xml:space="preserve">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 </w:t>
      </w:r>
    </w:p>
    <w:p>
      <w:pPr>
        <w:pStyle w:val="TextBody"/>
        <w:spacing w:before="180" w:after="0"/>
        <w:rPr>
          <w:rFonts w:ascii="Times New Roman" w:hAnsi="Times New Roman"/>
          <w:sz w:val="20"/>
        </w:rPr>
      </w:pPr>
      <w:r>
        <w:rPr>
          <w:rFonts w:ascii="Times New Roman" w:hAnsi="Times New Roman"/>
          <w:sz w:val="20"/>
        </w:rPr>
        <w:t xml:space="preserve">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 </w:t>
      </w:r>
    </w:p>
    <w:p>
      <w:pPr>
        <w:pStyle w:val="TextBody"/>
        <w:spacing w:before="180" w:after="0"/>
        <w:rPr>
          <w:rFonts w:ascii="Times New Roman" w:hAnsi="Times New Roman"/>
          <w:sz w:val="20"/>
        </w:rPr>
      </w:pPr>
      <w:r>
        <w:rPr>
          <w:rFonts w:ascii="Times New Roman" w:hAnsi="Times New Roman"/>
          <w:sz w:val="20"/>
        </w:rPr>
        <w:t xml:space="preserve">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Nominee Reporting </w:t>
      </w:r>
    </w:p>
    <w:p>
      <w:pPr>
        <w:pStyle w:val="TextBody"/>
        <w:spacing w:before="90" w:after="0"/>
        <w:rPr>
          <w:rFonts w:ascii="Times New Roman" w:hAnsi="Times New Roman"/>
          <w:sz w:val="20"/>
        </w:rPr>
      </w:pPr>
      <w:r>
        <w:rPr>
          <w:rFonts w:ascii="Times New Roman" w:hAnsi="Times New Roman"/>
          <w:sz w:val="20"/>
        </w:rPr>
        <w:t xml:space="preserve">Persons who hold an interest in us as a nominee for another person are required to furnish to us: </w:t>
      </w:r>
    </w:p>
    <w:p>
      <w:pPr>
        <w:pStyle w:val="TextBody"/>
        <w:spacing w:before="90" w:after="0"/>
        <w:rPr>
          <w:rFonts w:ascii="Times New Roman" w:hAnsi="Times New Roman"/>
          <w:sz w:val="20"/>
        </w:rPr>
      </w:pPr>
      <w:r>
        <w:rPr>
          <w:rFonts w:ascii="Times New Roman" w:hAnsi="Times New Roman"/>
          <w:sz w:val="20"/>
        </w:rPr>
        <w:t xml:space="preserve">(1) the name, address and taxpayer identification number of the beneficial owner and the nominee; </w:t>
      </w:r>
    </w:p>
    <w:p>
      <w:pPr>
        <w:pStyle w:val="TextBody"/>
        <w:spacing w:before="90" w:after="0"/>
        <w:rPr>
          <w:rFonts w:ascii="Times New Roman" w:hAnsi="Times New Roman"/>
          <w:sz w:val="20"/>
        </w:rPr>
      </w:pPr>
      <w:r>
        <w:rPr>
          <w:rFonts w:ascii="Times New Roman" w:hAnsi="Times New Roman"/>
          <w:sz w:val="20"/>
        </w:rPr>
        <w:t xml:space="preserve">(2) a statement regarding whether the beneficial owner is: </w:t>
      </w:r>
    </w:p>
    <w:p>
      <w:pPr>
        <w:pStyle w:val="TextBody"/>
        <w:spacing w:before="90" w:after="0"/>
        <w:rPr>
          <w:rFonts w:ascii="Times New Roman" w:hAnsi="Times New Roman"/>
          <w:sz w:val="20"/>
        </w:rPr>
      </w:pPr>
      <w:r>
        <w:rPr>
          <w:rFonts w:ascii="Times New Roman" w:hAnsi="Times New Roman"/>
          <w:sz w:val="20"/>
        </w:rPr>
        <w:t xml:space="preserve">(a) a non-U.S. person; </w:t>
      </w:r>
    </w:p>
    <w:p>
      <w:pPr>
        <w:pStyle w:val="TextBody"/>
        <w:spacing w:before="90" w:after="0"/>
        <w:rPr>
          <w:rFonts w:ascii="Times New Roman" w:hAnsi="Times New Roman"/>
          <w:sz w:val="20"/>
        </w:rPr>
      </w:pPr>
      <w:r>
        <w:rPr>
          <w:rFonts w:ascii="Times New Roman" w:hAnsi="Times New Roman"/>
          <w:sz w:val="20"/>
        </w:rPr>
        <w:t xml:space="preserve">(b) a non-U.S. government, an international organization or any wholly owned agency or instrumentality of either of the foregoing; or </w:t>
      </w:r>
    </w:p>
    <w:p>
      <w:pPr>
        <w:pStyle w:val="TextBody"/>
        <w:spacing w:before="90" w:after="0"/>
        <w:rPr>
          <w:rFonts w:ascii="Times New Roman" w:hAnsi="Times New Roman"/>
          <w:sz w:val="20"/>
        </w:rPr>
      </w:pPr>
      <w:r>
        <w:rPr>
          <w:rFonts w:ascii="Times New Roman" w:hAnsi="Times New Roman"/>
          <w:sz w:val="20"/>
        </w:rPr>
        <w:t xml:space="preserve">(c) a tax-exempt entity; </w:t>
      </w:r>
    </w:p>
    <w:p>
      <w:pPr>
        <w:pStyle w:val="TextBody"/>
        <w:spacing w:before="90" w:after="0"/>
        <w:rPr>
          <w:rFonts w:ascii="Times New Roman" w:hAnsi="Times New Roman"/>
          <w:sz w:val="20"/>
        </w:rPr>
      </w:pPr>
      <w:r>
        <w:rPr>
          <w:rFonts w:ascii="Times New Roman" w:hAnsi="Times New Roman"/>
          <w:sz w:val="20"/>
        </w:rPr>
        <w:t xml:space="preserve">(3) the amount and description of units held, acquired or transferred for the beneficial owner; and </w:t>
      </w:r>
    </w:p>
    <w:p>
      <w:pPr>
        <w:pStyle w:val="TextBody"/>
        <w:spacing w:before="90" w:after="0"/>
        <w:rPr>
          <w:rFonts w:ascii="Times New Roman" w:hAnsi="Times New Roman"/>
          <w:sz w:val="20"/>
        </w:rPr>
      </w:pPr>
      <w:r>
        <w:rPr>
          <w:rFonts w:ascii="Times New Roman" w:hAnsi="Times New Roman"/>
          <w:sz w:val="20"/>
        </w:rPr>
        <w:t xml:space="preserve">(4) specific information including the dates of acquisitions and transfers, means of acquisitions and transfers, and acquisition cost for purchases, as well as the amount of net proceeds from sales. </w:t>
      </w:r>
    </w:p>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 </w:t>
      </w:r>
    </w:p>
    <w:p>
      <w:pPr>
        <w:pStyle w:val="TextBody"/>
        <w:spacing w:before="270" w:after="0"/>
        <w:rPr>
          <w:rFonts w:ascii="Times New Roman" w:hAnsi="Times New Roman"/>
          <w:b/>
          <w:i/>
          <w:sz w:val="20"/>
        </w:rPr>
      </w:pPr>
      <w:r>
        <w:rPr>
          <w:rFonts w:ascii="Times New Roman" w:hAnsi="Times New Roman"/>
          <w:b/>
          <w:i/>
          <w:sz w:val="20"/>
        </w:rPr>
        <w:t xml:space="preserve">Accuracy-Related Penalties </w:t>
      </w:r>
    </w:p>
    <w:p>
      <w:pPr>
        <w:pStyle w:val="TextBody"/>
        <w:spacing w:before="90" w:after="0"/>
        <w:rPr>
          <w:rFonts w:ascii="Times New Roman" w:hAnsi="Times New Roman"/>
          <w:sz w:val="20"/>
        </w:rPr>
      </w:pPr>
      <w:r>
        <w:rPr>
          <w:rFonts w:ascii="Times New Roman" w:hAnsi="Times New Roman"/>
          <w:sz w:val="20"/>
        </w:rPr>
        <w:t xml:space="preserve">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 </w:t>
      </w:r>
    </w:p>
    <w:p>
      <w:pPr>
        <w:pStyle w:val="TextBody"/>
        <w:spacing w:before="270" w:after="0"/>
        <w:rPr>
          <w:rFonts w:ascii="Times New Roman" w:hAnsi="Times New Roman"/>
          <w:b/>
          <w:i/>
          <w:sz w:val="20"/>
        </w:rPr>
      </w:pPr>
      <w:r>
        <w:rPr>
          <w:rFonts w:ascii="Times New Roman" w:hAnsi="Times New Roman"/>
          <w:b/>
          <w:i/>
          <w:sz w:val="20"/>
        </w:rPr>
        <w:t xml:space="preserve">State, Local and Other Tax Considerations </w:t>
      </w:r>
    </w:p>
    <w:p>
      <w:pPr>
        <w:pStyle w:val="TextBody"/>
        <w:spacing w:before="90" w:after="0"/>
        <w:rPr>
          <w:rFonts w:ascii="Times New Roman" w:hAnsi="Times New Roman"/>
          <w:sz w:val="20"/>
        </w:rPr>
      </w:pPr>
      <w:r>
        <w:rPr>
          <w:rFonts w:ascii="Times New Roman" w:hAnsi="Times New Roman"/>
          <w:sz w:val="20"/>
        </w:rPr>
        <w:t xml:space="preserve">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 </w:t>
      </w:r>
    </w:p>
    <w:p>
      <w:pPr>
        <w:pStyle w:val="TextBody"/>
        <w:spacing w:before="270" w:after="0"/>
        <w:rPr>
          <w:rFonts w:ascii="Times New Roman" w:hAnsi="Times New Roman"/>
          <w:b/>
          <w:i/>
          <w:sz w:val="20"/>
        </w:rPr>
      </w:pPr>
      <w:r>
        <w:rPr>
          <w:rFonts w:ascii="Times New Roman" w:hAnsi="Times New Roman"/>
          <w:b/>
          <w:i/>
          <w:sz w:val="20"/>
        </w:rPr>
        <w:t xml:space="preserve">Tax Consequences of Ownership of Debt Securities </w:t>
      </w:r>
    </w:p>
    <w:p>
      <w:pPr>
        <w:pStyle w:val="TextBody"/>
        <w:spacing w:before="90" w:after="0"/>
        <w:rPr>
          <w:rFonts w:ascii="Times New Roman" w:hAnsi="Times New Roman"/>
          <w:sz w:val="20"/>
        </w:rPr>
      </w:pPr>
      <w:r>
        <w:rPr>
          <w:rFonts w:ascii="Times New Roman" w:hAnsi="Times New Roman"/>
          <w:sz w:val="20"/>
        </w:rPr>
        <w:t xml:space="preserve">A description of the material U.S. federal income tax consequences of the acquisition, ownership, and disposition of any series of debt securities will be set forth in the prospectus supplement relating to the offering of such debt securities. </w:t>
      </w:r>
    </w:p>
    <w:p>
      <w:pPr>
        <w:pStyle w:val="TextBody"/>
        <w:spacing w:before="180" w:after="0"/>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toc542969_13"/>
      <w:bookmarkEnd w:id="25"/>
      <w:r>
        <w:rPr>
          <w:rFonts w:ascii="Times New Roman" w:hAnsi="Times New Roman"/>
          <w:b/>
          <w:sz w:val="20"/>
        </w:rPr>
        <w:t xml:space="preserve">Plan of Distribution </w:t>
      </w:r>
    </w:p>
    <w:p>
      <w:pPr>
        <w:pStyle w:val="TextBody"/>
        <w:spacing w:before="90" w:after="0"/>
        <w:rPr>
          <w:rFonts w:ascii="Times New Roman" w:hAnsi="Times New Roman"/>
          <w:sz w:val="20"/>
        </w:rPr>
      </w:pPr>
      <w:r>
        <w:rPr>
          <w:rFonts w:ascii="Times New Roman" w:hAnsi="Times New Roman"/>
          <w:sz w:val="20"/>
        </w:rPr>
        <w:t xml:space="preserve">Under this prospectus, we intend to offer our securities to the public: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one or more broker-dealers;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underwriters;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directly to investors. </w:t>
            </w:r>
          </w:p>
        </w:tc>
      </w:tr>
    </w:tbl>
    <w:p>
      <w:pPr>
        <w:pStyle w:val="TextBody"/>
        <w:spacing w:before="180" w:after="0"/>
        <w:rPr>
          <w:rFonts w:ascii="Times New Roman" w:hAnsi="Times New Roman"/>
          <w:sz w:val="20"/>
        </w:rPr>
      </w:pPr>
      <w:r>
        <w:rPr>
          <w:rFonts w:ascii="Times New Roman" w:hAnsi="Times New Roman"/>
          <w:sz w:val="20"/>
        </w:rPr>
        <w:t xml:space="preserve">We will fix a price or prices of our securities 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market prices prevailing at the time of any sale under this registration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prices related to market prices;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negotiated prices. </w:t>
            </w:r>
          </w:p>
        </w:tc>
      </w:tr>
    </w:tbl>
    <w:p>
      <w:pPr>
        <w:pStyle w:val="TextBody"/>
        <w:spacing w:before="180" w:after="0"/>
        <w:rPr>
          <w:rFonts w:ascii="Times New Roman" w:hAnsi="Times New Roman"/>
          <w:sz w:val="20"/>
        </w:rPr>
      </w:pPr>
      <w:r>
        <w:rPr>
          <w:rFonts w:ascii="Times New Roman" w:hAnsi="Times New Roman"/>
          <w:sz w:val="20"/>
        </w:rPr>
        <w:t xml:space="preserve">We may change the price of the securities offered from time to time. </w:t>
      </w:r>
    </w:p>
    <w:p>
      <w:pPr>
        <w:pStyle w:val="TextBody"/>
        <w:spacing w:before="180" w:after="0"/>
        <w:rPr>
          <w:rFonts w:ascii="Times New Roman" w:hAnsi="Times New Roman"/>
          <w:sz w:val="20"/>
        </w:rPr>
      </w:pPr>
      <w:r>
        <w:rPr>
          <w:rFonts w:ascii="Times New Roman" w:hAnsi="Times New Roman"/>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or through one or more transactions (which may involve crosses and block transactions) or distributions;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the New York Stock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over-the-counter market;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private transactions. </w:t>
            </w:r>
          </w:p>
        </w:tc>
      </w:tr>
    </w:tbl>
    <w:p>
      <w:pPr>
        <w:pStyle w:val="TextBody"/>
        <w:spacing w:before="180" w:after="0"/>
        <w:rPr>
          <w:rFonts w:ascii="Times New Roman" w:hAnsi="Times New Roman"/>
          <w:sz w:val="20"/>
        </w:rPr>
      </w:pPr>
      <w:r>
        <w:rPr>
          <w:rFonts w:ascii="Times New Roman" w:hAnsi="Times New Roman"/>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80" w:after="0"/>
        <w:rPr>
          <w:rFonts w:ascii="Times New Roman" w:hAnsi="Times New Roman"/>
          <w:sz w:val="20"/>
        </w:rPr>
      </w:pPr>
      <w:r>
        <w:rPr>
          <w:rFonts w:ascii="Times New Roman" w:hAnsi="Times New Roman"/>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80" w:after="0"/>
        <w:rPr>
          <w:rFonts w:ascii="Times New Roman" w:hAnsi="Times New Roman"/>
          <w:sz w:val="20"/>
        </w:rPr>
      </w:pPr>
      <w:r>
        <w:rPr>
          <w:rFonts w:ascii="Times New Roman" w:hAnsi="Times New Roman"/>
          <w:sz w:val="20"/>
        </w:rPr>
        <w:t xml:space="preserve">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 </w:t>
      </w:r>
    </w:p>
    <w:p>
      <w:pPr>
        <w:pStyle w:val="TextBody"/>
        <w:spacing w:before="180" w:after="0"/>
        <w:rPr>
          <w:rFonts w:ascii="Times New Roman" w:hAnsi="Times New Roman"/>
          <w:sz w:val="20"/>
        </w:rPr>
      </w:pPr>
      <w:r>
        <w:rPr>
          <w:rFonts w:ascii="Times New Roman" w:hAnsi="Times New Roman"/>
          <w:sz w:val="20"/>
        </w:rPr>
        <w:t xml:space="preserve">We may offer our units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aggregate maximum compensation the underwriters will receive in connection with the sale of any securities under this prospectus and the registration statement of which it forms a part will not exceed 8% of the gross proceeds from the sale. </w:t>
      </w:r>
    </w:p>
    <w:p>
      <w:pPr>
        <w:pStyle w:val="TextBody"/>
        <w:spacing w:before="180" w:after="0"/>
        <w:rPr>
          <w:rFonts w:ascii="Times New Roman" w:hAnsi="Times New Roman"/>
          <w:sz w:val="20"/>
        </w:rPr>
      </w:pPr>
      <w:r>
        <w:rPr>
          <w:rFonts w:ascii="Times New Roman" w:hAnsi="Times New Roman"/>
          <w:sz w:val="20"/>
        </w:rPr>
        <w:t xml:space="preserve">Because FINRA views our common units as interests in a direct participation program, any offering of common units under the registration statement of which this prospectus forms a part will be made in compliance with Rule 2310 of the FINRA Rules. </w:t>
      </w:r>
    </w:p>
    <w:p>
      <w:pPr>
        <w:pStyle w:val="TextBody"/>
        <w:spacing w:before="180" w:after="0"/>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spacing w:before="180" w:after="0"/>
        <w:rPr>
          <w:rFonts w:ascii="Times New Roman" w:hAnsi="Times New Roman"/>
          <w:sz w:val="20"/>
        </w:rPr>
      </w:pPr>
      <w:r>
        <w:rPr>
          <w:rFonts w:ascii="Times New Roman" w:hAnsi="Times New Roman"/>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toc542969_14"/>
      <w:bookmarkEnd w:id="26"/>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360" w:after="0"/>
        <w:jc w:val="center"/>
        <w:rPr>
          <w:rFonts w:ascii="Times New Roman" w:hAnsi="Times New Roman"/>
          <w:b/>
          <w:sz w:val="20"/>
        </w:rPr>
      </w:pPr>
      <w:bookmarkStart w:id="27" w:name="toc542969_15"/>
      <w:bookmarkEnd w:id="27"/>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4" w:space="1" w:color="000000"/>
        </w:pBdr>
        <w:spacing w:before="0" w:after="30"/>
        <w:rPr/>
      </w:pPr>
      <w:r>
        <w:rPr/>
        <w:t> </w:t>
      </w:r>
    </w:p>
    <w:p>
      <w:pPr>
        <w:pStyle w:val="TextBody"/>
        <w:spacing w:before="1200" w:after="0"/>
        <w:jc w:val="center"/>
        <w:rPr>
          <w:rFonts w:ascii="Times New Roman" w:hAnsi="Times New Roman"/>
          <w:b/>
          <w:sz w:val="28"/>
        </w:rPr>
      </w:pPr>
      <w:r>
        <w:rPr>
          <w:rFonts w:ascii="Times New Roman" w:hAnsi="Times New Roman"/>
          <w:b/>
          <w:sz w:val="28"/>
        </w:rPr>
        <w:t xml:space="preserve">Common Units </w:t>
      </w:r>
    </w:p>
    <w:p>
      <w:pPr>
        <w:pStyle w:val="TextBody"/>
        <w:spacing w:before="30" w:after="0"/>
        <w:jc w:val="center"/>
        <w:rPr>
          <w:rFonts w:ascii="Times New Roman" w:hAnsi="Times New Roman"/>
          <w:b/>
          <w:sz w:val="28"/>
        </w:rPr>
      </w:pPr>
      <w:r>
        <w:rPr>
          <w:rFonts w:ascii="Times New Roman" w:hAnsi="Times New Roman"/>
          <w:b/>
          <w:sz w:val="28"/>
        </w:rPr>
        <w:t xml:space="preserve">Representing Limited Partner Interests </w:t>
      </w:r>
    </w:p>
    <w:p>
      <w:pPr>
        <w:pStyle w:val="TextBody"/>
        <w:spacing w:before="30" w:after="0"/>
        <w:jc w:val="center"/>
        <w:rPr>
          <w:rFonts w:ascii="Times New Roman" w:hAnsi="Times New Roman"/>
          <w:b/>
          <w:sz w:val="28"/>
        </w:rPr>
      </w:pPr>
      <w:r>
        <w:rPr>
          <w:rFonts w:ascii="Times New Roman" w:hAnsi="Times New Roman"/>
          <w:b/>
          <w:sz w:val="28"/>
        </w:rPr>
        <w:t xml:space="preserve">Having an Aggregate Offering Price of Up to </w:t>
      </w:r>
    </w:p>
    <w:p>
      <w:pPr>
        <w:pStyle w:val="TextBody"/>
        <w:spacing w:before="30" w:after="0"/>
        <w:jc w:val="center"/>
        <w:rPr>
          <w:rFonts w:ascii="Times New Roman" w:hAnsi="Times New Roman"/>
          <w:b/>
          <w:sz w:val="28"/>
        </w:rPr>
      </w:pPr>
      <w:r>
        <w:rPr>
          <w:rFonts w:ascii="Times New Roman" w:hAnsi="Times New Roman"/>
          <w:b/>
          <w:sz w:val="28"/>
        </w:rPr>
        <w:t xml:space="preserve">$750,000,000 </w:t>
      </w:r>
    </w:p>
    <w:p>
      <w:pPr>
        <w:pStyle w:val="TextBody"/>
        <w:spacing w:before="0" w:after="0"/>
        <w:rPr/>
      </w:pPr>
      <w:r>
        <w:rPr/>
        <w:t> </w:t>
      </w:r>
    </w:p>
    <w:p>
      <w:pPr>
        <w:pStyle w:val="TextBody"/>
        <w:spacing w:before="0" w:after="0"/>
        <w:rPr/>
      </w:pPr>
      <w:r>
        <w:rPr/>
        <w:t> </w:t>
      </w:r>
    </w:p>
    <w:p>
      <w:pPr>
        <w:pStyle w:val="TextBody"/>
        <w:spacing w:before="0" w:after="0"/>
        <w:jc w:val="center"/>
        <w:rPr/>
      </w:pPr>
      <w:r>
        <w:rPr/>
        <w:drawing>
          <wp:inline distT="0" distB="0" distL="0" distR="0">
            <wp:extent cx="188595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609600"/>
                    </a:xfrm>
                    <a:prstGeom prst="rect">
                      <a:avLst/>
                    </a:prstGeom>
                  </pic:spPr>
                </pic:pic>
              </a:graphicData>
            </a:graphic>
          </wp:inline>
        </w:drawing>
      </w:r>
      <w:r>
        <w:rPr/>
        <w:t xml:space="preserve">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27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jc w:val="center"/>
        <w:rPr>
          <w:rFonts w:ascii="Times New Roman" w:hAnsi="Times New Roman"/>
          <w:b/>
          <w:sz w:val="20"/>
        </w:rPr>
      </w:pPr>
      <w:r>
        <w:rPr>
          <w:rFonts w:ascii="Times New Roman" w:hAnsi="Times New Roman"/>
          <w:b/>
          <w:sz w:val="20"/>
        </w:rPr>
        <w:t xml:space="preserve">May 28, 2013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360" w:after="0"/>
        <w:jc w:val="center"/>
        <w:rPr>
          <w:rFonts w:ascii="Times New Roman" w:hAnsi="Times New Roman"/>
          <w:b/>
          <w:sz w:val="20"/>
        </w:rPr>
      </w:pPr>
      <w:r>
        <w:rPr>
          <w:rFonts w:ascii="Times New Roman" w:hAnsi="Times New Roman"/>
          <w:b/>
          <w:sz w:val="20"/>
        </w:rPr>
        <w:t xml:space="preserve">Citigroup </w:t>
      </w:r>
    </w:p>
    <w:p>
      <w:pPr>
        <w:pStyle w:val="TextBody"/>
        <w:spacing w:before="150" w:after="0"/>
        <w:jc w:val="center"/>
        <w:rPr>
          <w:rFonts w:ascii="Times New Roman" w:hAnsi="Times New Roman"/>
          <w:b/>
          <w:sz w:val="20"/>
        </w:rPr>
      </w:pPr>
      <w:r>
        <w:rPr>
          <w:rFonts w:ascii="Times New Roman" w:hAnsi="Times New Roman"/>
          <w:b/>
          <w:sz w:val="20"/>
        </w:rPr>
        <w:t xml:space="preserve">Barclays </w:t>
      </w:r>
    </w:p>
    <w:p>
      <w:pPr>
        <w:pStyle w:val="TextBody"/>
        <w:spacing w:before="150" w:after="0"/>
        <w:jc w:val="center"/>
        <w:rPr>
          <w:rFonts w:ascii="Times New Roman" w:hAnsi="Times New Roman"/>
          <w:b/>
          <w:sz w:val="20"/>
        </w:rPr>
      </w:pPr>
      <w:r>
        <w:rPr>
          <w:rFonts w:ascii="Times New Roman" w:hAnsi="Times New Roman"/>
          <w:b/>
          <w:sz w:val="20"/>
        </w:rPr>
        <w:t xml:space="preserve">BMO Capital Markets </w:t>
      </w:r>
    </w:p>
    <w:p>
      <w:pPr>
        <w:pStyle w:val="TextBody"/>
        <w:spacing w:before="150" w:after="0"/>
        <w:jc w:val="center"/>
        <w:rPr>
          <w:rFonts w:ascii="Times New Roman" w:hAnsi="Times New Roman"/>
          <w:b/>
          <w:sz w:val="20"/>
        </w:rPr>
      </w:pPr>
      <w:r>
        <w:rPr>
          <w:rFonts w:ascii="Times New Roman" w:hAnsi="Times New Roman"/>
          <w:b/>
          <w:sz w:val="20"/>
        </w:rPr>
        <w:t xml:space="preserve">J.P. Morgan </w:t>
      </w:r>
    </w:p>
    <w:p>
      <w:pPr>
        <w:pStyle w:val="TextBody"/>
        <w:spacing w:before="150" w:after="0"/>
        <w:jc w:val="center"/>
        <w:rPr>
          <w:rFonts w:ascii="Times New Roman" w:hAnsi="Times New Roman"/>
          <w:b/>
          <w:sz w:val="20"/>
        </w:rPr>
      </w:pPr>
      <w:r>
        <w:rPr>
          <w:rFonts w:ascii="Times New Roman" w:hAnsi="Times New Roman"/>
          <w:b/>
          <w:sz w:val="20"/>
        </w:rPr>
        <w:t xml:space="preserve">BofA Merrill Lynch </w:t>
      </w:r>
    </w:p>
    <w:p>
      <w:pPr>
        <w:pStyle w:val="TextBody"/>
        <w:spacing w:before="150" w:after="0"/>
        <w:jc w:val="center"/>
        <w:rPr>
          <w:rFonts w:ascii="Times New Roman" w:hAnsi="Times New Roman"/>
          <w:b/>
          <w:sz w:val="20"/>
        </w:rPr>
      </w:pPr>
      <w:r>
        <w:rPr>
          <w:rFonts w:ascii="Times New Roman" w:hAnsi="Times New Roman"/>
          <w:b/>
          <w:sz w:val="20"/>
        </w:rPr>
        <w:t xml:space="preserve">Mitsubishi UFJ Securities </w:t>
      </w:r>
    </w:p>
    <w:p>
      <w:pPr>
        <w:pStyle w:val="TextBody"/>
        <w:spacing w:before="150" w:after="0"/>
        <w:jc w:val="center"/>
        <w:rPr>
          <w:rFonts w:ascii="Times New Roman" w:hAnsi="Times New Roman"/>
          <w:b/>
          <w:sz w:val="20"/>
        </w:rPr>
      </w:pPr>
      <w:r>
        <w:rPr>
          <w:rFonts w:ascii="Times New Roman" w:hAnsi="Times New Roman"/>
          <w:b/>
          <w:sz w:val="20"/>
        </w:rPr>
        <w:t xml:space="preserve">Mizuho Securities </w:t>
      </w:r>
    </w:p>
    <w:p>
      <w:pPr>
        <w:pStyle w:val="TextBody"/>
        <w:spacing w:before="150" w:after="0"/>
        <w:jc w:val="center"/>
        <w:rPr>
          <w:rFonts w:ascii="Times New Roman" w:hAnsi="Times New Roman"/>
          <w:b/>
          <w:sz w:val="20"/>
        </w:rPr>
      </w:pPr>
      <w:r>
        <w:rPr>
          <w:rFonts w:ascii="Times New Roman" w:hAnsi="Times New Roman"/>
          <w:b/>
          <w:sz w:val="20"/>
        </w:rPr>
        <w:t xml:space="preserve">Morgan Stanley </w:t>
      </w:r>
    </w:p>
    <w:p>
      <w:pPr>
        <w:pStyle w:val="TextBody"/>
        <w:spacing w:before="150" w:after="0"/>
        <w:jc w:val="center"/>
        <w:rPr>
          <w:rFonts w:ascii="Times New Roman" w:hAnsi="Times New Roman"/>
          <w:b/>
          <w:sz w:val="20"/>
        </w:rPr>
      </w:pPr>
      <w:r>
        <w:rPr>
          <w:rFonts w:ascii="Times New Roman" w:hAnsi="Times New Roman"/>
          <w:b/>
          <w:sz w:val="20"/>
        </w:rPr>
        <w:t xml:space="preserve">Raymond James </w:t>
      </w:r>
    </w:p>
    <w:p>
      <w:pPr>
        <w:pStyle w:val="TextBody"/>
        <w:spacing w:before="150" w:after="0"/>
        <w:jc w:val="center"/>
        <w:rPr>
          <w:rFonts w:ascii="Times New Roman" w:hAnsi="Times New Roman"/>
          <w:b/>
          <w:sz w:val="20"/>
        </w:rPr>
      </w:pPr>
      <w:r>
        <w:rPr>
          <w:rFonts w:ascii="Times New Roman" w:hAnsi="Times New Roman"/>
          <w:b/>
          <w:sz w:val="20"/>
        </w:rPr>
        <w:t xml:space="preserve">RBC Capital Markets </w:t>
      </w:r>
    </w:p>
    <w:p>
      <w:pPr>
        <w:pStyle w:val="TextBody"/>
        <w:spacing w:before="150" w:after="0"/>
        <w:jc w:val="center"/>
        <w:rPr>
          <w:rFonts w:ascii="Times New Roman" w:hAnsi="Times New Roman"/>
          <w:b/>
          <w:sz w:val="20"/>
        </w:rPr>
      </w:pPr>
      <w:r>
        <w:rPr>
          <w:rFonts w:ascii="Times New Roman" w:hAnsi="Times New Roman"/>
          <w:b/>
          <w:sz w:val="20"/>
        </w:rPr>
        <w:t xml:space="preserve">SOCIETE GENERALE </w:t>
      </w:r>
    </w:p>
    <w:p>
      <w:pPr>
        <w:pStyle w:val="TextBody"/>
        <w:spacing w:before="150" w:after="0"/>
        <w:jc w:val="center"/>
        <w:rPr>
          <w:rFonts w:ascii="Times New Roman" w:hAnsi="Times New Roman"/>
          <w:b/>
          <w:sz w:val="20"/>
        </w:rPr>
      </w:pPr>
      <w:r>
        <w:rPr>
          <w:rFonts w:ascii="Times New Roman" w:hAnsi="Times New Roman"/>
          <w:b/>
          <w:sz w:val="20"/>
        </w:rPr>
        <w:t xml:space="preserve">SunTrust Robinson Humphrey </w:t>
      </w:r>
    </w:p>
    <w:p>
      <w:pPr>
        <w:pStyle w:val="TextBody"/>
        <w:spacing w:before="150" w:after="0"/>
        <w:jc w:val="center"/>
        <w:rPr>
          <w:rFonts w:ascii="Times New Roman" w:hAnsi="Times New Roman"/>
          <w:b/>
          <w:sz w:val="20"/>
        </w:rPr>
      </w:pPr>
      <w:r>
        <w:rPr>
          <w:rFonts w:ascii="Times New Roman" w:hAnsi="Times New Roman"/>
          <w:b/>
          <w:sz w:val="20"/>
        </w:rPr>
        <w:t xml:space="preserve">UBS Investment Bank </w:t>
      </w:r>
    </w:p>
    <w:p>
      <w:pPr>
        <w:pStyle w:val="TextBody"/>
        <w:spacing w:before="150" w:after="0"/>
        <w:jc w:val="center"/>
        <w:rPr>
          <w:rFonts w:ascii="Times New Roman" w:hAnsi="Times New Roman"/>
          <w:b/>
          <w:sz w:val="20"/>
        </w:rPr>
      </w:pPr>
      <w:r>
        <w:rPr>
          <w:rFonts w:ascii="Times New Roman" w:hAnsi="Times New Roman"/>
          <w:b/>
          <w:sz w:val="20"/>
        </w:rPr>
        <w:t xml:space="preserve">Wells Fargo Securities </w:t>
      </w:r>
    </w:p>
    <w:p>
      <w:pPr>
        <w:pStyle w:val="TextBody"/>
        <w:spacing w:before="0" w:after="0"/>
        <w:rPr/>
      </w:pPr>
      <w:r>
        <w:rPr/>
        <w:t> </w:t>
      </w:r>
    </w:p>
    <w:p>
      <w:pPr>
        <w:pStyle w:val="TextBody"/>
        <w:pBdr>
          <w:bottom w:val="single" w:sz="4" w:space="1" w:color="000000"/>
        </w:pBdr>
        <w:spacing w:before="0" w:after="3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61</Pages>
  <Words>28779</Words>
  <CharactersWithSpaces>177457</CharactersWithSpaces>
  <Paragraphs>2143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Definitive Prospectus Supplement</dc:title>
</cp:coreProperties>
</file>