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November 5,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030"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20" w:space="720"/>
            <w:col w:w="2800" w:space="720"/>
            <w:col w:w="3060"/>
          </w:cols>
          <w:pgMar w:left="240" w:top="1030"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1030"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8"/>
        <w:spacing w:after="0" w:line="528" w:lineRule="auto"/>
        <w:tabs>
          <w:tab w:leader="none" w:pos="7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5, 2019, the Registrant issued a press release reporting its third-quarter 2019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EE"/>
        </w:rPr>
        <w:t>Exhibit 99.1 — Press Release dated November 5, 2019</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104 — Cover Page Interactive Data File (embedded within the Inline XBRL document)</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148"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PLAINS ALL AMERICAN PIPELINE, L.P.</w:t>
            </w:r>
          </w:p>
        </w:tc>
      </w:tr>
      <w:tr>
        <w:trPr>
          <w:trHeight w:val="540"/>
        </w:trPr>
        <w:tc>
          <w:tcPr>
            <w:tcW w:w="3740" w:type="dxa"/>
            <w:vAlign w:val="bottom"/>
          </w:tcPr>
          <w:p>
            <w:pPr>
              <w:spacing w:after="0"/>
              <w:rPr>
                <w:sz w:val="24"/>
                <w:szCs w:val="24"/>
                <w:color w:val="auto"/>
              </w:rPr>
            </w:pP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By:  PAA GP LLC, its general partner</w:t>
            </w:r>
          </w:p>
        </w:tc>
      </w:tr>
      <w:tr>
        <w:trPr>
          <w:trHeight w:val="540"/>
        </w:trPr>
        <w:tc>
          <w:tcPr>
            <w:tcW w:w="3740" w:type="dxa"/>
            <w:vAlign w:val="bottom"/>
          </w:tcPr>
          <w:p>
            <w:pPr>
              <w:spacing w:after="0"/>
              <w:rPr>
                <w:sz w:val="24"/>
                <w:szCs w:val="24"/>
                <w:color w:val="auto"/>
              </w:rPr>
            </w:pP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By:  PLAINS AAP, L.P., its sole member</w:t>
            </w:r>
          </w:p>
        </w:tc>
      </w:tr>
      <w:tr>
        <w:trPr>
          <w:trHeight w:val="540"/>
        </w:trPr>
        <w:tc>
          <w:tcPr>
            <w:tcW w:w="3740" w:type="dxa"/>
            <w:vAlign w:val="bottom"/>
          </w:tcPr>
          <w:p>
            <w:pPr>
              <w:spacing w:after="0"/>
              <w:rPr>
                <w:sz w:val="24"/>
                <w:szCs w:val="24"/>
                <w:color w:val="auto"/>
              </w:rPr>
            </w:pP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By:  PLAINS ALL AMERICAN GP LLC, its general partner</w:t>
            </w:r>
          </w:p>
        </w:tc>
      </w:tr>
      <w:tr>
        <w:trPr>
          <w:trHeight w:val="540"/>
        </w:trPr>
        <w:tc>
          <w:tcPr>
            <w:tcW w:w="3740" w:type="dxa"/>
            <w:vAlign w:val="bottom"/>
          </w:tcPr>
          <w:p>
            <w:pPr>
              <w:spacing w:after="0"/>
              <w:rPr>
                <w:sz w:val="20"/>
                <w:szCs w:val="20"/>
                <w:color w:val="auto"/>
              </w:rPr>
            </w:pPr>
            <w:r>
              <w:rPr>
                <w:rFonts w:ascii="Arial" w:cs="Arial" w:eastAsia="Arial" w:hAnsi="Arial"/>
                <w:sz w:val="18"/>
                <w:szCs w:val="18"/>
                <w:color w:val="auto"/>
              </w:rPr>
              <w:t>Date: November 5, 2019</w:t>
            </w: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By:  /s/ Sharon Spurlin</w:t>
            </w:r>
          </w:p>
        </w:tc>
      </w:tr>
      <w:tr>
        <w:trPr>
          <w:trHeight w:val="27"/>
        </w:trPr>
        <w:tc>
          <w:tcPr>
            <w:tcW w:w="3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Name: Sharon Spurlin</w:t>
            </w:r>
          </w:p>
        </w:tc>
      </w:tr>
      <w:tr>
        <w:trPr>
          <w:trHeight w:val="270"/>
        </w:trPr>
        <w:tc>
          <w:tcPr>
            <w:tcW w:w="37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Vice President and Treasurer</w:t>
            </w:r>
          </w:p>
        </w:tc>
      </w:tr>
      <w:tr>
        <w:trPr>
          <w:trHeight w:val="459"/>
        </w:trPr>
        <w:tc>
          <w:tcPr>
            <w:tcW w:w="37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154940</wp:posOffset>
            </wp:positionV>
            <wp:extent cx="381635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163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2019 Results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(Houston — November 5, 2019) Plains All American Pipeline, L.P. (NYSE: PAA) and Plains GP Holdings (NYSE: PAGP) today reported third-quarter 2019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3Q19: Delivered financial and operating results ahead of expectations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Full-year 2019: Increased guidance for 2019 Adjusted EBITDA and reduced guidance for 2019 capital expenditures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Executing accretive projects in a capital-efficient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Optimizing our existing systems and aligning with strategic partners throughout the industry value chain</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reported solid third-quarter results and increased Adjusted EBITDA guidance for the full year,” stated Willie Chiang, Chief Executive Officer of Plains All American Pipeline. “We ended the quarter with solid leverage metrics, more than $3 billion of committed liquidity and substantial distribution coverage. We remain focused on allocating capital in a disciplined manner. In the near-term we are positioned to grow our fee-based business in 2020 and complete multiple previously announced, highly contracted and capital efficient projects from late 2020 through 2021, which provide strong visibility for fee-based growth. Looking forward, we expect meaningful reductions in our growth capital program in 2021 and beyond as we prioritize further lowering our leverage and returning capital to investors.”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Nine Months Ended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r>
      <w:tr>
        <w:trPr>
          <w:trHeight w:val="213"/>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GAAP Results</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Borders>
              <w:bottom w:val="single" w:sz="8" w:color="CCEEFF"/>
            </w:tcBorders>
          </w:tcPr>
          <w:p>
            <w:pPr>
              <w:spacing w:after="0"/>
              <w:rPr>
                <w:sz w:val="18"/>
                <w:szCs w:val="18"/>
                <w:color w:val="auto"/>
              </w:rPr>
            </w:pPr>
          </w:p>
        </w:tc>
      </w:tr>
      <w:tr>
        <w:trPr>
          <w:trHeight w:val="19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PAA</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20" w:type="dxa"/>
            <w:vAlign w:val="bottom"/>
            <w:tcBorders>
              <w:right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4580" w:type="dxa"/>
            <w:vAlign w:val="bottom"/>
            <w:gridSpan w:val="2"/>
          </w:tcPr>
          <w:p>
            <w:pPr>
              <w:spacing w:after="0"/>
              <w:rPr>
                <w:sz w:val="20"/>
                <w:szCs w:val="20"/>
                <w:color w:val="auto"/>
              </w:rPr>
            </w:pPr>
            <w:r>
              <w:rPr>
                <w:rFonts w:ascii="Arial" w:cs="Arial" w:eastAsia="Arial" w:hAnsi="Arial"/>
                <w:sz w:val="16"/>
                <w:szCs w:val="16"/>
                <w:color w:val="auto"/>
              </w:rPr>
              <w:t>Diluted net income per common unit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0.55</w:t>
            </w:r>
          </w:p>
        </w:tc>
        <w:tc>
          <w:tcPr>
            <w:tcW w:w="3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0.87</w:t>
            </w:r>
          </w:p>
        </w:tc>
        <w:tc>
          <w:tcPr>
            <w:tcW w:w="2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62"/>
              <w:spacing w:after="0"/>
              <w:rPr>
                <w:sz w:val="20"/>
                <w:szCs w:val="20"/>
                <w:color w:val="auto"/>
              </w:rPr>
            </w:pPr>
            <w:r>
              <w:rPr>
                <w:rFonts w:ascii="Arial" w:cs="Arial" w:eastAsia="Arial" w:hAnsi="Arial"/>
                <w:sz w:val="16"/>
                <w:szCs w:val="16"/>
                <w:color w:val="auto"/>
              </w:rPr>
              <w:t>(37)%</w:t>
            </w: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75%</w:t>
            </w:r>
          </w:p>
        </w:tc>
      </w:tr>
      <w:tr>
        <w:trPr>
          <w:trHeight w:val="263"/>
        </w:trPr>
        <w:tc>
          <w:tcPr>
            <w:tcW w:w="4580" w:type="dxa"/>
            <w:vAlign w:val="bottom"/>
            <w:gridSpan w:val="2"/>
            <w:shd w:val="clear" w:color="auto" w:fill="CCEEFF"/>
          </w:tcPr>
          <w:p>
            <w:pPr>
              <w:spacing w:after="0" w:line="263" w:lineRule="exact"/>
              <w:rPr>
                <w:sz w:val="20"/>
                <w:szCs w:val="20"/>
                <w:color w:val="auto"/>
              </w:rPr>
            </w:pPr>
            <w:r>
              <w:rPr>
                <w:rFonts w:ascii="Arial" w:cs="Arial" w:eastAsia="Arial" w:hAnsi="Arial"/>
                <w:sz w:val="16"/>
                <w:szCs w:val="16"/>
                <w:color w:val="auto"/>
              </w:rPr>
              <w:t xml:space="preserve">Diluted weighted average common units outstanding </w:t>
            </w:r>
            <w:r>
              <w:rPr>
                <w:rFonts w:ascii="Arial" w:cs="Arial" w:eastAsia="Arial" w:hAnsi="Arial"/>
                <w:sz w:val="27"/>
                <w:szCs w:val="27"/>
                <w:color w:val="auto"/>
                <w:vertAlign w:val="superscript"/>
              </w:rPr>
              <w:t>(1)</w:t>
            </w: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200" w:type="dxa"/>
            <w:vAlign w:val="bottom"/>
            <w:shd w:val="clear" w:color="auto" w:fill="CCEEFF"/>
          </w:tcPr>
          <w:p>
            <w:pPr>
              <w:spacing w:after="0"/>
              <w:rPr>
                <w:sz w:val="22"/>
                <w:szCs w:val="22"/>
                <w:color w:val="auto"/>
              </w:rPr>
            </w:pPr>
          </w:p>
        </w:tc>
        <w:tc>
          <w:tcPr>
            <w:tcW w:w="1240" w:type="dxa"/>
            <w:vAlign w:val="bottom"/>
            <w:tcBorders>
              <w:right w:val="single" w:sz="8" w:color="auto"/>
            </w:tcBorders>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6"/>
        </w:trPr>
        <w:tc>
          <w:tcPr>
            <w:tcW w:w="4580" w:type="dxa"/>
            <w:vAlign w:val="bottom"/>
            <w:gridSpan w:val="2"/>
          </w:tcPr>
          <w:p>
            <w:pPr>
              <w:spacing w:after="0"/>
              <w:rPr>
                <w:sz w:val="20"/>
                <w:szCs w:val="20"/>
                <w:color w:val="auto"/>
              </w:rPr>
            </w:pPr>
            <w:r>
              <w:rPr>
                <w:rFonts w:ascii="Arial" w:cs="Arial" w:eastAsia="Arial" w:hAnsi="Arial"/>
                <w:sz w:val="16"/>
                <w:szCs w:val="16"/>
                <w:color w:val="auto"/>
              </w:rPr>
              <w:t>Distribution per common unit declared for the period</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2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20" w:type="dxa"/>
            <w:vAlign w:val="bottom"/>
            <w:tcBorders>
              <w:right w:val="single" w:sz="8" w:color="auto"/>
            </w:tcBorders>
          </w:tcPr>
          <w:p>
            <w:pPr>
              <w:jc w:val="right"/>
              <w:ind w:right="122"/>
              <w:spacing w:after="0"/>
              <w:rPr>
                <w:sz w:val="20"/>
                <w:szCs w:val="20"/>
                <w:color w:val="auto"/>
              </w:rPr>
            </w:pPr>
            <w:r>
              <w:rPr>
                <w:rFonts w:ascii="Arial" w:cs="Arial" w:eastAsia="Arial" w:hAnsi="Arial"/>
                <w:sz w:val="15"/>
                <w:szCs w:val="15"/>
                <w:color w:val="auto"/>
                <w:w w:val="74"/>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1" w:lineRule="exact"/>
        <w:rPr>
          <w:sz w:val="20"/>
          <w:szCs w:val="20"/>
          <w:color w:val="auto"/>
        </w:rPr>
      </w:pPr>
    </w:p>
    <w:p>
      <w:pPr>
        <w:ind w:left="340" w:right="80" w:hanging="332"/>
        <w:spacing w:after="0" w:line="232"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For the three and nine months ended September 30, 2019 and the three months ended September 30, 2018, includes all potentially dilutive securities outstanding (our Series A preferred units and equity-indexed compensation awards) during the period. Our Series A preferred units were not dilutive for the nine months ended September 30, 2018. See the “Computation of Basic and Diluted Net Income Per Common Unit” table attached hereto for additional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ind w:left="30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Nine Months Ended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7"/>
                <w:szCs w:val="27"/>
                <w:b w:val="1"/>
                <w:bCs w:val="1"/>
                <w:i w:val="1"/>
                <w:iCs w:val="1"/>
                <w:color w:val="auto"/>
                <w:vertAlign w:val="superscript"/>
              </w:rPr>
              <w:t>(1)</w:t>
            </w:r>
          </w:p>
        </w:tc>
        <w:tc>
          <w:tcPr>
            <w:tcW w:w="120" w:type="dxa"/>
            <w:vAlign w:val="bottom"/>
            <w:vMerge w:val="restart"/>
          </w:tcPr>
          <w:p>
            <w:pPr>
              <w:spacing w:after="0"/>
              <w:rPr>
                <w:sz w:val="18"/>
                <w:szCs w:val="18"/>
                <w:color w:val="auto"/>
              </w:rPr>
            </w:pPr>
          </w:p>
        </w:tc>
        <w:tc>
          <w:tcPr>
            <w:tcW w:w="180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6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w w:val="84"/>
              </w:rPr>
              <w:t>2019</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 xml:space="preserve">Adjusted net income attributable to PAA </w:t>
            </w:r>
            <w:r>
              <w:rPr>
                <w:rFonts w:ascii="Arial" w:cs="Arial" w:eastAsia="Arial" w:hAnsi="Arial"/>
                <w:sz w:val="27"/>
                <w:szCs w:val="27"/>
                <w:color w:val="auto"/>
                <w:vertAlign w:val="superscript"/>
              </w:rPr>
              <w:t>(2)</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w:t>
            </w:r>
          </w:p>
        </w:tc>
        <w:tc>
          <w:tcPr>
            <w:tcW w:w="74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363</w:t>
            </w:r>
          </w:p>
        </w:tc>
        <w:tc>
          <w:tcPr>
            <w:tcW w:w="740" w:type="dxa"/>
            <w:vAlign w:val="bottom"/>
            <w:shd w:val="clear" w:color="auto" w:fill="CCEEFF"/>
          </w:tcPr>
          <w:p>
            <w:pPr>
              <w:spacing w:after="0"/>
              <w:rPr>
                <w:sz w:val="20"/>
                <w:szCs w:val="20"/>
                <w:color w:val="auto"/>
              </w:rPr>
            </w:pPr>
          </w:p>
        </w:tc>
        <w:tc>
          <w:tcPr>
            <w:tcW w:w="4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18%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line="242" w:lineRule="exact"/>
              <w:rPr>
                <w:sz w:val="20"/>
                <w:szCs w:val="20"/>
                <w:color w:val="auto"/>
              </w:rPr>
            </w:pPr>
            <w:r>
              <w:rPr>
                <w:rFonts w:ascii="Arial" w:cs="Arial" w:eastAsia="Arial" w:hAnsi="Arial"/>
                <w:sz w:val="16"/>
                <w:szCs w:val="16"/>
                <w:color w:val="auto"/>
              </w:rPr>
              <w:t xml:space="preserve">Diluted adjusted net income per common unit </w:t>
            </w:r>
            <w:r>
              <w:rPr>
                <w:rFonts w:ascii="Arial" w:cs="Arial" w:eastAsia="Arial" w:hAnsi="Arial"/>
                <w:sz w:val="27"/>
                <w:szCs w:val="27"/>
                <w:color w:val="auto"/>
                <w:vertAlign w:val="superscript"/>
              </w:rPr>
              <w:t>(2)</w:t>
            </w:r>
          </w:p>
        </w:tc>
        <w:tc>
          <w:tcPr>
            <w:tcW w:w="640" w:type="dxa"/>
            <w:vAlign w:val="bottom"/>
          </w:tcPr>
          <w:p>
            <w:pPr>
              <w:jc w:val="right"/>
              <w:ind w:right="482"/>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0.52</w:t>
            </w:r>
          </w:p>
        </w:tc>
        <w:tc>
          <w:tcPr>
            <w:tcW w:w="74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83"/>
              </w:rPr>
              <w:t>0.43</w:t>
            </w:r>
          </w:p>
        </w:tc>
        <w:tc>
          <w:tcPr>
            <w:tcW w:w="740" w:type="dxa"/>
            <w:vAlign w:val="bottom"/>
          </w:tcPr>
          <w:p>
            <w:pPr>
              <w:spacing w:after="0"/>
              <w:rPr>
                <w:sz w:val="21"/>
                <w:szCs w:val="21"/>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7"/>
              </w:rPr>
              <w:t>21%</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640" w:type="dxa"/>
            <w:vAlign w:val="bottom"/>
            <w:shd w:val="clear" w:color="auto" w:fill="CCEEFF"/>
          </w:tcPr>
          <w:p>
            <w:pPr>
              <w:jc w:val="right"/>
              <w:ind w:right="482"/>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731</w:t>
            </w:r>
          </w:p>
        </w:tc>
        <w:tc>
          <w:tcPr>
            <w:tcW w:w="74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7"/>
              </w:rPr>
              <w:t>636</w:t>
            </w:r>
          </w:p>
        </w:tc>
        <w:tc>
          <w:tcPr>
            <w:tcW w:w="740" w:type="dxa"/>
            <w:vAlign w:val="bottom"/>
            <w:shd w:val="clear" w:color="auto" w:fill="CCEEFF"/>
          </w:tcPr>
          <w:p>
            <w:pPr>
              <w:spacing w:after="0"/>
              <w:rPr>
                <w:sz w:val="18"/>
                <w:szCs w:val="18"/>
                <w:color w:val="auto"/>
              </w:rPr>
            </w:pPr>
          </w:p>
        </w:tc>
        <w:tc>
          <w:tcPr>
            <w:tcW w:w="4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15%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6"/>
                <w:szCs w:val="16"/>
                <w:color w:val="auto"/>
              </w:rPr>
              <w:t>Implied DCF per common unit</w:t>
            </w:r>
          </w:p>
        </w:tc>
        <w:tc>
          <w:tcPr>
            <w:tcW w:w="640" w:type="dxa"/>
            <w:vAlign w:val="bottom"/>
          </w:tcPr>
          <w:p>
            <w:pPr>
              <w:jc w:val="right"/>
              <w:ind w:right="482"/>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0.64</w:t>
            </w:r>
          </w:p>
        </w:tc>
        <w:tc>
          <w:tcPr>
            <w:tcW w:w="74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w w:val="83"/>
              </w:rPr>
              <w:t>0.55</w:t>
            </w:r>
          </w:p>
        </w:tc>
        <w:tc>
          <w:tcPr>
            <w:tcW w:w="7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7"/>
              </w:rPr>
              <w:t>16%</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2.27</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1.52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5" w:lineRule="exact"/>
        <w:rPr>
          <w:sz w:val="20"/>
          <w:szCs w:val="20"/>
          <w:color w:val="auto"/>
        </w:rPr>
      </w:pPr>
    </w:p>
    <w:p>
      <w:pPr>
        <w:ind w:left="340" w:right="20" w:hanging="332"/>
        <w:spacing w:after="0" w:line="254" w:lineRule="auto"/>
        <w:tabs>
          <w:tab w:leader="none" w:pos="34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spacing w:after="0" w:line="203" w:lineRule="exact"/>
        <w:rPr>
          <w:rFonts w:ascii="Arial" w:cs="Arial" w:eastAsia="Arial" w:hAnsi="Arial"/>
          <w:sz w:val="23"/>
          <w:szCs w:val="23"/>
          <w:color w:val="auto"/>
          <w:vertAlign w:val="superscript"/>
        </w:rPr>
      </w:pPr>
    </w:p>
    <w:p>
      <w:pPr>
        <w:ind w:left="340" w:right="160" w:hanging="332"/>
        <w:spacing w:after="0" w:line="216" w:lineRule="auto"/>
        <w:tabs>
          <w:tab w:leader="none" w:pos="34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During the fourth quarter of 2018, we began classifying net gains and losses on asset sales and asset impairments as a selected item impacting comparability in the calculation of adjusted net income. Prior period amounts have been recast to reflect this change. See the “Selected Items Impacting Comparability” table attached hereto for additional information.</w:t>
      </w:r>
    </w:p>
    <w:p>
      <w:pPr>
        <w:spacing w:after="0" w:line="208"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third quarter and first nine months of 2019 and 2018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rPr>
              <w:t>Segment Adjusted EBITDA</w:t>
            </w: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Supply and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5"/>
          </w:tcPr>
          <w:p>
            <w:pPr>
              <w:ind w:left="20"/>
              <w:spacing w:after="0"/>
              <w:rPr>
                <w:sz w:val="20"/>
                <w:szCs w:val="20"/>
                <w:color w:val="auto"/>
              </w:rPr>
            </w:pPr>
            <w:r>
              <w:rPr>
                <w:rFonts w:ascii="Arial" w:cs="Arial" w:eastAsia="Arial" w:hAnsi="Arial"/>
                <w:sz w:val="18"/>
                <w:szCs w:val="18"/>
                <w:b w:val="1"/>
                <w:bCs w:val="1"/>
                <w:color w:val="auto"/>
              </w:rPr>
              <w:t>Transportation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3"/>
              </w:rPr>
              <w:t>Facilities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5"/>
              </w:rPr>
              <w:t>Logistics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September 30, 2019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Three Months Ended September 30, 2018</w:t>
            </w:r>
          </w:p>
        </w:tc>
        <w:tc>
          <w:tcPr>
            <w:tcW w:w="18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w:t>
            </w:r>
          </w:p>
        </w:tc>
        <w:tc>
          <w:tcPr>
            <w:tcW w:w="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gridSpan w:val="2"/>
          </w:tcPr>
          <w:p>
            <w:pPr>
              <w:jc w:val="right"/>
              <w:ind w:right="45"/>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w:t>
            </w:r>
          </w:p>
        </w:tc>
        <w:tc>
          <w:tcPr>
            <w:tcW w:w="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w:t>
            </w:r>
          </w:p>
        </w:tc>
        <w:tc>
          <w:tcPr>
            <w:tcW w:w="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19</w:t>
            </w:r>
          </w:p>
        </w:tc>
        <w:tc>
          <w:tcPr>
            <w:tcW w:w="22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74"/>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24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87"/>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23</w:t>
            </w:r>
          </w:p>
        </w:tc>
        <w:tc>
          <w:tcPr>
            <w:tcW w:w="160" w:type="dxa"/>
            <w:vAlign w:val="bottom"/>
            <w:tcBorders>
              <w:bottom w:val="single" w:sz="8" w:color="CCEEFF"/>
            </w:tcBorders>
            <w:gridSpan w:val="3"/>
            <w:shd w:val="clear" w:color="auto" w:fill="CCEEFF"/>
          </w:tcPr>
          <w:p>
            <w:pPr>
              <w:jc w:val="right"/>
              <w:ind w:right="20"/>
              <w:spacing w:after="0" w:line="190" w:lineRule="exact"/>
              <w:rPr>
                <w:sz w:val="20"/>
                <w:szCs w:val="20"/>
                <w:color w:val="auto"/>
              </w:rPr>
            </w:pPr>
            <w:r>
              <w:rPr>
                <w:rFonts w:ascii="Arial" w:cs="Arial" w:eastAsia="Arial" w:hAnsi="Arial"/>
                <w:sz w:val="18"/>
                <w:szCs w:val="18"/>
                <w:b w:val="1"/>
                <w:bCs w:val="1"/>
                <w:i w:val="1"/>
                <w:iCs w:val="1"/>
                <w:color w:val="auto"/>
                <w:w w:val="74"/>
              </w:rPr>
              <w:t>%</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w w:val="89"/>
              </w:rPr>
              <w:t>Percentage change in Segment Adjusted EBITDA versus 2018 period further adjusted for</w:t>
            </w: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impact of divested assets</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27%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3"/>
          </w:tcPr>
          <w:p>
            <w:pPr>
              <w:jc w:val="right"/>
              <w:ind w:right="150"/>
              <w:spacing w:after="0"/>
              <w:rPr>
                <w:sz w:val="20"/>
                <w:szCs w:val="20"/>
                <w:color w:val="auto"/>
              </w:rPr>
            </w:pPr>
            <w:r>
              <w:rPr>
                <w:rFonts w:ascii="Arial" w:cs="Arial" w:eastAsia="Arial" w:hAnsi="Arial"/>
                <w:sz w:val="18"/>
                <w:szCs w:val="18"/>
                <w:b w:val="1"/>
                <w:bCs w:val="1"/>
                <w:i w:val="1"/>
                <w:iCs w:val="1"/>
                <w:color w:val="auto"/>
              </w:rPr>
              <w:t>N/A</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20" w:type="dxa"/>
            <w:vAlign w:val="bottom"/>
            <w:gridSpan w:val="16"/>
          </w:tcPr>
          <w:p>
            <w:pPr>
              <w:jc w:val="right"/>
              <w:ind w:right="1180"/>
              <w:spacing w:after="0"/>
              <w:rPr>
                <w:sz w:val="20"/>
                <w:szCs w:val="20"/>
                <w:color w:val="auto"/>
              </w:rPr>
            </w:pPr>
            <w:r>
              <w:rPr>
                <w:rFonts w:ascii="Arial" w:cs="Arial" w:eastAsia="Arial" w:hAnsi="Arial"/>
                <w:sz w:val="18"/>
                <w:szCs w:val="18"/>
                <w:b w:val="1"/>
                <w:bCs w:val="1"/>
                <w:color w:val="auto"/>
              </w:rPr>
              <w:t>Segment Adjusted EBITDA</w:t>
            </w:r>
          </w:p>
        </w:tc>
        <w:tc>
          <w:tcPr>
            <w:tcW w:w="0" w:type="dxa"/>
            <w:vAlign w:val="bottom"/>
          </w:tcPr>
          <w:p>
            <w:pPr>
              <w:spacing w:after="0"/>
              <w:rPr>
                <w:sz w:val="1"/>
                <w:szCs w:val="1"/>
                <w:color w:val="auto"/>
              </w:rPr>
            </w:pPr>
          </w:p>
        </w:tc>
      </w:tr>
      <w:tr>
        <w:trPr>
          <w:trHeight w:val="191"/>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Supply and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2"/>
              </w:rPr>
              <w:t>Transportation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Facilities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5"/>
              </w:rPr>
              <w:t>Logistics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Nine Months Ended September 30, 2019</w:t>
            </w:r>
          </w:p>
        </w:tc>
        <w:tc>
          <w:tcPr>
            <w:tcW w:w="2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Nine Months Ended September 30, 2018</w:t>
            </w:r>
          </w:p>
        </w:tc>
        <w:tc>
          <w:tcPr>
            <w:tcW w:w="220" w:type="dxa"/>
            <w:vAlign w:val="bottom"/>
            <w:gridSpan w:val="2"/>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gridSpan w:val="2"/>
            <w:vMerge w:val="continue"/>
          </w:tcPr>
          <w:p>
            <w:pPr>
              <w:spacing w:after="0"/>
              <w:rPr>
                <w:sz w:val="20"/>
                <w:szCs w:val="20"/>
                <w:color w:val="auto"/>
              </w:rPr>
            </w:pPr>
          </w:p>
        </w:tc>
        <w:tc>
          <w:tcPr>
            <w:tcW w:w="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1,083</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530</w:t>
            </w:r>
          </w:p>
        </w:tc>
        <w:tc>
          <w:tcPr>
            <w:tcW w:w="1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gridSpan w:val="2"/>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17</w:t>
            </w:r>
          </w:p>
        </w:tc>
        <w:tc>
          <w:tcPr>
            <w:tcW w:w="18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87"/>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18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74"/>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w w:val="89"/>
              </w:rPr>
              <w:t>Percentage change in Segment Adjusted EBITDA versus 2018 period further adjusted for</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impact of divested assets</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25%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00" w:hanging="192"/>
        <w:spacing w:after="0"/>
        <w:tabs>
          <w:tab w:leader="none" w:pos="20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Indicates that variance as a percentage is not meaningful.</w:t>
      </w:r>
    </w:p>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Third-quarter 2019 Transportation Segment Adjusted EBITDA increased by 19% over comparable 2018 results. This increase was primarily driven by increased volume on our Permian Basin systems, which includes start-up of the Sunrise II and Cactus II pipeline systems in the fourth quarter of 2018 and third quarter of 2019, respectively. These favorable results were partially offset by our sale of an interest in the BridgeTex pipeline at the end of the third quarter of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Third-quarter 2019 Facilities Segment Adjusted EBITDA was in line with comparable 2018 results.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Third-quarter 2019 Supply and Logistics Segment Adjusted EBITDA increased versus comparable 2018 results primarily due to favorable crude oil differentials in the Permian Basin partially offset by lower NGL margins.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4"/>
              </w:rPr>
              <w:t>Page 4</w:t>
            </w:r>
          </w:p>
        </w:tc>
        <w:tc>
          <w:tcPr>
            <w:tcW w:w="64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2019 Full-Year Guidance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The table below presents our full-year 2019 financial and operating guidance: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Financial and Operating Guidance </w:t>
            </w:r>
            <w:r>
              <w:rPr>
                <w:rFonts w:ascii="Arial" w:cs="Arial" w:eastAsia="Arial" w:hAnsi="Arial"/>
                <w:sz w:val="18"/>
                <w:szCs w:val="18"/>
                <w:color w:val="auto"/>
              </w:rPr>
              <w:t>(unaudited)</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80" w:type="dxa"/>
            <w:vAlign w:val="bottom"/>
            <w:gridSpan w:val="3"/>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gridSpan w:val="4"/>
          </w:tcPr>
          <w:p>
            <w:pPr>
              <w:spacing w:after="0"/>
              <w:rPr>
                <w:sz w:val="20"/>
                <w:szCs w:val="20"/>
                <w:color w:val="auto"/>
              </w:rPr>
            </w:pPr>
            <w:r>
              <w:rPr>
                <w:rFonts w:ascii="Arial" w:cs="Arial" w:eastAsia="Arial" w:hAnsi="Arial"/>
                <w:sz w:val="18"/>
                <w:szCs w:val="18"/>
                <w:color w:val="auto"/>
              </w:rPr>
              <w:t>(in millions, except volumes, per unit and per barrel data)</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80" w:type="dxa"/>
            <w:vAlign w:val="bottom"/>
            <w:gridSpan w:val="9"/>
          </w:tcPr>
          <w:p>
            <w:pPr>
              <w:jc w:val="right"/>
              <w:ind w:right="920"/>
              <w:spacing w:after="0"/>
              <w:rPr>
                <w:sz w:val="20"/>
                <w:szCs w:val="20"/>
                <w:color w:val="auto"/>
              </w:rPr>
            </w:pPr>
            <w:r>
              <w:rPr>
                <w:rFonts w:ascii="Arial" w:cs="Arial" w:eastAsia="Arial" w:hAnsi="Arial"/>
                <w:sz w:val="18"/>
                <w:szCs w:val="18"/>
                <w:b w:val="1"/>
                <w:bCs w:val="1"/>
                <w:color w:val="auto"/>
              </w:rPr>
              <w:t>Twelve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 (G)</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 /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160"/>
              <w:spacing w:after="0"/>
              <w:rPr>
                <w:sz w:val="20"/>
                <w:szCs w:val="20"/>
                <w:color w:val="auto"/>
              </w:rPr>
            </w:pPr>
            <w:r>
              <w:rPr>
                <w:rFonts w:ascii="Arial" w:cs="Arial" w:eastAsia="Arial" w:hAnsi="Arial"/>
                <w:sz w:val="18"/>
                <w:szCs w:val="18"/>
                <w:color w:val="auto"/>
              </w:rPr>
              <w:t>Transportation</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1,287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2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b w:val="1"/>
                <w:bCs w:val="1"/>
                <w:color w:val="auto"/>
              </w:rPr>
              <w:t>Fee-Based</w:t>
            </w: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2,021</w:t>
            </w:r>
          </w:p>
        </w:tc>
        <w:tc>
          <w:tcPr>
            <w:tcW w:w="30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2,219</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60"/>
              <w:spacing w:after="0"/>
              <w:rPr>
                <w:sz w:val="20"/>
                <w:szCs w:val="20"/>
                <w:color w:val="auto"/>
              </w:rPr>
            </w:pPr>
            <w:r>
              <w:rPr>
                <w:rFonts w:ascii="Arial" w:cs="Arial" w:eastAsia="Arial" w:hAnsi="Arial"/>
                <w:sz w:val="18"/>
                <w:szCs w:val="18"/>
                <w:color w:val="auto"/>
              </w:rPr>
              <w:t>Adjusted other income/(expense), net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3"/>
            <w:vMerge w:val="restart"/>
            <w:shd w:val="clear" w:color="auto" w:fill="CCEEFF"/>
          </w:tcPr>
          <w:p>
            <w:pPr>
              <w:spacing w:after="0" w:line="28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30"/>
                <w:szCs w:val="30"/>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920" w:type="dxa"/>
            <w:vAlign w:val="bottom"/>
            <w:gridSpan w:val="3"/>
            <w:vMerge w:val="continue"/>
            <w:shd w:val="clear" w:color="auto" w:fill="CCEEFF"/>
          </w:tcPr>
          <w:p>
            <w:pPr>
              <w:spacing w:after="0"/>
              <w:rPr>
                <w:sz w:val="22"/>
                <w:szCs w:val="22"/>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2,082</w:t>
            </w:r>
          </w:p>
        </w:tc>
        <w:tc>
          <w:tcPr>
            <w:tcW w:w="3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bottom w:val="single" w:sz="8" w:color="CCEEFF"/>
            </w:tcBorders>
            <w:gridSpan w:val="3"/>
            <w:vMerge w:val="restart"/>
          </w:tcPr>
          <w:p>
            <w:pPr>
              <w:ind w:left="160"/>
              <w:spacing w:after="0" w:line="25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8"/>
                <w:szCs w:val="28"/>
                <w:color w:val="auto"/>
                <w:vertAlign w:val="superscript"/>
              </w:rPr>
              <w:t>(2)</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(483)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160"/>
              <w:spacing w:after="0"/>
              <w:rPr>
                <w:sz w:val="20"/>
                <w:szCs w:val="20"/>
                <w:color w:val="auto"/>
              </w:rPr>
            </w:pPr>
            <w:r>
              <w:rPr>
                <w:rFonts w:ascii="Arial" w:cs="Arial" w:eastAsia="Arial" w:hAnsi="Arial"/>
                <w:sz w:val="18"/>
                <w:szCs w:val="18"/>
                <w:color w:val="auto"/>
              </w:rPr>
              <w:t>Current income tax expense</w:t>
            </w:r>
          </w:p>
        </w:tc>
        <w:tc>
          <w:tcPr>
            <w:tcW w:w="8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3"/>
            <w:vMerge w:val="restart"/>
          </w:tcPr>
          <w:p>
            <w:pPr>
              <w:spacing w:after="0" w:line="256"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9"/>
                <w:szCs w:val="29"/>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gridSpan w:val="3"/>
            <w:vMerge w:val="continue"/>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1,312</w:t>
            </w:r>
          </w:p>
        </w:tc>
        <w:tc>
          <w:tcPr>
            <w:tcW w:w="30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1,948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20" w:type="dxa"/>
            <w:vAlign w:val="bottom"/>
            <w:gridSpan w:val="3"/>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30"/>
                <w:szCs w:val="30"/>
                <w:color w:val="auto"/>
                <w:vertAlign w:val="superscript"/>
              </w:rPr>
              <w:t>(3)</w:t>
            </w:r>
          </w:p>
        </w:tc>
        <w:tc>
          <w:tcPr>
            <w:tcW w:w="82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1,307</w:t>
            </w:r>
          </w:p>
        </w:tc>
        <w:tc>
          <w:tcPr>
            <w:tcW w:w="3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3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2,070</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tcPr>
          <w:p>
            <w:pPr>
              <w:spacing w:after="0" w:line="25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9"/>
                <w:szCs w:val="29"/>
                <w:b w:val="1"/>
                <w:bCs w:val="1"/>
                <w:color w:val="auto"/>
                <w:vertAlign w:val="superscript"/>
              </w:rPr>
              <w:t>(1)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9"/>
                <w:szCs w:val="29"/>
                <w:b w:val="1"/>
                <w:bCs w:val="1"/>
                <w:color w:val="auto"/>
                <w:vertAlign w:val="superscript"/>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9"/>
                <w:szCs w:val="29"/>
                <w:b w:val="1"/>
                <w:bCs w:val="1"/>
                <w:color w:val="auto"/>
                <w:vertAlign w:val="superscript"/>
              </w:rPr>
              <w:t>(4)</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0.94x</w:t>
            </w: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2.05x</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tcPr>
          <w:p>
            <w:pPr>
              <w:spacing w:after="0" w:line="256"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9"/>
                <w:szCs w:val="29"/>
                <w:b w:val="1"/>
                <w:bCs w:val="1"/>
                <w:color w:val="auto"/>
                <w:vertAlign w:val="superscript"/>
              </w:rPr>
              <w:t>(1)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Operating Data</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daily volumes (MBbls/d)</w:t>
            </w:r>
          </w:p>
        </w:tc>
        <w:tc>
          <w:tcPr>
            <w:tcW w:w="8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5,186</w:t>
            </w: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5,889</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capacity (MMBbls/Mo)</w:t>
            </w:r>
          </w:p>
        </w:tc>
        <w:tc>
          <w:tcPr>
            <w:tcW w:w="8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daily volumes (MBbls/d)</w:t>
            </w:r>
          </w:p>
        </w:tc>
        <w:tc>
          <w:tcPr>
            <w:tcW w:w="8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1,219</w:t>
            </w: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8"/>
              </w:rPr>
              <w:t>1,135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Fourth-Quarter Adjusted EBITDA as Percentage of Full Year</w:t>
            </w:r>
          </w:p>
        </w:tc>
        <w:tc>
          <w:tcPr>
            <w:tcW w:w="8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(G) 2019 Guidance forecasts are intended to be + / - amounts.</w:t>
      </w:r>
    </w:p>
    <w:p>
      <w:pPr>
        <w:spacing w:after="0" w:line="225" w:lineRule="exact"/>
        <w:rPr>
          <w:sz w:val="20"/>
          <w:szCs w:val="20"/>
          <w:color w:val="auto"/>
        </w:rPr>
      </w:pPr>
    </w:p>
    <w:p>
      <w:pPr>
        <w:ind w:left="340" w:right="40" w:hanging="332"/>
        <w:spacing w:after="0" w:line="245" w:lineRule="auto"/>
        <w:tabs>
          <w:tab w:leader="none" w:pos="3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2017 and 2018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202"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603"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16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1" w:lineRule="exact"/>
        <w:rPr>
          <w:rFonts w:ascii="Arial" w:cs="Arial" w:eastAsia="Arial" w:hAnsi="Arial"/>
          <w:sz w:val="28"/>
          <w:szCs w:val="28"/>
          <w:color w:val="auto"/>
          <w:vertAlign w:val="superscript"/>
        </w:rPr>
      </w:pPr>
    </w:p>
    <w:p>
      <w:pPr>
        <w:ind w:left="340" w:right="20" w:hanging="332"/>
        <w:spacing w:after="0" w:line="218"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to our preferred unitholders during the year presented. Distributions on our Series A preferred units were paid-in-kind for all 2017 quarterly distributions and for the February 2018 quarterly distribution. Distributions on our Series A preferred units have been paid in cash since the May 2018 quarterly distribution. Distributions on our Series B preferred units are payable semi-annually in arrears on May 15 and November 15. A pro-rated initial distribution on the Series B preferred units was paid on November 15, 2017.</w:t>
      </w:r>
    </w:p>
    <w:p>
      <w:pPr>
        <w:spacing w:after="0" w:line="203" w:lineRule="exact"/>
        <w:rPr>
          <w:rFonts w:ascii="Arial" w:cs="Arial" w:eastAsia="Arial" w:hAnsi="Arial"/>
          <w:sz w:val="30"/>
          <w:szCs w:val="30"/>
          <w:color w:val="auto"/>
          <w:vertAlign w:val="superscript"/>
        </w:rPr>
      </w:pPr>
    </w:p>
    <w:p>
      <w:pPr>
        <w:ind w:left="340" w:right="620" w:hanging="332"/>
        <w:spacing w:after="0" w:line="194"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Cash distributions per common unit paid during 2017 and 2018. 2019 (G) reflects the cash distribution per common unit paid in February and the increased annualized distribution rate of $1.44 per common unit for the remainder of the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Q3 2019</w:t>
            </w:r>
          </w:p>
        </w:tc>
        <w:tc>
          <w:tcPr>
            <w:tcW w:w="200" w:type="dxa"/>
            <w:vAlign w:val="bottom"/>
          </w:tcPr>
          <w:p>
            <w:pPr>
              <w:spacing w:after="0"/>
              <w:rPr>
                <w:sz w:val="20"/>
                <w:szCs w:val="20"/>
                <w:color w:val="auto"/>
              </w:rPr>
            </w:pPr>
          </w:p>
        </w:tc>
        <w:tc>
          <w:tcPr>
            <w:tcW w:w="12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Q2 2019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Q3 2018</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Q3 2019 distribution percentage change from prior periods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November 5, 2019 to discuss the following items:</w:t>
      </w:r>
    </w:p>
    <w:p>
      <w:pPr>
        <w:spacing w:after="0" w:line="225"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third-quarter 2019 performance;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https://event.webcasts.com/starthere.jsp?ei=1264489&amp;tp_key=5224d72ff3.</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 and implied distributable cash flow (“DCF”).</w:t>
      </w:r>
    </w:p>
    <w:p>
      <w:pPr>
        <w:spacing w:after="0" w:line="17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including the effects of capacity overbuild in areas where we operate;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cyber or other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3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4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7,886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6,855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7,768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21,218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9"/>
                <w:szCs w:val="29"/>
                <w:color w:val="auto"/>
                <w:vertAlign w:val="superscript"/>
              </w:rPr>
              <w:t>(1)</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w:t>
            </w: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(Gains)/losses on asset sales and asset impairments, net </w:t>
            </w:r>
            <w:r>
              <w:rPr>
                <w:rFonts w:ascii="Arial" w:cs="Arial" w:eastAsia="Arial" w:hAnsi="Arial"/>
                <w:sz w:val="30"/>
                <w:szCs w:val="30"/>
                <w:color w:val="auto"/>
                <w:vertAlign w:val="superscript"/>
              </w:rPr>
              <w:t>(1)</w:t>
            </w:r>
          </w:p>
        </w:tc>
        <w:tc>
          <w:tcPr>
            <w:tcW w:w="8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unconsolidated entities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1,710</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697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1,826</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0.87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ind w:left="340" w:right="120" w:hanging="332"/>
        <w:spacing w:after="0" w:line="221" w:lineRule="auto"/>
        <w:tabs>
          <w:tab w:leader="none" w:pos="3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230" w:lineRule="exact"/>
        <w:rPr>
          <w:rFonts w:ascii="Arial" w:cs="Arial" w:eastAsia="Arial" w:hAnsi="Arial"/>
          <w:sz w:val="26"/>
          <w:szCs w:val="26"/>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3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7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7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ind w:left="1700"/>
              <w:spacing w:after="0"/>
              <w:rPr>
                <w:sz w:val="20"/>
                <w:szCs w:val="20"/>
                <w:color w:val="auto"/>
              </w:rPr>
            </w:pPr>
            <w:r>
              <w:rPr>
                <w:rFonts w:ascii="Arial" w:cs="Arial" w:eastAsia="Arial" w:hAnsi="Arial"/>
                <w:sz w:val="18"/>
                <w:szCs w:val="18"/>
                <w:b w:val="1"/>
                <w:bCs w:val="1"/>
                <w:color w:val="auto"/>
              </w:rPr>
              <w:t>333 Clay Street, Suite 1600</w:t>
            </w:r>
          </w:p>
        </w:tc>
        <w:tc>
          <w:tcPr>
            <w:tcW w:w="26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Houston, Texas 77002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713-646-4100 / 866-809-1291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2"/>
              </w:rPr>
              <w:t>September 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360" w:type="dxa"/>
            <w:vAlign w:val="bottom"/>
          </w:tcPr>
          <w:p>
            <w:pPr>
              <w:spacing w:after="0"/>
              <w:rPr>
                <w:sz w:val="18"/>
                <w:szCs w:val="18"/>
                <w:color w:val="auto"/>
              </w:rPr>
            </w:pPr>
          </w:p>
        </w:tc>
        <w:tc>
          <w:tcPr>
            <w:tcW w:w="1680" w:type="dxa"/>
            <w:vAlign w:val="bottom"/>
            <w:gridSpan w:val="3"/>
          </w:tcPr>
          <w:p>
            <w:pPr>
              <w:jc w:val="right"/>
              <w:ind w:right="57"/>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4,676</w:t>
            </w: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15,257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2,532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3,485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930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3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28,377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4,872</w:t>
            </w: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8,937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15,266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12,978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23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13,111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3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28,377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9,173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9,173</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13,111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2"/>
            <w:vMerge w:val="restart"/>
          </w:tcPr>
          <w:p>
            <w:pPr>
              <w:ind w:left="320"/>
              <w:spacing w:after="0"/>
              <w:rPr>
                <w:sz w:val="20"/>
                <w:szCs w:val="20"/>
                <w:color w:val="auto"/>
              </w:rPr>
            </w:pPr>
            <w:r>
              <w:rPr>
                <w:rFonts w:ascii="Arial" w:cs="Arial" w:eastAsia="Arial" w:hAnsi="Arial"/>
                <w:sz w:val="18"/>
                <w:szCs w:val="18"/>
                <w:color w:val="auto"/>
              </w:rPr>
              <w:t>Total book capitalization, including short-term debt</w:t>
            </w:r>
          </w:p>
        </w:tc>
        <w:tc>
          <w:tcPr>
            <w:tcW w:w="2360" w:type="dxa"/>
            <w:vAlign w:val="bottom"/>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Borders>
              <w:bottom w:val="single" w:sz="8" w:color="CCEEFF"/>
            </w:tcBorders>
            <w:gridSpan w:val="2"/>
            <w:vMerge w:val="continue"/>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gridSpan w:val="2"/>
          </w:tcPr>
          <w:p>
            <w:pPr>
              <w:jc w:val="right"/>
              <w:ind w:right="117"/>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23,368</w:t>
            </w:r>
          </w:p>
        </w:tc>
        <w:tc>
          <w:tcPr>
            <w:tcW w:w="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21,211</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60" w:type="dxa"/>
            <w:vAlign w:val="bottom"/>
          </w:tcPr>
          <w:p>
            <w:pPr>
              <w:jc w:val="center"/>
              <w:ind w:right="370"/>
              <w:spacing w:after="0"/>
              <w:rPr>
                <w:sz w:val="20"/>
                <w:szCs w:val="20"/>
                <w:color w:val="auto"/>
              </w:rPr>
            </w:pPr>
            <w:r>
              <w:rPr>
                <w:rFonts w:ascii="Arial" w:cs="Arial" w:eastAsia="Arial" w:hAnsi="Arial"/>
                <w:sz w:val="18"/>
                <w:szCs w:val="18"/>
                <w:color w:val="auto"/>
                <w:w w:val="91"/>
              </w:rPr>
              <w:t>- more -</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1700"/>
              <w:spacing w:after="0"/>
              <w:rPr>
                <w:sz w:val="20"/>
                <w:szCs w:val="20"/>
                <w:color w:val="auto"/>
              </w:rPr>
            </w:pPr>
            <w:r>
              <w:rPr>
                <w:rFonts w:ascii="Arial" w:cs="Arial" w:eastAsia="Arial" w:hAnsi="Arial"/>
                <w:sz w:val="18"/>
                <w:szCs w:val="18"/>
                <w:b w:val="1"/>
                <w:bCs w:val="1"/>
                <w:color w:val="auto"/>
              </w:rPr>
              <w:t>333 Clay Street, Suite 1600</w:t>
            </w:r>
          </w:p>
        </w:tc>
        <w:tc>
          <w:tcPr>
            <w:tcW w:w="23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Houston, Texas 77002</w:t>
            </w:r>
          </w:p>
        </w:tc>
        <w:tc>
          <w:tcPr>
            <w:tcW w:w="28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713-646-4100 / 866-809-1291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Common Unit</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8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8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9"/>
                <w:szCs w:val="29"/>
                <w:color w:val="auto"/>
                <w:vertAlign w:val="superscript"/>
              </w:rPr>
              <w:t>(2)</w:t>
            </w: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30"/>
                <w:szCs w:val="30"/>
                <w:color w:val="auto"/>
                <w:vertAlign w:val="superscript"/>
              </w:rPr>
              <w:t>(3)</w:t>
            </w:r>
          </w:p>
        </w:tc>
        <w:tc>
          <w:tcPr>
            <w:tcW w:w="82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hanging="332"/>
        <w:spacing w:after="0" w:line="218"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03" w:lineRule="exact"/>
        <w:rPr>
          <w:rFonts w:ascii="Arial" w:cs="Arial" w:eastAsia="Arial" w:hAnsi="Arial"/>
          <w:sz w:val="30"/>
          <w:szCs w:val="30"/>
          <w:color w:val="auto"/>
          <w:vertAlign w:val="superscript"/>
        </w:rPr>
      </w:pPr>
    </w:p>
    <w:p>
      <w:pPr>
        <w:ind w:left="340" w:right="28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nine months ended September 30, 2018 as the effect was antidilutive.</w:t>
      </w:r>
    </w:p>
    <w:p>
      <w:pPr>
        <w:spacing w:after="0" w:line="202" w:lineRule="exact"/>
        <w:rPr>
          <w:rFonts w:ascii="Arial" w:cs="Arial" w:eastAsia="Arial" w:hAnsi="Arial"/>
          <w:sz w:val="30"/>
          <w:szCs w:val="30"/>
          <w:color w:val="auto"/>
          <w:vertAlign w:val="superscript"/>
        </w:rPr>
      </w:pPr>
    </w:p>
    <w:p>
      <w:pPr>
        <w:ind w:left="340" w:right="40" w:hanging="332"/>
        <w:spacing w:after="0" w:line="218"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4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87"/>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62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7"/>
                <w:szCs w:val="27"/>
                <w:b w:val="1"/>
                <w:bCs w:val="1"/>
                <w:color w:val="auto"/>
                <w:vertAlign w:val="superscript"/>
              </w:rPr>
              <w:t>(1)</w:t>
            </w:r>
          </w:p>
        </w:tc>
        <w:tc>
          <w:tcPr>
            <w:tcW w:w="8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05"/>
        </w:trPr>
        <w:tc>
          <w:tcPr>
            <w:tcW w:w="5620" w:type="dxa"/>
            <w:vAlign w:val="bottom"/>
          </w:tcPr>
          <w:p>
            <w:pPr>
              <w:spacing w:after="0" w:line="206" w:lineRule="exact"/>
              <w:rPr>
                <w:sz w:val="20"/>
                <w:szCs w:val="20"/>
                <w:color w:val="auto"/>
              </w:rPr>
            </w:pPr>
            <w:r>
              <w:rPr>
                <w:rFonts w:ascii="Arial" w:cs="Arial" w:eastAsia="Arial" w:hAnsi="Arial"/>
                <w:sz w:val="18"/>
                <w:szCs w:val="18"/>
                <w:color w:val="auto"/>
              </w:rPr>
              <w:t>Gains/(losses) from derivative activities, net of inventory valuation</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7"/>
        </w:trPr>
        <w:tc>
          <w:tcPr>
            <w:tcW w:w="5620" w:type="dxa"/>
            <w:vAlign w:val="bottom"/>
          </w:tcPr>
          <w:p>
            <w:pPr>
              <w:ind w:left="180"/>
              <w:spacing w:after="0" w:line="26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30"/>
                <w:szCs w:val="30"/>
                <w:color w:val="auto"/>
                <w:vertAlign w:val="superscript"/>
              </w:rPr>
              <w:t>(2)</w:t>
            </w:r>
          </w:p>
        </w:tc>
        <w:tc>
          <w:tcPr>
            <w:tcW w:w="820" w:type="dxa"/>
            <w:vAlign w:val="bottom"/>
          </w:tcPr>
          <w:p>
            <w:pPr>
              <w:jc w:val="right"/>
              <w:ind w:right="659"/>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0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80" w:type="dxa"/>
            <w:vAlign w:val="bottom"/>
            <w:gridSpan w:val="2"/>
          </w:tcPr>
          <w:p>
            <w:pPr>
              <w:jc w:val="right"/>
              <w:ind w:right="63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9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9"/>
                <w:szCs w:val="29"/>
                <w:color w:val="auto"/>
                <w:vertAlign w:val="superscript"/>
              </w:rPr>
              <w:t>(3)</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9"/>
                <w:szCs w:val="29"/>
                <w:color w:val="auto"/>
                <w:vertAlign w:val="superscript"/>
              </w:rPr>
              <w:t>(4)</w:t>
            </w:r>
          </w:p>
        </w:tc>
        <w:tc>
          <w:tcPr>
            <w:tcW w:w="8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9"/>
                <w:szCs w:val="29"/>
                <w:color w:val="auto"/>
                <w:vertAlign w:val="superscript"/>
              </w:rPr>
              <w:t>(5)</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9"/>
                <w:szCs w:val="29"/>
                <w:color w:val="auto"/>
                <w:vertAlign w:val="superscript"/>
              </w:rPr>
              <w:t>(6)</w:t>
            </w:r>
          </w:p>
        </w:tc>
        <w:tc>
          <w:tcPr>
            <w:tcW w:w="8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30"/>
                <w:szCs w:val="30"/>
                <w:color w:val="auto"/>
                <w:vertAlign w:val="superscript"/>
              </w:rPr>
              <w:t>(7)</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820" w:type="dxa"/>
            <w:vAlign w:val="bottom"/>
            <w:tcBorders>
              <w:top w:val="single" w:sz="8" w:color="auto"/>
            </w:tcBorders>
          </w:tcPr>
          <w:p>
            <w:pPr>
              <w:jc w:val="right"/>
              <w:ind w:right="65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63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(134)</w:t>
            </w:r>
          </w:p>
        </w:tc>
        <w:tc>
          <w:tcPr>
            <w:tcW w:w="10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9"/>
                <w:szCs w:val="29"/>
                <w:color w:val="auto"/>
                <w:vertAlign w:val="superscript"/>
              </w:rPr>
              <w:t>(2)</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Gain on investment in unconsolidated entities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182"/>
        </w:trPr>
        <w:tc>
          <w:tcPr>
            <w:tcW w:w="562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Selected items impacting comparability - Adjusted net income</w:t>
            </w:r>
          </w:p>
        </w:tc>
        <w:tc>
          <w:tcPr>
            <w:tcW w:w="8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attributable to PAA</w:t>
            </w: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w:t>
            </w:r>
          </w:p>
        </w:tc>
        <w:tc>
          <w:tcPr>
            <w:tcW w:w="880" w:type="dxa"/>
            <w:vAlign w:val="bottom"/>
            <w:gridSpan w:val="2"/>
            <w:shd w:val="clear" w:color="auto" w:fill="CCEEFF"/>
          </w:tcPr>
          <w:p>
            <w:pPr>
              <w:jc w:val="right"/>
              <w:ind w:right="63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9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1" w:lineRule="exact"/>
        <w:rPr>
          <w:rFonts w:ascii="Arial" w:cs="Arial" w:eastAsia="Arial" w:hAnsi="Arial"/>
          <w:sz w:val="30"/>
          <w:szCs w:val="30"/>
          <w:color w:val="auto"/>
          <w:vertAlign w:val="superscript"/>
        </w:rPr>
      </w:pPr>
    </w:p>
    <w:p>
      <w:pPr>
        <w:ind w:left="340" w:hanging="332"/>
        <w:spacing w:after="0" w:line="245" w:lineRule="auto"/>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202" w:lineRule="exact"/>
        <w:rPr>
          <w:rFonts w:ascii="Arial" w:cs="Arial" w:eastAsia="Arial" w:hAnsi="Arial"/>
          <w:sz w:val="28"/>
          <w:szCs w:val="28"/>
          <w:color w:val="auto"/>
          <w:vertAlign w:val="superscript"/>
        </w:rPr>
      </w:pPr>
    </w:p>
    <w:p>
      <w:pPr>
        <w:ind w:left="340" w:right="160" w:hanging="332"/>
        <w:spacing w:after="0" w:line="256" w:lineRule="auto"/>
        <w:tabs>
          <w:tab w:leader="none" w:pos="3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92" w:lineRule="exact"/>
        <w:rPr>
          <w:rFonts w:ascii="Arial" w:cs="Arial" w:eastAsia="Arial" w:hAnsi="Arial"/>
          <w:sz w:val="26"/>
          <w:szCs w:val="26"/>
          <w:color w:val="auto"/>
          <w:vertAlign w:val="superscript"/>
        </w:rPr>
      </w:pPr>
    </w:p>
    <w:p>
      <w:pPr>
        <w:ind w:left="340" w:right="20" w:hanging="332"/>
        <w:spacing w:after="0" w:line="269" w:lineRule="auto"/>
        <w:tabs>
          <w:tab w:leader="none" w:pos="3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85" w:lineRule="exact"/>
        <w:rPr>
          <w:rFonts w:ascii="Arial" w:cs="Arial" w:eastAsia="Arial" w:hAnsi="Arial"/>
          <w:sz w:val="26"/>
          <w:szCs w:val="26"/>
          <w:color w:val="auto"/>
          <w:vertAlign w:val="superscript"/>
        </w:rPr>
      </w:pPr>
    </w:p>
    <w:p>
      <w:pPr>
        <w:ind w:left="340" w:right="120" w:hanging="332"/>
        <w:spacing w:after="0" w:line="227"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07" w:lineRule="exact"/>
        <w:rPr>
          <w:rFonts w:ascii="Arial" w:cs="Arial" w:eastAsia="Arial" w:hAnsi="Arial"/>
          <w:sz w:val="30"/>
          <w:szCs w:val="30"/>
          <w:color w:val="auto"/>
          <w:vertAlign w:val="superscript"/>
        </w:rPr>
      </w:pPr>
    </w:p>
    <w:p>
      <w:pPr>
        <w:ind w:left="340" w:right="360" w:hanging="332"/>
        <w:spacing w:after="0" w:line="207" w:lineRule="auto"/>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201" w:lineRule="exact"/>
        <w:rPr>
          <w:rFonts w:ascii="Arial" w:cs="Arial" w:eastAsia="Arial" w:hAnsi="Arial"/>
          <w:sz w:val="28"/>
          <w:szCs w:val="28"/>
          <w:color w:val="auto"/>
          <w:vertAlign w:val="superscript"/>
        </w:rPr>
      </w:pPr>
    </w:p>
    <w:p>
      <w:pPr>
        <w:ind w:left="340" w:right="58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88"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908" w:right="239" w:bottom="0" w:gutter="0" w:footer="0" w:header="0"/>
        </w:sectPr>
      </w:pPr>
    </w:p>
    <w:bookmarkStart w:id="15" w:name="page16"/>
    <w:bookmarkEnd w:id="15"/>
    <w:p>
      <w:pPr>
        <w:ind w:left="520"/>
        <w:spacing w:after="0"/>
        <w:tabs>
          <w:tab w:leader="none" w:pos="3640" w:val="left"/>
          <w:tab w:leader="none" w:pos="6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309245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8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Adjusted Net Income per Common Unit</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Selected items impacting comparability - Adjusted net income</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600" w:type="dxa"/>
            <w:vAlign w:val="bottom"/>
            <w:shd w:val="clear" w:color="auto" w:fill="CCEEFF"/>
          </w:tcPr>
          <w:p>
            <w:pPr>
              <w:ind w:left="320"/>
              <w:spacing w:after="0" w:line="28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30"/>
                <w:szCs w:val="30"/>
                <w:color w:val="auto"/>
                <w:vertAlign w:val="superscript"/>
              </w:rPr>
              <w:t>(2)</w:t>
            </w:r>
          </w:p>
        </w:tc>
        <w:tc>
          <w:tcPr>
            <w:tcW w:w="8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820" w:type="dxa"/>
            <w:vAlign w:val="bottom"/>
            <w:tcBorders>
              <w:top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160"/>
              <w:spacing w:after="0" w:line="206" w:lineRule="exact"/>
              <w:rPr>
                <w:sz w:val="20"/>
                <w:szCs w:val="20"/>
                <w:color w:val="auto"/>
              </w:rPr>
            </w:pPr>
            <w:r>
              <w:rPr>
                <w:rFonts w:ascii="Arial" w:cs="Arial" w:eastAsia="Arial" w:hAnsi="Arial"/>
                <w:sz w:val="18"/>
                <w:szCs w:val="18"/>
                <w:color w:val="auto"/>
              </w:rPr>
              <w:t>Selected items impacting comparability - Adjusted net income</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600" w:type="dxa"/>
            <w:vAlign w:val="bottom"/>
          </w:tcPr>
          <w:p>
            <w:pPr>
              <w:ind w:left="320"/>
              <w:spacing w:after="0" w:line="28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30"/>
                <w:szCs w:val="30"/>
                <w:color w:val="auto"/>
                <w:vertAlign w:val="superscript"/>
              </w:rPr>
              <w:t>(2)</w:t>
            </w:r>
          </w:p>
        </w:tc>
        <w:tc>
          <w:tcPr>
            <w:tcW w:w="82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820" w:type="dxa"/>
            <w:vAlign w:val="bottom"/>
            <w:tcBorders>
              <w:top w:val="single" w:sz="8" w:color="auto"/>
            </w:tcBorders>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9"/>
                <w:szCs w:val="29"/>
                <w:color w:val="auto"/>
                <w:vertAlign w:val="superscript"/>
              </w:rPr>
              <w:t>(3)</w:t>
            </w:r>
          </w:p>
        </w:tc>
        <w:tc>
          <w:tcPr>
            <w:tcW w:w="8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30"/>
                <w:szCs w:val="30"/>
                <w:color w:val="auto"/>
                <w:vertAlign w:val="superscript"/>
              </w:rPr>
              <w:t>(4)</w:t>
            </w:r>
          </w:p>
        </w:tc>
        <w:tc>
          <w:tcPr>
            <w:tcW w:w="82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right="20" w:hanging="332"/>
        <w:spacing w:after="0" w:line="218"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1" w:lineRule="exact"/>
        <w:rPr>
          <w:rFonts w:ascii="Arial" w:cs="Arial" w:eastAsia="Arial" w:hAnsi="Arial"/>
          <w:sz w:val="30"/>
          <w:szCs w:val="30"/>
          <w:color w:val="auto"/>
          <w:vertAlign w:val="superscript"/>
        </w:rPr>
      </w:pPr>
    </w:p>
    <w:p>
      <w:pPr>
        <w:ind w:left="340" w:right="160" w:hanging="332"/>
        <w:spacing w:after="0" w:line="207" w:lineRule="auto"/>
        <w:tabs>
          <w:tab w:leader="none" w:pos="3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 per common unit for the three months ended September 30, 2019 and the three and nine months ended September 30, 2018 as the effect was antidilutive.</w:t>
      </w:r>
    </w:p>
    <w:p>
      <w:pPr>
        <w:spacing w:after="0" w:line="201" w:lineRule="exact"/>
        <w:rPr>
          <w:rFonts w:ascii="Arial" w:cs="Arial" w:eastAsia="Arial" w:hAnsi="Arial"/>
          <w:sz w:val="28"/>
          <w:szCs w:val="28"/>
          <w:color w:val="auto"/>
          <w:vertAlign w:val="superscript"/>
        </w:rPr>
      </w:pPr>
    </w:p>
    <w:p>
      <w:pPr>
        <w:ind w:left="340" w:right="40" w:hanging="332"/>
        <w:spacing w:after="0" w:line="218"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30"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941"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Nine Months Ended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Borders>
              <w:top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30"/>
                <w:szCs w:val="30"/>
                <w:color w:val="auto"/>
                <w:vertAlign w:val="superscript"/>
              </w:rPr>
              <w:t>(1)</w:t>
            </w:r>
          </w:p>
        </w:tc>
        <w:tc>
          <w:tcPr>
            <w:tcW w:w="8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(0.48)</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9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0.87</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30"/>
                <w:szCs w:val="30"/>
                <w:color w:val="auto"/>
                <w:vertAlign w:val="superscript"/>
              </w:rPr>
              <w:t>(1)</w:t>
            </w:r>
          </w:p>
        </w:tc>
        <w:tc>
          <w:tcPr>
            <w:tcW w:w="8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(0.44)</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right="540" w:hanging="332"/>
        <w:spacing w:after="0" w:line="19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5"/>
          </w:tcPr>
          <w:p>
            <w:pPr>
              <w:ind w:left="22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2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9"/>
              </w:rPr>
              <w:t>Selected items impacting comparability per common unit</w:t>
            </w:r>
          </w:p>
        </w:tc>
        <w:tc>
          <w:tcPr>
            <w:tcW w:w="2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(0.83)</w:t>
            </w: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62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 more -</w:t>
            </w: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720"/>
              <w:spacing w:after="0"/>
              <w:rPr>
                <w:sz w:val="20"/>
                <w:szCs w:val="20"/>
                <w:color w:val="auto"/>
              </w:rPr>
            </w:pPr>
            <w:r>
              <w:rPr>
                <w:rFonts w:ascii="Arial" w:cs="Arial" w:eastAsia="Arial" w:hAnsi="Arial"/>
                <w:sz w:val="18"/>
                <w:szCs w:val="18"/>
                <w:b w:val="1"/>
                <w:bCs w:val="1"/>
                <w:color w:val="auto"/>
              </w:rPr>
              <w:t>333 Clay Street, Suite 1600</w:t>
            </w:r>
          </w:p>
        </w:tc>
        <w:tc>
          <w:tcPr>
            <w:tcW w:w="26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Houston, Texas 77002</w:t>
            </w:r>
          </w:p>
        </w:tc>
        <w:tc>
          <w:tcPr>
            <w:tcW w:w="2740" w:type="dxa"/>
            <w:vAlign w:val="bottom"/>
            <w:gridSpan w:val="3"/>
          </w:tcPr>
          <w:p>
            <w:pPr>
              <w:jc w:val="right"/>
              <w:spacing w:after="0"/>
              <w:rPr>
                <w:sz w:val="20"/>
                <w:szCs w:val="20"/>
                <w:color w:val="auto"/>
              </w:rPr>
            </w:pPr>
            <w:r>
              <w:rPr>
                <w:rFonts w:ascii="Arial" w:cs="Arial" w:eastAsia="Arial" w:hAnsi="Arial"/>
                <w:sz w:val="18"/>
                <w:szCs w:val="18"/>
                <w:b w:val="1"/>
                <w:bCs w:val="1"/>
                <w:color w:val="auto"/>
              </w:rPr>
              <w:t>713-646-4100 / 866-809-1291</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8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87"/>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8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1,872</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tax expense/(benefit)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30"/>
                <w:szCs w:val="30"/>
                <w:color w:val="auto"/>
                <w:vertAlign w:val="superscript"/>
              </w:rPr>
              <w:t>(1)</w:t>
            </w:r>
          </w:p>
        </w:tc>
        <w:tc>
          <w:tcPr>
            <w:tcW w:w="8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30"/>
                <w:szCs w:val="30"/>
                <w:color w:val="auto"/>
                <w:vertAlign w:val="superscript"/>
              </w:rPr>
              <w:t>(2)</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Adjusted EBITDA</w:t>
            </w:r>
          </w:p>
        </w:tc>
        <w:tc>
          <w:tcPr>
            <w:tcW w:w="820" w:type="dxa"/>
            <w:vAlign w:val="bottom"/>
            <w:tcBorders>
              <w:top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30"/>
                <w:szCs w:val="30"/>
                <w:color w:val="auto"/>
                <w:vertAlign w:val="superscript"/>
              </w:rPr>
              <w:t>(3)</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8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160"/>
              <w:spacing w:after="0" w:line="206" w:lineRule="exact"/>
              <w:rPr>
                <w:sz w:val="20"/>
                <w:szCs w:val="20"/>
                <w:color w:val="auto"/>
              </w:rPr>
            </w:pPr>
            <w:r>
              <w:rPr>
                <w:rFonts w:ascii="Arial" w:cs="Arial" w:eastAsia="Arial" w:hAnsi="Arial"/>
                <w:sz w:val="18"/>
                <w:szCs w:val="18"/>
                <w:color w:val="auto"/>
                <w:w w:val="96"/>
              </w:rPr>
              <w:t>Adjusted equity earnings in unconsolidated entities, net of distributions</w:t>
            </w:r>
          </w:p>
        </w:tc>
        <w:tc>
          <w:tcPr>
            <w:tcW w:w="820" w:type="dxa"/>
            <w:vAlign w:val="bottom"/>
          </w:tcPr>
          <w:p>
            <w:pPr>
              <w:spacing w:after="0"/>
              <w:rPr>
                <w:sz w:val="17"/>
                <w:szCs w:val="17"/>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5620" w:type="dxa"/>
            <w:vAlign w:val="bottom"/>
            <w:gridSpan w:val="2"/>
          </w:tcPr>
          <w:p>
            <w:pPr>
              <w:ind w:left="180"/>
              <w:spacing w:after="0"/>
              <w:rPr>
                <w:sz w:val="20"/>
                <w:szCs w:val="20"/>
                <w:color w:val="auto"/>
              </w:rPr>
            </w:pPr>
            <w:r>
              <w:rPr>
                <w:rFonts w:ascii="Arial" w:cs="Arial" w:eastAsia="Arial" w:hAnsi="Arial"/>
                <w:sz w:val="15"/>
                <w:szCs w:val="15"/>
                <w:color w:val="auto"/>
              </w:rPr>
              <w:t>(4)</w:t>
            </w:r>
          </w:p>
        </w:tc>
        <w:tc>
          <w:tcPr>
            <w:tcW w:w="82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30"/>
                <w:szCs w:val="30"/>
                <w:color w:val="auto"/>
                <w:vertAlign w:val="superscript"/>
              </w:rPr>
              <w:t>(5)</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Implied DCF</w:t>
            </w:r>
          </w:p>
        </w:tc>
        <w:tc>
          <w:tcPr>
            <w:tcW w:w="820" w:type="dxa"/>
            <w:vAlign w:val="bottom"/>
            <w:tcBorders>
              <w:top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30"/>
                <w:szCs w:val="30"/>
                <w:color w:val="auto"/>
                <w:vertAlign w:val="superscript"/>
              </w:rPr>
              <w:t>(6)</w:t>
            </w:r>
          </w:p>
        </w:tc>
        <w:tc>
          <w:tcPr>
            <w:tcW w:w="8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Common Units Outstanding</w:t>
            </w:r>
          </w:p>
        </w:tc>
        <w:tc>
          <w:tcPr>
            <w:tcW w:w="8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6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30"/>
                <w:szCs w:val="30"/>
                <w:color w:val="auto"/>
                <w:vertAlign w:val="superscript"/>
              </w:rPr>
              <w:t>(7)</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0.55</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30"/>
                <w:szCs w:val="30"/>
                <w:color w:val="auto"/>
                <w:vertAlign w:val="superscript"/>
              </w:rPr>
              <w:t>(8)</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8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8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30"/>
                <w:szCs w:val="30"/>
                <w:color w:val="auto"/>
                <w:vertAlign w:val="superscript"/>
              </w:rPr>
              <w:t>(5)</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8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1.79x</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1.82x</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2.23x</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1.70x</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8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909</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9" w:lineRule="exact"/>
        <w:rPr>
          <w:sz w:val="20"/>
          <w:szCs w:val="20"/>
          <w:color w:val="auto"/>
        </w:rPr>
      </w:pPr>
    </w:p>
    <w:p>
      <w:pPr>
        <w:ind w:left="340" w:right="800" w:hanging="332"/>
        <w:spacing w:after="0" w:line="194"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Adjustment to add back our proportionate share of depreciation and amortization expense of, and gains and losses on significant asset sales by, unconsolidated entities.</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63" w:lineRule="exact"/>
        <w:rPr>
          <w:rFonts w:ascii="Arial" w:cs="Arial" w:eastAsia="Arial" w:hAnsi="Arial"/>
          <w:sz w:val="30"/>
          <w:szCs w:val="30"/>
          <w:color w:val="auto"/>
          <w:vertAlign w:val="superscript"/>
        </w:rPr>
      </w:pPr>
    </w:p>
    <w:p>
      <w:pPr>
        <w:ind w:left="340" w:hanging="332"/>
        <w:spacing w:after="0" w:line="200"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2" w:lineRule="exact"/>
        <w:rPr>
          <w:rFonts w:ascii="Arial" w:cs="Arial" w:eastAsia="Arial" w:hAnsi="Arial"/>
          <w:sz w:val="28"/>
          <w:szCs w:val="28"/>
          <w:color w:val="auto"/>
          <w:vertAlign w:val="superscript"/>
        </w:rPr>
      </w:pPr>
    </w:p>
    <w:p>
      <w:pPr>
        <w:ind w:left="340" w:right="20" w:hanging="332"/>
        <w:spacing w:after="0" w:line="194"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during the period presented.</w:t>
      </w:r>
    </w:p>
    <w:p>
      <w:pPr>
        <w:spacing w:after="0" w:line="201" w:lineRule="exact"/>
        <w:rPr>
          <w:rFonts w:ascii="Arial" w:cs="Arial" w:eastAsia="Arial" w:hAnsi="Arial"/>
          <w:sz w:val="30"/>
          <w:szCs w:val="30"/>
          <w:color w:val="auto"/>
          <w:vertAlign w:val="superscript"/>
        </w:rPr>
      </w:pPr>
    </w:p>
    <w:p>
      <w:pPr>
        <w:ind w:left="340" w:hanging="332"/>
        <w:spacing w:after="0" w:line="218"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semi-annually in arrears on May 15 and November 15.</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201" w:lineRule="exact"/>
        <w:rPr>
          <w:rFonts w:ascii="Arial" w:cs="Arial" w:eastAsia="Arial" w:hAnsi="Arial"/>
          <w:sz w:val="30"/>
          <w:szCs w:val="30"/>
          <w:color w:val="auto"/>
          <w:vertAlign w:val="superscript"/>
        </w:rPr>
      </w:pPr>
    </w:p>
    <w:p>
      <w:pPr>
        <w:ind w:left="340" w:right="340" w:hanging="332"/>
        <w:spacing w:after="0" w:line="218"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in whole or in part, subject to certain minimum conversion amounts.</w:t>
      </w:r>
    </w:p>
    <w:p>
      <w:pPr>
        <w:sectPr>
          <w:pgSz w:w="11900" w:h="16838" w:orient="portrait"/>
          <w:cols w:equalWidth="0" w:num="1">
            <w:col w:w="11420"/>
          </w:cols>
          <w:pgMar w:left="240" w:top="908" w:right="239" w:bottom="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520"/>
        <w:spacing w:after="0"/>
        <w:tabs>
          <w:tab w:leader="none" w:pos="3640" w:val="left"/>
          <w:tab w:leader="none" w:pos="64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463550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300" w:type="dxa"/>
            <w:vAlign w:val="bottom"/>
            <w:gridSpan w:val="5"/>
          </w:tcPr>
          <w:p>
            <w:pPr>
              <w:jc w:val="right"/>
              <w:spacing w:after="0"/>
              <w:rPr>
                <w:sz w:val="20"/>
                <w:szCs w:val="20"/>
                <w:color w:val="auto"/>
              </w:rPr>
            </w:pPr>
            <w:r>
              <w:rPr>
                <w:rFonts w:ascii="Arial" w:cs="Arial" w:eastAsia="Arial" w:hAnsi="Arial"/>
                <w:sz w:val="18"/>
                <w:szCs w:val="18"/>
                <w:b w:val="1"/>
                <w:bCs w:val="1"/>
                <w:color w:val="auto"/>
              </w:rPr>
              <w:t>Twelve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1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2,216</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9"/>
                <w:szCs w:val="29"/>
                <w:color w:val="auto"/>
                <w:vertAlign w:val="superscript"/>
              </w:rPr>
              <w:t>(1)</w:t>
            </w:r>
          </w:p>
        </w:tc>
        <w:tc>
          <w:tcPr>
            <w:tcW w:w="1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5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2,684</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2,082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line="210" w:lineRule="exact"/>
              <w:rPr>
                <w:sz w:val="20"/>
                <w:szCs w:val="20"/>
                <w:color w:val="auto"/>
              </w:rPr>
            </w:pPr>
            <w:r>
              <w:rPr>
                <w:rFonts w:ascii="Arial" w:cs="Arial" w:eastAsia="Arial" w:hAnsi="Arial"/>
                <w:sz w:val="15"/>
                <w:szCs w:val="15"/>
                <w:color w:val="auto"/>
              </w:rPr>
              <w:t xml:space="preserve">Interest expense, net of certain non-cash items </w:t>
            </w:r>
            <w:r>
              <w:rPr>
                <w:rFonts w:ascii="Arial" w:cs="Arial" w:eastAsia="Arial" w:hAnsi="Arial"/>
                <w:sz w:val="24"/>
                <w:szCs w:val="24"/>
                <w:color w:val="auto"/>
                <w:vertAlign w:val="superscript"/>
              </w:rPr>
              <w:t>(2)</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9"/>
                <w:szCs w:val="29"/>
                <w:color w:val="auto"/>
                <w:vertAlign w:val="superscript"/>
              </w:rPr>
              <w:t>(3)</w:t>
            </w:r>
          </w:p>
        </w:tc>
        <w:tc>
          <w:tcPr>
            <w:tcW w:w="1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4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30"/>
                <w:szCs w:val="30"/>
                <w:color w:val="auto"/>
                <w:vertAlign w:val="superscript"/>
              </w:rPr>
              <w:t>(4)</w:t>
            </w:r>
          </w:p>
        </w:tc>
        <w:tc>
          <w:tcPr>
            <w:tcW w:w="1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Implied DCF</w:t>
            </w:r>
          </w:p>
        </w:tc>
        <w:tc>
          <w:tcPr>
            <w:tcW w:w="152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1,948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4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30"/>
                <w:szCs w:val="30"/>
                <w:color w:val="auto"/>
                <w:vertAlign w:val="superscript"/>
              </w:rPr>
              <w:t>(5)</w:t>
            </w:r>
          </w:p>
        </w:tc>
        <w:tc>
          <w:tcPr>
            <w:tcW w:w="1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15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1,787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Weighted Average Common Units Outstanding</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9"/>
                <w:szCs w:val="29"/>
                <w:color w:val="auto"/>
                <w:vertAlign w:val="superscript"/>
              </w:rPr>
              <w:t>(6)</w:t>
            </w:r>
          </w:p>
        </w:tc>
        <w:tc>
          <w:tcPr>
            <w:tcW w:w="23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spacing w:after="0" w:line="25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9"/>
                <w:szCs w:val="29"/>
                <w:color w:val="auto"/>
                <w:vertAlign w:val="superscript"/>
              </w:rPr>
              <w:t>(7)</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9"/>
                <w:szCs w:val="29"/>
                <w:color w:val="auto"/>
                <w:vertAlign w:val="superscript"/>
              </w:rPr>
              <w:t>(4)</w:t>
            </w:r>
          </w:p>
        </w:tc>
        <w:tc>
          <w:tcPr>
            <w:tcW w:w="23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2.05x</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0.94x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916</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9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6" w:lineRule="exact"/>
        <w:rPr>
          <w:sz w:val="20"/>
          <w:szCs w:val="20"/>
          <w:color w:val="auto"/>
        </w:rPr>
      </w:pPr>
    </w:p>
    <w:p>
      <w:pPr>
        <w:ind w:left="340" w:right="800" w:hanging="332"/>
        <w:spacing w:after="0" w:line="194"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Adjustment to add back our proportionate share of depreciation and amortization expense of, and gains and losses on significant asset sales by, unconsolidated entities.</w:t>
      </w:r>
    </w:p>
    <w:p>
      <w:pPr>
        <w:spacing w:after="0" w:line="110"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1" w:lineRule="exact"/>
        <w:rPr>
          <w:rFonts w:ascii="Arial" w:cs="Arial" w:eastAsia="Arial" w:hAnsi="Arial"/>
          <w:sz w:val="28"/>
          <w:szCs w:val="28"/>
          <w:color w:val="auto"/>
          <w:vertAlign w:val="superscript"/>
        </w:rPr>
      </w:pPr>
    </w:p>
    <w:p>
      <w:pPr>
        <w:ind w:left="340" w:right="20" w:hanging="332"/>
        <w:spacing w:after="0" w:line="194"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during the period presented.</w:t>
      </w:r>
    </w:p>
    <w:p>
      <w:pPr>
        <w:spacing w:after="0" w:line="201" w:lineRule="exact"/>
        <w:rPr>
          <w:rFonts w:ascii="Arial" w:cs="Arial" w:eastAsia="Arial" w:hAnsi="Arial"/>
          <w:sz w:val="30"/>
          <w:szCs w:val="30"/>
          <w:color w:val="auto"/>
          <w:vertAlign w:val="superscript"/>
        </w:rPr>
      </w:pPr>
    </w:p>
    <w:p>
      <w:pPr>
        <w:ind w:left="340" w:right="140" w:hanging="332"/>
        <w:spacing w:after="0" w:line="224"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Cash distributions paid to our preferred unitholders during the period presented. The $0.5250 quarterly ($2.10 annualized) per unit distribution requirement of our Series A preferred units was paid-in-kind for each quarterly distribution through February 2018. Distributions on our Series A preferred units have been paid in cash since the May 2018 quarterly distribution. The $61.25 per unit annual distribution requirement of our Series B preferred units is payable semi-annually in arrears on May 15 and November 15. A pro-rated initial distribution on the Series B preferred units was paid on November 15, 2017.</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201" w:lineRule="exact"/>
        <w:rPr>
          <w:rFonts w:ascii="Arial" w:cs="Arial" w:eastAsia="Arial" w:hAnsi="Arial"/>
          <w:sz w:val="30"/>
          <w:szCs w:val="30"/>
          <w:color w:val="auto"/>
          <w:vertAlign w:val="superscript"/>
        </w:rPr>
      </w:pPr>
    </w:p>
    <w:p>
      <w:pPr>
        <w:ind w:left="340" w:right="340" w:hanging="332"/>
        <w:spacing w:after="0" w:line="218"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908" w:right="239" w:bottom="0" w:gutter="0" w:footer="0" w:header="0"/>
        </w:sectPr>
      </w:pPr>
    </w:p>
    <w:bookmarkStart w:id="21" w:name="page22"/>
    <w:bookmarkEnd w:id="21"/>
    <w:p>
      <w:pPr>
        <w:spacing w:after="0"/>
        <w:tabs>
          <w:tab w:leader="none" w:pos="4840" w:val="left"/>
          <w:tab w:leader="none" w:pos="7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Equivalent Unit Reconciliations: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3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tcBorders>
              <w:top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30"/>
                <w:szCs w:val="30"/>
                <w:color w:val="auto"/>
                <w:vertAlign w:val="superscript"/>
              </w:rPr>
              <w:t>(1) (2)</w:t>
            </w:r>
          </w:p>
        </w:tc>
        <w:tc>
          <w:tcPr>
            <w:tcW w:w="82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w:t>
            </w:r>
          </w:p>
        </w:tc>
        <w:tc>
          <w:tcPr>
            <w:tcW w:w="34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30"/>
                <w:szCs w:val="30"/>
                <w:color w:val="auto"/>
                <w:w w:val="97"/>
                <w:vertAlign w:val="superscript"/>
              </w:rPr>
              <w:t>(1) (3)</w:t>
            </w:r>
          </w:p>
        </w:tc>
        <w:tc>
          <w:tcPr>
            <w:tcW w:w="82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0"/>
              </w:rPr>
              <w:t>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30"/>
                <w:szCs w:val="30"/>
                <w:color w:val="auto"/>
                <w:vertAlign w:val="superscript"/>
              </w:rPr>
              <w:t>(1) (4)</w:t>
            </w: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line="269"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30"/>
                <w:szCs w:val="30"/>
                <w:color w:val="auto"/>
                <w:w w:val="97"/>
                <w:vertAlign w:val="superscript"/>
              </w:rPr>
              <w:t>(1) (5)</w:t>
            </w: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right="46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of 728 million, 726 million, 727 million and 726 million, respectively.</w:t>
      </w:r>
    </w:p>
    <w:p>
      <w:pPr>
        <w:spacing w:after="0" w:line="201" w:lineRule="exact"/>
        <w:rPr>
          <w:rFonts w:ascii="Arial" w:cs="Arial" w:eastAsia="Arial" w:hAnsi="Arial"/>
          <w:sz w:val="30"/>
          <w:szCs w:val="30"/>
          <w:color w:val="auto"/>
          <w:vertAlign w:val="superscript"/>
        </w:rPr>
      </w:pPr>
    </w:p>
    <w:p>
      <w:pPr>
        <w:ind w:left="340" w:right="16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of 726 million and 717 million, respectively.</w:t>
      </w:r>
    </w:p>
    <w:p>
      <w:pPr>
        <w:spacing w:after="0" w:line="201" w:lineRule="exact"/>
        <w:rPr>
          <w:rFonts w:ascii="Arial" w:cs="Arial" w:eastAsia="Arial" w:hAnsi="Arial"/>
          <w:sz w:val="30"/>
          <w:szCs w:val="30"/>
          <w:color w:val="auto"/>
          <w:vertAlign w:val="superscript"/>
        </w:rPr>
      </w:pPr>
    </w:p>
    <w:p>
      <w:pPr>
        <w:ind w:left="340" w:right="18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and 67 million, respectively.</w:t>
      </w:r>
    </w:p>
    <w:p>
      <w:pPr>
        <w:spacing w:after="0" w:line="202"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2"/>
              </w:rPr>
              <w:t>September 30,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Facilities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Logistics</w:t>
            </w:r>
          </w:p>
        </w:tc>
        <w:tc>
          <w:tcPr>
            <w:tcW w:w="120" w:type="dxa"/>
            <w:vAlign w:val="bottom"/>
          </w:tcPr>
          <w:p>
            <w:pPr>
              <w:spacing w:after="0"/>
              <w:rPr>
                <w:sz w:val="18"/>
                <w:szCs w:val="18"/>
                <w:color w:val="auto"/>
              </w:rPr>
            </w:pPr>
          </w:p>
        </w:tc>
        <w:tc>
          <w:tcPr>
            <w:tcW w:w="1260" w:type="dxa"/>
            <w:vAlign w:val="bottom"/>
            <w:gridSpan w:val="4"/>
          </w:tcPr>
          <w:p>
            <w:pPr>
              <w:ind w:left="100"/>
              <w:spacing w:after="0"/>
              <w:rPr>
                <w:sz w:val="20"/>
                <w:szCs w:val="20"/>
                <w:color w:val="auto"/>
              </w:rPr>
            </w:pPr>
            <w:r>
              <w:rPr>
                <w:rFonts w:ascii="Arial" w:cs="Arial" w:eastAsia="Arial" w:hAnsi="Arial"/>
                <w:sz w:val="16"/>
                <w:szCs w:val="16"/>
                <w:b w:val="1"/>
                <w:bCs w:val="1"/>
                <w:color w:val="auto"/>
              </w:rPr>
              <w:t>Transportation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Logistics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line="249"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7"/>
                <w:szCs w:val="27"/>
                <w:color w:val="auto"/>
                <w:vertAlign w:val="superscript"/>
              </w:rPr>
              <w:t>(1)</w:t>
            </w: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vMerge w:val="continue"/>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7,542</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8,483</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Purchases and related costs </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(7,337)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(8,191)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Field operating costs </w:t>
            </w:r>
            <w:r>
              <w:rPr>
                <w:rFonts w:ascii="Arial" w:cs="Arial" w:eastAsia="Arial" w:hAnsi="Arial"/>
                <w:sz w:val="27"/>
                <w:szCs w:val="27"/>
                <w:color w:val="auto"/>
                <w:vertAlign w:val="superscript"/>
              </w:rPr>
              <w:t>(1) (2)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(172)</w:t>
            </w: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Segment general and administrative expenses </w:t>
            </w:r>
            <w:r>
              <w:rPr>
                <w:rFonts w:ascii="Arial" w:cs="Arial" w:eastAsia="Arial" w:hAnsi="Arial"/>
                <w:sz w:val="27"/>
                <w:szCs w:val="27"/>
                <w:color w:val="auto"/>
                <w:vertAlign w:val="superscript"/>
              </w:rPr>
              <w:t>(2) (3)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Equity earnings in unconsolidated entities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w w:val="94"/>
              </w:rPr>
              <w:t>Depreciation and amortization of unconsolidated entities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Gains from derivative activities, net of inventory</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valuation adjustments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Long-term inventory costing adjustments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Deficiencies under minimum volume commitments, net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Equity-indexed compensation expense</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gain on foreign currency revaluation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6"/>
                <w:szCs w:val="16"/>
                <w:color w:val="auto"/>
              </w:rPr>
              <w:t>Segment Adjusted EBITDA</w:t>
            </w: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3920" w:type="dxa"/>
            <w:vAlign w:val="bottom"/>
            <w:vMerge w:val="continue"/>
          </w:tcPr>
          <w:p>
            <w:pPr>
              <w:spacing w:after="0"/>
              <w:rPr>
                <w:sz w:val="21"/>
                <w:szCs w:val="21"/>
                <w:color w:val="auto"/>
              </w:rPr>
            </w:pP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462</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92</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388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9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Maintenance capital</w:t>
            </w: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15</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41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Includes intersegment amounts.</w:t>
      </w:r>
    </w:p>
    <w:p>
      <w:pPr>
        <w:spacing w:after="0" w:line="145" w:lineRule="exact"/>
        <w:rPr>
          <w:rFonts w:ascii="Arial" w:cs="Arial" w:eastAsia="Arial" w:hAnsi="Arial"/>
          <w:sz w:val="27"/>
          <w:szCs w:val="27"/>
          <w:color w:val="auto"/>
          <w:vertAlign w:val="superscript"/>
        </w:rPr>
      </w:pPr>
    </w:p>
    <w:p>
      <w:pPr>
        <w:ind w:left="340" w:hanging="332"/>
        <w:spacing w:after="0" w:line="211"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Field operating costs and Segment general and administrative expenses include equity-indexed compensation expense.</w:t>
      </w:r>
    </w:p>
    <w:p>
      <w:pPr>
        <w:spacing w:after="0" w:line="212" w:lineRule="exact"/>
        <w:rPr>
          <w:rFonts w:ascii="Arial" w:cs="Arial" w:eastAsia="Arial" w:hAnsi="Arial"/>
          <w:sz w:val="27"/>
          <w:szCs w:val="27"/>
          <w:color w:val="auto"/>
          <w:vertAlign w:val="superscript"/>
        </w:rPr>
      </w:pPr>
    </w:p>
    <w:p>
      <w:pPr>
        <w:ind w:left="340" w:right="500" w:hanging="332"/>
        <w:spacing w:after="0" w:line="198"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13" w:lineRule="exact"/>
        <w:rPr>
          <w:rFonts w:ascii="Arial" w:cs="Arial" w:eastAsia="Arial" w:hAnsi="Arial"/>
          <w:sz w:val="27"/>
          <w:szCs w:val="27"/>
          <w:color w:val="auto"/>
          <w:vertAlign w:val="superscript"/>
        </w:rPr>
      </w:pPr>
    </w:p>
    <w:p>
      <w:pPr>
        <w:ind w:left="340" w:right="180" w:hanging="332"/>
        <w:spacing w:after="0" w:line="216"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8"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2"/>
              </w:rPr>
              <w:t>September 30,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Facilities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Logistics</w:t>
            </w:r>
          </w:p>
        </w:tc>
        <w:tc>
          <w:tcPr>
            <w:tcW w:w="120" w:type="dxa"/>
            <w:vAlign w:val="bottom"/>
          </w:tcPr>
          <w:p>
            <w:pPr>
              <w:spacing w:after="0"/>
              <w:rPr>
                <w:sz w:val="18"/>
                <w:szCs w:val="18"/>
                <w:color w:val="auto"/>
              </w:rPr>
            </w:pPr>
          </w:p>
        </w:tc>
        <w:tc>
          <w:tcPr>
            <w:tcW w:w="1260" w:type="dxa"/>
            <w:vAlign w:val="bottom"/>
            <w:gridSpan w:val="4"/>
          </w:tcPr>
          <w:p>
            <w:pPr>
              <w:ind w:left="100"/>
              <w:spacing w:after="0"/>
              <w:rPr>
                <w:sz w:val="20"/>
                <w:szCs w:val="20"/>
                <w:color w:val="auto"/>
              </w:rPr>
            </w:pPr>
            <w:r>
              <w:rPr>
                <w:rFonts w:ascii="Arial" w:cs="Arial" w:eastAsia="Arial" w:hAnsi="Arial"/>
                <w:sz w:val="16"/>
                <w:szCs w:val="16"/>
                <w:b w:val="1"/>
                <w:bCs w:val="1"/>
                <w:color w:val="auto"/>
              </w:rPr>
              <w:t>Transportation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Logistics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line="249"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7"/>
                <w:szCs w:val="27"/>
                <w:color w:val="auto"/>
                <w:vertAlign w:val="superscript"/>
              </w:rPr>
              <w:t>(1)</w:t>
            </w: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vMerge w:val="continue"/>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23,480</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1,427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Purchases and related costs </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(22,599)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(24,076)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Field operating costs </w:t>
            </w:r>
            <w:r>
              <w:rPr>
                <w:rFonts w:ascii="Arial" w:cs="Arial" w:eastAsia="Arial" w:hAnsi="Arial"/>
                <w:sz w:val="27"/>
                <w:szCs w:val="27"/>
                <w:color w:val="auto"/>
                <w:vertAlign w:val="superscript"/>
              </w:rPr>
              <w:t>(1) (2)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(532)</w:t>
            </w: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Segment general and administrative expenses </w:t>
            </w:r>
            <w:r>
              <w:rPr>
                <w:rFonts w:ascii="Arial" w:cs="Arial" w:eastAsia="Arial" w:hAnsi="Arial"/>
                <w:sz w:val="27"/>
                <w:szCs w:val="27"/>
                <w:color w:val="auto"/>
                <w:vertAlign w:val="superscript"/>
              </w:rPr>
              <w:t>(2) (3)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Equity earnings in unconsolidated entities</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w w:val="94"/>
              </w:rPr>
              <w:t>Depreciation and amortization of unconsolidated entities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(Gains)/losses from derivative activities, net of inventory</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valuation adjustments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Long-term inventory costing adjustments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Deficiencies under minimum volume commitments, net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Equity-indexed compensation expense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loss on foreign currency revaluation</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Line 901 incident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vMerge w:val="continue"/>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571</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1,083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Maintenance capital</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Includes intersegment amounts.</w:t>
      </w:r>
    </w:p>
    <w:p>
      <w:pPr>
        <w:spacing w:after="0" w:line="145" w:lineRule="exact"/>
        <w:rPr>
          <w:rFonts w:ascii="Arial" w:cs="Arial" w:eastAsia="Arial" w:hAnsi="Arial"/>
          <w:sz w:val="27"/>
          <w:szCs w:val="27"/>
          <w:color w:val="auto"/>
          <w:vertAlign w:val="superscript"/>
        </w:rPr>
      </w:pPr>
    </w:p>
    <w:p>
      <w:pPr>
        <w:ind w:left="340" w:hanging="332"/>
        <w:spacing w:after="0" w:line="200" w:lineRule="auto"/>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Field operating costs and Segment general and administrative expenses include equity-indexed compensation expense.</w:t>
      </w:r>
    </w:p>
    <w:p>
      <w:pPr>
        <w:spacing w:after="0" w:line="199" w:lineRule="exact"/>
        <w:rPr>
          <w:rFonts w:ascii="Arial" w:cs="Arial" w:eastAsia="Arial" w:hAnsi="Arial"/>
          <w:sz w:val="27"/>
          <w:szCs w:val="27"/>
          <w:color w:val="auto"/>
          <w:vertAlign w:val="superscript"/>
        </w:rPr>
      </w:pPr>
    </w:p>
    <w:p>
      <w:pPr>
        <w:ind w:left="340" w:right="500" w:hanging="332"/>
        <w:spacing w:after="0" w:line="198" w:lineRule="auto"/>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99" w:lineRule="exact"/>
        <w:rPr>
          <w:rFonts w:ascii="Arial" w:cs="Arial" w:eastAsia="Arial" w:hAnsi="Arial"/>
          <w:sz w:val="27"/>
          <w:szCs w:val="27"/>
          <w:color w:val="auto"/>
          <w:vertAlign w:val="superscript"/>
        </w:rPr>
      </w:pPr>
    </w:p>
    <w:p>
      <w:pPr>
        <w:ind w:left="340" w:right="20" w:hanging="332"/>
        <w:spacing w:after="0" w:line="216" w:lineRule="auto"/>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8"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OPERATING DATA BY SEGMENT </w:t>
            </w:r>
            <w:r>
              <w:rPr>
                <w:rFonts w:ascii="Arial" w:cs="Arial" w:eastAsia="Arial" w:hAnsi="Arial"/>
                <w:sz w:val="30"/>
                <w:szCs w:val="30"/>
                <w:b w:val="1"/>
                <w:bCs w:val="1"/>
                <w:color w:val="auto"/>
                <w:vertAlign w:val="superscript"/>
              </w:rPr>
              <w:t>(1)</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23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19"/>
                <w:szCs w:val="19"/>
                <w:color w:val="auto"/>
              </w:rPr>
            </w:pPr>
          </w:p>
        </w:tc>
        <w:tc>
          <w:tcPr>
            <w:tcW w:w="2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0"/>
              </w:rPr>
              <w:t>Transportation segment (average daily volumes in thousands of barrels</w:t>
            </w:r>
          </w:p>
        </w:tc>
        <w:tc>
          <w:tcPr>
            <w:tcW w:w="8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Tariff activities volumes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ind w:left="320"/>
              <w:spacing w:after="0" w:line="25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9"/>
                <w:szCs w:val="29"/>
                <w:color w:val="auto"/>
                <w:vertAlign w:val="superscript"/>
              </w:rPr>
              <w:t>(2)</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4,852</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3,880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4,568</w:t>
            </w:r>
          </w:p>
        </w:tc>
        <w:tc>
          <w:tcPr>
            <w:tcW w:w="4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9"/>
                <w:szCs w:val="29"/>
                <w:color w:val="auto"/>
                <w:vertAlign w:val="superscript"/>
              </w:rPr>
              <w:t>(2)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8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4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ind w:left="320"/>
              <w:spacing w:after="0" w:line="25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9"/>
                <w:szCs w:val="29"/>
                <w:color w:val="auto"/>
                <w:vertAlign w:val="superscript"/>
              </w:rPr>
              <w:t>(2)</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538</w:t>
            </w: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524</w:t>
            </w:r>
          </w:p>
        </w:tc>
        <w:tc>
          <w:tcPr>
            <w:tcW w:w="4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Gulf Coast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tcPr>
          <w:p>
            <w:pPr>
              <w:ind w:left="320"/>
              <w:spacing w:after="0" w:line="25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9"/>
                <w:szCs w:val="29"/>
                <w:color w:val="auto"/>
                <w:vertAlign w:val="superscript"/>
              </w:rPr>
              <w:t>(2)</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284</w:t>
            </w: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46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Western</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ind w:left="320"/>
              <w:spacing w:after="0"/>
              <w:rPr>
                <w:sz w:val="20"/>
                <w:szCs w:val="20"/>
                <w:color w:val="auto"/>
              </w:rPr>
            </w:pPr>
            <w:r>
              <w:rPr>
                <w:rFonts w:ascii="Arial" w:cs="Arial" w:eastAsia="Arial" w:hAnsi="Arial"/>
                <w:sz w:val="18"/>
                <w:szCs w:val="18"/>
                <w:color w:val="auto"/>
              </w:rPr>
              <w:t>Canada</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4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6,807</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5,746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NGL pipelines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4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7,000</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5,920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Trucking volumes</w:t>
            </w: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7,081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Liquids storage (average monthly capacity in millions of barrels)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84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gridSpan w:val="2"/>
            <w:shd w:val="clear" w:color="auto" w:fill="CCEEFF"/>
          </w:tcPr>
          <w:p>
            <w:pPr>
              <w:ind w:left="160"/>
              <w:spacing w:after="0" w:line="156" w:lineRule="exact"/>
              <w:rPr>
                <w:sz w:val="20"/>
                <w:szCs w:val="20"/>
                <w:color w:val="auto"/>
              </w:rPr>
            </w:pPr>
            <w:r>
              <w:rPr>
                <w:rFonts w:ascii="Arial" w:cs="Arial" w:eastAsia="Arial" w:hAnsi="Arial"/>
                <w:sz w:val="18"/>
                <w:szCs w:val="18"/>
                <w:color w:val="auto"/>
              </w:rPr>
              <w:t>Natural gas storage (average monthly working capacity in billions of</w:t>
            </w:r>
          </w:p>
        </w:tc>
        <w:tc>
          <w:tcPr>
            <w:tcW w:w="8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cubic feet)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4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w w:val="99"/>
              </w:rPr>
              <w:t>NGL fractionation (average volumes in thousands of barrels per day)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gridSpan w:val="2"/>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w:t>
            </w:r>
          </w:p>
        </w:tc>
        <w:tc>
          <w:tcPr>
            <w:tcW w:w="2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00" w:type="dxa"/>
            <w:vAlign w:val="bottom"/>
            <w:gridSpan w:val="2"/>
            <w:shd w:val="clear" w:color="auto" w:fill="CCEEFF"/>
          </w:tcPr>
          <w:p>
            <w:pPr>
              <w:spacing w:after="0" w:line="159" w:lineRule="exact"/>
              <w:rPr>
                <w:sz w:val="20"/>
                <w:szCs w:val="20"/>
                <w:color w:val="auto"/>
              </w:rPr>
            </w:pPr>
            <w:r>
              <w:rPr>
                <w:rFonts w:ascii="Arial" w:cs="Arial" w:eastAsia="Arial" w:hAnsi="Arial"/>
                <w:sz w:val="18"/>
                <w:szCs w:val="18"/>
                <w:color w:val="auto"/>
                <w:w w:val="97"/>
              </w:rPr>
              <w:t>Facilities segment total volumes (average monthly volumes in millions of</w:t>
            </w: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420" w:type="dxa"/>
            <w:vAlign w:val="bottom"/>
            <w:gridSpan w:val="3"/>
            <w:shd w:val="clear" w:color="auto" w:fill="CCEEFF"/>
          </w:tcPr>
          <w:p>
            <w:pPr>
              <w:ind w:left="160"/>
              <w:spacing w:after="0" w:line="294"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30"/>
                <w:szCs w:val="30"/>
                <w:color w:val="auto"/>
                <w:vertAlign w:val="superscript"/>
              </w:rPr>
              <w:t>(3)</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8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rPr>
              <w:t>Crude oil lease gathering purchases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1,146</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1,042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1,126</w:t>
            </w: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4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Supply and Logistics segment total volumes</w:t>
            </w: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1,270</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63" w:lineRule="exact"/>
        <w:rPr>
          <w:rFonts w:ascii="Arial" w:cs="Arial" w:eastAsia="Arial" w:hAnsi="Arial"/>
          <w:sz w:val="26"/>
          <w:szCs w:val="26"/>
          <w:color w:val="auto"/>
          <w:vertAlign w:val="superscript"/>
        </w:rPr>
      </w:pPr>
    </w:p>
    <w:p>
      <w:pPr>
        <w:ind w:left="340" w:hanging="332"/>
        <w:spacing w:after="0" w:line="186" w:lineRule="auto"/>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3" w:lineRule="exact"/>
        <w:rPr>
          <w:rFonts w:ascii="Arial" w:cs="Arial" w:eastAsia="Arial" w:hAnsi="Arial"/>
          <w:sz w:val="30"/>
          <w:szCs w:val="30"/>
          <w:color w:val="auto"/>
          <w:vertAlign w:val="superscript"/>
        </w:rPr>
      </w:pPr>
    </w:p>
    <w:p>
      <w:pPr>
        <w:ind w:left="340" w:right="80" w:hanging="332"/>
        <w:spacing w:after="0" w:line="223" w:lineRule="auto"/>
        <w:tabs>
          <w:tab w:leader="none" w:pos="34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1"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w w:val="96"/>
              </w:rPr>
              <w:t>Fee-based Segment Adjusted EBITDA to Adjusted EBITDA Reconciliations: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6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5"/>
          </w:tcPr>
          <w:p>
            <w:pPr>
              <w:jc w:val="right"/>
              <w:ind w:right="225"/>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173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Fee-based Segment Adjusted EBITDA</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30"/>
                <w:szCs w:val="30"/>
                <w:color w:val="auto"/>
                <w:vertAlign w:val="superscript"/>
              </w:rPr>
              <w:t>(1)</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line="28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30"/>
                <w:szCs w:val="30"/>
                <w:color w:val="auto"/>
                <w:vertAlign w:val="superscript"/>
              </w:rPr>
              <w:t>(2)</w:t>
            </w: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20" w:type="dxa"/>
            <w:vAlign w:val="bottom"/>
            <w:vMerge w:val="continue"/>
          </w:tcPr>
          <w:p>
            <w:pPr>
              <w:spacing w:after="0"/>
              <w:rPr>
                <w:sz w:val="22"/>
                <w:szCs w:val="22"/>
                <w:color w:val="auto"/>
              </w:rPr>
            </w:pPr>
          </w:p>
        </w:tc>
        <w:tc>
          <w:tcPr>
            <w:tcW w:w="104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731</w:t>
            </w:r>
          </w:p>
        </w:tc>
        <w:tc>
          <w:tcPr>
            <w:tcW w:w="84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636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2,377</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Facilities Segment Adjusted EBITDA</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Fee-based 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Supply and Logistics Segment Adjusted EBITDA</w:t>
      </w:r>
    </w:p>
    <w:p>
      <w:pPr>
        <w:spacing w:after="0" w:line="211" w:lineRule="auto"/>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30"/>
          <w:szCs w:val="3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09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8"/>
          <w:szCs w:val="18"/>
          <w:b w:val="1"/>
          <w:bCs w:val="1"/>
          <w:color w:val="auto"/>
        </w:rPr>
        <w:t>Twelve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r>
      <w:tr>
        <w:trPr>
          <w:trHeight w:val="195"/>
        </w:trPr>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2,021</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r>
      <w:tr>
        <w:trPr>
          <w:trHeight w:val="264"/>
        </w:trPr>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2,684</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2,082</w:t>
            </w: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22" w:lineRule="exact"/>
        <w:rPr>
          <w:sz w:val="20"/>
          <w:szCs w:val="20"/>
          <w:color w:val="auto"/>
        </w:rPr>
      </w:pPr>
    </w:p>
    <w:p>
      <w:pPr>
        <w:sectPr>
          <w:pgSz w:w="11900" w:h="16838" w:orient="portrait"/>
          <w:cols w:equalWidth="0" w:num="2">
            <w:col w:w="8320" w:space="720"/>
            <w:col w:w="2380"/>
          </w:cols>
          <w:pgMar w:left="240" w:top="908" w:right="239" w:bottom="1440" w:gutter="0" w:footer="0" w:header="0"/>
          <w:type w:val="continuous"/>
        </w:sectPr>
      </w:pPr>
    </w:p>
    <w:p>
      <w:pPr>
        <w:spacing w:after="0" w:line="142" w:lineRule="exact"/>
        <w:rPr>
          <w:sz w:val="20"/>
          <w:szCs w:val="20"/>
          <w:color w:val="auto"/>
        </w:rPr>
      </w:pPr>
    </w:p>
    <w:p>
      <w:pPr>
        <w:ind w:left="340" w:right="60" w:hanging="332"/>
        <w:spacing w:after="0" w:line="209"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 million, $3 million, $(17) million and $(6) million for the three and nine months ended September 30, 2019 and 2018, respectively. See the “Selected Items Impacting Comparability” table for additional information.</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201" w:lineRule="exact"/>
        <w:rPr>
          <w:rFonts w:ascii="Arial" w:cs="Arial" w:eastAsia="Arial" w:hAnsi="Arial"/>
          <w:sz w:val="30"/>
          <w:szCs w:val="30"/>
          <w:color w:val="auto"/>
          <w:vertAlign w:val="superscript"/>
        </w:rPr>
      </w:pPr>
    </w:p>
    <w:p>
      <w:pPr>
        <w:ind w:left="340" w:right="20" w:hanging="332"/>
        <w:spacing w:after="0" w:line="194"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Represents “Other income/(expense), net” as reported on our Consolidated Statements of Operations, adjusted for selected items impacting comparability of $10 million and $32 million for the twelve months ended December 31, 2018 and 2017, respectively.</w:t>
      </w:r>
    </w:p>
    <w:p>
      <w:pPr>
        <w:spacing w:after="0" w:line="202"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680"/>
        <w:spacing w:after="0"/>
        <w:tabs>
          <w:tab w:leader="none" w:pos="484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gridSpan w:val="5"/>
          </w:tcPr>
          <w:p>
            <w:pPr>
              <w:jc w:val="center"/>
              <w:ind w:left="559"/>
              <w:spacing w:after="0"/>
              <w:rPr>
                <w:sz w:val="20"/>
                <w:szCs w:val="20"/>
                <w:color w:val="auto"/>
              </w:rPr>
            </w:pPr>
            <w:r>
              <w:rPr>
                <w:rFonts w:ascii="Arial" w:cs="Arial" w:eastAsia="Arial" w:hAnsi="Arial"/>
                <w:sz w:val="16"/>
                <w:szCs w:val="16"/>
                <w:b w:val="1"/>
                <w:bCs w:val="1"/>
                <w:color w:val="auto"/>
                <w:w w:val="92"/>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5"/>
          </w:tcPr>
          <w:p>
            <w:pPr>
              <w:jc w:val="center"/>
              <w:ind w:left="53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9"/>
              </w:rPr>
              <w:t>September 30, 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6"/>
              </w:rPr>
              <w:t>Facilities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Logistics</w:t>
            </w: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w w:val="90"/>
              </w:rPr>
              <w:t>Transportation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Logistics</w:t>
            </w:r>
          </w:p>
        </w:tc>
      </w:tr>
      <w:tr>
        <w:trPr>
          <w:trHeight w:val="19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3900" w:type="dxa"/>
            <w:vAlign w:val="bottom"/>
          </w:tcPr>
          <w:p>
            <w:pPr>
              <w:spacing w:after="0" w:line="25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7"/>
                <w:szCs w:val="27"/>
                <w:color w:val="auto"/>
                <w:vertAlign w:val="superscript"/>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3"/>
        </w:trPr>
        <w:tc>
          <w:tcPr>
            <w:tcW w:w="3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6"/>
              </w:rPr>
              <w:t>Segment Adjusted EBITDA further adjusted for impact of</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divested assets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9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9"/>
              </w:rPr>
              <w:t>September 30, 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6"/>
              </w:rPr>
              <w:t>Facilities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Logistics</w:t>
            </w: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w w:val="90"/>
              </w:rPr>
              <w:t>Transportation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Logistics</w:t>
            </w:r>
          </w:p>
        </w:tc>
      </w:tr>
      <w:tr>
        <w:trPr>
          <w:trHeight w:val="19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3900" w:type="dxa"/>
            <w:vAlign w:val="bottom"/>
          </w:tcPr>
          <w:p>
            <w:pPr>
              <w:spacing w:after="0" w:line="25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7"/>
                <w:szCs w:val="27"/>
                <w:color w:val="auto"/>
                <w:vertAlign w:val="superscript"/>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3"/>
        </w:trPr>
        <w:tc>
          <w:tcPr>
            <w:tcW w:w="3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6"/>
              </w:rPr>
              <w:t>Segment Adjusted EBITDA further adjusted for impact of</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divested assets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571</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ind w:left="340" w:right="20" w:hanging="332"/>
        <w:spacing w:after="0" w:line="209" w:lineRule="auto"/>
        <w:tabs>
          <w:tab w:leader="none" w:pos="3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Estimated impact of divestitures completed during 2018, assuming an effective date of January 1, 2018. Divested assets primarily included a 30% interest in BridgeTex Pipeline Company, LLC and certain pipelines in the Rocky Mountain region that were previously reported in our Transportation segment, as well as a natural gas processing facility that was previously reported in our Facilities segment.</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680"/>
        <w:spacing w:after="0"/>
        <w:tabs>
          <w:tab w:leader="none" w:pos="484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7"/>
          </w:tcPr>
          <w:p>
            <w:pPr>
              <w:jc w:val="center"/>
              <w:ind w:left="539"/>
              <w:spacing w:after="0"/>
              <w:rPr>
                <w:sz w:val="20"/>
                <w:szCs w:val="20"/>
                <w:color w:val="auto"/>
              </w:rPr>
            </w:pPr>
            <w:r>
              <w:rPr>
                <w:rFonts w:ascii="Arial" w:cs="Arial" w:eastAsia="Arial" w:hAnsi="Arial"/>
                <w:sz w:val="16"/>
                <w:szCs w:val="16"/>
                <w:b w:val="1"/>
                <w:bCs w:val="1"/>
                <w:color w:val="auto"/>
                <w:w w:val="93"/>
              </w:rPr>
              <w:t>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9"/>
              </w:rPr>
              <w:t>Consolidating</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PAA</w:t>
            </w:r>
          </w:p>
        </w:tc>
        <w:tc>
          <w:tcPr>
            <w:tcW w:w="180" w:type="dxa"/>
            <w:vAlign w:val="bottom"/>
          </w:tcPr>
          <w:p>
            <w:pPr>
              <w:spacing w:after="0"/>
              <w:rPr>
                <w:sz w:val="17"/>
                <w:szCs w:val="17"/>
                <w:color w:val="auto"/>
              </w:rPr>
            </w:pPr>
          </w:p>
        </w:tc>
        <w:tc>
          <w:tcPr>
            <w:tcW w:w="12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7"/>
                <w:szCs w:val="17"/>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PAGP</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restart"/>
          </w:tcPr>
          <w:p>
            <w:pPr>
              <w:jc w:val="right"/>
              <w:ind w:right="399"/>
              <w:spacing w:after="0"/>
              <w:rPr>
                <w:sz w:val="20"/>
                <w:szCs w:val="20"/>
                <w:color w:val="auto"/>
              </w:rPr>
            </w:pPr>
            <w:r>
              <w:rPr>
                <w:rFonts w:ascii="Arial" w:cs="Arial" w:eastAsia="Arial" w:hAnsi="Arial"/>
                <w:sz w:val="16"/>
                <w:szCs w:val="16"/>
                <w:b w:val="1"/>
                <w:bCs w:val="1"/>
                <w:color w:val="auto"/>
              </w:rPr>
              <w:t>PAA</w:t>
            </w:r>
          </w:p>
        </w:tc>
        <w:tc>
          <w:tcPr>
            <w:tcW w:w="100" w:type="dxa"/>
            <w:vAlign w:val="bottom"/>
          </w:tcPr>
          <w:p>
            <w:pPr>
              <w:spacing w:after="0"/>
              <w:rPr>
                <w:sz w:val="17"/>
                <w:szCs w:val="17"/>
                <w:color w:val="auto"/>
              </w:rPr>
            </w:pPr>
          </w:p>
        </w:tc>
        <w:tc>
          <w:tcPr>
            <w:tcW w:w="122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7"/>
                <w:szCs w:val="17"/>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center"/>
              <w:ind w:right="160"/>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Purchases and related costs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6,855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6,855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7,768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7,768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Field operating costs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w w:val="94"/>
              </w:rPr>
              <w:t>(Gains)/losses on asset sales and asset impairments,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7,394</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7,396</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INCOME/(EXPENSE)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Equity earnings in unconsolidated entities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Gain on investment in unconsolidated entities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Other income/(expense),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TAX</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Current income tax expense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(expense)/benefit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6"/>
                <w:szCs w:val="16"/>
                <w:color w:val="auto"/>
              </w:rPr>
              <w:t>(356)</w:t>
            </w: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6"/>
                <w:szCs w:val="16"/>
                <w:color w:val="auto"/>
              </w:rPr>
              <w:t>(565)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PAGP</w:t>
            </w: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vMerge w:val="continue"/>
            <w:shd w:val="clear" w:color="auto" w:fill="CCEEFF"/>
          </w:tcPr>
          <w:p>
            <w:pPr>
              <w:spacing w:after="0"/>
              <w:rPr>
                <w:sz w:val="18"/>
                <w:szCs w:val="18"/>
                <w:color w:val="auto"/>
              </w:rPr>
            </w:pPr>
          </w:p>
        </w:tc>
        <w:tc>
          <w:tcPr>
            <w:tcW w:w="38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44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w:t>
            </w:r>
          </w:p>
        </w:tc>
        <w:tc>
          <w:tcPr>
            <w:tcW w:w="30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710</w:t>
            </w:r>
          </w:p>
        </w:tc>
        <w:tc>
          <w:tcPr>
            <w:tcW w:w="34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NET INCOME PER CLASS A SHARE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NET INCOME PER CLASS A SHARE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WEIGHTED AVERAGE CLASS A SHARES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WEIGHTED AVERAGE CLASS A</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SHARES OUTSTANDING</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680"/>
        <w:spacing w:after="0"/>
        <w:tabs>
          <w:tab w:leader="none" w:pos="484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Page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Nine Months Ended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Nine Months Ended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6"/>
                <w:szCs w:val="16"/>
                <w:b w:val="1"/>
                <w:bCs w:val="1"/>
                <w:color w:val="auto"/>
                <w:w w:val="89"/>
              </w:rPr>
              <w:t>September 30, 2019</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6"/>
                <w:szCs w:val="16"/>
                <w:b w:val="1"/>
                <w:bCs w:val="1"/>
                <w:color w:val="auto"/>
                <w:w w:val="89"/>
              </w:rPr>
              <w:t>September 30, 2018</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1"/>
              </w:rPr>
              <w:t>Consolidating</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2"/>
                <w:szCs w:val="22"/>
                <w:color w:val="auto"/>
              </w:rPr>
            </w:pPr>
          </w:p>
        </w:tc>
        <w:tc>
          <w:tcPr>
            <w:tcW w:w="1280" w:type="dxa"/>
            <w:vAlign w:val="bottom"/>
            <w:gridSpan w:val="3"/>
          </w:tcPr>
          <w:p>
            <w:pPr>
              <w:jc w:val="center"/>
              <w:ind w:right="159"/>
              <w:spacing w:after="0" w:line="255" w:lineRule="exact"/>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7"/>
                <w:szCs w:val="27"/>
                <w:b w:val="1"/>
                <w:bCs w:val="1"/>
                <w:color w:val="auto"/>
                <w:w w:val="87"/>
                <w:vertAlign w:val="superscript"/>
              </w:rPr>
              <w:t>(1)</w:t>
            </w:r>
          </w:p>
        </w:tc>
        <w:tc>
          <w:tcPr>
            <w:tcW w:w="160" w:type="dxa"/>
            <w:vAlign w:val="bottom"/>
          </w:tcPr>
          <w:p>
            <w:pPr>
              <w:spacing w:after="0"/>
              <w:rPr>
                <w:sz w:val="22"/>
                <w:szCs w:val="2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PAGP</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2"/>
                <w:szCs w:val="22"/>
                <w:color w:val="auto"/>
              </w:rPr>
            </w:pPr>
          </w:p>
        </w:tc>
        <w:tc>
          <w:tcPr>
            <w:tcW w:w="1280" w:type="dxa"/>
            <w:vAlign w:val="bottom"/>
            <w:gridSpan w:val="3"/>
          </w:tcPr>
          <w:p>
            <w:pPr>
              <w:jc w:val="center"/>
              <w:ind w:right="159"/>
              <w:spacing w:after="0" w:line="255" w:lineRule="exact"/>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7"/>
                <w:szCs w:val="27"/>
                <w:b w:val="1"/>
                <w:bCs w:val="1"/>
                <w:color w:val="auto"/>
                <w:w w:val="87"/>
                <w:vertAlign w:val="superscript"/>
              </w:rPr>
              <w:t>(1)</w:t>
            </w:r>
          </w:p>
        </w:tc>
        <w:tc>
          <w:tcPr>
            <w:tcW w:w="160" w:type="dxa"/>
            <w:vAlign w:val="bottom"/>
          </w:tcPr>
          <w:p>
            <w:pPr>
              <w:spacing w:after="0"/>
              <w:rPr>
                <w:sz w:val="22"/>
                <w:szCs w:val="2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24,515</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24,515</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25,269</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Purchases and related costs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21,218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21,218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22,838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22,838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Field operating costs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(Gains)/losses on asset sales and asset impairments,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22,858</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22,864</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24,307</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INCOME/(EXPENSE)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Equity earnings in unconsolidated entities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274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Gain on investment in unconsolidated entities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TAX</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Current income tax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(expense)/benefit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6"/>
                <w:szCs w:val="16"/>
                <w:color w:val="auto"/>
              </w:rPr>
              <w:t>(1,481)</w:t>
            </w: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(1,488)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(892)</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PAGP</w:t>
            </w: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vMerge w:val="continue"/>
            <w:shd w:val="clear" w:color="auto" w:fill="CCEEFF"/>
          </w:tcPr>
          <w:p>
            <w:pPr>
              <w:spacing w:after="0"/>
              <w:rPr>
                <w:sz w:val="18"/>
                <w:szCs w:val="18"/>
                <w:color w:val="auto"/>
              </w:rPr>
            </w:pPr>
          </w:p>
        </w:tc>
        <w:tc>
          <w:tcPr>
            <w:tcW w:w="4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52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283</w:t>
            </w: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580" w:type="dxa"/>
            <w:vAlign w:val="bottom"/>
            <w:gridSpan w:val="2"/>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NET INCOME PER CLASS A SHARE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NET INCOME PER CLASS A SHARE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WEIGHTED AVERAGE CLASS A SHARES</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OUTSTANDING</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WEIGHTED AVERAGE CLASS A SHARES</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OUTSTANDING</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Page 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 2019</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2"/>
              </w:rPr>
              <w:t>December 31, 2018</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3"/>
              </w:rPr>
              <w:t>Consolidating</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PAA</w:t>
            </w:r>
          </w:p>
        </w:tc>
        <w:tc>
          <w:tcPr>
            <w:tcW w:w="220" w:type="dxa"/>
            <w:vAlign w:val="bottom"/>
          </w:tcPr>
          <w:p>
            <w:pPr>
              <w:spacing w:after="0"/>
              <w:rPr>
                <w:sz w:val="22"/>
                <w:szCs w:val="22"/>
                <w:color w:val="auto"/>
              </w:rPr>
            </w:pPr>
          </w:p>
        </w:tc>
        <w:tc>
          <w:tcPr>
            <w:tcW w:w="1280" w:type="dxa"/>
            <w:vAlign w:val="bottom"/>
            <w:gridSpan w:val="3"/>
          </w:tcPr>
          <w:p>
            <w:pPr>
              <w:jc w:val="center"/>
              <w:ind w:right="200"/>
              <w:spacing w:after="0" w:line="255" w:lineRule="exact"/>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7"/>
                <w:szCs w:val="27"/>
                <w:b w:val="1"/>
                <w:bCs w:val="1"/>
                <w:color w:val="auto"/>
                <w:w w:val="87"/>
                <w:vertAlign w:val="superscript"/>
              </w:rPr>
              <w:t>(1)</w:t>
            </w:r>
          </w:p>
        </w:tc>
        <w:tc>
          <w:tcPr>
            <w:tcW w:w="160" w:type="dxa"/>
            <w:vAlign w:val="bottom"/>
          </w:tcPr>
          <w:p>
            <w:pPr>
              <w:spacing w:after="0"/>
              <w:rPr>
                <w:sz w:val="22"/>
                <w:szCs w:val="2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PAGP</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PAA</w:t>
            </w:r>
          </w:p>
        </w:tc>
        <w:tc>
          <w:tcPr>
            <w:tcW w:w="1460" w:type="dxa"/>
            <w:vAlign w:val="bottom"/>
            <w:gridSpan w:val="4"/>
          </w:tcPr>
          <w:p>
            <w:pPr>
              <w:ind w:left="160"/>
              <w:spacing w:after="0" w:line="255" w:lineRule="exact"/>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27"/>
                <w:szCs w:val="27"/>
                <w:b w:val="1"/>
                <w:bCs w:val="1"/>
                <w:color w:val="auto"/>
                <w:vertAlign w:val="superscript"/>
              </w:rPr>
              <w:t>(1)</w:t>
            </w:r>
          </w:p>
        </w:tc>
        <w:tc>
          <w:tcPr>
            <w:tcW w:w="16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Current assets</w:t>
            </w:r>
          </w:p>
        </w:tc>
        <w:tc>
          <w:tcPr>
            <w:tcW w:w="7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4,676</w:t>
            </w:r>
          </w:p>
        </w:tc>
        <w:tc>
          <w:tcPr>
            <w:tcW w:w="5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4,678</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3,533</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Goodwill</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unconsolidated entities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Deferred tax asset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1,301</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Linefill and base gas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Long-term operating lease right-of-use assets, net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Long-term inventory</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Other long-term assets, net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Total assets</w:t>
            </w: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28,377</w:t>
            </w:r>
          </w:p>
        </w:tc>
        <w:tc>
          <w:tcPr>
            <w:tcW w:w="5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29,690</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25,511</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PARTNERS’ CAPITAL</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Current liabilities</w:t>
            </w:r>
          </w:p>
        </w:tc>
        <w:tc>
          <w:tcPr>
            <w:tcW w:w="7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4,872</w:t>
            </w:r>
          </w:p>
        </w:tc>
        <w:tc>
          <w:tcPr>
            <w:tcW w:w="5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4,873</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3,456</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Senior notes, net</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Other long-term debt, net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Long-term operating lease liabilities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Other long-term liabilities and deferred credits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15,266</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15,267</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13,509</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Partners’ capital excluding noncontrolling interests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(10,823)</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(10,156)</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12,135</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12,268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11,473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partners’ capital</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13,111</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14,423</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12,002</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00" w:type="dxa"/>
            <w:vAlign w:val="bottom"/>
          </w:tcPr>
          <w:p>
            <w:pPr>
              <w:ind w:left="320"/>
              <w:spacing w:after="0"/>
              <w:rPr>
                <w:sz w:val="20"/>
                <w:szCs w:val="20"/>
                <w:color w:val="auto"/>
              </w:rPr>
            </w:pPr>
            <w:r>
              <w:rPr>
                <w:rFonts w:ascii="Arial" w:cs="Arial" w:eastAsia="Arial" w:hAnsi="Arial"/>
                <w:sz w:val="16"/>
                <w:szCs w:val="16"/>
                <w:color w:val="auto"/>
              </w:rPr>
              <w:t>Total liabilities and partners’ capital</w:t>
            </w:r>
          </w:p>
        </w:tc>
        <w:tc>
          <w:tcPr>
            <w:tcW w:w="7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28,377</w:t>
            </w:r>
          </w:p>
        </w:tc>
        <w:tc>
          <w:tcPr>
            <w:tcW w:w="5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1,313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29,690</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25,511</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1,319</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26,830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Page 26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Class A share</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Incremental net income attributable to PAGP resulting from assumed</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of AAP Management Units</w:t>
            </w:r>
          </w:p>
        </w:tc>
        <w:tc>
          <w:tcPr>
            <w:tcW w:w="8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Pr>
          <w:p>
            <w:pPr>
              <w:ind w:left="160"/>
              <w:spacing w:after="0" w:line="182" w:lineRule="exact"/>
              <w:rPr>
                <w:sz w:val="20"/>
                <w:szCs w:val="20"/>
                <w:color w:val="auto"/>
              </w:rPr>
            </w:pPr>
            <w:r>
              <w:rPr>
                <w:rFonts w:ascii="Arial" w:cs="Arial" w:eastAsia="Arial" w:hAnsi="Arial"/>
                <w:sz w:val="18"/>
                <w:szCs w:val="18"/>
                <w:color w:val="auto"/>
                <w:w w:val="95"/>
              </w:rPr>
              <w:t>Net income attributable to PAGP including incremental net income from</w:t>
            </w:r>
          </w:p>
        </w:tc>
        <w:tc>
          <w:tcPr>
            <w:tcW w:w="8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assumed exchange of AAP Management Units</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Dilutive shares resulting from assumed exchange of AAP Management</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Units</w:t>
            </w:r>
          </w:p>
        </w:tc>
        <w:tc>
          <w:tcPr>
            <w:tcW w:w="8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 weighted average Class A shares outstanding</w:t>
            </w:r>
          </w:p>
        </w:tc>
        <w:tc>
          <w:tcPr>
            <w:tcW w:w="8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600" w:type="dxa"/>
            <w:vAlign w:val="bottom"/>
          </w:tcPr>
          <w:p>
            <w:pPr>
              <w:ind w:left="160"/>
              <w:spacing w:after="0" w:line="284"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30"/>
                <w:szCs w:val="30"/>
                <w:color w:val="auto"/>
                <w:vertAlign w:val="superscript"/>
              </w:rPr>
              <w:t>(1)</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right="340" w:hanging="332"/>
        <w:spacing w:after="0" w:line="249" w:lineRule="auto"/>
        <w:tabs>
          <w:tab w:leader="none" w:pos="34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For the three and nine months ended September 30, 2019 and 2018, the possible exchange of any AAP units would have had an antidilutive effect on basic net income per Class A share. For the three months ended September 30, 2019 and the three and nine months ended September 30, 2018, the possible exchange of AAP Management units would not have had a dilutive effect on basic net income per Class A share. For the nine months ended September 30, 2019, the possible exchange of AAP Management Units would have had a dilutive effect on basic net income per Class A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300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38"/>
        </w:trPr>
        <w:tc>
          <w:tcPr>
            <w:tcW w:w="44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3000" w:type="dxa"/>
            <w:vAlign w:val="bottom"/>
          </w:tcPr>
          <w:p>
            <w:pPr>
              <w:ind w:left="760"/>
              <w:spacing w:after="0"/>
              <w:rPr>
                <w:sz w:val="20"/>
                <w:szCs w:val="20"/>
                <w:color w:val="auto"/>
              </w:rPr>
            </w:pPr>
            <w:r>
              <w:rPr>
                <w:rFonts w:ascii="Arial" w:cs="Arial" w:eastAsia="Arial" w:hAnsi="Arial"/>
                <w:sz w:val="18"/>
                <w:szCs w:val="18"/>
                <w:color w:val="auto"/>
              </w:rPr>
              <w:t>Brett Magill</w:t>
            </w:r>
          </w:p>
        </w:tc>
        <w:tc>
          <w:tcPr>
            <w:tcW w:w="4020" w:type="dxa"/>
            <w:vAlign w:val="bottom"/>
          </w:tcPr>
          <w:p>
            <w:pPr>
              <w:spacing w:after="0"/>
              <w:rPr>
                <w:sz w:val="24"/>
                <w:szCs w:val="24"/>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3000" w:type="dxa"/>
            <w:vAlign w:val="bottom"/>
          </w:tcPr>
          <w:p>
            <w:pPr>
              <w:ind w:left="760"/>
              <w:spacing w:after="0"/>
              <w:rPr>
                <w:sz w:val="20"/>
                <w:szCs w:val="20"/>
                <w:color w:val="auto"/>
              </w:rPr>
            </w:pPr>
            <w:r>
              <w:rPr>
                <w:rFonts w:ascii="Arial" w:cs="Arial" w:eastAsia="Arial" w:hAnsi="Arial"/>
                <w:sz w:val="18"/>
                <w:szCs w:val="18"/>
                <w:color w:val="auto"/>
              </w:rPr>
              <w:t>Director, Investor Relations</w:t>
            </w:r>
          </w:p>
        </w:tc>
        <w:tc>
          <w:tcPr>
            <w:tcW w:w="4020" w:type="dxa"/>
            <w:vAlign w:val="bottom"/>
          </w:tcPr>
          <w:p>
            <w:pPr>
              <w:spacing w:after="0"/>
              <w:rPr>
                <w:sz w:val="18"/>
                <w:szCs w:val="18"/>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3000" w:type="dxa"/>
            <w:vAlign w:val="bottom"/>
          </w:tcPr>
          <w:p>
            <w:pPr>
              <w:jc w:val="right"/>
              <w:ind w:right="1030"/>
              <w:spacing w:after="0"/>
              <w:rPr>
                <w:sz w:val="20"/>
                <w:szCs w:val="20"/>
                <w:color w:val="auto"/>
              </w:rPr>
            </w:pPr>
            <w:r>
              <w:rPr>
                <w:rFonts w:ascii="Arial" w:cs="Arial" w:eastAsia="Arial" w:hAnsi="Arial"/>
                <w:sz w:val="18"/>
                <w:szCs w:val="18"/>
                <w:color w:val="auto"/>
              </w:rPr>
              <w:t>(866) 809-1291</w:t>
            </w:r>
          </w:p>
        </w:tc>
        <w:tc>
          <w:tcPr>
            <w:tcW w:w="402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00" w:type="dxa"/>
            <w:vAlign w:val="bottom"/>
          </w:tcPr>
          <w:p>
            <w:pPr>
              <w:jc w:val="right"/>
              <w:ind w:right="1470"/>
              <w:spacing w:after="0"/>
              <w:rPr>
                <w:sz w:val="20"/>
                <w:szCs w:val="20"/>
                <w:color w:val="auto"/>
              </w:rPr>
            </w:pPr>
            <w:r>
              <w:rPr>
                <w:rFonts w:ascii="Arial" w:cs="Arial" w:eastAsia="Arial" w:hAnsi="Arial"/>
                <w:sz w:val="18"/>
                <w:szCs w:val="18"/>
                <w:color w:val="auto"/>
              </w:rPr>
              <w:t>###</w:t>
            </w:r>
          </w:p>
        </w:tc>
        <w:tc>
          <w:tcPr>
            <w:tcW w:w="4020" w:type="dxa"/>
            <w:vAlign w:val="bottom"/>
          </w:tcPr>
          <w:p>
            <w:pPr>
              <w:spacing w:after="0"/>
              <w:rPr>
                <w:sz w:val="24"/>
                <w:szCs w:val="24"/>
                <w:color w:val="auto"/>
              </w:rPr>
            </w:pPr>
          </w:p>
        </w:tc>
      </w:tr>
      <w:tr>
        <w:trPr>
          <w:trHeight w:val="216"/>
        </w:trPr>
        <w:tc>
          <w:tcPr>
            <w:tcW w:w="64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r>
      <w:tr>
        <w:trPr>
          <w:trHeight w:val="237"/>
        </w:trPr>
        <w:tc>
          <w:tcPr>
            <w:tcW w:w="640" w:type="dxa"/>
            <w:vAlign w:val="bottom"/>
          </w:tcPr>
          <w:p>
            <w:pPr>
              <w:spacing w:after="0"/>
              <w:rPr>
                <w:sz w:val="20"/>
                <w:szCs w:val="20"/>
                <w:color w:val="auto"/>
              </w:rPr>
            </w:pPr>
          </w:p>
        </w:tc>
        <w:tc>
          <w:tcPr>
            <w:tcW w:w="3760" w:type="dxa"/>
            <w:vAlign w:val="bottom"/>
          </w:tcPr>
          <w:p>
            <w:pPr>
              <w:ind w:left="1080"/>
              <w:spacing w:after="0"/>
              <w:rPr>
                <w:sz w:val="20"/>
                <w:szCs w:val="20"/>
                <w:color w:val="auto"/>
              </w:rPr>
            </w:pPr>
            <w:r>
              <w:rPr>
                <w:rFonts w:ascii="Arial" w:cs="Arial" w:eastAsia="Arial" w:hAnsi="Arial"/>
                <w:sz w:val="18"/>
                <w:szCs w:val="18"/>
                <w:b w:val="1"/>
                <w:bCs w:val="1"/>
                <w:color w:val="auto"/>
              </w:rPr>
              <w:t>333 Clay Street, Suite 1600</w:t>
            </w:r>
          </w:p>
        </w:tc>
        <w:tc>
          <w:tcPr>
            <w:tcW w:w="3000" w:type="dxa"/>
            <w:vAlign w:val="bottom"/>
          </w:tcPr>
          <w:p>
            <w:pPr>
              <w:ind w:left="460"/>
              <w:spacing w:after="0"/>
              <w:rPr>
                <w:sz w:val="20"/>
                <w:szCs w:val="20"/>
                <w:color w:val="auto"/>
              </w:rPr>
            </w:pPr>
            <w:r>
              <w:rPr>
                <w:rFonts w:ascii="Arial" w:cs="Arial" w:eastAsia="Arial" w:hAnsi="Arial"/>
                <w:sz w:val="18"/>
                <w:szCs w:val="18"/>
                <w:b w:val="1"/>
                <w:bCs w:val="1"/>
                <w:color w:val="auto"/>
              </w:rPr>
              <w:t>Houston, Texas 77002</w:t>
            </w:r>
          </w:p>
        </w:tc>
        <w:tc>
          <w:tcPr>
            <w:tcW w:w="4020" w:type="dxa"/>
            <w:vAlign w:val="bottom"/>
          </w:tcPr>
          <w:p>
            <w:pPr>
              <w:jc w:val="right"/>
              <w:ind w:right="1490"/>
              <w:spacing w:after="0"/>
              <w:rPr>
                <w:sz w:val="20"/>
                <w:szCs w:val="20"/>
                <w:color w:val="auto"/>
              </w:rPr>
            </w:pPr>
            <w:r>
              <w:rPr>
                <w:rFonts w:ascii="Arial" w:cs="Arial" w:eastAsia="Arial" w:hAnsi="Arial"/>
                <w:sz w:val="18"/>
                <w:szCs w:val="18"/>
                <w:b w:val="1"/>
                <w:bCs w:val="1"/>
                <w:color w:val="auto"/>
              </w:rPr>
              <w:t>713-646-4100 / 866-809-1291</w:t>
            </w:r>
          </w:p>
        </w:tc>
      </w:tr>
      <w:tr>
        <w:trPr>
          <w:trHeight w:val="716"/>
        </w:trPr>
        <w:tc>
          <w:tcPr>
            <w:tcW w:w="6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lvl w:ilvl="1">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lvl w:ilvl="1">
      <w:lvlJc w:val="left"/>
      <w:lvlText w:val="-"/>
      <w:numFmt w:val="bullet"/>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lvl w:ilvl="1">
      <w:lvlJc w:val="left"/>
      <w:lvlText w:val="-"/>
      <w:numFmt w:val="bullet"/>
      <w:start w:val="1"/>
    </w:lvl>
  </w:abstractNum>
  <w:abstractNum w:abstractNumId="9">
    <w:nsid w:val="519B500D"/>
    <w:multiLevelType w:val="hybridMultilevel"/>
    <w:lvl w:ilvl="0">
      <w:lvlJc w:val="left"/>
      <w:lvlText w:val="(%1)"/>
      <w:numFmt w:val="decimal"/>
      <w:start w:val="1"/>
    </w:lvl>
    <w:lvl w:ilvl="1">
      <w:lvlJc w:val="left"/>
      <w:lvlText w:val="-"/>
      <w:numFmt w:val="bullet"/>
      <w:start w:val="1"/>
    </w:lvl>
  </w:abstractNum>
  <w:abstractNum w:abstractNumId="10">
    <w:nsid w:val="431BD7B7"/>
    <w:multiLevelType w:val="hybridMultilevel"/>
    <w:lvl w:ilvl="0">
      <w:lvlJc w:val="left"/>
      <w:lvlText w:val="(%1)"/>
      <w:numFmt w:val="decimal"/>
      <w:start w:val="1"/>
    </w:lvl>
    <w:lvl w:ilvl="1">
      <w:lvlJc w:val="left"/>
      <w:lvlText w:val="-"/>
      <w:numFmt w:val="bullet"/>
      <w:start w:val="1"/>
    </w:lvl>
  </w:abstractNum>
  <w:abstractNum w:abstractNumId="11">
    <w:nsid w:val="3F2DBA31"/>
    <w:multiLevelType w:val="hybridMultilevel"/>
    <w:lvl w:ilvl="0">
      <w:lvlJc w:val="left"/>
      <w:lvlText w:val="(%1)"/>
      <w:numFmt w:val="decimal"/>
      <w:start w:val="1"/>
    </w:lvl>
    <w:lvl w:ilvl="1">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
      <w:numFmt w:val="bullet"/>
      <w:start w:val="1"/>
    </w:lvl>
  </w:abstractNum>
  <w:abstractNum w:abstractNumId="15">
    <w:nsid w:val="436C6125"/>
    <w:multiLevelType w:val="hybridMultilevel"/>
    <w:lvl w:ilvl="0">
      <w:lvlJc w:val="left"/>
      <w:lvlText w:val="(%1)"/>
      <w:numFmt w:val="decimal"/>
      <w:start w:val="1"/>
    </w:lvl>
    <w:lvl w:ilvl="1">
      <w:lvlJc w:val="left"/>
      <w:lvlText w:val="-"/>
      <w:numFmt w:val="bullet"/>
      <w:start w:val="1"/>
    </w:lvl>
  </w:abstractNum>
  <w:abstractNum w:abstractNumId="16">
    <w:nsid w:val="628C895D"/>
    <w:multiLevelType w:val="hybridMultilevel"/>
    <w:lvl w:ilvl="0">
      <w:lvlJc w:val="left"/>
      <w:lvlText w:val="(%1)"/>
      <w:numFmt w:val="decimal"/>
      <w:start w:val="1"/>
    </w:lvl>
    <w:lvl w:ilvl="1">
      <w:lvlJc w:val="left"/>
      <w:lvlText w:val="-"/>
      <w:numFmt w:val="bullet"/>
      <w:start w:val="1"/>
    </w:lvl>
  </w:abstractNum>
  <w:abstractNum w:abstractNumId="17">
    <w:nsid w:val="333AB105"/>
    <w:multiLevelType w:val="hybridMultilevel"/>
    <w:lvl w:ilvl="0">
      <w:lvlJc w:val="left"/>
      <w:lvlText w:val="(%1)"/>
      <w:numFmt w:val="decimal"/>
      <w:start w:val="1"/>
    </w:lvl>
    <w:lvl w:ilvl="1">
      <w:lvlJc w:val="left"/>
      <w:lvlText w:val="-"/>
      <w:numFmt w:val="bullet"/>
      <w:start w:val="1"/>
    </w:lvl>
  </w:abstractNum>
  <w:abstractNum w:abstractNumId="18">
    <w:nsid w:val="721DA317"/>
    <w:multiLevelType w:val="hybridMultilevel"/>
    <w:lvl w:ilvl="0">
      <w:lvlJc w:val="left"/>
      <w:lvlText w:val="(%1)"/>
      <w:numFmt w:val="decimal"/>
      <w:start w:val="1"/>
    </w:lvl>
    <w:lvl w:ilvl="1">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2020-01-09T06:55:09Z</dcterms:created>
  <dcterms:modified xsi:type="dcterms:W3CDTF">2020-01-09T06:55:09Z</dcterms:modified>
</cp:coreProperties>
</file>