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20" w:type="dxa"/>
            <w:vAlign w:val="bottom"/>
          </w:tcPr>
          <w:p>
            <w:pPr>
              <w:ind w:left="40"/>
              <w:spacing w:after="0"/>
              <w:rPr>
                <w:sz w:val="20"/>
                <w:szCs w:val="20"/>
                <w:color w:val="auto"/>
              </w:rPr>
            </w:pPr>
            <w:r>
              <w:rPr>
                <w:rFonts w:ascii="Arial" w:cs="Arial" w:eastAsia="Arial" w:hAnsi="Arial"/>
                <w:sz w:val="22"/>
                <w:szCs w:val="22"/>
                <w:color w:val="auto"/>
              </w:rPr>
              <w:t>0001769336</w:t>
            </w:r>
          </w:p>
        </w:tc>
        <w:tc>
          <w:tcPr>
            <w:tcW w:w="372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Arial" w:cs="Arial" w:eastAsia="Arial" w:hAnsi="Arial"/>
                <w:sz w:val="22"/>
                <w:szCs w:val="22"/>
                <w:color w:val="auto"/>
                <w:w w:val="91"/>
              </w:rPr>
              <w:t>Plains All American Pipeline LP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Arial" w:cs="Arial" w:eastAsia="Arial" w:hAnsi="Arial"/>
                <w:sz w:val="22"/>
                <w:szCs w:val="22"/>
                <w:color w:val="auto"/>
              </w:rPr>
              <w:t>001-14569</w:t>
            </w:r>
          </w:p>
        </w:tc>
      </w:tr>
      <w:tr>
        <w:trPr>
          <w:trHeight w:val="266"/>
        </w:trPr>
        <w:tc>
          <w:tcPr>
            <w:tcW w:w="30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3720" w:type="dxa"/>
            <w:vAlign w:val="bottom"/>
          </w:tcPr>
          <w:p>
            <w:pPr>
              <w:ind w:left="880"/>
              <w:spacing w:after="0"/>
              <w:rPr>
                <w:sz w:val="20"/>
                <w:szCs w:val="20"/>
                <w:color w:val="auto"/>
              </w:rPr>
            </w:pPr>
            <w:r>
              <w:rPr>
                <w:rFonts w:ascii="Arial" w:cs="Arial" w:eastAsia="Arial" w:hAnsi="Arial"/>
                <w:sz w:val="22"/>
                <w:szCs w:val="22"/>
                <w:color w:val="auto"/>
              </w:rPr>
              <w:t>333 Clay Street</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Arial" w:cs="Arial" w:eastAsia="Arial" w:hAnsi="Arial"/>
                <w:sz w:val="22"/>
                <w:szCs w:val="22"/>
                <w:color w:val="auto"/>
              </w:rPr>
              <w:t>Suite 1600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Arial" w:cs="Arial" w:eastAsia="Arial" w:hAnsi="Arial"/>
                <w:sz w:val="22"/>
                <w:szCs w:val="22"/>
                <w:color w:val="auto"/>
              </w:rPr>
              <w:t>Houston</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3720" w:type="dxa"/>
            <w:vAlign w:val="bottom"/>
          </w:tcPr>
          <w:p>
            <w:pPr>
              <w:ind w:left="880"/>
              <w:spacing w:after="0"/>
              <w:rPr>
                <w:sz w:val="20"/>
                <w:szCs w:val="20"/>
                <w:color w:val="auto"/>
              </w:rPr>
            </w:pPr>
            <w:r>
              <w:rPr>
                <w:rFonts w:ascii="Arial" w:cs="Arial" w:eastAsia="Arial" w:hAnsi="Arial"/>
                <w:sz w:val="22"/>
                <w:szCs w:val="22"/>
                <w:color w:val="auto"/>
              </w:rPr>
              <w:t>77002</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Arial" w:cs="Arial" w:eastAsia="Arial" w:hAnsi="Arial"/>
                <w:sz w:val="22"/>
                <w:szCs w:val="22"/>
                <w:color w:val="auto"/>
              </w:rPr>
              <w:t>7136464100</w:t>
            </w:r>
          </w:p>
        </w:tc>
      </w:tr>
      <w:tr>
        <w:trPr>
          <w:trHeight w:val="297"/>
        </w:trPr>
        <w:tc>
          <w:tcPr>
            <w:tcW w:w="66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720" w:type="dxa"/>
            <w:vAlign w:val="bottom"/>
          </w:tcPr>
          <w:p>
            <w:pPr>
              <w:ind w:left="880"/>
              <w:spacing w:after="0"/>
              <w:rPr>
                <w:sz w:val="20"/>
                <w:szCs w:val="20"/>
                <w:color w:val="auto"/>
              </w:rPr>
            </w:pPr>
            <w:r>
              <w:rPr>
                <w:rFonts w:ascii="Arial" w:cs="Arial" w:eastAsia="Arial" w:hAnsi="Arial"/>
                <w:sz w:val="22"/>
                <w:szCs w:val="22"/>
                <w:color w:val="auto"/>
              </w:rPr>
              <w:t>MGMG Ventures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2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2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8"/>
              </w:rPr>
              <w:t>UBS Financial Services</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 units</w:t>
            </w: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35000</w:t>
            </w:r>
          </w:p>
        </w:tc>
        <w:tc>
          <w:tcPr>
            <w:tcW w:w="1140" w:type="dxa"/>
            <w:vAlign w:val="bottom"/>
          </w:tcPr>
          <w:p>
            <w:pPr>
              <w:jc w:val="right"/>
              <w:ind w:right="352"/>
              <w:spacing w:after="0" w:line="243" w:lineRule="exact"/>
              <w:rPr>
                <w:sz w:val="20"/>
                <w:szCs w:val="20"/>
                <w:color w:val="auto"/>
              </w:rPr>
            </w:pPr>
            <w:r>
              <w:rPr>
                <w:rFonts w:ascii="Arial" w:cs="Arial" w:eastAsia="Arial" w:hAnsi="Arial"/>
                <w:sz w:val="22"/>
                <w:szCs w:val="22"/>
                <w:color w:val="auto"/>
                <w:w w:val="89"/>
              </w:rPr>
              <w:t>541450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6"/>
              </w:rPr>
              <w:t>Weehawken  NJ  07086</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700992512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11/21/2023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ind w:left="460"/>
              <w:spacing w:after="0"/>
              <w:rPr>
                <w:sz w:val="20"/>
                <w:szCs w:val="20"/>
                <w:color w:val="auto"/>
              </w:rPr>
            </w:pPr>
            <w:r>
              <w:rPr>
                <w:rFonts w:ascii="Arial" w:cs="Arial" w:eastAsia="Arial" w:hAnsi="Arial"/>
                <w:sz w:val="22"/>
                <w:szCs w:val="22"/>
                <w:b w:val="1"/>
                <w:bCs w:val="1"/>
                <w:color w:val="auto"/>
              </w:rPr>
              <w:t>Class</w:t>
            </w:r>
          </w:p>
        </w:tc>
        <w:tc>
          <w:tcPr>
            <w:tcW w:w="1080" w:type="dxa"/>
            <w:vAlign w:val="bottom"/>
          </w:tcPr>
          <w:p>
            <w:pPr>
              <w:ind w:left="160"/>
              <w:spacing w:after="0"/>
              <w:rPr>
                <w:sz w:val="20"/>
                <w:szCs w:val="20"/>
                <w:color w:val="auto"/>
              </w:rPr>
            </w:pPr>
            <w:r>
              <w:rPr>
                <w:rFonts w:ascii="Arial" w:cs="Arial" w:eastAsia="Arial" w:hAnsi="Arial"/>
                <w:sz w:val="22"/>
                <w:szCs w:val="22"/>
                <w:b w:val="1"/>
                <w:bCs w:val="1"/>
                <w:color w:val="auto"/>
                <w:w w:val="94"/>
              </w:rPr>
              <w:t>Acquired</w:t>
            </w:r>
          </w:p>
        </w:tc>
        <w:tc>
          <w:tcPr>
            <w:tcW w:w="1700" w:type="dxa"/>
            <w:vAlign w:val="bottom"/>
          </w:tcPr>
          <w:p>
            <w:pPr>
              <w:ind w:left="360"/>
              <w:spacing w:after="0"/>
              <w:rPr>
                <w:sz w:val="20"/>
                <w:szCs w:val="20"/>
                <w:color w:val="auto"/>
              </w:rPr>
            </w:pPr>
            <w:r>
              <w:rPr>
                <w:rFonts w:ascii="Arial" w:cs="Arial" w:eastAsia="Arial" w:hAnsi="Arial"/>
                <w:sz w:val="22"/>
                <w:szCs w:val="22"/>
                <w:b w:val="1"/>
                <w:bCs w:val="1"/>
                <w:color w:val="auto"/>
              </w:rPr>
              <w:t>Acquisition</w:t>
            </w:r>
          </w:p>
        </w:tc>
        <w:tc>
          <w:tcPr>
            <w:tcW w:w="1460" w:type="dxa"/>
            <w:vAlign w:val="bottom"/>
          </w:tcPr>
          <w:p>
            <w:pPr>
              <w:jc w:val="center"/>
              <w:ind w:left="1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20" w:type="dxa"/>
            <w:vAlign w:val="bottom"/>
          </w:tcPr>
          <w:p>
            <w:pPr>
              <w:jc w:val="center"/>
              <w:spacing w:after="0"/>
              <w:rPr>
                <w:sz w:val="20"/>
                <w:szCs w:val="20"/>
                <w:color w:val="auto"/>
              </w:rPr>
            </w:pPr>
            <w:r>
              <w:rPr>
                <w:rFonts w:ascii="Arial" w:cs="Arial" w:eastAsia="Arial" w:hAnsi="Arial"/>
                <w:sz w:val="22"/>
                <w:szCs w:val="22"/>
                <w:b w:val="1"/>
                <w:bCs w:val="1"/>
                <w:color w:val="auto"/>
                <w:w w:val="92"/>
              </w:rPr>
              <w:t>Donor</w:t>
            </w:r>
          </w:p>
        </w:tc>
        <w:tc>
          <w:tcPr>
            <w:tcW w:w="1200" w:type="dxa"/>
            <w:vAlign w:val="bottom"/>
          </w:tcPr>
          <w:p>
            <w:pPr>
              <w:jc w:val="right"/>
              <w:spacing w:after="0"/>
              <w:rPr>
                <w:sz w:val="20"/>
                <w:szCs w:val="20"/>
                <w:color w:val="auto"/>
              </w:rPr>
            </w:pPr>
            <w:r>
              <w:rPr>
                <w:rFonts w:ascii="Arial" w:cs="Arial" w:eastAsia="Arial" w:hAnsi="Arial"/>
                <w:sz w:val="22"/>
                <w:szCs w:val="22"/>
                <w:b w:val="1"/>
                <w:bCs w:val="1"/>
                <w:color w:val="auto"/>
              </w:rPr>
              <w:t>Securities</w:t>
            </w:r>
          </w:p>
        </w:tc>
        <w:tc>
          <w:tcPr>
            <w:tcW w:w="126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r>
      <w:tr>
        <w:trPr>
          <w:trHeight w:val="243"/>
        </w:trPr>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ind w:left="340"/>
              <w:spacing w:after="0" w:line="243" w:lineRule="exact"/>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right"/>
              <w:ind w:right="12"/>
              <w:spacing w:after="0" w:line="243" w:lineRule="exact"/>
              <w:rPr>
                <w:sz w:val="20"/>
                <w:szCs w:val="20"/>
                <w:color w:val="auto"/>
              </w:rPr>
            </w:pPr>
            <w:r>
              <w:rPr>
                <w:rFonts w:ascii="Arial" w:cs="Arial" w:eastAsia="Arial" w:hAnsi="Arial"/>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0"/>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7"/>
        </w:trPr>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00" w:type="dxa"/>
            <w:vAlign w:val="bottom"/>
          </w:tcPr>
          <w:p>
            <w:pPr>
              <w:ind w:left="60"/>
              <w:spacing w:after="0" w:line="246" w:lineRule="exact"/>
              <w:rPr>
                <w:sz w:val="20"/>
                <w:szCs w:val="20"/>
                <w:color w:val="auto"/>
              </w:rPr>
            </w:pPr>
            <w:r>
              <w:rPr>
                <w:rFonts w:ascii="Arial" w:cs="Arial" w:eastAsia="Arial" w:hAnsi="Arial"/>
                <w:sz w:val="22"/>
                <w:szCs w:val="22"/>
                <w:color w:val="auto"/>
              </w:rPr>
              <w:t>vesting of long</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30"/>
        </w:trPr>
        <w:tc>
          <w:tcPr>
            <w:tcW w:w="1360" w:type="dxa"/>
            <w:vAlign w:val="bottom"/>
          </w:tcPr>
          <w:p>
            <w:pPr>
              <w:spacing w:after="0"/>
              <w:rPr>
                <w:sz w:val="20"/>
                <w:szCs w:val="20"/>
                <w:color w:val="auto"/>
              </w:rPr>
            </w:pPr>
            <w:r>
              <w:rPr>
                <w:rFonts w:ascii="Arial" w:cs="Arial" w:eastAsia="Arial" w:hAnsi="Arial"/>
                <w:sz w:val="22"/>
                <w:szCs w:val="22"/>
                <w:color w:val="auto"/>
                <w:w w:val="97"/>
              </w:rPr>
              <w:t>common units</w:t>
            </w:r>
          </w:p>
        </w:tc>
        <w:tc>
          <w:tcPr>
            <w:tcW w:w="2780" w:type="dxa"/>
            <w:vAlign w:val="bottom"/>
            <w:gridSpan w:val="2"/>
          </w:tcPr>
          <w:p>
            <w:pPr>
              <w:ind w:left="100"/>
              <w:spacing w:after="0" w:line="330" w:lineRule="exact"/>
              <w:rPr>
                <w:sz w:val="20"/>
                <w:szCs w:val="20"/>
                <w:color w:val="auto"/>
              </w:rPr>
            </w:pPr>
            <w:r>
              <w:rPr>
                <w:rFonts w:ascii="Arial" w:cs="Arial" w:eastAsia="Arial" w:hAnsi="Arial"/>
                <w:sz w:val="38"/>
                <w:szCs w:val="38"/>
                <w:color w:val="auto"/>
                <w:w w:val="91"/>
                <w:vertAlign w:val="superscript"/>
              </w:rPr>
              <w:t>01/01/2023</w:t>
            </w:r>
            <w:r>
              <w:rPr>
                <w:rFonts w:ascii="Arial" w:cs="Arial" w:eastAsia="Arial" w:hAnsi="Arial"/>
                <w:sz w:val="20"/>
                <w:szCs w:val="20"/>
                <w:color w:val="auto"/>
                <w:w w:val="91"/>
              </w:rPr>
              <w:t xml:space="preserve"> term equity award</w:t>
            </w:r>
          </w:p>
        </w:tc>
        <w:tc>
          <w:tcPr>
            <w:tcW w:w="1460" w:type="dxa"/>
            <w:vAlign w:val="bottom"/>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jc w:val="right"/>
              <w:ind w:right="532"/>
              <w:spacing w:after="0"/>
              <w:rPr>
                <w:sz w:val="20"/>
                <w:szCs w:val="20"/>
                <w:color w:val="auto"/>
              </w:rPr>
            </w:pPr>
            <w:r>
              <w:rPr>
                <w:rFonts w:ascii="Arial" w:cs="Arial" w:eastAsia="Arial" w:hAnsi="Arial"/>
                <w:sz w:val="22"/>
                <w:szCs w:val="22"/>
                <w:color w:val="auto"/>
                <w:w w:val="88"/>
              </w:rPr>
              <w:t>22003</w:t>
            </w:r>
          </w:p>
        </w:tc>
        <w:tc>
          <w:tcPr>
            <w:tcW w:w="2480" w:type="dxa"/>
            <w:vAlign w:val="bottom"/>
            <w:gridSpan w:val="2"/>
          </w:tcPr>
          <w:p>
            <w:pPr>
              <w:ind w:left="120"/>
              <w:spacing w:after="0"/>
              <w:rPr>
                <w:sz w:val="20"/>
                <w:szCs w:val="20"/>
                <w:color w:val="auto"/>
              </w:rPr>
            </w:pPr>
            <w:r>
              <w:rPr>
                <w:rFonts w:ascii="Arial" w:cs="Arial" w:eastAsia="Arial" w:hAnsi="Arial"/>
                <w:sz w:val="22"/>
                <w:szCs w:val="22"/>
                <w:color w:val="auto"/>
                <w:w w:val="92"/>
              </w:rPr>
              <w:t>01/01/2023 compensation</w:t>
            </w:r>
          </w:p>
        </w:tc>
      </w:tr>
      <w:tr>
        <w:trPr>
          <w:trHeight w:val="210"/>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00" w:type="dxa"/>
            <w:vAlign w:val="bottom"/>
          </w:tcPr>
          <w:p>
            <w:pPr>
              <w:ind w:left="60"/>
              <w:spacing w:after="0" w:line="210" w:lineRule="exact"/>
              <w:rPr>
                <w:sz w:val="20"/>
                <w:szCs w:val="20"/>
                <w:color w:val="auto"/>
              </w:rPr>
            </w:pPr>
            <w:r>
              <w:rPr>
                <w:rFonts w:ascii="Arial" w:cs="Arial" w:eastAsia="Arial" w:hAnsi="Arial"/>
                <w:sz w:val="22"/>
                <w:szCs w:val="22"/>
                <w:color w:val="auto"/>
              </w:rPr>
              <w:t>vesting of long</w:t>
            </w: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w w:val="97"/>
              </w:rPr>
              <w:t>common units</w:t>
            </w:r>
          </w:p>
        </w:tc>
        <w:tc>
          <w:tcPr>
            <w:tcW w:w="2780" w:type="dxa"/>
            <w:vAlign w:val="bottom"/>
            <w:gridSpan w:val="2"/>
          </w:tcPr>
          <w:p>
            <w:pPr>
              <w:ind w:left="100"/>
              <w:spacing w:after="0"/>
              <w:rPr>
                <w:sz w:val="20"/>
                <w:szCs w:val="20"/>
                <w:color w:val="auto"/>
              </w:rPr>
            </w:pPr>
            <w:r>
              <w:rPr>
                <w:rFonts w:ascii="Arial" w:cs="Arial" w:eastAsia="Arial" w:hAnsi="Arial"/>
                <w:sz w:val="43"/>
                <w:szCs w:val="43"/>
                <w:color w:val="auto"/>
                <w:w w:val="81"/>
                <w:vertAlign w:val="superscript"/>
              </w:rPr>
              <w:t>08/12/2022</w:t>
            </w:r>
            <w:r>
              <w:rPr>
                <w:rFonts w:ascii="Arial" w:cs="Arial" w:eastAsia="Arial" w:hAnsi="Arial"/>
                <w:sz w:val="22"/>
                <w:szCs w:val="22"/>
                <w:color w:val="auto"/>
                <w:w w:val="81"/>
              </w:rPr>
              <w:t xml:space="preserve"> term equity award</w:t>
            </w:r>
          </w:p>
        </w:tc>
        <w:tc>
          <w:tcPr>
            <w:tcW w:w="1460" w:type="dxa"/>
            <w:vAlign w:val="bottom"/>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jc w:val="right"/>
              <w:ind w:right="532"/>
              <w:spacing w:after="0"/>
              <w:rPr>
                <w:sz w:val="20"/>
                <w:szCs w:val="20"/>
                <w:color w:val="auto"/>
              </w:rPr>
            </w:pPr>
            <w:r>
              <w:rPr>
                <w:rFonts w:ascii="Arial" w:cs="Arial" w:eastAsia="Arial" w:hAnsi="Arial"/>
                <w:sz w:val="22"/>
                <w:szCs w:val="22"/>
                <w:color w:val="auto"/>
                <w:w w:val="88"/>
              </w:rPr>
              <w:t>15653</w:t>
            </w:r>
          </w:p>
        </w:tc>
        <w:tc>
          <w:tcPr>
            <w:tcW w:w="2480" w:type="dxa"/>
            <w:vAlign w:val="bottom"/>
            <w:gridSpan w:val="2"/>
          </w:tcPr>
          <w:p>
            <w:pPr>
              <w:ind w:left="120"/>
              <w:spacing w:after="0"/>
              <w:rPr>
                <w:sz w:val="20"/>
                <w:szCs w:val="20"/>
                <w:color w:val="auto"/>
              </w:rPr>
            </w:pPr>
            <w:r>
              <w:rPr>
                <w:rFonts w:ascii="Arial" w:cs="Arial" w:eastAsia="Arial" w:hAnsi="Arial"/>
                <w:sz w:val="22"/>
                <w:szCs w:val="22"/>
                <w:color w:val="auto"/>
                <w:w w:val="92"/>
              </w:rPr>
              <w:t>08/12/2022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-734060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-391160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right="940"/>
        <w:spacing w:after="0" w:line="281" w:lineRule="auto"/>
        <w:rPr>
          <w:sz w:val="20"/>
          <w:szCs w:val="20"/>
          <w:color w:val="auto"/>
        </w:rPr>
      </w:pPr>
      <w:r>
        <w:rPr>
          <w:rFonts w:ascii="Arial" w:cs="Arial" w:eastAsia="Arial" w:hAnsi="Arial"/>
          <w:sz w:val="22"/>
          <w:szCs w:val="22"/>
          <w:color w:val="auto"/>
        </w:rPr>
        <w:t>Remarks Jeremy L Goebel is an Officer for Plains All American Pipeline and a Partner in MGMG Ventures LP. Date of Notice 11/21/2023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UBS Financial Services Inc, as attorney-in-fact for MGMG Ventures LP</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2023-11-21T13:24:51Z</dcterms:created>
  <dcterms:modified xsi:type="dcterms:W3CDTF">2023-11-21T13:24:51Z</dcterms:modified>
</cp:coreProperties>
</file>